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8" w:rsidRDefault="00C30888" w:rsidP="00C30888">
      <w:bookmarkStart w:id="0" w:name="_GoBack"/>
      <w:bookmarkEnd w:id="0"/>
    </w:p>
    <w:p w:rsidR="00C30888" w:rsidRDefault="00C30888" w:rsidP="00C30888"/>
    <w:p w:rsidR="00C30888" w:rsidRPr="00C8196D" w:rsidRDefault="00C30888" w:rsidP="00C30888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C30888" w:rsidRPr="00C8196D" w:rsidRDefault="00C30888" w:rsidP="00C30888">
      <w:pPr>
        <w:jc w:val="center"/>
        <w:rPr>
          <w:b/>
          <w:sz w:val="28"/>
        </w:rPr>
      </w:pP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30888" w:rsidRDefault="00C30888" w:rsidP="00C30888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C30888" w:rsidRDefault="00C30888" w:rsidP="00C30888">
      <w:pPr>
        <w:jc w:val="center"/>
      </w:pPr>
    </w:p>
    <w:p w:rsidR="00C30888" w:rsidRDefault="00C30888" w:rsidP="00C30888">
      <w:pPr>
        <w:jc w:val="center"/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Default="00C30888" w:rsidP="00C30888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C30888" w:rsidRDefault="00287726" w:rsidP="00C30888">
      <w:pPr>
        <w:jc w:val="center"/>
        <w:rPr>
          <w:b/>
          <w:sz w:val="28"/>
        </w:rPr>
      </w:pPr>
      <w:r>
        <w:rPr>
          <w:b/>
          <w:sz w:val="28"/>
        </w:rPr>
        <w:t>Научно-исследовательского</w:t>
      </w:r>
      <w:r w:rsidR="00C30888">
        <w:rPr>
          <w:b/>
          <w:sz w:val="28"/>
        </w:rPr>
        <w:t xml:space="preserve"> практикум</w:t>
      </w:r>
      <w:r>
        <w:rPr>
          <w:b/>
          <w:sz w:val="28"/>
        </w:rPr>
        <w:t>а</w:t>
      </w:r>
    </w:p>
    <w:p w:rsidR="00C30888" w:rsidRPr="00297587" w:rsidRDefault="00C30888" w:rsidP="00C30888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631F84">
        <w:rPr>
          <w:b/>
          <w:sz w:val="28"/>
        </w:rPr>
        <w:t>Участие в работе научного кружка, научного семинара</w:t>
      </w:r>
      <w:r>
        <w:rPr>
          <w:b/>
          <w:sz w:val="28"/>
        </w:rPr>
        <w:t>»</w:t>
      </w:r>
      <w:r w:rsidR="0018765F">
        <w:fldChar w:fldCharType="begin"/>
      </w:r>
      <w:r>
        <w:instrText xml:space="preserve"> FILLIN   \* MERGEFORMAT </w:instrText>
      </w:r>
      <w:r w:rsidR="0018765F">
        <w:fldChar w:fldCharType="end"/>
      </w:r>
    </w:p>
    <w:p w:rsidR="00C30888" w:rsidRDefault="00C30888" w:rsidP="00C30888">
      <w:pPr>
        <w:ind w:firstLine="0"/>
      </w:pP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C30888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C30888" w:rsidRDefault="00C30888" w:rsidP="00C30888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C30888" w:rsidRDefault="00C30888" w:rsidP="00980DAA">
      <w:pPr>
        <w:ind w:firstLine="0"/>
      </w:pPr>
    </w:p>
    <w:p w:rsidR="00C30888" w:rsidRDefault="00C30888" w:rsidP="00C30888">
      <w:pPr>
        <w:jc w:val="center"/>
      </w:pPr>
    </w:p>
    <w:p w:rsidR="00980DAA" w:rsidRDefault="00C30888" w:rsidP="00C30888">
      <w:pPr>
        <w:ind w:left="709" w:firstLine="0"/>
      </w:pPr>
      <w:r>
        <w:t>Автор</w:t>
      </w:r>
      <w:r w:rsidR="00882F35">
        <w:t>ы</w:t>
      </w:r>
      <w:r w:rsidRPr="00B4644A">
        <w:t xml:space="preserve"> программы</w:t>
      </w:r>
      <w:r>
        <w:t>:</w:t>
      </w:r>
    </w:p>
    <w:p w:rsidR="00980DAA" w:rsidRDefault="00980DAA" w:rsidP="00C30888">
      <w:pPr>
        <w:ind w:left="709" w:firstLine="0"/>
      </w:pPr>
      <w:r>
        <w:t>Ирина Ивановна Маскаева,</w:t>
      </w:r>
    </w:p>
    <w:p w:rsidR="00C30888" w:rsidRDefault="00980DAA" w:rsidP="00C30888">
      <w:pPr>
        <w:ind w:left="709" w:firstLine="0"/>
      </w:pPr>
      <w:r>
        <w:t>ст. преподаватель</w:t>
      </w:r>
    </w:p>
    <w:p w:rsidR="00C30888" w:rsidRPr="00980DAA" w:rsidRDefault="00980DAA" w:rsidP="00C30888">
      <w:pPr>
        <w:ind w:left="709" w:firstLine="0"/>
      </w:pPr>
      <w:r w:rsidRPr="00980DAA">
        <w:t>maskaevai@mail.ru</w:t>
      </w:r>
    </w:p>
    <w:p w:rsidR="00C30888" w:rsidRPr="00AA0857" w:rsidRDefault="00C30888" w:rsidP="00C30888">
      <w:pPr>
        <w:ind w:left="709" w:firstLine="0"/>
      </w:pPr>
      <w:r>
        <w:t xml:space="preserve"> </w:t>
      </w:r>
    </w:p>
    <w:p w:rsidR="00C30888" w:rsidRDefault="00C30888" w:rsidP="00C30888"/>
    <w:p w:rsidR="00C30888" w:rsidRDefault="00C30888" w:rsidP="00C30888"/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Одобрена на заседании Академического совета аспирантской школы по праву</w:t>
      </w:r>
    </w:p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677FD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326B99" w:rsidRDefault="00C30888" w:rsidP="00C30888"/>
    <w:p w:rsidR="00C30888" w:rsidRPr="00326B99" w:rsidRDefault="00C30888" w:rsidP="00C30888"/>
    <w:p w:rsidR="00C30888" w:rsidRDefault="00C30888" w:rsidP="00C30888"/>
    <w:p w:rsidR="00C30888" w:rsidRPr="008E4FFF" w:rsidRDefault="00C30888" w:rsidP="00C30888">
      <w:pPr>
        <w:ind w:firstLine="0"/>
      </w:pPr>
    </w:p>
    <w:p w:rsidR="00C30888" w:rsidRDefault="00C30888" w:rsidP="00C30888">
      <w:pPr>
        <w:ind w:firstLine="0"/>
      </w:pPr>
    </w:p>
    <w:p w:rsidR="00C30888" w:rsidRPr="00B4644A" w:rsidRDefault="00C30888" w:rsidP="00C30888"/>
    <w:p w:rsidR="00C30888" w:rsidRDefault="00C30888" w:rsidP="00C30888">
      <w:pPr>
        <w:jc w:val="center"/>
      </w:pPr>
      <w:r>
        <w:t>Санкт-Петербург - 2014</w:t>
      </w:r>
    </w:p>
    <w:p w:rsidR="00C30888" w:rsidRPr="007E44B0" w:rsidRDefault="00C30888" w:rsidP="00C30888"/>
    <w:p w:rsidR="00C30888" w:rsidRPr="00371906" w:rsidRDefault="00C30888" w:rsidP="00C30888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30888" w:rsidRDefault="00C30888" w:rsidP="00FB53B8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C30888" w:rsidRPr="004B4C1E" w:rsidRDefault="00C30888" w:rsidP="00C30888">
      <w:pPr>
        <w:jc w:val="both"/>
        <w:rPr>
          <w:szCs w:val="26"/>
        </w:rPr>
      </w:pPr>
      <w:r>
        <w:t xml:space="preserve">Настоящая программа </w:t>
      </w:r>
      <w:r w:rsidR="006907C6">
        <w:t>научно-исследовательского практикума</w:t>
      </w:r>
      <w:r>
        <w:t xml:space="preserve"> 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C30888" w:rsidRPr="008F16F4" w:rsidRDefault="00C30888" w:rsidP="00C30888">
      <w:pPr>
        <w:ind w:firstLine="426"/>
        <w:jc w:val="both"/>
      </w:pPr>
      <w:r w:rsidRPr="008F16F4">
        <w:t>Программа предназначена д</w:t>
      </w:r>
      <w:r w:rsidR="006907C6">
        <w:t>ля преподавателей, ведущих данный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 Научно-исследовательский практикум «</w:t>
      </w:r>
      <w:r w:rsidR="00631F84">
        <w:t xml:space="preserve">Участие в работе научного кружка, научного семинара» </w:t>
      </w:r>
      <w:r w:rsidRPr="005240A0">
        <w:t xml:space="preserve">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C30888" w:rsidRPr="00F250F9" w:rsidRDefault="00C30888" w:rsidP="00C30888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C30888" w:rsidRPr="00F250F9" w:rsidRDefault="00C30888" w:rsidP="00C30888">
      <w:pPr>
        <w:pStyle w:val="a1"/>
        <w:jc w:val="both"/>
      </w:pPr>
      <w:r w:rsidRPr="00F250F9">
        <w:t>Образовательным стандартом НИУ ВШЭ;</w:t>
      </w:r>
    </w:p>
    <w:p w:rsidR="00C30888" w:rsidRPr="00F250F9" w:rsidRDefault="00C30888" w:rsidP="00C30888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F250F9" w:rsidRDefault="00C30888" w:rsidP="00C30888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C30888" w:rsidRPr="003F1B1E" w:rsidRDefault="00C30888" w:rsidP="00FB53B8">
      <w:pPr>
        <w:pStyle w:val="1"/>
      </w:pPr>
      <w:r>
        <w:t>Цели освоения дисциплины</w:t>
      </w:r>
    </w:p>
    <w:p w:rsidR="00C30888" w:rsidRPr="005240A0" w:rsidRDefault="00C30888" w:rsidP="00C30888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Pr="005240A0">
        <w:t>а являются:</w:t>
      </w:r>
    </w:p>
    <w:p w:rsidR="00C30888" w:rsidRPr="005240A0" w:rsidRDefault="00C30888" w:rsidP="00C30888">
      <w:pPr>
        <w:ind w:firstLine="432"/>
        <w:jc w:val="both"/>
      </w:pPr>
      <w:r w:rsidRPr="005240A0">
        <w:t xml:space="preserve">- формирование у </w:t>
      </w:r>
      <w:r w:rsidR="006907C6">
        <w:t>аспирантов</w:t>
      </w:r>
      <w:r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C30888" w:rsidRPr="005240A0" w:rsidRDefault="00C30888" w:rsidP="00C30888">
      <w:pPr>
        <w:ind w:firstLine="432"/>
        <w:jc w:val="both"/>
      </w:pPr>
      <w:r w:rsidRPr="005240A0">
        <w:t>- выработка у</w:t>
      </w:r>
      <w:r w:rsidR="006907C6">
        <w:t xml:space="preserve"> аспирантов</w:t>
      </w:r>
      <w:r w:rsidRPr="005240A0">
        <w:t xml:space="preserve">  базовых навыков профессиональной и научной деятельности, умения работать с документами, </w:t>
      </w:r>
      <w:r>
        <w:t>подготавлива</w:t>
      </w:r>
      <w:r w:rsidRPr="005240A0">
        <w:t>ть письменные работы</w:t>
      </w:r>
      <w:r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C30888" w:rsidRDefault="00C30888" w:rsidP="00C30888">
      <w:pPr>
        <w:jc w:val="both"/>
      </w:pPr>
    </w:p>
    <w:p w:rsidR="00C30888" w:rsidRDefault="00C30888" w:rsidP="00FB53B8">
      <w:pPr>
        <w:pStyle w:val="1"/>
      </w:pPr>
      <w:r>
        <w:t>Компетенции обучающегося, формируемые в результате освоения дисциплины</w:t>
      </w:r>
    </w:p>
    <w:p w:rsidR="00C30888" w:rsidRPr="007F515D" w:rsidRDefault="00C30888" w:rsidP="00C30888">
      <w:pPr>
        <w:ind w:firstLine="360"/>
      </w:pPr>
      <w:r>
        <w:t xml:space="preserve">В результате освоения </w:t>
      </w:r>
      <w:r w:rsidR="00CE7551">
        <w:t xml:space="preserve">научно-исследовательского практикума </w:t>
      </w:r>
      <w:r>
        <w:t xml:space="preserve"> аспирант должен: </w:t>
      </w:r>
    </w:p>
    <w:p w:rsidR="00C30888" w:rsidRPr="007B7D52" w:rsidRDefault="00C30888" w:rsidP="00C30888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отсносяющуюся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C30888" w:rsidRDefault="00C30888" w:rsidP="00C30888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C30888" w:rsidRDefault="00C30888" w:rsidP="00C30888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методологей преподавания учебных дисциплин в качестве учебных курсов по областям профессиональной деятельности;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C30888" w:rsidRPr="007F515D" w:rsidRDefault="00C30888" w:rsidP="00C30888">
      <w:pPr>
        <w:ind w:firstLine="360"/>
        <w:jc w:val="both"/>
      </w:pPr>
    </w:p>
    <w:p w:rsidR="00C30888" w:rsidRPr="00CE7551" w:rsidRDefault="00C30888" w:rsidP="00C30888">
      <w:pPr>
        <w:ind w:firstLine="360"/>
        <w:rPr>
          <w:szCs w:val="24"/>
        </w:rPr>
      </w:pPr>
      <w:r w:rsidRPr="00CE7551">
        <w:rPr>
          <w:szCs w:val="24"/>
        </w:rPr>
        <w:t xml:space="preserve">В результате освоения </w:t>
      </w:r>
      <w:r w:rsidR="00CE7551" w:rsidRPr="00CE7551">
        <w:rPr>
          <w:szCs w:val="24"/>
        </w:rPr>
        <w:t xml:space="preserve">научно-исследовательского практикума </w:t>
      </w:r>
      <w:r w:rsidRPr="00CE7551">
        <w:rPr>
          <w:szCs w:val="24"/>
        </w:rPr>
        <w:t xml:space="preserve"> аспирант осваивает следующие компетенции:</w:t>
      </w:r>
    </w:p>
    <w:p w:rsidR="00C30888" w:rsidRPr="003F1561" w:rsidRDefault="00C30888" w:rsidP="00C308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C30888" w:rsidRPr="003F1561">
        <w:tc>
          <w:tcPr>
            <w:tcW w:w="2835" w:type="dxa"/>
          </w:tcPr>
          <w:p w:rsidR="00C30888" w:rsidRPr="003F1561" w:rsidRDefault="00C30888" w:rsidP="00A076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DF1E25" w:rsidP="00A076EF">
            <w:pPr>
              <w:ind w:firstLine="0"/>
              <w:jc w:val="both"/>
              <w:rPr>
                <w:szCs w:val="20"/>
              </w:rPr>
            </w:pPr>
            <w:r>
              <w:t>способность</w:t>
            </w:r>
            <w:r w:rsidR="00C30888">
              <w:t xml:space="preserve"> </w:t>
            </w:r>
            <w:r w:rsidR="00C30888"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C30888" w:rsidRPr="00902B96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подготовка контраргументной позиции по авторскому изложению научной проблемы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337A5F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C30888">
              <w:rPr>
                <w:szCs w:val="20"/>
              </w:rPr>
              <w:t xml:space="preserve">пособность </w:t>
            </w:r>
            <w:r w:rsidR="00C30888" w:rsidRPr="0008718B">
              <w:rPr>
                <w:szCs w:val="20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(ОПК-2)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(ОПК-3)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C30888" w:rsidRPr="001F6369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1F6369" w:rsidRDefault="00C30888" w:rsidP="00A076EF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C30888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C30888" w:rsidRDefault="00C30888" w:rsidP="00C30888"/>
    <w:p w:rsidR="00C30888" w:rsidRDefault="00C30888" w:rsidP="00FB53B8">
      <w:pPr>
        <w:pStyle w:val="1"/>
      </w:pPr>
      <w:r>
        <w:t>Место дисциплины в структуре образовательной программы</w:t>
      </w:r>
    </w:p>
    <w:p w:rsidR="00C30888" w:rsidRPr="00A80693" w:rsidRDefault="00C30888" w:rsidP="00C30888">
      <w:pPr>
        <w:ind w:firstLine="360"/>
        <w:jc w:val="both"/>
      </w:pPr>
      <w:r w:rsidRPr="0088494A">
        <w:t>Настоящ</w:t>
      </w:r>
      <w:r w:rsidR="00233343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815070">
        <w:t>практике</w:t>
      </w:r>
      <w:r>
        <w:t xml:space="preserve"> аспирантов</w:t>
      </w:r>
      <w:r w:rsidR="00815070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F1E25">
        <w:t>,</w:t>
      </w:r>
      <w:r>
        <w:t xml:space="preserve"> профил</w:t>
      </w:r>
      <w:r w:rsidR="00DF1E25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B317B4" w:rsidRDefault="00C30888" w:rsidP="00C30888">
      <w:pPr>
        <w:ind w:firstLine="360"/>
        <w:jc w:val="both"/>
      </w:pPr>
      <w:r w:rsidRPr="005324E3">
        <w:t>Изучение данно</w:t>
      </w:r>
      <w:r w:rsidR="00815070">
        <w:t>го практикума</w:t>
      </w:r>
      <w:r w:rsidRPr="005324E3">
        <w:t xml:space="preserve"> базируется н</w:t>
      </w:r>
      <w:r>
        <w:t>а  дисциплин</w:t>
      </w:r>
      <w:r w:rsidR="00120D2A">
        <w:t>ах</w:t>
      </w:r>
      <w:r>
        <w:t xml:space="preserve"> «История и философия науки»</w:t>
      </w:r>
      <w:r w:rsidR="00120D2A">
        <w:t>, «Академические юридические навыки», «Воркшоп по теории права и публичному праву», «Экономический анализ права», «Алгоритм и методология научного правового исследования»</w:t>
      </w:r>
      <w:r>
        <w:t>.</w:t>
      </w:r>
    </w:p>
    <w:p w:rsidR="00C30888" w:rsidRPr="00C82E1B" w:rsidRDefault="00C30888" w:rsidP="00C30888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233343">
        <w:t>практикума</w:t>
      </w:r>
      <w:r w:rsidRPr="00F22937">
        <w:t xml:space="preserve"> должны быть использованы в дальнейшем при </w:t>
      </w:r>
      <w:r>
        <w:t>подготовке диссертации на соискание ученой степени кандидата юридических наук.</w:t>
      </w:r>
    </w:p>
    <w:p w:rsidR="00C30888" w:rsidRPr="006C2FE6" w:rsidRDefault="00C30888" w:rsidP="00FB53B8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30888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C30888" w:rsidRPr="0040192A" w:rsidRDefault="00C30888" w:rsidP="00631F84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30888" w:rsidRPr="00707E05">
        <w:tc>
          <w:tcPr>
            <w:tcW w:w="534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C30888" w:rsidRPr="004019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C30888" w:rsidRPr="00631F84" w:rsidRDefault="00631F84" w:rsidP="00A076EF">
            <w:pPr>
              <w:ind w:firstLine="0"/>
              <w:jc w:val="both"/>
              <w:rPr>
                <w:rFonts w:cs="GillSans"/>
              </w:rPr>
            </w:pPr>
            <w:r>
              <w:rPr>
                <w:rFonts w:cs="GillSans"/>
              </w:rPr>
              <w:t>Формы научных мероприятий. Организация и деятельность научного кружка, научного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7A6F57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  <w:jc w:val="both"/>
            </w:pPr>
            <w:r>
              <w:t>Формы работ в рамках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</w:pPr>
            <w:r>
              <w:t>Презентация результатов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 w:rsidRPr="008E4FFF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88</w:t>
            </w:r>
          </w:p>
        </w:tc>
      </w:tr>
      <w:tr w:rsidR="00C30888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A076EF" w:rsidP="00A076EF">
            <w:pPr>
              <w:ind w:firstLine="0"/>
              <w:rPr>
                <w:rFonts w:cs="GillSans"/>
              </w:rPr>
            </w:pPr>
            <w:r w:rsidRPr="005240A0">
              <w:t xml:space="preserve">Выбор темы </w:t>
            </w:r>
            <w:r>
              <w:t xml:space="preserve">сообщения на научном кружке или семинаре </w:t>
            </w:r>
            <w:r w:rsidRPr="005240A0">
              <w:t>(</w:t>
            </w:r>
            <w:r>
              <w:t xml:space="preserve">связь с аспектами общей тематики научного мероприятия). </w:t>
            </w:r>
            <w:r w:rsidRPr="005240A0">
              <w:t>Составле</w:t>
            </w:r>
            <w:r>
              <w:t>ние плана выступления и тезисов выступления в рамках работы научного кружка.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Cs w:val="20"/>
                <w:lang w:eastAsia="ru-RU"/>
              </w:rPr>
            </w:pPr>
            <w:r w:rsidRPr="008E4FFF"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631F84" w:rsidP="00A076EF">
            <w:pPr>
              <w:ind w:firstLine="0"/>
            </w:pPr>
            <w:r w:rsidRPr="00631F84">
              <w:rPr>
                <w:rFonts w:cs="GillSans"/>
              </w:rPr>
              <w:t>Культура научной дискуссии</w:t>
            </w:r>
            <w:r w:rsidRPr="005240A0">
              <w:t xml:space="preserve"> </w:t>
            </w:r>
            <w:r w:rsidR="00A076EF">
              <w:t>в рамках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C30888" w:rsidRPr="008F0A46" w:rsidRDefault="00C30888" w:rsidP="00A076EF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shd w:val="clear" w:color="auto" w:fill="auto"/>
          </w:tcPr>
          <w:p w:rsidR="00C30888" w:rsidRPr="00E3387E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288</w:t>
            </w:r>
          </w:p>
        </w:tc>
      </w:tr>
    </w:tbl>
    <w:p w:rsidR="00C30888" w:rsidRDefault="00815070" w:rsidP="00FB53B8">
      <w:pPr>
        <w:pStyle w:val="1"/>
      </w:pPr>
      <w:r>
        <w:t>Формы контроля знаний аспирантов</w:t>
      </w:r>
    </w:p>
    <w:p w:rsidR="00C30888" w:rsidRPr="00617DFC" w:rsidRDefault="00C30888" w:rsidP="00C30888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552"/>
        <w:gridCol w:w="3984"/>
      </w:tblGrid>
      <w:tr w:rsidR="00C30888" w:rsidRPr="00661AA6">
        <w:tc>
          <w:tcPr>
            <w:tcW w:w="1951" w:type="dxa"/>
            <w:vMerge w:val="restart"/>
          </w:tcPr>
          <w:p w:rsidR="00C30888" w:rsidRPr="00661AA6" w:rsidRDefault="00C30888" w:rsidP="00A076EF">
            <w:pPr>
              <w:ind w:right="-108" w:firstLine="0"/>
              <w:jc w:val="center"/>
            </w:pPr>
            <w:r w:rsidRPr="00661AA6">
              <w:t>Тип контроля</w:t>
            </w:r>
          </w:p>
        </w:tc>
        <w:tc>
          <w:tcPr>
            <w:tcW w:w="1701" w:type="dxa"/>
            <w:vMerge w:val="restart"/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left="477" w:firstLine="0"/>
              <w:jc w:val="center"/>
            </w:pPr>
            <w:r w:rsidRPr="00661AA6">
              <w:t>Параметры</w:t>
            </w:r>
          </w:p>
        </w:tc>
      </w:tr>
      <w:tr w:rsidR="00C30888" w:rsidRPr="00661AA6">
        <w:tc>
          <w:tcPr>
            <w:tcW w:w="1951" w:type="dxa"/>
            <w:vMerge/>
          </w:tcPr>
          <w:p w:rsidR="00C30888" w:rsidRPr="00661AA6" w:rsidRDefault="00C30888" w:rsidP="00A076EF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C30888" w:rsidRPr="00661AA6" w:rsidRDefault="00C30888" w:rsidP="00A076EF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firstLine="0"/>
            </w:pPr>
          </w:p>
        </w:tc>
      </w:tr>
      <w:tr w:rsidR="00C30888" w:rsidRPr="00661AA6">
        <w:tc>
          <w:tcPr>
            <w:tcW w:w="1951" w:type="dxa"/>
          </w:tcPr>
          <w:p w:rsidR="00C30888" w:rsidRPr="00661AA6" w:rsidRDefault="00C30888" w:rsidP="00DF1E25">
            <w:pPr>
              <w:ind w:right="-108" w:firstLine="0"/>
              <w:jc w:val="center"/>
            </w:pPr>
            <w:r w:rsidRPr="00661AA6">
              <w:t>Итоговый</w:t>
            </w:r>
          </w:p>
        </w:tc>
        <w:tc>
          <w:tcPr>
            <w:tcW w:w="1701" w:type="dxa"/>
          </w:tcPr>
          <w:p w:rsidR="00C30888" w:rsidRPr="00661AA6" w:rsidRDefault="00661AA6" w:rsidP="00DF1E25">
            <w:pPr>
              <w:ind w:firstLine="0"/>
              <w:jc w:val="center"/>
            </w:pPr>
            <w:r>
              <w:t>Зачет</w:t>
            </w:r>
          </w:p>
          <w:p w:rsidR="00C30888" w:rsidRPr="00661AA6" w:rsidRDefault="00C30888" w:rsidP="00DF1E25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552" w:type="dxa"/>
          </w:tcPr>
          <w:p w:rsidR="00C30888" w:rsidRPr="00661AA6" w:rsidRDefault="00DF1E25" w:rsidP="00DF1E25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C30888" w:rsidRPr="00661AA6" w:rsidRDefault="00661AA6" w:rsidP="00A076EF">
            <w:pPr>
              <w:ind w:firstLine="0"/>
            </w:pPr>
            <w:r>
              <w:t>Выступление с научным сообщением и участие в последующей дискуссии на заседании научного кружка, семинара</w:t>
            </w:r>
          </w:p>
        </w:tc>
      </w:tr>
    </w:tbl>
    <w:p w:rsidR="00C30888" w:rsidRPr="008F16F4" w:rsidRDefault="00C30888" w:rsidP="00C710F6">
      <w:pPr>
        <w:pStyle w:val="2"/>
        <w:numPr>
          <w:ilvl w:val="0"/>
          <w:numId w:val="0"/>
        </w:numPr>
      </w:pPr>
    </w:p>
    <w:p w:rsidR="00661AA6" w:rsidRPr="00AD536C" w:rsidRDefault="00661AA6" w:rsidP="00FB53B8">
      <w:pPr>
        <w:pStyle w:val="1"/>
      </w:pPr>
      <w:r w:rsidRPr="00AD536C">
        <w:t>Критерии оценки знаний, навыков</w:t>
      </w:r>
    </w:p>
    <w:p w:rsidR="00661AA6" w:rsidRPr="00C710F6" w:rsidRDefault="00661AA6" w:rsidP="00314021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>
        <w:rPr>
          <w:rFonts w:ascii="Times New Roman" w:hAnsi="Times New Roman"/>
          <w:sz w:val="24"/>
        </w:rPr>
        <w:t xml:space="preserve"> в виде </w:t>
      </w:r>
      <w:r w:rsidRPr="00C710F6">
        <w:rPr>
          <w:rFonts w:ascii="Times New Roman" w:hAnsi="Times New Roman"/>
          <w:sz w:val="24"/>
        </w:rPr>
        <w:t>подготовки</w:t>
      </w:r>
      <w:r w:rsidR="00C710F6" w:rsidRPr="00C710F6">
        <w:rPr>
          <w:rFonts w:ascii="Times New Roman" w:hAnsi="Times New Roman"/>
          <w:sz w:val="24"/>
        </w:rPr>
        <w:t xml:space="preserve"> к участию в работе научного кружка, семинара: подготовка сообщения, подготовка вопросов по теме, контраргументов к основному выступлению на заседании кружка, семинара</w:t>
      </w:r>
      <w:r w:rsidRPr="00C710F6">
        <w:rPr>
          <w:rFonts w:ascii="Times New Roman" w:hAnsi="Times New Roman"/>
          <w:sz w:val="24"/>
        </w:rPr>
        <w:t>.</w:t>
      </w:r>
    </w:p>
    <w:p w:rsidR="00661AA6" w:rsidRPr="00314021" w:rsidRDefault="00661AA6" w:rsidP="00C710F6">
      <w:pPr>
        <w:pStyle w:val="afa"/>
        <w:ind w:left="0" w:firstLine="180"/>
        <w:jc w:val="both"/>
      </w:pPr>
      <w:r w:rsidRPr="00314021">
        <w:rPr>
          <w:rFonts w:ascii="Times New Roman" w:hAnsi="Times New Roman"/>
          <w:sz w:val="24"/>
        </w:rPr>
        <w:t>Итоговый контроль знаний будет состоять из выполнения итогового задания –</w:t>
      </w:r>
      <w:r>
        <w:t xml:space="preserve">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>
        <w:rPr>
          <w:rFonts w:ascii="Times New Roman" w:hAnsi="Times New Roman"/>
          <w:sz w:val="24"/>
        </w:rPr>
        <w:t>.</w:t>
      </w:r>
      <w:r>
        <w:t xml:space="preserve"> </w:t>
      </w:r>
    </w:p>
    <w:p w:rsidR="00661AA6" w:rsidRPr="00661AA6" w:rsidRDefault="00661AA6" w:rsidP="00661AA6">
      <w:pPr>
        <w:pStyle w:val="afa"/>
        <w:spacing w:after="0" w:line="240" w:lineRule="auto"/>
        <w:ind w:left="0" w:firstLine="181"/>
        <w:jc w:val="both"/>
        <w:rPr>
          <w:rFonts w:ascii="Times New Roman" w:hAnsi="Times New Roman"/>
          <w:sz w:val="24"/>
        </w:rPr>
      </w:pPr>
      <w:r w:rsidRPr="00661AA6">
        <w:rPr>
          <w:rFonts w:ascii="Times New Roman" w:hAnsi="Times New Roman"/>
          <w:sz w:val="24"/>
        </w:rPr>
        <w:t>Шкала и критерии оценивания: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661AA6" w:rsidRPr="00835FA2" w:rsidRDefault="00661AA6" w:rsidP="00661AA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Максимум баллов за итоговое задание - 5</w:t>
      </w:r>
    </w:p>
    <w:p w:rsidR="00661AA6" w:rsidRPr="00FB53B8" w:rsidRDefault="00661AA6" w:rsidP="00FB53B8">
      <w:pPr>
        <w:pStyle w:val="1"/>
      </w:pPr>
      <w:r w:rsidRPr="00FB53B8">
        <w:t>Порядок формирования оценок по дисциплине</w:t>
      </w:r>
    </w:p>
    <w:p w:rsidR="00661AA6" w:rsidRDefault="00661AA6" w:rsidP="00661AA6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>
        <w:rPr>
          <w:rFonts w:ascii="Times New Roman" w:eastAsia="Times New Roman" w:hAnsi="Times New Roman"/>
          <w:sz w:val="24"/>
        </w:rPr>
        <w:t xml:space="preserve">по </w:t>
      </w:r>
      <w:r w:rsidR="00233343">
        <w:rPr>
          <w:rFonts w:ascii="Times New Roman" w:eastAsia="Times New Roman" w:hAnsi="Times New Roman"/>
          <w:sz w:val="24"/>
        </w:rPr>
        <w:t>практикуму</w:t>
      </w:r>
      <w:r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 xml:space="preserve">по результатам выполнения итогового задания –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 w:rsidRPr="00661AA6">
        <w:rPr>
          <w:rFonts w:ascii="Times New Roman" w:eastAsia="Times New Roman" w:hAnsi="Times New Roman"/>
          <w:sz w:val="24"/>
        </w:rPr>
        <w:t>.</w:t>
      </w:r>
    </w:p>
    <w:p w:rsidR="00661AA6" w:rsidRPr="00F10690" w:rsidRDefault="00661AA6" w:rsidP="00661AA6">
      <w:pPr>
        <w:spacing w:before="240"/>
        <w:jc w:val="center"/>
        <w:rPr>
          <w:b/>
          <w:bCs/>
          <w:i/>
          <w:iCs/>
        </w:rPr>
      </w:pPr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r w:rsidRPr="00F10690">
        <w:rPr>
          <w:b/>
          <w:bCs/>
          <w:i/>
          <w:iCs/>
          <w:vertAlign w:val="subscript"/>
        </w:rPr>
        <w:t>,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661AA6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C30888" w:rsidRPr="00176447" w:rsidRDefault="00C30888" w:rsidP="00C30888">
      <w:pPr>
        <w:pStyle w:val="afa"/>
        <w:ind w:left="0"/>
        <w:jc w:val="both"/>
        <w:rPr>
          <w:rFonts w:ascii="Times New Roman" w:eastAsia="Times New Roman" w:hAnsi="Times New Roman"/>
        </w:rPr>
      </w:pPr>
    </w:p>
    <w:p w:rsidR="00C30888" w:rsidRPr="001B3A0E" w:rsidRDefault="00C30888" w:rsidP="00FB53B8">
      <w:pPr>
        <w:pStyle w:val="1"/>
      </w:pPr>
      <w:r w:rsidRPr="001B3A0E">
        <w:t>Содержание дисциплины</w:t>
      </w:r>
    </w:p>
    <w:p w:rsidR="00A076EF" w:rsidRPr="00A076EF" w:rsidRDefault="00C30888" w:rsidP="00A076EF">
      <w:pPr>
        <w:ind w:firstLine="0"/>
        <w:rPr>
          <w:rFonts w:ascii="Times New Roman Bold" w:hAnsi="Times New Roman Bold"/>
        </w:rPr>
      </w:pPr>
      <w:r w:rsidRPr="002C47BF">
        <w:rPr>
          <w:rFonts w:ascii="Times New Roman Bold" w:hAnsi="Times New Roman Bold"/>
        </w:rPr>
        <w:t xml:space="preserve">Тема1. </w:t>
      </w:r>
      <w:r w:rsidR="00A076EF">
        <w:rPr>
          <w:rFonts w:cs="GillSans"/>
        </w:rPr>
        <w:t>Формы научных мероприятий. Организация и деятельность научного кружка, научного семинара.</w:t>
      </w:r>
    </w:p>
    <w:p w:rsidR="00C30888" w:rsidRDefault="00C30888" w:rsidP="00FB53B8">
      <w:pPr>
        <w:pStyle w:val="1"/>
      </w:pPr>
      <w:r>
        <w:t>Литература: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C30888" w:rsidRPr="008E2AA1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8E2AA1">
        <w:t>Бондарь Н.С.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C30888" w:rsidRPr="0093247B" w:rsidRDefault="00C30888" w:rsidP="00C30888"/>
    <w:p w:rsidR="00C30888" w:rsidRPr="0048417D" w:rsidRDefault="00C30888" w:rsidP="00C30888">
      <w:pPr>
        <w:ind w:firstLine="360"/>
      </w:pPr>
      <w:r w:rsidRPr="0048417D">
        <w:t>Количество часов аудиторной работы –</w:t>
      </w:r>
      <w:r>
        <w:t xml:space="preserve"> 2 </w:t>
      </w:r>
      <w:r w:rsidRPr="0048417D">
        <w:t>часа</w:t>
      </w:r>
    </w:p>
    <w:p w:rsidR="00C30888" w:rsidRPr="002C47BF" w:rsidRDefault="00C30888" w:rsidP="00C30888">
      <w:pPr>
        <w:ind w:firstLine="360"/>
        <w:jc w:val="both"/>
      </w:pPr>
      <w:r w:rsidRPr="0048417D">
        <w:t xml:space="preserve">Общий объем самостоятельной работы – </w:t>
      </w:r>
      <w:r>
        <w:t>2 часа</w:t>
      </w:r>
    </w:p>
    <w:p w:rsidR="00C30888" w:rsidRDefault="00C30888" w:rsidP="00C30888">
      <w:pPr>
        <w:ind w:firstLine="0"/>
        <w:jc w:val="both"/>
        <w:rPr>
          <w:szCs w:val="24"/>
        </w:rPr>
      </w:pPr>
    </w:p>
    <w:p w:rsidR="00C30888" w:rsidRPr="00AF7BA8" w:rsidRDefault="00C30888" w:rsidP="00C30888">
      <w:pPr>
        <w:ind w:firstLine="0"/>
        <w:jc w:val="both"/>
        <w:rPr>
          <w:szCs w:val="24"/>
        </w:rPr>
      </w:pPr>
    </w:p>
    <w:p w:rsidR="00A076EF" w:rsidRPr="00037E05" w:rsidRDefault="00C30888" w:rsidP="00A076EF">
      <w:pPr>
        <w:ind w:firstLine="0"/>
        <w:jc w:val="both"/>
      </w:pPr>
      <w:r>
        <w:rPr>
          <w:b/>
          <w:szCs w:val="24"/>
        </w:rPr>
        <w:t xml:space="preserve">Тема 2. </w:t>
      </w:r>
      <w:r w:rsidR="00A076EF">
        <w:t>Формы работ в рамках научного кружка, семинара.</w:t>
      </w:r>
    </w:p>
    <w:p w:rsidR="00A076EF" w:rsidRDefault="00A076EF" w:rsidP="00C30888">
      <w:pPr>
        <w:ind w:firstLine="360"/>
        <w:rPr>
          <w:b/>
        </w:rPr>
      </w:pPr>
    </w:p>
    <w:p w:rsidR="00C30888" w:rsidRPr="0037164E" w:rsidRDefault="00C30888" w:rsidP="00C30888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594625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Аврамцев В.В. Психология профессионального общения юриста. Нижний Новгород, 2001.</w:t>
      </w:r>
    </w:p>
    <w:p w:rsidR="00594625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594625" w:rsidRPr="008E2AA1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594625" w:rsidRPr="005240A0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C30888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C30888" w:rsidRPr="00037E05" w:rsidRDefault="00C30888" w:rsidP="00C30888">
      <w:pPr>
        <w:ind w:firstLine="0"/>
      </w:pPr>
    </w:p>
    <w:p w:rsidR="00A076EF" w:rsidRPr="00037E05" w:rsidRDefault="00C30888" w:rsidP="00A076EF">
      <w:pPr>
        <w:ind w:firstLine="0"/>
      </w:pPr>
      <w:r>
        <w:rPr>
          <w:b/>
          <w:szCs w:val="24"/>
        </w:rPr>
        <w:t xml:space="preserve">Тема 3. </w:t>
      </w:r>
      <w:r w:rsidR="00A076EF">
        <w:t>Презентация результатов работы научного кружка, семинара.</w:t>
      </w:r>
    </w:p>
    <w:p w:rsidR="00A076EF" w:rsidRDefault="00A076EF" w:rsidP="00A076EF">
      <w:pPr>
        <w:ind w:firstLine="0"/>
        <w:rPr>
          <w:b/>
        </w:rPr>
      </w:pPr>
    </w:p>
    <w:p w:rsidR="00594625" w:rsidRDefault="00C30888" w:rsidP="00A076EF">
      <w:pPr>
        <w:ind w:firstLine="0"/>
      </w:pPr>
      <w:r w:rsidRPr="0037164E">
        <w:rPr>
          <w:b/>
        </w:rPr>
        <w:t>Литература</w:t>
      </w:r>
      <w:r w:rsidRPr="0037164E">
        <w:t>:</w:t>
      </w:r>
    </w:p>
    <w:p w:rsidR="00393EC9" w:rsidRDefault="00393EC9" w:rsidP="00393EC9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А.Ф. Научное исследование. Курсовые, дипломные и диссертационные работы. М., 2002. </w:t>
      </w:r>
    </w:p>
    <w:p w:rsidR="00594625" w:rsidRPr="005240A0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Кони А.Ф. Собрание сочинений. Т. 3. Судебные речи. М., 1967.</w:t>
      </w:r>
    </w:p>
    <w:p w:rsidR="00594625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>
        <w:t>Маслеев А.Г., Сорокотягин И.Н. Профессиональная этика юриста, 2-е изд-е, перераб. и доп., М.: Юрайт, 2015.</w:t>
      </w:r>
    </w:p>
    <w:p w:rsidR="00594625" w:rsidRPr="008E2AA1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393EC9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C30888" w:rsidRPr="0037164E" w:rsidRDefault="00393EC9" w:rsidP="00393EC9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Эко У. Как написать дипломную работу. Гуманитарные науки. М., 2003.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C30888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C30888" w:rsidRPr="00037E05" w:rsidRDefault="00C30888" w:rsidP="00C30888">
      <w:pPr>
        <w:ind w:firstLine="0"/>
      </w:pPr>
    </w:p>
    <w:p w:rsidR="00A076EF" w:rsidRPr="00CE207F" w:rsidRDefault="00C30888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4. </w:t>
      </w:r>
      <w:r w:rsidR="00A076EF" w:rsidRPr="005240A0">
        <w:t xml:space="preserve">Выбор темы </w:t>
      </w:r>
      <w:r w:rsidR="00A076EF">
        <w:t xml:space="preserve">сообщения на научном кружке или семинаре </w:t>
      </w:r>
      <w:r w:rsidR="00A076EF" w:rsidRPr="005240A0">
        <w:t>(</w:t>
      </w:r>
      <w:r w:rsidR="00A076EF">
        <w:t xml:space="preserve">связь с аспектами общей тематики научного мероприятия). </w:t>
      </w:r>
      <w:r w:rsidR="00A076EF" w:rsidRPr="005240A0">
        <w:t>Составле</w:t>
      </w:r>
      <w:r w:rsidR="00A076EF">
        <w:t>ние плана выступления и тезисов выступления в рамках работы научного кружка.</w:t>
      </w:r>
    </w:p>
    <w:p w:rsidR="00C30888" w:rsidRDefault="00C30888" w:rsidP="00C30888">
      <w:pPr>
        <w:ind w:firstLine="0"/>
        <w:rPr>
          <w:b/>
        </w:rPr>
      </w:pPr>
    </w:p>
    <w:p w:rsidR="00C30888" w:rsidRDefault="00C30888" w:rsidP="00C30888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594625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И.Н. Научное исследование. Методика проведения и оформление / 3-е изд. перераб. и. доп. М., 2008.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Никифоров А.В. Логика и теория аргументации. М., 2005.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Папковская П.Я. Методология научных исследований: Курс лекций.  М., 2007.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Поппер К.Р. Логика научного исследования. М., 2010.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Рузавин Г.И. Методология научного исследования. М., 1999.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A076EF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A076EF" w:rsidRDefault="00A076EF" w:rsidP="00C30888">
      <w:pPr>
        <w:ind w:firstLine="360"/>
        <w:jc w:val="both"/>
      </w:pPr>
    </w:p>
    <w:p w:rsidR="00A076EF" w:rsidRPr="00A076EF" w:rsidRDefault="00A076EF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5. </w:t>
      </w:r>
      <w:r w:rsidRPr="00631F84">
        <w:rPr>
          <w:rFonts w:cs="GillSans"/>
        </w:rPr>
        <w:t>Культура научной дискуссии</w:t>
      </w:r>
      <w:r w:rsidRPr="005240A0">
        <w:t xml:space="preserve"> </w:t>
      </w:r>
      <w:r>
        <w:t>в рамках работы научного кружка, семинара.</w:t>
      </w:r>
    </w:p>
    <w:p w:rsidR="00A076EF" w:rsidRDefault="00A076EF" w:rsidP="00A076EF">
      <w:pPr>
        <w:ind w:firstLine="0"/>
        <w:rPr>
          <w:b/>
        </w:rPr>
      </w:pPr>
    </w:p>
    <w:p w:rsidR="00A076EF" w:rsidRDefault="00A076EF" w:rsidP="00A076EF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076EF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Аврамцев В.В. Психология профессионального общения юриста. Нижний Новгород, 2001.</w:t>
      </w:r>
    </w:p>
    <w:p w:rsidR="00B828D1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Введенская Л.А. Риторика для юристов: Учебное пособие для ВУЗов. М., 2008.</w:t>
      </w:r>
    </w:p>
    <w:p w:rsidR="00A076EF" w:rsidRPr="008E2AA1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B828D1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B828D1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Никифоров А.В. Логика и теория аргументации. М., 2005.</w:t>
      </w:r>
    </w:p>
    <w:p w:rsidR="00B828D1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A076EF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Шуйская Ю.В. Аргументация в судебной риторике. М., 2008.</w:t>
      </w:r>
    </w:p>
    <w:p w:rsidR="00A076EF" w:rsidRDefault="00A076EF" w:rsidP="00A076EF">
      <w:pPr>
        <w:ind w:firstLine="0"/>
      </w:pPr>
    </w:p>
    <w:p w:rsidR="00A076EF" w:rsidRPr="007E5598" w:rsidRDefault="00A076EF" w:rsidP="00A076EF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A076EF" w:rsidRDefault="00A076EF" w:rsidP="00A076EF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C30888" w:rsidRDefault="00C30888" w:rsidP="00C30888">
      <w:pPr>
        <w:ind w:firstLine="360"/>
        <w:jc w:val="both"/>
      </w:pPr>
    </w:p>
    <w:p w:rsidR="00C30888" w:rsidRPr="009E791B" w:rsidRDefault="00C30888" w:rsidP="00FB53B8">
      <w:pPr>
        <w:pStyle w:val="1"/>
      </w:pPr>
      <w:r w:rsidRPr="009E791B">
        <w:t>Образовательные технологии</w:t>
      </w:r>
    </w:p>
    <w:p w:rsidR="00C30888" w:rsidRPr="00ED28C9" w:rsidRDefault="00C30888" w:rsidP="00C30888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компютеры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C30888" w:rsidRPr="00ED28C9" w:rsidRDefault="00C30888" w:rsidP="00C30888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C30888" w:rsidRPr="001449FB" w:rsidRDefault="00C30888" w:rsidP="00FB53B8">
      <w:pPr>
        <w:pStyle w:val="1"/>
      </w:pPr>
      <w:r w:rsidRPr="001449FB">
        <w:t>Оценочные средства для текущего контроля и аттестации студента</w:t>
      </w:r>
    </w:p>
    <w:p w:rsidR="00C30888" w:rsidRDefault="00C30888" w:rsidP="00C30888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C30888" w:rsidRDefault="00C30888" w:rsidP="00C30888">
      <w:pPr>
        <w:jc w:val="both"/>
      </w:pPr>
      <w:r>
        <w:t>Примерный перечень вопросов к зачету (экзамену) по всему курсу для самопроверки аспирантов</w:t>
      </w:r>
    </w:p>
    <w:p w:rsidR="00C30888" w:rsidRDefault="00C30888" w:rsidP="00C30888">
      <w:pPr>
        <w:ind w:firstLine="0"/>
      </w:pPr>
      <w:r>
        <w:t xml:space="preserve">      1. </w:t>
      </w:r>
      <w:r w:rsidR="00C607D2">
        <w:t xml:space="preserve">Виды научной деятельности. Формы научных мероприятий. Организация и проведение научных кружков и семинаров. </w:t>
      </w:r>
      <w:r w:rsidR="003F1F74">
        <w:t xml:space="preserve"> </w:t>
      </w:r>
    </w:p>
    <w:p w:rsidR="00C30888" w:rsidRDefault="00C30888" w:rsidP="00C30888">
      <w:pPr>
        <w:ind w:firstLine="360"/>
      </w:pPr>
      <w:r>
        <w:t>2.</w:t>
      </w:r>
      <w:r w:rsidRPr="00EC4B71">
        <w:t xml:space="preserve"> </w:t>
      </w:r>
      <w:r>
        <w:t>Современная исследовательская проблематика в области юриспруденции в России и за рубежом.</w:t>
      </w:r>
    </w:p>
    <w:p w:rsidR="00C30888" w:rsidRDefault="00C30888" w:rsidP="00C30888">
      <w:pPr>
        <w:ind w:firstLine="360"/>
      </w:pPr>
      <w:r>
        <w:t>3.</w:t>
      </w:r>
      <w:r w:rsidRPr="00EC4B71">
        <w:t xml:space="preserve"> </w:t>
      </w:r>
      <w:r>
        <w:t>Актуальные направления исследований в области юриспруденции.</w:t>
      </w:r>
    </w:p>
    <w:p w:rsidR="00C607D2" w:rsidRDefault="00C30888" w:rsidP="00C30888">
      <w:pPr>
        <w:ind w:firstLine="360"/>
      </w:pPr>
      <w:r>
        <w:t xml:space="preserve">4. </w:t>
      </w:r>
      <w:r w:rsidR="00C607D2">
        <w:t>Культура публичных выступлений по научной проблематике в рамках научных кружков и семинаров.</w:t>
      </w:r>
    </w:p>
    <w:p w:rsidR="00C30888" w:rsidRDefault="00C30888" w:rsidP="00C30888">
      <w:pPr>
        <w:ind w:firstLine="360"/>
      </w:pPr>
      <w:r>
        <w:t>5. Культура аргументации и контраргументации при публичном выступлении</w:t>
      </w:r>
      <w:r w:rsidR="00C607D2">
        <w:t xml:space="preserve"> на заседании научного кружка</w:t>
      </w:r>
      <w:r>
        <w:t>.</w:t>
      </w:r>
    </w:p>
    <w:p w:rsidR="00C30888" w:rsidRDefault="00C30888" w:rsidP="00C30888">
      <w:pPr>
        <w:ind w:firstLine="360"/>
      </w:pPr>
      <w:r>
        <w:t xml:space="preserve">7. Основы работы </w:t>
      </w:r>
      <w:r w:rsidR="00C607D2">
        <w:t>по формулированию тезисов</w:t>
      </w:r>
      <w:r>
        <w:t xml:space="preserve"> выступлений.</w:t>
      </w:r>
      <w:r w:rsidRPr="008F152B">
        <w:t xml:space="preserve"> </w:t>
      </w:r>
      <w:r w:rsidRPr="005240A0">
        <w:t>Определение предмета текста, формулирование о</w:t>
      </w:r>
      <w:r w:rsidR="00C607D2">
        <w:t>сновной темы, проблемы</w:t>
      </w:r>
      <w:r w:rsidRPr="005240A0">
        <w:t>.</w:t>
      </w:r>
      <w:r>
        <w:t xml:space="preserve"> Планирование выступления с научным </w:t>
      </w:r>
      <w:r w:rsidR="00C607D2">
        <w:t xml:space="preserve">сообщением, </w:t>
      </w:r>
      <w:r>
        <w:t>докладом</w:t>
      </w:r>
      <w:r w:rsidR="00C607D2">
        <w:t>, позицией по юридической проблематике</w:t>
      </w:r>
      <w:r>
        <w:t>.</w:t>
      </w:r>
    </w:p>
    <w:p w:rsidR="00C607D2" w:rsidRDefault="00C607D2" w:rsidP="00C30888">
      <w:pPr>
        <w:ind w:firstLine="360"/>
      </w:pPr>
      <w:r>
        <w:t>8</w:t>
      </w:r>
      <w:r w:rsidR="00C30888">
        <w:t>. Правила</w:t>
      </w:r>
      <w:r>
        <w:t xml:space="preserve"> выступлений на научном кружке</w:t>
      </w:r>
      <w:r w:rsidR="00C30888">
        <w:t>.</w:t>
      </w:r>
      <w:r w:rsidR="00C30888" w:rsidRPr="005240A0">
        <w:t xml:space="preserve"> </w:t>
      </w:r>
      <w:r w:rsidR="00C30888">
        <w:t>Регламент.</w:t>
      </w:r>
    </w:p>
    <w:p w:rsidR="00C30888" w:rsidRDefault="00C607D2" w:rsidP="00C30888">
      <w:pPr>
        <w:ind w:firstLine="360"/>
      </w:pPr>
      <w:r>
        <w:t>9. Презентация результатов работы научного кружка, семинара.</w:t>
      </w:r>
    </w:p>
    <w:p w:rsidR="00C30888" w:rsidRDefault="00C30888" w:rsidP="00C30888">
      <w:pPr>
        <w:ind w:firstLine="0"/>
        <w:jc w:val="both"/>
      </w:pPr>
    </w:p>
    <w:p w:rsidR="00C30888" w:rsidRDefault="00C30888" w:rsidP="00C30888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C30888" w:rsidRDefault="00C30888" w:rsidP="00C30888">
      <w:pPr>
        <w:ind w:left="709" w:firstLine="0"/>
      </w:pPr>
      <w:r w:rsidRPr="008F16F4">
        <w:t>1.</w:t>
      </w:r>
      <w:r>
        <w:t xml:space="preserve"> Подготовить </w:t>
      </w:r>
      <w:r w:rsidR="00C607D2">
        <w:t>сообщение по проблематике научного кружка, семинара.</w:t>
      </w:r>
    </w:p>
    <w:p w:rsidR="00C30888" w:rsidRDefault="00C30888" w:rsidP="00C30888">
      <w:pPr>
        <w:ind w:left="709" w:firstLine="0"/>
      </w:pPr>
      <w:r>
        <w:t xml:space="preserve">2. Подготовить </w:t>
      </w:r>
      <w:r w:rsidR="00C607D2">
        <w:t xml:space="preserve">контраргументную позицию по выступлению оппонента по </w:t>
      </w:r>
      <w:r>
        <w:t>проблематике</w:t>
      </w:r>
      <w:r w:rsidR="00C607D2">
        <w:t xml:space="preserve"> научного кружка, семинара</w:t>
      </w:r>
      <w:r>
        <w:t>.</w:t>
      </w:r>
    </w:p>
    <w:p w:rsidR="00C30888" w:rsidRDefault="00C30888" w:rsidP="00C30888">
      <w:pPr>
        <w:ind w:left="709" w:firstLine="0"/>
      </w:pPr>
      <w:r w:rsidRPr="008F16F4">
        <w:t>3.</w:t>
      </w:r>
      <w:r>
        <w:t xml:space="preserve"> Подготовить </w:t>
      </w:r>
      <w:r w:rsidR="00C607D2">
        <w:t>сравнительное исследование проблемы (дискуссионного вопроса) для вынесения на обсуждение в рамках научного кружка, семинара</w:t>
      </w:r>
      <w:r>
        <w:t>.</w:t>
      </w:r>
    </w:p>
    <w:p w:rsidR="00C30888" w:rsidRPr="008F16F4" w:rsidRDefault="00C607D2" w:rsidP="00C607D2">
      <w:r>
        <w:t>4. Составить план модератора научной дискуссии для заседания научного кружка.</w:t>
      </w:r>
    </w:p>
    <w:p w:rsidR="00C30888" w:rsidRPr="001449FB" w:rsidRDefault="00C30888" w:rsidP="00FB53B8">
      <w:pPr>
        <w:pStyle w:val="1"/>
      </w:pPr>
      <w:r w:rsidRPr="001449FB">
        <w:t>Учебно-методическое и информационное обеспечение дисциплины</w:t>
      </w:r>
    </w:p>
    <w:p w:rsidR="00C30888" w:rsidRPr="00F47FE4" w:rsidRDefault="00C30888" w:rsidP="00C30888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C30888" w:rsidRPr="008F579A" w:rsidRDefault="00C30888" w:rsidP="00C30888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C30888" w:rsidRPr="00F47FE4" w:rsidRDefault="00C30888" w:rsidP="00C30888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Андреев О.А., Хромов П.Н. Техника быстрого чтения. Минск, 2002.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А.Ф. Научное исследование. Курсовые, дипломные и диссертационные работы. М., 2002. </w:t>
      </w:r>
    </w:p>
    <w:p w:rsidR="00C30888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Введенская Л.А. Риторика для юристов: Учебное пособие для ВУЗов. М., 2008.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Воронцов Г.А. Работа над рефератом. Ростов-на-Дону, 2002.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Гецов Г.Г. Работа над книгой: рациональные приемы. М., 1994.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Кони А.Ф. Собрание сочинений. Т. 3. Судебные речи. М., 1967.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И.Н. Научное исследование. Методика проведения и оформление / 3-е изд. перераб. и. доп. М., 2008. 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Кулинкович Т.О. Основы научного цитирования: Метод. пособие для студентов и магистрантов. Минск, 2010.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Никифоров А.В. Логика и теория аргументации. М., 2005.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Папковская П.Я. Методология научных исследований: Курс лекций.  М., 2007.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Поппер К.Р. Логика научного исследования. М., 2010.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Рузавин Г.И. Методология научного исследования. М., 1999.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Солганик Г.Я. Стилистика текста. М., 2002.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Честнов И.Л. Методология и методика юридического исследования. СПб., 2004.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Шкляр М.Ф. Основы научных исследований. М., 2009.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Шуйская Ю.В. Аргументация в судебной риторике. М., 2008.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Эко У. Как написать дипломную работу. Гуманитарные науки. М., 2003.</w:t>
      </w:r>
    </w:p>
    <w:p w:rsidR="00C30888" w:rsidRPr="00F47FE4" w:rsidRDefault="00C30888" w:rsidP="00C30888">
      <w:pPr>
        <w:ind w:firstLine="0"/>
        <w:rPr>
          <w:szCs w:val="24"/>
        </w:rPr>
      </w:pPr>
    </w:p>
    <w:p w:rsidR="00C30888" w:rsidRPr="00F47FE4" w:rsidRDefault="00C30888" w:rsidP="00C30888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C30888" w:rsidRPr="008E2AA1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Бондарь Н.С.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C30888" w:rsidRPr="005C3C67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>2013. № 11 (7). С. 1436-1440.</w:t>
      </w:r>
    </w:p>
    <w:p w:rsidR="00C30888" w:rsidRPr="00FF4C1E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8"/>
        </w:rPr>
        <w:t xml:space="preserve">Кузьмина, Я.И., Любимов, Л.Л., Ларионова, М.В. Европейский опыт формирования общего понимания содержания квалификаций и структур степеней. Компетентностный подход / Я.И. Кузьмина, Л.Л.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7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edu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gov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ru</w:t>
        </w:r>
      </w:hyperlink>
      <w:r w:rsidRPr="008E2AA1">
        <w:rPr>
          <w:szCs w:val="28"/>
        </w:rPr>
        <w:t>).</w:t>
      </w:r>
    </w:p>
    <w:p w:rsidR="00C30888" w:rsidRPr="00FF4C1E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8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C30888" w:rsidRPr="008E2AA1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Хайрутдинова Р.Р. О формировании профессиональных умений юриста// Высшее образование сегодня. 2011. №3. С.89-93.</w:t>
      </w:r>
    </w:p>
    <w:p w:rsidR="00C30888" w:rsidRPr="00371906" w:rsidRDefault="00C30888" w:rsidP="00C30888">
      <w:pPr>
        <w:ind w:firstLine="0"/>
      </w:pPr>
    </w:p>
    <w:p w:rsidR="00C30888" w:rsidRPr="00D27DDD" w:rsidRDefault="00C30888" w:rsidP="00C30888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C30888" w:rsidRDefault="00C30888" w:rsidP="00C30888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C30888" w:rsidRPr="00D27DDD" w:rsidRDefault="00C30888" w:rsidP="00C30888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8E4FF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8E4FF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C30888" w:rsidRPr="008E4FFF" w:rsidRDefault="00C30888" w:rsidP="00C30888">
      <w:pPr>
        <w:pStyle w:val="a1"/>
        <w:jc w:val="both"/>
        <w:rPr>
          <w:lang w:val="en-US"/>
        </w:rPr>
      </w:pPr>
      <w:r w:rsidRPr="00D27DDD">
        <w:t>Браузеры</w:t>
      </w:r>
      <w:r w:rsidRPr="008E4FFF">
        <w:rPr>
          <w:lang w:val="en-US"/>
        </w:rPr>
        <w:t xml:space="preserve"> Internet Explorer, FireFox, Safari, Google Chrome</w:t>
      </w:r>
    </w:p>
    <w:p w:rsidR="00C30888" w:rsidRPr="008E4FFF" w:rsidRDefault="00C30888" w:rsidP="00C30888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C30888" w:rsidRPr="00964DC0" w:rsidRDefault="00C30888" w:rsidP="00C30888">
      <w:pPr>
        <w:pStyle w:val="a1"/>
        <w:numPr>
          <w:ilvl w:val="0"/>
          <w:numId w:val="0"/>
        </w:numPr>
        <w:jc w:val="both"/>
        <w:rPr>
          <w:rFonts w:ascii="Times New Roman Bold" w:hAnsi="Times New Roman Bold"/>
        </w:rPr>
      </w:pPr>
      <w:r w:rsidRPr="008E4FFF">
        <w:rPr>
          <w:lang w:val="en-US"/>
        </w:rPr>
        <w:t xml:space="preserve">      </w:t>
      </w:r>
      <w:r w:rsidRPr="00964DC0">
        <w:rPr>
          <w:rFonts w:ascii="Times New Roman Bold" w:hAnsi="Times New Roman Bold"/>
        </w:rPr>
        <w:t xml:space="preserve">Информационное обеспечение </w:t>
      </w:r>
    </w:p>
    <w:p w:rsidR="00C30888" w:rsidRDefault="00C30888" w:rsidP="00C30888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C30888" w:rsidRDefault="00C30888" w:rsidP="00FB53B8">
      <w:pPr>
        <w:pStyle w:val="1"/>
      </w:pPr>
      <w:r>
        <w:t>Материально-техническое обеспечение дисциплины</w:t>
      </w:r>
    </w:p>
    <w:p w:rsidR="00C30888" w:rsidRPr="00807ACB" w:rsidRDefault="0018765F" w:rsidP="00C30888">
      <w:fldSimple w:instr=" FILLIN   \* MERGEFORMAT ">
        <w:r w:rsidR="00C30888">
          <w:t>Стационарный компьютер или ноутбук, проектор</w:t>
        </w:r>
      </w:fldSimple>
      <w:r w:rsidR="00C30888" w:rsidRPr="00807ACB">
        <w:t>.</w:t>
      </w:r>
    </w:p>
    <w:p w:rsidR="00C30888" w:rsidRPr="00D27DDD" w:rsidRDefault="00C30888" w:rsidP="00C30888">
      <w:pPr>
        <w:pStyle w:val="a1"/>
        <w:numPr>
          <w:ilvl w:val="0"/>
          <w:numId w:val="0"/>
        </w:numPr>
        <w:ind w:left="1429" w:hanging="360"/>
        <w:jc w:val="both"/>
      </w:pPr>
    </w:p>
    <w:p w:rsidR="00C30888" w:rsidRDefault="00C30888" w:rsidP="00C30888"/>
    <w:p w:rsidR="00C30888" w:rsidRDefault="00C30888" w:rsidP="00C30888"/>
    <w:p w:rsidR="00C30888" w:rsidRDefault="00C30888" w:rsidP="00C30888"/>
    <w:p w:rsidR="00A076EF" w:rsidRDefault="00A076EF"/>
    <w:sectPr w:rsidR="00A076EF" w:rsidSect="00A076EF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D5" w:rsidRDefault="00BA71D5" w:rsidP="00DB5940">
      <w:r>
        <w:separator/>
      </w:r>
    </w:p>
  </w:endnote>
  <w:endnote w:type="continuationSeparator" w:id="0">
    <w:p w:rsidR="00BA71D5" w:rsidRDefault="00BA71D5" w:rsidP="00DB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79" w:rsidRDefault="0018765F">
    <w:pPr>
      <w:pStyle w:val="a9"/>
      <w:jc w:val="right"/>
    </w:pPr>
    <w:fldSimple w:instr="PAGE   \* MERGEFORMAT">
      <w:r w:rsidR="00BA71D5">
        <w:rPr>
          <w:noProof/>
        </w:rPr>
        <w:t>1</w:t>
      </w:r>
    </w:fldSimple>
  </w:p>
  <w:p w:rsidR="009F5B79" w:rsidRDefault="009F5B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D5" w:rsidRDefault="00BA71D5" w:rsidP="00DB5940">
      <w:r>
        <w:separator/>
      </w:r>
    </w:p>
  </w:footnote>
  <w:footnote w:type="continuationSeparator" w:id="0">
    <w:p w:rsidR="00BA71D5" w:rsidRDefault="00BA71D5" w:rsidP="00DB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036"/>
      <w:gridCol w:w="9278"/>
    </w:tblGrid>
    <w:tr w:rsidR="00240889">
      <w:trPr>
        <w:trHeight w:val="841"/>
      </w:trPr>
      <w:tc>
        <w:tcPr>
          <w:tcW w:w="872" w:type="dxa"/>
        </w:tcPr>
        <w:p w:rsidR="00240889" w:rsidRDefault="00240889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40889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677FDC">
            <w:rPr>
              <w:sz w:val="20"/>
              <w:szCs w:val="20"/>
            </w:rPr>
            <w:t xml:space="preserve">Научно-исследовательского практикума </w:t>
          </w:r>
          <w:r w:rsidRPr="00132AC2">
            <w:rPr>
              <w:sz w:val="20"/>
              <w:szCs w:val="20"/>
            </w:rPr>
            <w:t>«</w:t>
          </w:r>
          <w:r w:rsidR="00677FDC">
            <w:rPr>
              <w:sz w:val="20"/>
              <w:szCs w:val="20"/>
            </w:rPr>
            <w:t>Участие в работе научного кружка, научного семинара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240889" w:rsidRPr="007B0C51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240889" w:rsidRPr="0068711A" w:rsidRDefault="00240889" w:rsidP="00240889">
    <w:pPr>
      <w:pStyle w:val="a7"/>
      <w:rPr>
        <w:sz w:val="12"/>
      </w:rPr>
    </w:pPr>
  </w:p>
  <w:p w:rsidR="009F5B79" w:rsidRPr="00240889" w:rsidRDefault="009F5B79" w:rsidP="00240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80"/>
      <w:gridCol w:w="9434"/>
    </w:tblGrid>
    <w:tr w:rsidR="009F5B79">
      <w:tc>
        <w:tcPr>
          <w:tcW w:w="872" w:type="dxa"/>
        </w:tcPr>
        <w:p w:rsidR="009F5B79" w:rsidRDefault="0018765F" w:rsidP="00A076EF">
          <w:pPr>
            <w:pStyle w:val="a7"/>
            <w:ind w:firstLine="0"/>
          </w:pPr>
          <w:hyperlink r:id="rId1" w:history="1">
            <w:r w:rsidR="00233343" w:rsidRPr="0018765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.2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9F5B79" w:rsidRPr="00060113" w:rsidRDefault="009F5B79" w:rsidP="00A076E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18765F">
            <w:fldChar w:fldCharType="begin"/>
          </w:r>
          <w:r>
            <w:instrText xml:space="preserve"> FILLIN   \* MERGEFORMAT </w:instrText>
          </w:r>
          <w:r w:rsidR="0018765F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9F5B79" w:rsidRPr="0068711A" w:rsidRDefault="009F5B79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F32"/>
    <w:multiLevelType w:val="multilevel"/>
    <w:tmpl w:val="F34E820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20352"/>
    <w:multiLevelType w:val="hybridMultilevel"/>
    <w:tmpl w:val="0DC0D486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1A12E7"/>
    <w:multiLevelType w:val="multilevel"/>
    <w:tmpl w:val="B512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D2071"/>
    <w:multiLevelType w:val="multilevel"/>
    <w:tmpl w:val="0CFE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92B6C"/>
    <w:multiLevelType w:val="multilevel"/>
    <w:tmpl w:val="DFDEC88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AD2A62"/>
    <w:multiLevelType w:val="hybridMultilevel"/>
    <w:tmpl w:val="3B50E5D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1B8"/>
    <w:multiLevelType w:val="multilevel"/>
    <w:tmpl w:val="34AE66E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21835"/>
    <w:multiLevelType w:val="hybridMultilevel"/>
    <w:tmpl w:val="9E3AB47A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220A2"/>
    <w:multiLevelType w:val="hybridMultilevel"/>
    <w:tmpl w:val="34AE66E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21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22"/>
  </w:num>
  <w:num w:numId="17">
    <w:abstractNumId w:val="7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30888"/>
    <w:rsid w:val="00035E9D"/>
    <w:rsid w:val="00120D2A"/>
    <w:rsid w:val="001228C0"/>
    <w:rsid w:val="001535B4"/>
    <w:rsid w:val="0018765F"/>
    <w:rsid w:val="00233343"/>
    <w:rsid w:val="00240889"/>
    <w:rsid w:val="00264B7C"/>
    <w:rsid w:val="00287726"/>
    <w:rsid w:val="00314021"/>
    <w:rsid w:val="00337A5F"/>
    <w:rsid w:val="003678D3"/>
    <w:rsid w:val="00393EC9"/>
    <w:rsid w:val="003F1F74"/>
    <w:rsid w:val="00514344"/>
    <w:rsid w:val="00540186"/>
    <w:rsid w:val="00594625"/>
    <w:rsid w:val="00631F84"/>
    <w:rsid w:val="00635204"/>
    <w:rsid w:val="006470A2"/>
    <w:rsid w:val="00661AA6"/>
    <w:rsid w:val="00675983"/>
    <w:rsid w:val="00677FDC"/>
    <w:rsid w:val="006907C6"/>
    <w:rsid w:val="006B3DB1"/>
    <w:rsid w:val="006D714A"/>
    <w:rsid w:val="007760A4"/>
    <w:rsid w:val="00815070"/>
    <w:rsid w:val="008156F4"/>
    <w:rsid w:val="00882F35"/>
    <w:rsid w:val="008E4FFF"/>
    <w:rsid w:val="00980DAA"/>
    <w:rsid w:val="009F5B79"/>
    <w:rsid w:val="009F738C"/>
    <w:rsid w:val="00A076EF"/>
    <w:rsid w:val="00A2120D"/>
    <w:rsid w:val="00AB5ABC"/>
    <w:rsid w:val="00AD536C"/>
    <w:rsid w:val="00B828D1"/>
    <w:rsid w:val="00BA71D5"/>
    <w:rsid w:val="00BB3E2B"/>
    <w:rsid w:val="00BD78E6"/>
    <w:rsid w:val="00C30888"/>
    <w:rsid w:val="00C607D2"/>
    <w:rsid w:val="00C710F6"/>
    <w:rsid w:val="00CE7551"/>
    <w:rsid w:val="00DB5940"/>
    <w:rsid w:val="00DE6A10"/>
    <w:rsid w:val="00DF1E25"/>
    <w:rsid w:val="00E7672B"/>
    <w:rsid w:val="00EB6D2A"/>
    <w:rsid w:val="00EE187E"/>
    <w:rsid w:val="00F858D8"/>
    <w:rsid w:val="00FB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30888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FB53B8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C3088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C3088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3088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3088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3088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C3088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C3088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C3088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B53B8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C30888"/>
    <w:rPr>
      <w:rFonts w:ascii="Times New Roman" w:eastAsia="Times New Roman" w:hAnsi="Times New Roman" w:cs="Times New Roman"/>
      <w:b/>
      <w:bCs/>
      <w:iCs/>
      <w:szCs w:val="28"/>
      <w:lang w:val="ru-RU"/>
    </w:rPr>
  </w:style>
  <w:style w:type="character" w:customStyle="1" w:styleId="30">
    <w:name w:val="Заголовок 3 Знак"/>
    <w:basedOn w:val="a4"/>
    <w:link w:val="3"/>
    <w:rsid w:val="00C3088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4"/>
    <w:link w:val="4"/>
    <w:rsid w:val="00C3088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4"/>
    <w:link w:val="5"/>
    <w:rsid w:val="00C3088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4"/>
    <w:link w:val="6"/>
    <w:rsid w:val="00C30888"/>
    <w:rPr>
      <w:rFonts w:ascii="Calibri" w:eastAsia="Times New Roman" w:hAnsi="Calibri" w:cs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4"/>
    <w:link w:val="7"/>
    <w:rsid w:val="00C30888"/>
    <w:rPr>
      <w:rFonts w:ascii="Calibri" w:eastAsia="Times New Roman" w:hAnsi="Calibri" w:cs="Times New Roman"/>
      <w:lang w:val="ru-RU"/>
    </w:rPr>
  </w:style>
  <w:style w:type="character" w:customStyle="1" w:styleId="80">
    <w:name w:val="Заголовок 8 Знак"/>
    <w:basedOn w:val="a4"/>
    <w:link w:val="8"/>
    <w:rsid w:val="00C30888"/>
    <w:rPr>
      <w:rFonts w:ascii="Calibri" w:eastAsia="Times New Roman" w:hAnsi="Calibri" w:cs="Times New Roman"/>
      <w:i/>
      <w:iCs/>
      <w:lang w:val="ru-RU"/>
    </w:rPr>
  </w:style>
  <w:style w:type="character" w:customStyle="1" w:styleId="90">
    <w:name w:val="Заголовок 9 Знак"/>
    <w:basedOn w:val="a4"/>
    <w:link w:val="9"/>
    <w:rsid w:val="00C30888"/>
    <w:rPr>
      <w:rFonts w:ascii="Cambria" w:eastAsia="Times New Roman" w:hAnsi="Cambria" w:cs="Times New Roman"/>
      <w:sz w:val="22"/>
      <w:szCs w:val="22"/>
      <w:lang w:val="ru-RU"/>
    </w:rPr>
  </w:style>
  <w:style w:type="paragraph" w:customStyle="1" w:styleId="a1">
    <w:name w:val="Маркированный."/>
    <w:basedOn w:val="a3"/>
    <w:rsid w:val="00C30888"/>
    <w:pPr>
      <w:numPr>
        <w:numId w:val="1"/>
      </w:numPr>
    </w:pPr>
  </w:style>
  <w:style w:type="paragraph" w:customStyle="1" w:styleId="a0">
    <w:name w:val="нумерованный"/>
    <w:basedOn w:val="a3"/>
    <w:rsid w:val="00C3088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30888"/>
    <w:pPr>
      <w:numPr>
        <w:numId w:val="3"/>
      </w:numPr>
    </w:pPr>
  </w:style>
  <w:style w:type="paragraph" w:styleId="a7">
    <w:name w:val="header"/>
    <w:basedOn w:val="a3"/>
    <w:link w:val="a8"/>
    <w:unhideWhenUsed/>
    <w:rsid w:val="00C3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30888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C3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C30888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C3088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C3088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C30888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C30888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C3088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C30888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C30888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C30888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C30888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C30888"/>
    <w:rPr>
      <w:rFonts w:ascii="Tahoma" w:eastAsia="Calibri" w:hAnsi="Tahoma" w:cs="Times New Roman"/>
      <w:sz w:val="16"/>
      <w:szCs w:val="16"/>
      <w:lang w:val="ru-RU"/>
    </w:rPr>
  </w:style>
  <w:style w:type="paragraph" w:customStyle="1" w:styleId="-11">
    <w:name w:val="Цветной список - Акцент 11"/>
    <w:basedOn w:val="a3"/>
    <w:uiPriority w:val="34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C30888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5">
    <w:name w:val="footnote reference"/>
    <w:rsid w:val="00C30888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C30888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C30888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C308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C30888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C30888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Default">
    <w:name w:val="Default"/>
    <w:rsid w:val="00C308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C30888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C30888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C30888"/>
    <w:rPr>
      <w:b/>
      <w:bCs/>
    </w:rPr>
  </w:style>
  <w:style w:type="character" w:customStyle="1" w:styleId="rvts6">
    <w:name w:val="rvts6"/>
    <w:basedOn w:val="a4"/>
    <w:rsid w:val="00C30888"/>
  </w:style>
  <w:style w:type="character" w:customStyle="1" w:styleId="spelle">
    <w:name w:val="spelle"/>
    <w:basedOn w:val="a4"/>
    <w:rsid w:val="00C30888"/>
  </w:style>
  <w:style w:type="paragraph" w:styleId="aff1">
    <w:name w:val="Body Text"/>
    <w:basedOn w:val="a3"/>
    <w:link w:val="aff2"/>
    <w:rsid w:val="00C30888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C308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C30888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C30888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Style">
    <w:name w:val="Style"/>
    <w:uiPriority w:val="99"/>
    <w:rsid w:val="00661AA6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661AA6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uiPriority w:val="10"/>
    <w:rsid w:val="00661AA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661AA6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-cept.ru/2014/1403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2935</Words>
  <Characters>16735</Characters>
  <Application>Microsoft Office Word</Application>
  <DocSecurity>0</DocSecurity>
  <Lines>139</Lines>
  <Paragraphs>39</Paragraphs>
  <ScaleCrop>false</ScaleCrop>
  <Company>Jurfak I.Kant/RSU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okuprienkova</cp:lastModifiedBy>
  <cp:revision>17</cp:revision>
  <dcterms:created xsi:type="dcterms:W3CDTF">2015-04-01T10:26:00Z</dcterms:created>
  <dcterms:modified xsi:type="dcterms:W3CDTF">2015-04-11T11:14:00Z</dcterms:modified>
</cp:coreProperties>
</file>