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D1" w:rsidRPr="00EC5F7E" w:rsidRDefault="00EC5F7E" w:rsidP="00EC5F7E">
      <w:pPr>
        <w:jc w:val="center"/>
        <w:rPr>
          <w:b/>
          <w:color w:val="365F91" w:themeColor="accent1" w:themeShade="BF"/>
          <w:sz w:val="36"/>
          <w:szCs w:val="36"/>
          <w:lang w:val="en-US"/>
        </w:rPr>
      </w:pPr>
      <w:r w:rsidRPr="00EC5F7E">
        <w:rPr>
          <w:b/>
          <w:color w:val="365F91" w:themeColor="accent1" w:themeShade="BF"/>
          <w:sz w:val="36"/>
          <w:szCs w:val="36"/>
          <w:lang w:val="en-US"/>
        </w:rPr>
        <w:t>Mastering Russian through Global Debate</w:t>
      </w:r>
    </w:p>
    <w:p w:rsidR="00EC5F7E" w:rsidRPr="00C051BF" w:rsidRDefault="00EC5F7E" w:rsidP="00EC5F7E">
      <w:pPr>
        <w:jc w:val="center"/>
        <w:rPr>
          <w:b/>
          <w:color w:val="76923C" w:themeColor="accent3" w:themeShade="BF"/>
          <w:sz w:val="36"/>
          <w:szCs w:val="36"/>
          <w:lang w:val="en-US"/>
        </w:rPr>
      </w:pPr>
      <w:r w:rsidRPr="00EC5F7E">
        <w:rPr>
          <w:b/>
          <w:color w:val="76923C" w:themeColor="accent3" w:themeShade="BF"/>
          <w:sz w:val="36"/>
          <w:szCs w:val="36"/>
          <w:lang w:val="en-US"/>
        </w:rPr>
        <w:t>Course Syllabus</w:t>
      </w:r>
    </w:p>
    <w:p w:rsidR="00C051BF" w:rsidRPr="00C051BF" w:rsidRDefault="00C051BF" w:rsidP="00C051BF">
      <w:pPr>
        <w:pStyle w:val="a6"/>
        <w:rPr>
          <w:lang w:val="en-US"/>
        </w:rPr>
      </w:pPr>
      <w:r w:rsidRPr="00C051BF">
        <w:rPr>
          <w:lang w:val="en-US"/>
        </w:rPr>
        <w:t>Mastering Russian through Global Debate (</w:t>
      </w:r>
      <w:r>
        <w:t>или</w:t>
      </w:r>
      <w:r w:rsidRPr="00C051BF">
        <w:rPr>
          <w:lang w:val="en-US"/>
        </w:rPr>
        <w:t xml:space="preserve"> </w:t>
      </w:r>
      <w:r>
        <w:t>можете</w:t>
      </w:r>
      <w:r w:rsidRPr="00C051BF">
        <w:rPr>
          <w:lang w:val="en-US"/>
        </w:rPr>
        <w:t xml:space="preserve"> </w:t>
      </w:r>
      <w:r>
        <w:t>просто</w:t>
      </w:r>
      <w:r w:rsidRPr="00C051BF">
        <w:rPr>
          <w:lang w:val="en-US"/>
        </w:rPr>
        <w:t xml:space="preserve"> </w:t>
      </w:r>
      <w:r>
        <w:t>оставить</w:t>
      </w:r>
      <w:r w:rsidRPr="00C051BF">
        <w:rPr>
          <w:lang w:val="en-US"/>
        </w:rPr>
        <w:t xml:space="preserve"> Global Debate) is a course designed for </w:t>
      </w:r>
      <w:proofErr w:type="gramStart"/>
      <w:r w:rsidRPr="00C051BF">
        <w:rPr>
          <w:lang w:val="en-US"/>
        </w:rPr>
        <w:t>Advanced</w:t>
      </w:r>
      <w:proofErr w:type="gramEnd"/>
      <w:r w:rsidRPr="00C051BF">
        <w:rPr>
          <w:lang w:val="en-US"/>
        </w:rPr>
        <w:t xml:space="preserve"> students of Russian, including heritage speakers. The course focuses on developing the skills of presentation, debate and negotiation through the discussion of the key burning issues of the global agenda such as international affairs, economy, ecology, immigration and the like. The participants will find themselves actively engaged in practicing their presentational and interpersonal speaking skills. This three week course will not only improve your fluency in Russian, but also will make you a more confident presenter, debater and negotiator! </w:t>
      </w:r>
    </w:p>
    <w:p w:rsidR="00C051BF" w:rsidRPr="00C051BF" w:rsidRDefault="00C051BF" w:rsidP="00EC5F7E">
      <w:pPr>
        <w:jc w:val="center"/>
        <w:rPr>
          <w:b/>
          <w:color w:val="76923C" w:themeColor="accent3" w:themeShade="BF"/>
          <w:sz w:val="36"/>
          <w:szCs w:val="36"/>
          <w:lang w:val="en-US"/>
        </w:rPr>
      </w:pPr>
    </w:p>
    <w:p w:rsidR="002B46BC" w:rsidRPr="00EC5F7E" w:rsidRDefault="002B46BC" w:rsidP="00EC5F7E">
      <w:pPr>
        <w:jc w:val="center"/>
        <w:rPr>
          <w:b/>
          <w:color w:val="76923C" w:themeColor="accent3" w:themeShade="BF"/>
          <w:sz w:val="36"/>
          <w:szCs w:val="36"/>
          <w:lang w:val="en-US"/>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3"/>
      </w:tblGrid>
      <w:tr w:rsidR="00EC5F7E" w:rsidRPr="00C051BF" w:rsidTr="002B46BC">
        <w:tc>
          <w:tcPr>
            <w:tcW w:w="1728" w:type="dxa"/>
          </w:tcPr>
          <w:p w:rsidR="00EC5F7E" w:rsidRPr="00EC5F7E" w:rsidRDefault="00EC5F7E" w:rsidP="00EC5F7E">
            <w:pPr>
              <w:spacing w:line="276" w:lineRule="auto"/>
              <w:rPr>
                <w:b/>
                <w:sz w:val="24"/>
                <w:szCs w:val="24"/>
                <w:lang w:val="en-US"/>
              </w:rPr>
            </w:pPr>
            <w:r w:rsidRPr="00EC5F7E">
              <w:rPr>
                <w:b/>
                <w:sz w:val="24"/>
                <w:szCs w:val="24"/>
                <w:lang w:val="en-US"/>
              </w:rPr>
              <w:t>Course objectives:</w:t>
            </w:r>
          </w:p>
        </w:tc>
        <w:tc>
          <w:tcPr>
            <w:tcW w:w="7843" w:type="dxa"/>
          </w:tcPr>
          <w:p w:rsidR="00EC5F7E" w:rsidRDefault="00EC5F7E" w:rsidP="00EC5F7E">
            <w:pPr>
              <w:spacing w:line="276" w:lineRule="auto"/>
              <w:rPr>
                <w:sz w:val="24"/>
                <w:szCs w:val="24"/>
                <w:lang w:val="en-US"/>
              </w:rPr>
            </w:pPr>
            <w:r>
              <w:rPr>
                <w:sz w:val="24"/>
                <w:szCs w:val="24"/>
                <w:lang w:val="en-US"/>
              </w:rPr>
              <w:t xml:space="preserve">       </w:t>
            </w:r>
            <w:r w:rsidRPr="00EC5F7E">
              <w:rPr>
                <w:sz w:val="24"/>
                <w:szCs w:val="24"/>
                <w:lang w:val="en-US"/>
              </w:rPr>
              <w:t>to master Russian as a foreign language at Advanced level</w:t>
            </w:r>
          </w:p>
          <w:p w:rsidR="00EC5F7E" w:rsidRDefault="00EC5F7E" w:rsidP="00EC5F7E">
            <w:pPr>
              <w:spacing w:line="276" w:lineRule="auto"/>
              <w:rPr>
                <w:sz w:val="24"/>
                <w:szCs w:val="24"/>
                <w:lang w:val="en-US"/>
              </w:rPr>
            </w:pPr>
          </w:p>
          <w:p w:rsidR="002B46BC" w:rsidRPr="00EC5F7E" w:rsidRDefault="002B46BC" w:rsidP="00EC5F7E">
            <w:pPr>
              <w:spacing w:line="276" w:lineRule="auto"/>
              <w:rPr>
                <w:sz w:val="24"/>
                <w:szCs w:val="24"/>
                <w:lang w:val="en-US"/>
              </w:rPr>
            </w:pPr>
          </w:p>
        </w:tc>
      </w:tr>
      <w:tr w:rsidR="00EC5F7E" w:rsidRPr="00C051BF" w:rsidTr="002B46BC">
        <w:tc>
          <w:tcPr>
            <w:tcW w:w="1728" w:type="dxa"/>
          </w:tcPr>
          <w:p w:rsidR="00EC5F7E" w:rsidRPr="00EC5F7E" w:rsidRDefault="00EC5F7E" w:rsidP="00EC5F7E">
            <w:pPr>
              <w:spacing w:line="276" w:lineRule="auto"/>
              <w:rPr>
                <w:b/>
                <w:sz w:val="24"/>
                <w:szCs w:val="24"/>
                <w:lang w:val="en-US"/>
              </w:rPr>
            </w:pPr>
            <w:r w:rsidRPr="00EC5F7E">
              <w:rPr>
                <w:b/>
                <w:sz w:val="24"/>
                <w:szCs w:val="24"/>
                <w:lang w:val="en-US"/>
              </w:rPr>
              <w:t>Learning Outcomes:</w:t>
            </w:r>
          </w:p>
        </w:tc>
        <w:tc>
          <w:tcPr>
            <w:tcW w:w="7843" w:type="dxa"/>
          </w:tcPr>
          <w:p w:rsidR="00EC5F7E" w:rsidRDefault="00EC5F7E" w:rsidP="00EC5F7E">
            <w:pPr>
              <w:pStyle w:val="a4"/>
              <w:numPr>
                <w:ilvl w:val="0"/>
                <w:numId w:val="2"/>
              </w:numPr>
              <w:rPr>
                <w:sz w:val="24"/>
                <w:szCs w:val="24"/>
                <w:lang w:val="en-US"/>
              </w:rPr>
            </w:pPr>
            <w:r>
              <w:rPr>
                <w:sz w:val="24"/>
                <w:szCs w:val="24"/>
                <w:lang w:val="en-US"/>
              </w:rPr>
              <w:t xml:space="preserve">presentational skills of articulating one’s opinion and supporting it with evidence </w:t>
            </w:r>
          </w:p>
          <w:p w:rsidR="00EC5F7E" w:rsidRDefault="00EC5F7E" w:rsidP="00EC5F7E">
            <w:pPr>
              <w:pStyle w:val="a4"/>
              <w:numPr>
                <w:ilvl w:val="0"/>
                <w:numId w:val="2"/>
              </w:numPr>
              <w:rPr>
                <w:sz w:val="24"/>
                <w:szCs w:val="24"/>
                <w:lang w:val="en-US"/>
              </w:rPr>
            </w:pPr>
            <w:r>
              <w:rPr>
                <w:sz w:val="24"/>
                <w:szCs w:val="24"/>
                <w:lang w:val="en-US"/>
              </w:rPr>
              <w:t>interpretative skills of dealing with Russian-language sources of information</w:t>
            </w:r>
          </w:p>
          <w:p w:rsidR="00EC5F7E" w:rsidRDefault="00EC5F7E" w:rsidP="00EC5F7E">
            <w:pPr>
              <w:pStyle w:val="a4"/>
              <w:numPr>
                <w:ilvl w:val="0"/>
                <w:numId w:val="2"/>
              </w:numPr>
              <w:rPr>
                <w:sz w:val="24"/>
                <w:szCs w:val="24"/>
                <w:lang w:val="en-US"/>
              </w:rPr>
            </w:pPr>
            <w:r>
              <w:rPr>
                <w:sz w:val="24"/>
                <w:szCs w:val="24"/>
                <w:lang w:val="en-US"/>
              </w:rPr>
              <w:t xml:space="preserve">interpersonal skills of debate and negotiations </w:t>
            </w:r>
          </w:p>
          <w:p w:rsidR="00EC5F7E" w:rsidRPr="00EC5F7E" w:rsidRDefault="00EC5F7E" w:rsidP="00EC5F7E">
            <w:pPr>
              <w:pStyle w:val="a4"/>
              <w:rPr>
                <w:sz w:val="24"/>
                <w:szCs w:val="24"/>
                <w:lang w:val="en-US"/>
              </w:rPr>
            </w:pPr>
          </w:p>
        </w:tc>
      </w:tr>
      <w:tr w:rsidR="00EC5F7E" w:rsidRPr="00C051BF" w:rsidTr="002B46BC">
        <w:tc>
          <w:tcPr>
            <w:tcW w:w="1728" w:type="dxa"/>
          </w:tcPr>
          <w:p w:rsidR="00EC5F7E" w:rsidRPr="00EC5F7E" w:rsidRDefault="00EC5F7E" w:rsidP="00EC5F7E">
            <w:pPr>
              <w:spacing w:line="276" w:lineRule="auto"/>
              <w:rPr>
                <w:b/>
                <w:sz w:val="24"/>
                <w:szCs w:val="24"/>
                <w:lang w:val="en-US"/>
              </w:rPr>
            </w:pPr>
            <w:r>
              <w:rPr>
                <w:b/>
                <w:sz w:val="24"/>
                <w:szCs w:val="24"/>
                <w:lang w:val="en-US"/>
              </w:rPr>
              <w:t>Time frame:</w:t>
            </w:r>
          </w:p>
        </w:tc>
        <w:tc>
          <w:tcPr>
            <w:tcW w:w="7843" w:type="dxa"/>
          </w:tcPr>
          <w:p w:rsidR="00EC5F7E" w:rsidRDefault="00EC5F7E" w:rsidP="00EC5F7E">
            <w:pPr>
              <w:spacing w:line="276" w:lineRule="auto"/>
              <w:rPr>
                <w:sz w:val="24"/>
                <w:szCs w:val="24"/>
                <w:lang w:val="en-US"/>
              </w:rPr>
            </w:pPr>
            <w:r>
              <w:rPr>
                <w:sz w:val="24"/>
                <w:szCs w:val="24"/>
                <w:lang w:val="en-US"/>
              </w:rPr>
              <w:t xml:space="preserve">    June 20</w:t>
            </w:r>
            <w:r w:rsidRPr="00EC5F7E">
              <w:rPr>
                <w:sz w:val="24"/>
                <w:szCs w:val="24"/>
                <w:vertAlign w:val="superscript"/>
                <w:lang w:val="en-US"/>
              </w:rPr>
              <w:t>th</w:t>
            </w:r>
            <w:r>
              <w:rPr>
                <w:sz w:val="24"/>
                <w:szCs w:val="24"/>
                <w:lang w:val="en-US"/>
              </w:rPr>
              <w:t xml:space="preserve"> 2015 – July 8</w:t>
            </w:r>
            <w:r w:rsidRPr="00EC5F7E">
              <w:rPr>
                <w:sz w:val="24"/>
                <w:szCs w:val="24"/>
                <w:vertAlign w:val="superscript"/>
                <w:lang w:val="en-US"/>
              </w:rPr>
              <w:t>th</w:t>
            </w:r>
            <w:r>
              <w:rPr>
                <w:sz w:val="24"/>
                <w:szCs w:val="24"/>
                <w:lang w:val="en-US"/>
              </w:rPr>
              <w:t xml:space="preserve"> 2015 </w:t>
            </w:r>
            <w:r w:rsidR="002B46BC">
              <w:rPr>
                <w:sz w:val="24"/>
                <w:szCs w:val="24"/>
                <w:lang w:val="en-US"/>
              </w:rPr>
              <w:t>(three weeks)</w:t>
            </w:r>
          </w:p>
          <w:p w:rsidR="00EC5F7E" w:rsidRPr="00EC5F7E" w:rsidRDefault="00EC5F7E" w:rsidP="00EC5F7E">
            <w:pPr>
              <w:spacing w:line="276" w:lineRule="auto"/>
              <w:rPr>
                <w:sz w:val="24"/>
                <w:szCs w:val="24"/>
                <w:lang w:val="en-US"/>
              </w:rPr>
            </w:pPr>
          </w:p>
        </w:tc>
      </w:tr>
      <w:tr w:rsidR="00EC5F7E" w:rsidRPr="00C051BF" w:rsidTr="002B46BC">
        <w:tc>
          <w:tcPr>
            <w:tcW w:w="1728" w:type="dxa"/>
          </w:tcPr>
          <w:p w:rsidR="002B46BC" w:rsidRDefault="00EC5F7E" w:rsidP="00EC5F7E">
            <w:pPr>
              <w:spacing w:line="276" w:lineRule="auto"/>
              <w:rPr>
                <w:b/>
                <w:sz w:val="24"/>
                <w:szCs w:val="24"/>
                <w:lang w:val="en-US"/>
              </w:rPr>
            </w:pPr>
            <w:r>
              <w:rPr>
                <w:b/>
                <w:sz w:val="24"/>
                <w:szCs w:val="24"/>
                <w:lang w:val="en-US"/>
              </w:rPr>
              <w:t xml:space="preserve">Class </w:t>
            </w:r>
          </w:p>
          <w:p w:rsidR="00EC5F7E" w:rsidRPr="00EC5F7E" w:rsidRDefault="00EC5F7E" w:rsidP="00EC5F7E">
            <w:pPr>
              <w:spacing w:line="276" w:lineRule="auto"/>
              <w:rPr>
                <w:b/>
                <w:sz w:val="24"/>
                <w:szCs w:val="24"/>
                <w:lang w:val="en-US"/>
              </w:rPr>
            </w:pPr>
            <w:r>
              <w:rPr>
                <w:b/>
                <w:sz w:val="24"/>
                <w:szCs w:val="24"/>
                <w:lang w:val="en-US"/>
              </w:rPr>
              <w:t>schedule:</w:t>
            </w:r>
          </w:p>
        </w:tc>
        <w:tc>
          <w:tcPr>
            <w:tcW w:w="7843" w:type="dxa"/>
          </w:tcPr>
          <w:p w:rsidR="00EC5F7E" w:rsidRDefault="00EC5F7E" w:rsidP="00EC5F7E">
            <w:pPr>
              <w:spacing w:line="276" w:lineRule="auto"/>
              <w:rPr>
                <w:sz w:val="24"/>
                <w:szCs w:val="24"/>
                <w:lang w:val="en-US"/>
              </w:rPr>
            </w:pPr>
            <w:r>
              <w:rPr>
                <w:sz w:val="24"/>
                <w:szCs w:val="24"/>
                <w:lang w:val="en-US"/>
              </w:rPr>
              <w:t xml:space="preserve">   4 academic hours per day twice a week </w:t>
            </w:r>
            <w:r w:rsidR="004C268E">
              <w:rPr>
                <w:sz w:val="24"/>
                <w:szCs w:val="24"/>
                <w:lang w:val="en-US"/>
              </w:rPr>
              <w:t>Mondays and Wednesdays</w:t>
            </w:r>
          </w:p>
          <w:p w:rsidR="004C268E" w:rsidRPr="00EC5F7E" w:rsidRDefault="002B46BC" w:rsidP="00EC5F7E">
            <w:pPr>
              <w:spacing w:line="276" w:lineRule="auto"/>
              <w:rPr>
                <w:sz w:val="24"/>
                <w:szCs w:val="24"/>
                <w:lang w:val="en-US"/>
              </w:rPr>
            </w:pPr>
            <w:r>
              <w:rPr>
                <w:sz w:val="24"/>
                <w:szCs w:val="24"/>
                <w:lang w:val="en-US"/>
              </w:rPr>
              <w:t xml:space="preserve">   </w:t>
            </w:r>
          </w:p>
        </w:tc>
      </w:tr>
      <w:tr w:rsidR="00EC5F7E" w:rsidRPr="00EC5F7E" w:rsidTr="002B46BC">
        <w:tc>
          <w:tcPr>
            <w:tcW w:w="1728" w:type="dxa"/>
          </w:tcPr>
          <w:p w:rsidR="00EC5F7E" w:rsidRDefault="00EC5F7E" w:rsidP="00EC5F7E">
            <w:pPr>
              <w:spacing w:line="276" w:lineRule="auto"/>
              <w:rPr>
                <w:b/>
                <w:sz w:val="24"/>
                <w:szCs w:val="24"/>
                <w:lang w:val="en-US"/>
              </w:rPr>
            </w:pPr>
          </w:p>
          <w:p w:rsidR="004C268E" w:rsidRDefault="004C268E" w:rsidP="00EC5F7E">
            <w:pPr>
              <w:spacing w:line="276" w:lineRule="auto"/>
              <w:rPr>
                <w:b/>
                <w:sz w:val="24"/>
                <w:szCs w:val="24"/>
                <w:lang w:val="en-US"/>
              </w:rPr>
            </w:pPr>
            <w:r>
              <w:rPr>
                <w:b/>
                <w:sz w:val="24"/>
                <w:szCs w:val="24"/>
                <w:lang w:val="en-US"/>
              </w:rPr>
              <w:t xml:space="preserve">Course </w:t>
            </w:r>
          </w:p>
          <w:p w:rsidR="004C268E" w:rsidRPr="00EC5F7E" w:rsidRDefault="004C268E" w:rsidP="00EC5F7E">
            <w:pPr>
              <w:spacing w:line="276" w:lineRule="auto"/>
              <w:rPr>
                <w:b/>
                <w:sz w:val="24"/>
                <w:szCs w:val="24"/>
                <w:lang w:val="en-US"/>
              </w:rPr>
            </w:pPr>
            <w:r>
              <w:rPr>
                <w:b/>
                <w:sz w:val="24"/>
                <w:szCs w:val="24"/>
                <w:lang w:val="en-US"/>
              </w:rPr>
              <w:t>topics:</w:t>
            </w:r>
          </w:p>
        </w:tc>
        <w:tc>
          <w:tcPr>
            <w:tcW w:w="7843" w:type="dxa"/>
          </w:tcPr>
          <w:p w:rsidR="00EC5F7E" w:rsidRDefault="004C268E" w:rsidP="004C268E">
            <w:pPr>
              <w:pStyle w:val="a4"/>
              <w:numPr>
                <w:ilvl w:val="0"/>
                <w:numId w:val="3"/>
              </w:numPr>
              <w:rPr>
                <w:sz w:val="24"/>
                <w:szCs w:val="24"/>
                <w:lang w:val="en-US"/>
              </w:rPr>
            </w:pPr>
            <w:r>
              <w:rPr>
                <w:sz w:val="24"/>
                <w:szCs w:val="24"/>
                <w:lang w:val="en-US"/>
              </w:rPr>
              <w:t>Environment vs Economy</w:t>
            </w:r>
          </w:p>
          <w:p w:rsidR="004C268E" w:rsidRDefault="004C268E" w:rsidP="004C268E">
            <w:pPr>
              <w:pStyle w:val="a4"/>
              <w:numPr>
                <w:ilvl w:val="0"/>
                <w:numId w:val="3"/>
              </w:numPr>
              <w:rPr>
                <w:sz w:val="24"/>
                <w:szCs w:val="24"/>
                <w:lang w:val="en-US"/>
              </w:rPr>
            </w:pPr>
            <w:r>
              <w:rPr>
                <w:sz w:val="24"/>
                <w:szCs w:val="24"/>
                <w:lang w:val="en-US"/>
              </w:rPr>
              <w:t>Interventionism vs Isolationism</w:t>
            </w:r>
          </w:p>
          <w:p w:rsidR="004C268E" w:rsidRDefault="004C268E" w:rsidP="004C268E">
            <w:pPr>
              <w:pStyle w:val="a4"/>
              <w:numPr>
                <w:ilvl w:val="0"/>
                <w:numId w:val="3"/>
              </w:numPr>
              <w:rPr>
                <w:sz w:val="24"/>
                <w:szCs w:val="24"/>
                <w:lang w:val="en-US"/>
              </w:rPr>
            </w:pPr>
            <w:r>
              <w:rPr>
                <w:sz w:val="24"/>
                <w:szCs w:val="24"/>
                <w:lang w:val="en-US"/>
              </w:rPr>
              <w:t>Wealth redistribution vs Self-Reliance</w:t>
            </w:r>
          </w:p>
          <w:p w:rsidR="004C268E" w:rsidRDefault="004C268E" w:rsidP="004C268E">
            <w:pPr>
              <w:pStyle w:val="a4"/>
              <w:numPr>
                <w:ilvl w:val="0"/>
                <w:numId w:val="3"/>
              </w:numPr>
              <w:rPr>
                <w:sz w:val="24"/>
                <w:szCs w:val="24"/>
                <w:lang w:val="en-US"/>
              </w:rPr>
            </w:pPr>
            <w:r>
              <w:rPr>
                <w:sz w:val="24"/>
                <w:szCs w:val="24"/>
                <w:lang w:val="en-US"/>
              </w:rPr>
              <w:t>Cultural Preservation vs Diversity</w:t>
            </w:r>
          </w:p>
          <w:p w:rsidR="004C268E" w:rsidRDefault="004C268E" w:rsidP="004C268E">
            <w:pPr>
              <w:pStyle w:val="a4"/>
              <w:numPr>
                <w:ilvl w:val="0"/>
                <w:numId w:val="3"/>
              </w:numPr>
              <w:rPr>
                <w:sz w:val="24"/>
                <w:szCs w:val="24"/>
                <w:lang w:val="en-US"/>
              </w:rPr>
            </w:pPr>
            <w:r>
              <w:rPr>
                <w:sz w:val="24"/>
                <w:szCs w:val="24"/>
                <w:lang w:val="en-US"/>
              </w:rPr>
              <w:t>Security vs Freedom</w:t>
            </w:r>
          </w:p>
          <w:p w:rsidR="004C268E" w:rsidRDefault="004C268E" w:rsidP="004C268E">
            <w:pPr>
              <w:pStyle w:val="a4"/>
              <w:numPr>
                <w:ilvl w:val="0"/>
                <w:numId w:val="3"/>
              </w:numPr>
              <w:rPr>
                <w:sz w:val="24"/>
                <w:szCs w:val="24"/>
                <w:lang w:val="en-US"/>
              </w:rPr>
            </w:pPr>
            <w:r>
              <w:rPr>
                <w:sz w:val="24"/>
                <w:szCs w:val="24"/>
                <w:lang w:val="en-US"/>
              </w:rPr>
              <w:t>Education vs Field Experience</w:t>
            </w:r>
          </w:p>
          <w:p w:rsidR="004C268E" w:rsidRPr="004C268E" w:rsidRDefault="004C268E" w:rsidP="004C268E">
            <w:pPr>
              <w:pStyle w:val="a4"/>
              <w:rPr>
                <w:sz w:val="24"/>
                <w:szCs w:val="24"/>
                <w:lang w:val="en-US"/>
              </w:rPr>
            </w:pPr>
          </w:p>
        </w:tc>
      </w:tr>
      <w:tr w:rsidR="00EC5F7E" w:rsidRPr="00C051BF" w:rsidTr="002B46BC">
        <w:tc>
          <w:tcPr>
            <w:tcW w:w="1728" w:type="dxa"/>
          </w:tcPr>
          <w:p w:rsidR="00EC5F7E" w:rsidRPr="00EC5F7E" w:rsidRDefault="004C268E" w:rsidP="00EC5F7E">
            <w:pPr>
              <w:spacing w:line="276" w:lineRule="auto"/>
              <w:rPr>
                <w:b/>
                <w:sz w:val="24"/>
                <w:szCs w:val="24"/>
                <w:lang w:val="en-US"/>
              </w:rPr>
            </w:pPr>
            <w:r>
              <w:rPr>
                <w:b/>
                <w:sz w:val="24"/>
                <w:szCs w:val="24"/>
                <w:lang w:val="en-US"/>
              </w:rPr>
              <w:t>Course materials:</w:t>
            </w:r>
          </w:p>
        </w:tc>
        <w:tc>
          <w:tcPr>
            <w:tcW w:w="7843" w:type="dxa"/>
          </w:tcPr>
          <w:p w:rsidR="00EC5F7E" w:rsidRDefault="004C268E" w:rsidP="00EC5F7E">
            <w:pPr>
              <w:spacing w:line="276" w:lineRule="auto"/>
              <w:rPr>
                <w:sz w:val="24"/>
                <w:szCs w:val="24"/>
                <w:lang w:val="en-US"/>
              </w:rPr>
            </w:pPr>
            <w:r>
              <w:rPr>
                <w:sz w:val="24"/>
                <w:szCs w:val="24"/>
                <w:lang w:val="en-US"/>
              </w:rPr>
              <w:t>Mastering Russian through Global Debate (Brown et al, 2014) GUP</w:t>
            </w:r>
          </w:p>
          <w:p w:rsidR="004C268E" w:rsidRDefault="00533037" w:rsidP="00EC5F7E">
            <w:pPr>
              <w:spacing w:line="276" w:lineRule="auto"/>
              <w:rPr>
                <w:sz w:val="24"/>
                <w:szCs w:val="24"/>
                <w:lang w:val="en-US"/>
              </w:rPr>
            </w:pPr>
            <w:hyperlink r:id="rId6" w:history="1">
              <w:r w:rsidR="004C268E" w:rsidRPr="00B3713E">
                <w:rPr>
                  <w:rStyle w:val="a5"/>
                  <w:sz w:val="24"/>
                  <w:szCs w:val="24"/>
                  <w:lang w:val="en-US"/>
                </w:rPr>
                <w:t>http://press.georgetown.edu/book/languages/mastering-russian-through-global-debate</w:t>
              </w:r>
            </w:hyperlink>
          </w:p>
          <w:p w:rsidR="004C268E" w:rsidRDefault="004C268E" w:rsidP="00EC5F7E">
            <w:pPr>
              <w:spacing w:line="276" w:lineRule="auto"/>
              <w:rPr>
                <w:b/>
                <w:i/>
                <w:sz w:val="20"/>
                <w:szCs w:val="20"/>
                <w:lang w:val="en-US"/>
              </w:rPr>
            </w:pPr>
            <w:r w:rsidRPr="004C268E">
              <w:rPr>
                <w:b/>
                <w:i/>
                <w:sz w:val="20"/>
                <w:szCs w:val="20"/>
                <w:lang w:val="en-US"/>
              </w:rPr>
              <w:t>(students are responsible for purchasing their own copy of the textbook prior to arrival)</w:t>
            </w:r>
          </w:p>
          <w:p w:rsidR="004C268E" w:rsidRPr="004C268E" w:rsidRDefault="004C268E" w:rsidP="00EC5F7E">
            <w:pPr>
              <w:spacing w:line="276" w:lineRule="auto"/>
              <w:rPr>
                <w:b/>
                <w:i/>
                <w:sz w:val="20"/>
                <w:szCs w:val="20"/>
                <w:lang w:val="en-US"/>
              </w:rPr>
            </w:pPr>
          </w:p>
        </w:tc>
      </w:tr>
      <w:tr w:rsidR="00EC5F7E" w:rsidRPr="00C051BF" w:rsidTr="002B46BC">
        <w:tc>
          <w:tcPr>
            <w:tcW w:w="1728" w:type="dxa"/>
          </w:tcPr>
          <w:p w:rsidR="00EC5F7E" w:rsidRPr="00EC5F7E" w:rsidRDefault="004C268E" w:rsidP="00EC5F7E">
            <w:pPr>
              <w:spacing w:line="276" w:lineRule="auto"/>
              <w:rPr>
                <w:b/>
                <w:sz w:val="24"/>
                <w:szCs w:val="24"/>
                <w:lang w:val="en-US"/>
              </w:rPr>
            </w:pPr>
            <w:r>
              <w:rPr>
                <w:b/>
                <w:sz w:val="24"/>
                <w:szCs w:val="24"/>
                <w:lang w:val="en-US"/>
              </w:rPr>
              <w:t>Instructor:</w:t>
            </w:r>
          </w:p>
        </w:tc>
        <w:tc>
          <w:tcPr>
            <w:tcW w:w="7843" w:type="dxa"/>
          </w:tcPr>
          <w:p w:rsidR="00EC5F7E" w:rsidRDefault="004C268E" w:rsidP="00EC5F7E">
            <w:pPr>
              <w:spacing w:line="276" w:lineRule="auto"/>
              <w:rPr>
                <w:sz w:val="24"/>
                <w:szCs w:val="24"/>
                <w:lang w:val="en-US"/>
              </w:rPr>
            </w:pPr>
            <w:r>
              <w:rPr>
                <w:sz w:val="24"/>
                <w:szCs w:val="24"/>
                <w:lang w:val="en-US"/>
              </w:rPr>
              <w:t xml:space="preserve">Ekaterina V. </w:t>
            </w:r>
            <w:proofErr w:type="spellStart"/>
            <w:r>
              <w:rPr>
                <w:sz w:val="24"/>
                <w:szCs w:val="24"/>
                <w:lang w:val="en-US"/>
              </w:rPr>
              <w:t>Talalakina</w:t>
            </w:r>
            <w:proofErr w:type="spellEnd"/>
            <w:r>
              <w:rPr>
                <w:sz w:val="24"/>
                <w:szCs w:val="24"/>
                <w:lang w:val="en-US"/>
              </w:rPr>
              <w:t>, HSE</w:t>
            </w:r>
          </w:p>
          <w:p w:rsidR="004C268E" w:rsidRDefault="00533037" w:rsidP="00EC5F7E">
            <w:pPr>
              <w:spacing w:line="276" w:lineRule="auto"/>
              <w:rPr>
                <w:sz w:val="24"/>
                <w:szCs w:val="24"/>
                <w:lang w:val="en-US"/>
              </w:rPr>
            </w:pPr>
            <w:hyperlink r:id="rId7" w:history="1">
              <w:r w:rsidR="004C268E" w:rsidRPr="00B3713E">
                <w:rPr>
                  <w:rStyle w:val="a5"/>
                  <w:sz w:val="24"/>
                  <w:szCs w:val="24"/>
                  <w:lang w:val="en-US"/>
                </w:rPr>
                <w:t>http://www.hse.ru/en/staff/talalakina</w:t>
              </w:r>
            </w:hyperlink>
          </w:p>
          <w:p w:rsidR="004C268E" w:rsidRPr="00EC5F7E" w:rsidRDefault="004C268E" w:rsidP="00EC5F7E">
            <w:pPr>
              <w:spacing w:line="276" w:lineRule="auto"/>
              <w:rPr>
                <w:sz w:val="24"/>
                <w:szCs w:val="24"/>
                <w:lang w:val="en-US"/>
              </w:rPr>
            </w:pPr>
          </w:p>
        </w:tc>
      </w:tr>
      <w:tr w:rsidR="00EC5F7E" w:rsidRPr="00C051BF" w:rsidTr="002B46BC">
        <w:tc>
          <w:tcPr>
            <w:tcW w:w="1728" w:type="dxa"/>
          </w:tcPr>
          <w:p w:rsidR="00EC5F7E" w:rsidRPr="00EC5F7E" w:rsidRDefault="00EC5F7E" w:rsidP="00EC5F7E">
            <w:pPr>
              <w:spacing w:line="276" w:lineRule="auto"/>
              <w:rPr>
                <w:b/>
                <w:sz w:val="24"/>
                <w:szCs w:val="24"/>
                <w:lang w:val="en-US"/>
              </w:rPr>
            </w:pPr>
          </w:p>
        </w:tc>
        <w:tc>
          <w:tcPr>
            <w:tcW w:w="7843" w:type="dxa"/>
          </w:tcPr>
          <w:p w:rsidR="00EC5F7E" w:rsidRPr="00EC5F7E" w:rsidRDefault="00EC5F7E" w:rsidP="00EC5F7E">
            <w:pPr>
              <w:spacing w:line="276" w:lineRule="auto"/>
              <w:rPr>
                <w:sz w:val="24"/>
                <w:szCs w:val="24"/>
                <w:lang w:val="en-US"/>
              </w:rPr>
            </w:pPr>
          </w:p>
        </w:tc>
      </w:tr>
    </w:tbl>
    <w:p w:rsidR="00EC5F7E" w:rsidRDefault="00EC5F7E">
      <w:pPr>
        <w:rPr>
          <w:lang w:val="en-US"/>
        </w:rPr>
      </w:pPr>
    </w:p>
    <w:sectPr w:rsidR="00EC5F7E" w:rsidSect="00EA6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0E7D"/>
    <w:multiLevelType w:val="hybridMultilevel"/>
    <w:tmpl w:val="E59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5F1990"/>
    <w:multiLevelType w:val="hybridMultilevel"/>
    <w:tmpl w:val="AE580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5A32DF"/>
    <w:multiLevelType w:val="hybridMultilevel"/>
    <w:tmpl w:val="C5387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7E"/>
    <w:rsid w:val="00185969"/>
    <w:rsid w:val="002B46BC"/>
    <w:rsid w:val="004C268E"/>
    <w:rsid w:val="00533037"/>
    <w:rsid w:val="00943281"/>
    <w:rsid w:val="00C051BF"/>
    <w:rsid w:val="00EA67D1"/>
    <w:rsid w:val="00EC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F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C5F7E"/>
    <w:pPr>
      <w:ind w:left="720"/>
      <w:contextualSpacing/>
    </w:pPr>
  </w:style>
  <w:style w:type="character" w:styleId="a5">
    <w:name w:val="Hyperlink"/>
    <w:basedOn w:val="a0"/>
    <w:uiPriority w:val="99"/>
    <w:unhideWhenUsed/>
    <w:rsid w:val="004C268E"/>
    <w:rPr>
      <w:color w:val="0000FF" w:themeColor="hyperlink"/>
      <w:u w:val="single"/>
    </w:rPr>
  </w:style>
  <w:style w:type="paragraph" w:styleId="a6">
    <w:name w:val="Plain Text"/>
    <w:basedOn w:val="a"/>
    <w:link w:val="a7"/>
    <w:uiPriority w:val="99"/>
    <w:semiHidden/>
    <w:unhideWhenUsed/>
    <w:rsid w:val="00C051BF"/>
    <w:pPr>
      <w:spacing w:after="0" w:line="240" w:lineRule="auto"/>
    </w:pPr>
    <w:rPr>
      <w:rFonts w:ascii="Calibri" w:eastAsiaTheme="minorHAnsi" w:hAnsi="Calibri"/>
      <w:szCs w:val="21"/>
      <w:lang w:eastAsia="en-US"/>
    </w:rPr>
  </w:style>
  <w:style w:type="character" w:customStyle="1" w:styleId="a7">
    <w:name w:val="Текст Знак"/>
    <w:basedOn w:val="a0"/>
    <w:link w:val="a6"/>
    <w:uiPriority w:val="99"/>
    <w:semiHidden/>
    <w:rsid w:val="00C051BF"/>
    <w:rPr>
      <w:rFonts w:ascii="Calibri" w:eastAsiaTheme="minorHAnsi" w:hAnsi="Calibri"/>
      <w:szCs w:val="21"/>
      <w:lang w:eastAsia="en-US"/>
    </w:rPr>
  </w:style>
  <w:style w:type="character" w:styleId="a8">
    <w:name w:val="FollowedHyperlink"/>
    <w:basedOn w:val="a0"/>
    <w:uiPriority w:val="99"/>
    <w:semiHidden/>
    <w:unhideWhenUsed/>
    <w:rsid w:val="005330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F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C5F7E"/>
    <w:pPr>
      <w:ind w:left="720"/>
      <w:contextualSpacing/>
    </w:pPr>
  </w:style>
  <w:style w:type="character" w:styleId="a5">
    <w:name w:val="Hyperlink"/>
    <w:basedOn w:val="a0"/>
    <w:uiPriority w:val="99"/>
    <w:unhideWhenUsed/>
    <w:rsid w:val="004C268E"/>
    <w:rPr>
      <w:color w:val="0000FF" w:themeColor="hyperlink"/>
      <w:u w:val="single"/>
    </w:rPr>
  </w:style>
  <w:style w:type="paragraph" w:styleId="a6">
    <w:name w:val="Plain Text"/>
    <w:basedOn w:val="a"/>
    <w:link w:val="a7"/>
    <w:uiPriority w:val="99"/>
    <w:semiHidden/>
    <w:unhideWhenUsed/>
    <w:rsid w:val="00C051BF"/>
    <w:pPr>
      <w:spacing w:after="0" w:line="240" w:lineRule="auto"/>
    </w:pPr>
    <w:rPr>
      <w:rFonts w:ascii="Calibri" w:eastAsiaTheme="minorHAnsi" w:hAnsi="Calibri"/>
      <w:szCs w:val="21"/>
      <w:lang w:eastAsia="en-US"/>
    </w:rPr>
  </w:style>
  <w:style w:type="character" w:customStyle="1" w:styleId="a7">
    <w:name w:val="Текст Знак"/>
    <w:basedOn w:val="a0"/>
    <w:link w:val="a6"/>
    <w:uiPriority w:val="99"/>
    <w:semiHidden/>
    <w:rsid w:val="00C051BF"/>
    <w:rPr>
      <w:rFonts w:ascii="Calibri" w:eastAsiaTheme="minorHAnsi" w:hAnsi="Calibri"/>
      <w:szCs w:val="21"/>
      <w:lang w:eastAsia="en-US"/>
    </w:rPr>
  </w:style>
  <w:style w:type="character" w:styleId="a8">
    <w:name w:val="FollowedHyperlink"/>
    <w:basedOn w:val="a0"/>
    <w:uiPriority w:val="99"/>
    <w:semiHidden/>
    <w:unhideWhenUsed/>
    <w:rsid w:val="00533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se.ru/en/staff/talalak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georgetown.edu/book/languages/mastering-russian-through-global-deb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2015-11-13T09:34:00Z</dcterms:created>
  <dcterms:modified xsi:type="dcterms:W3CDTF">2015-11-13T09:34:00Z</dcterms:modified>
</cp:coreProperties>
</file>