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1BD80" w14:textId="790BAD7C" w:rsidR="006E3AD3" w:rsidRPr="00C166A4" w:rsidRDefault="00DC0285" w:rsidP="00C16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C6807">
        <w:rPr>
          <w:rFonts w:ascii="Times New Roman" w:hAnsi="Times New Roman"/>
          <w:b/>
          <w:sz w:val="28"/>
          <w:u w:val="single"/>
        </w:rPr>
        <w:t>INFORMATION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32"/>
        </w:rPr>
        <w:t>on Insurance Contributions to the Pension Fund, Social Security Fund and Compulsory Medical Insurance Fund</w:t>
      </w:r>
      <w:r w:rsidR="00FD7832">
        <w:rPr>
          <w:rFonts w:ascii="Times New Roman" w:hAnsi="Times New Roman"/>
          <w:b/>
          <w:sz w:val="32"/>
        </w:rPr>
        <w:t xml:space="preserve"> of the Russian Federation,</w:t>
      </w:r>
      <w:r>
        <w:rPr>
          <w:rFonts w:ascii="Times New Roman" w:hAnsi="Times New Roman"/>
          <w:b/>
          <w:sz w:val="32"/>
        </w:rPr>
        <w:t xml:space="preserve"> Deducted from Payments to Individuals</w:t>
      </w:r>
    </w:p>
    <w:p w14:paraId="5EC3BF7E" w14:textId="77777777" w:rsidR="00266C9F" w:rsidRDefault="00266C9F" w:rsidP="0011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7240DFF" w14:textId="77777777" w:rsidR="00FC46FB" w:rsidRDefault="00FC46FB" w:rsidP="00EA08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D39C61B" w14:textId="77777777" w:rsidR="00FC46FB" w:rsidRDefault="00FC46FB" w:rsidP="00EA08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C71C4D0" w14:textId="77777777" w:rsidR="00FC46FB" w:rsidRDefault="00FC46FB" w:rsidP="00EA08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21C2AB0" w14:textId="6754E85D" w:rsidR="00266C9F" w:rsidRPr="00185278" w:rsidRDefault="00EA086F" w:rsidP="00EA08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Dear Colleagues!</w:t>
      </w:r>
    </w:p>
    <w:p w14:paraId="4E896076" w14:textId="77777777" w:rsidR="00FC46FB" w:rsidRDefault="00FC46FB" w:rsidP="00EA08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B8CD64" w14:textId="500B6D20" w:rsidR="0018447F" w:rsidRDefault="00EA086F" w:rsidP="0011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The information given below is based on Russian legislation. </w:t>
      </w:r>
    </w:p>
    <w:p w14:paraId="5B6D5F00" w14:textId="67DD3225" w:rsidR="00FC46FB" w:rsidRDefault="00231FCC" w:rsidP="0011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Here we </w:t>
      </w:r>
      <w:r w:rsidR="00001273">
        <w:rPr>
          <w:rFonts w:ascii="Times New Roman" w:hAnsi="Times New Roman"/>
          <w:sz w:val="28"/>
        </w:rPr>
        <w:t xml:space="preserve">provide you with a summary of Russian legislation on </w:t>
      </w:r>
      <w:r w:rsidR="00BA7EF0">
        <w:rPr>
          <w:rFonts w:ascii="Times New Roman" w:hAnsi="Times New Roman"/>
          <w:sz w:val="28"/>
        </w:rPr>
        <w:t>compulsory insurance contributions</w:t>
      </w:r>
      <w:r w:rsidR="00001273">
        <w:rPr>
          <w:rFonts w:ascii="Times New Roman" w:hAnsi="Times New Roman"/>
          <w:sz w:val="28"/>
        </w:rPr>
        <w:t xml:space="preserve">, as Russian </w:t>
      </w:r>
      <w:r w:rsidR="00220773">
        <w:rPr>
          <w:rFonts w:ascii="Times New Roman" w:hAnsi="Times New Roman"/>
          <w:sz w:val="28"/>
        </w:rPr>
        <w:t xml:space="preserve">law </w:t>
      </w:r>
      <w:r w:rsidR="00001273">
        <w:rPr>
          <w:rFonts w:ascii="Times New Roman" w:hAnsi="Times New Roman"/>
          <w:sz w:val="28"/>
        </w:rPr>
        <w:t xml:space="preserve">in this regard </w:t>
      </w:r>
      <w:proofErr w:type="gramStart"/>
      <w:r w:rsidR="00001273">
        <w:rPr>
          <w:rFonts w:ascii="Times New Roman" w:hAnsi="Times New Roman"/>
          <w:sz w:val="28"/>
        </w:rPr>
        <w:t>is</w:t>
      </w:r>
      <w:proofErr w:type="gramEnd"/>
      <w:r w:rsidR="00001273">
        <w:rPr>
          <w:rFonts w:ascii="Times New Roman" w:hAnsi="Times New Roman"/>
          <w:sz w:val="28"/>
        </w:rPr>
        <w:t xml:space="preserve"> rather bulky. We have grouped relevant regulatory provisions, depending on </w:t>
      </w:r>
      <w:r>
        <w:rPr>
          <w:rFonts w:ascii="Times New Roman" w:hAnsi="Times New Roman"/>
          <w:sz w:val="28"/>
        </w:rPr>
        <w:t xml:space="preserve">an </w:t>
      </w:r>
      <w:r w:rsidR="00001273">
        <w:rPr>
          <w:rFonts w:ascii="Times New Roman" w:hAnsi="Times New Roman"/>
          <w:sz w:val="28"/>
        </w:rPr>
        <w:t>individual’s citizenship, migration status, legal and residential status, as well as place of employment. This summary has been prepared in order to</w:t>
      </w:r>
      <w:r w:rsidR="00BA7EF0">
        <w:rPr>
          <w:rFonts w:ascii="Times New Roman" w:hAnsi="Times New Roman"/>
          <w:sz w:val="28"/>
        </w:rPr>
        <w:t xml:space="preserve"> </w:t>
      </w:r>
      <w:r w:rsidR="00FC46FB">
        <w:rPr>
          <w:rFonts w:ascii="Times New Roman" w:hAnsi="Times New Roman"/>
          <w:sz w:val="28"/>
        </w:rPr>
        <w:t>provide you with an idea of</w:t>
      </w:r>
      <w:r w:rsidR="00433E00">
        <w:rPr>
          <w:rFonts w:ascii="Times New Roman" w:hAnsi="Times New Roman"/>
          <w:sz w:val="28"/>
        </w:rPr>
        <w:t xml:space="preserve"> the relevant</w:t>
      </w:r>
      <w:r w:rsidR="00FC46FB">
        <w:rPr>
          <w:rFonts w:ascii="Times New Roman" w:hAnsi="Times New Roman"/>
          <w:sz w:val="28"/>
        </w:rPr>
        <w:t xml:space="preserve"> Russian legislation and give you the opportunity to estimate the </w:t>
      </w:r>
      <w:r w:rsidR="00433E00">
        <w:rPr>
          <w:rFonts w:ascii="Times New Roman" w:hAnsi="Times New Roman"/>
          <w:sz w:val="28"/>
        </w:rPr>
        <w:t xml:space="preserve">size </w:t>
      </w:r>
      <w:r w:rsidR="00FC46FB">
        <w:rPr>
          <w:rFonts w:ascii="Times New Roman" w:hAnsi="Times New Roman"/>
          <w:sz w:val="28"/>
        </w:rPr>
        <w:t xml:space="preserve">of your social insurance contributions. </w:t>
      </w:r>
    </w:p>
    <w:p w14:paraId="0AF13F4D" w14:textId="6D72B5E5" w:rsidR="00EA086F" w:rsidRDefault="00001273" w:rsidP="0011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Since certain nuances still exist in some cases, we are always ready to consider any particular cases in order to produce precise calculations for you.</w:t>
      </w:r>
    </w:p>
    <w:p w14:paraId="653D7261" w14:textId="579C2953" w:rsidR="0031472E" w:rsidRDefault="00FC46FB" w:rsidP="0011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For more details about your insurance payments, please </w:t>
      </w:r>
      <w:r w:rsidR="00231FCC">
        <w:rPr>
          <w:rFonts w:ascii="Times New Roman" w:hAnsi="Times New Roman"/>
          <w:sz w:val="28"/>
        </w:rPr>
        <w:t>contact</w:t>
      </w:r>
      <w:r>
        <w:rPr>
          <w:rFonts w:ascii="Times New Roman" w:hAnsi="Times New Roman"/>
          <w:sz w:val="28"/>
        </w:rPr>
        <w:t>:</w:t>
      </w:r>
    </w:p>
    <w:p w14:paraId="2F217E08" w14:textId="77777777" w:rsidR="000D27CC" w:rsidRDefault="000D27CC" w:rsidP="0011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7E7041" w14:textId="77777777" w:rsidR="0031472E" w:rsidRDefault="0031472E" w:rsidP="003147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HSE Deputy Chief Accountant</w:t>
      </w:r>
    </w:p>
    <w:p w14:paraId="7ABC9287" w14:textId="6DEA4A65" w:rsidR="0031472E" w:rsidRPr="007C6888" w:rsidRDefault="0031472E" w:rsidP="0031472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u w:val="single"/>
        </w:rPr>
        <w:t>Yulia Kushnarenko</w:t>
      </w:r>
    </w:p>
    <w:p w14:paraId="5034E5CC" w14:textId="503EA4C8" w:rsidR="0031472E" w:rsidRDefault="0031472E" w:rsidP="0031472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Tel.: (495) 772-95-90, ext. 12520</w:t>
      </w:r>
    </w:p>
    <w:p w14:paraId="077F064D" w14:textId="77777777" w:rsidR="000D27CC" w:rsidRPr="0031472E" w:rsidRDefault="000D27CC" w:rsidP="0031472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719A21" w14:textId="64F78A3C" w:rsidR="000D27CC" w:rsidRDefault="000D27CC" w:rsidP="000D27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Head of Salary Payments and Settlements under Independent Contractor Agreements Unit, HSE Accounting Office</w:t>
      </w:r>
    </w:p>
    <w:p w14:paraId="230F898B" w14:textId="4F32A52D" w:rsidR="00FC46FB" w:rsidRPr="000D27CC" w:rsidRDefault="00FC46FB" w:rsidP="000D27CC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u w:val="single"/>
        </w:rPr>
        <w:t>Marina Klimova</w:t>
      </w:r>
    </w:p>
    <w:p w14:paraId="07C43719" w14:textId="19A79EF2" w:rsidR="00FC46FB" w:rsidRPr="00FC46FB" w:rsidRDefault="00FC46FB" w:rsidP="000D27CC">
      <w:pPr>
        <w:autoSpaceDE w:val="0"/>
        <w:autoSpaceDN w:val="0"/>
        <w:adjustRightInd w:val="0"/>
        <w:spacing w:after="0" w:line="240" w:lineRule="auto"/>
        <w:ind w:left="19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Tel.: +7 (495) 62-44-77</w:t>
      </w:r>
    </w:p>
    <w:p w14:paraId="64161AD4" w14:textId="77777777" w:rsidR="00EA086F" w:rsidRDefault="00EA086F" w:rsidP="0011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14F4777" w14:textId="77777777" w:rsidR="00FC46FB" w:rsidRDefault="00FC46F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br w:type="page"/>
      </w:r>
    </w:p>
    <w:p w14:paraId="09AB719F" w14:textId="1BD5D7C4" w:rsidR="005B5C16" w:rsidRDefault="00EC4E37" w:rsidP="0011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HSE</w:t>
      </w:r>
      <w:r w:rsidR="007A059E">
        <w:rPr>
          <w:rFonts w:ascii="Times New Roman" w:hAnsi="Times New Roman"/>
          <w:sz w:val="28"/>
        </w:rPr>
        <w:t xml:space="preserve"> is the </w:t>
      </w:r>
      <w:r w:rsidR="007A059E">
        <w:rPr>
          <w:rFonts w:ascii="Times New Roman" w:hAnsi="Times New Roman"/>
          <w:b/>
          <w:sz w:val="28"/>
          <w:u w:val="single"/>
        </w:rPr>
        <w:t>payer</w:t>
      </w:r>
      <w:r w:rsidR="007A059E">
        <w:rPr>
          <w:rFonts w:ascii="Times New Roman" w:hAnsi="Times New Roman"/>
          <w:b/>
          <w:sz w:val="28"/>
        </w:rPr>
        <w:t xml:space="preserve"> </w:t>
      </w:r>
      <w:r w:rsidR="007A059E">
        <w:rPr>
          <w:rFonts w:ascii="Times New Roman" w:hAnsi="Times New Roman"/>
          <w:sz w:val="28"/>
        </w:rPr>
        <w:t xml:space="preserve">of all mandatory social insurance contributions, pursuant to Russian legislation, as the legal entity </w:t>
      </w:r>
      <w:r w:rsidR="00C05383">
        <w:rPr>
          <w:rFonts w:ascii="Times New Roman" w:hAnsi="Times New Roman"/>
          <w:sz w:val="28"/>
        </w:rPr>
        <w:t xml:space="preserve">which </w:t>
      </w:r>
      <w:r w:rsidR="007A059E">
        <w:rPr>
          <w:rFonts w:ascii="Times New Roman" w:hAnsi="Times New Roman"/>
          <w:sz w:val="28"/>
        </w:rPr>
        <w:t>pay</w:t>
      </w:r>
      <w:r w:rsidR="00C05383">
        <w:rPr>
          <w:rFonts w:ascii="Times New Roman" w:hAnsi="Times New Roman"/>
          <w:sz w:val="28"/>
        </w:rPr>
        <w:t>s</w:t>
      </w:r>
      <w:r w:rsidR="007A059E">
        <w:rPr>
          <w:rFonts w:ascii="Times New Roman" w:hAnsi="Times New Roman"/>
          <w:sz w:val="28"/>
        </w:rPr>
        <w:t xml:space="preserve"> wages and other remunerations to individuals</w:t>
      </w:r>
      <w:r w:rsidR="007A059E">
        <w:rPr>
          <w:rStyle w:val="a6"/>
          <w:rFonts w:ascii="Times New Roman" w:hAnsi="Times New Roman"/>
          <w:sz w:val="28"/>
        </w:rPr>
        <w:footnoteReference w:id="1"/>
      </w:r>
      <w:r w:rsidR="007A059E">
        <w:rPr>
          <w:rFonts w:ascii="Times New Roman" w:hAnsi="Times New Roman"/>
          <w:sz w:val="28"/>
        </w:rPr>
        <w:t>.</w:t>
      </w:r>
    </w:p>
    <w:p w14:paraId="71A7CAC6" w14:textId="375AAB20" w:rsidR="00CF0411" w:rsidRPr="00CF0411" w:rsidRDefault="00193E2A" w:rsidP="0011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/>
        </w:rPr>
        <w:t>All Russian citizens</w:t>
      </w:r>
      <w:r>
        <w:rPr>
          <w:rFonts w:ascii="Times New Roman" w:hAnsi="Times New Roman"/>
          <w:sz w:val="28"/>
        </w:rPr>
        <w:t xml:space="preserve">, employed at HSE under employment or individual contractor agreements for provision of works and (or) services, </w:t>
      </w:r>
      <w:r>
        <w:rPr>
          <w:rFonts w:ascii="Times New Roman" w:hAnsi="Times New Roman"/>
          <w:b/>
          <w:sz w:val="28"/>
          <w:u w:val="single"/>
        </w:rPr>
        <w:t xml:space="preserve">irrespective of their workplace location, in Russia or abroad, shall be </w:t>
      </w:r>
      <w:r w:rsidRPr="002E0B3A">
        <w:rPr>
          <w:rFonts w:ascii="Times New Roman" w:hAnsi="Times New Roman"/>
          <w:b/>
          <w:sz w:val="28"/>
          <w:u w:val="single"/>
        </w:rPr>
        <w:t>eligible</w:t>
      </w:r>
      <w:r w:rsidRPr="00A65C2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for </w:t>
      </w:r>
      <w:r w:rsidR="002E0B3A">
        <w:rPr>
          <w:rFonts w:ascii="Times New Roman" w:hAnsi="Times New Roman"/>
          <w:sz w:val="28"/>
        </w:rPr>
        <w:t xml:space="preserve">the </w:t>
      </w:r>
      <w:r>
        <w:rPr>
          <w:rFonts w:ascii="Times New Roman" w:hAnsi="Times New Roman"/>
          <w:sz w:val="28"/>
        </w:rPr>
        <w:t xml:space="preserve">types of compulsory insurance, </w:t>
      </w:r>
      <w:r w:rsidR="00433E00">
        <w:rPr>
          <w:rFonts w:ascii="Times New Roman" w:hAnsi="Times New Roman"/>
          <w:sz w:val="28"/>
        </w:rPr>
        <w:t xml:space="preserve">as </w:t>
      </w:r>
      <w:r>
        <w:rPr>
          <w:rFonts w:ascii="Times New Roman" w:hAnsi="Times New Roman"/>
          <w:sz w:val="28"/>
        </w:rPr>
        <w:t>detailed in Table 1</w:t>
      </w:r>
      <w:r w:rsidR="002E0B3A">
        <w:rPr>
          <w:rFonts w:ascii="Times New Roman" w:hAnsi="Times New Roman"/>
          <w:sz w:val="28"/>
        </w:rPr>
        <w:t>, including</w:t>
      </w:r>
      <w:r>
        <w:rPr>
          <w:rFonts w:ascii="Times New Roman" w:hAnsi="Times New Roman"/>
          <w:sz w:val="28"/>
        </w:rPr>
        <w:t xml:space="preserve">: </w:t>
      </w:r>
    </w:p>
    <w:p w14:paraId="4D1AF99A" w14:textId="196CB995" w:rsidR="00CF0411" w:rsidRDefault="00CF0411" w:rsidP="0003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 compulsory pension insurance, pursuant to Federal Law No. 167-FZ</w:t>
      </w:r>
      <w:r w:rsidR="00433E00">
        <w:rPr>
          <w:rFonts w:ascii="Times New Roman" w:hAnsi="Times New Roman"/>
          <w:sz w:val="28"/>
        </w:rPr>
        <w:t xml:space="preserve"> </w:t>
      </w:r>
      <w:r w:rsidR="00A567ED">
        <w:rPr>
          <w:rFonts w:ascii="Times New Roman" w:hAnsi="Times New Roman"/>
          <w:sz w:val="28"/>
        </w:rPr>
        <w:t>“On Mandatory Pension Insurance in the Russian Federation",</w:t>
      </w:r>
      <w:r>
        <w:rPr>
          <w:rFonts w:ascii="Times New Roman" w:hAnsi="Times New Roman"/>
          <w:sz w:val="28"/>
        </w:rPr>
        <w:t xml:space="preserve"> dated December 15, 2001 </w:t>
      </w:r>
    </w:p>
    <w:p w14:paraId="1EE66389" w14:textId="7B1835DC" w:rsidR="008D1919" w:rsidRPr="008D1919" w:rsidRDefault="008D1919" w:rsidP="008D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 compulsory medical insurance, pursuant to Federal Law No. 326-FZ</w:t>
      </w:r>
      <w:r w:rsidR="00A567ED">
        <w:rPr>
          <w:rFonts w:ascii="Times New Roman" w:hAnsi="Times New Roman"/>
          <w:sz w:val="28"/>
        </w:rPr>
        <w:t xml:space="preserve"> “On Mandatory Medical Insurance in the Russian Federation",</w:t>
      </w:r>
      <w:r>
        <w:rPr>
          <w:rFonts w:ascii="Times New Roman" w:hAnsi="Times New Roman"/>
          <w:sz w:val="28"/>
        </w:rPr>
        <w:t xml:space="preserve"> dated November 29, 2010;</w:t>
      </w:r>
    </w:p>
    <w:p w14:paraId="07854967" w14:textId="6AD7239E" w:rsidR="00CF0411" w:rsidRPr="00CF0411" w:rsidRDefault="00CF0411" w:rsidP="0003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 compulsory social insurance in case of temporary disability and maternity, pursuant to Federal Law No. 255-FZ</w:t>
      </w:r>
      <w:r w:rsidR="00A567ED">
        <w:rPr>
          <w:rFonts w:ascii="Times New Roman" w:hAnsi="Times New Roman"/>
          <w:sz w:val="28"/>
        </w:rPr>
        <w:t>, "On Mandatory Social Insurance in Case of Temporary Disability and Maternity",</w:t>
      </w:r>
      <w:r>
        <w:rPr>
          <w:rFonts w:ascii="Times New Roman" w:hAnsi="Times New Roman"/>
          <w:sz w:val="28"/>
        </w:rPr>
        <w:t xml:space="preserve"> dated December 29, 2006.</w:t>
      </w:r>
    </w:p>
    <w:p w14:paraId="07921C25" w14:textId="77777777" w:rsidR="00433E00" w:rsidRDefault="00433E00" w:rsidP="00A65C21">
      <w:pPr>
        <w:spacing w:after="0" w:line="240" w:lineRule="auto"/>
        <w:rPr>
          <w:rFonts w:ascii="Times New Roman" w:hAnsi="Times New Roman"/>
          <w:sz w:val="28"/>
        </w:rPr>
      </w:pPr>
    </w:p>
    <w:p w14:paraId="1F5DA499" w14:textId="2FA1508A" w:rsidR="007A059E" w:rsidRDefault="007A059E" w:rsidP="00A65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Table 1</w:t>
      </w:r>
    </w:p>
    <w:tbl>
      <w:tblPr>
        <w:tblW w:w="949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618"/>
        <w:gridCol w:w="1643"/>
        <w:gridCol w:w="2409"/>
        <w:gridCol w:w="1843"/>
      </w:tblGrid>
      <w:tr w:rsidR="007A059E" w:rsidRPr="00511D74" w14:paraId="2DD27F6C" w14:textId="77777777" w:rsidTr="000D13DF">
        <w:trPr>
          <w:trHeight w:val="532"/>
        </w:trPr>
        <w:tc>
          <w:tcPr>
            <w:tcW w:w="1985" w:type="dxa"/>
            <w:vMerge w:val="restart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80538D" w14:textId="5A7E5769" w:rsidR="007A059E" w:rsidRPr="00511D74" w:rsidRDefault="00971A16" w:rsidP="00217D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Citizen</w:t>
            </w:r>
            <w:r w:rsidR="00433E00">
              <w:rPr>
                <w:rFonts w:ascii="Times New Roman" w:hAnsi="Times New Roman"/>
                <w:b/>
                <w:sz w:val="20"/>
              </w:rPr>
              <w:t xml:space="preserve">’s </w:t>
            </w:r>
            <w:r w:rsidR="002D154C">
              <w:rPr>
                <w:rFonts w:ascii="Times New Roman" w:hAnsi="Times New Roman"/>
                <w:b/>
                <w:sz w:val="20"/>
              </w:rPr>
              <w:t>s</w:t>
            </w:r>
            <w:r w:rsidR="007A059E">
              <w:rPr>
                <w:rFonts w:ascii="Times New Roman" w:hAnsi="Times New Roman"/>
                <w:b/>
                <w:sz w:val="20"/>
              </w:rPr>
              <w:t>tatus</w:t>
            </w:r>
          </w:p>
          <w:p w14:paraId="64123D7C" w14:textId="4B9B41A8" w:rsidR="007A059E" w:rsidRPr="00511D74" w:rsidRDefault="007A059E" w:rsidP="00511D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13" w:type="dxa"/>
            <w:gridSpan w:val="4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CDA227" w14:textId="77777777" w:rsidR="007A059E" w:rsidRPr="00511D74" w:rsidRDefault="007A059E" w:rsidP="00217D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Insurance contributions remitted to the following federal funds:</w:t>
            </w:r>
          </w:p>
        </w:tc>
      </w:tr>
      <w:tr w:rsidR="007A059E" w:rsidRPr="00511D74" w14:paraId="49DC8AB2" w14:textId="77777777" w:rsidTr="000D13DF">
        <w:trPr>
          <w:trHeight w:val="2059"/>
        </w:trPr>
        <w:tc>
          <w:tcPr>
            <w:tcW w:w="1985" w:type="dxa"/>
            <w:vMerge/>
            <w:shd w:val="clear" w:color="auto" w:fill="FFFFFF"/>
            <w:vAlign w:val="center"/>
            <w:hideMark/>
          </w:tcPr>
          <w:p w14:paraId="7F6F101F" w14:textId="77777777" w:rsidR="007A059E" w:rsidRPr="00511D74" w:rsidRDefault="007A059E" w:rsidP="00217D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18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CA76D0" w14:textId="77777777" w:rsidR="007A059E" w:rsidRPr="00511D74" w:rsidRDefault="007A059E" w:rsidP="00D82B7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compulsory pension insurance contributions (Pension Fund of the Russian Federation)</w:t>
            </w:r>
          </w:p>
        </w:tc>
        <w:tc>
          <w:tcPr>
            <w:tcW w:w="1643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3CE5A7" w14:textId="77777777" w:rsidR="007A059E" w:rsidRPr="00511D74" w:rsidRDefault="007A059E" w:rsidP="00217D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compulsory medical insurance contributions (Federal Compulsory Medical Insurance Fund)</w:t>
            </w:r>
          </w:p>
        </w:tc>
        <w:tc>
          <w:tcPr>
            <w:tcW w:w="2409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42F436" w14:textId="77777777" w:rsidR="007A059E" w:rsidRPr="00511D74" w:rsidRDefault="007A059E" w:rsidP="00217D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compulsory social insurance in case of temporary disability and maternity (Social Security Fund)</w:t>
            </w:r>
          </w:p>
        </w:tc>
        <w:tc>
          <w:tcPr>
            <w:tcW w:w="1843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9F8C76" w14:textId="73D74EE6" w:rsidR="007A059E" w:rsidRPr="00511D74" w:rsidRDefault="007A059E" w:rsidP="004F5C1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compulsory social insurance against disability caused by </w:t>
            </w:r>
            <w:r w:rsidR="00AD722B">
              <w:rPr>
                <w:rFonts w:ascii="Times New Roman" w:hAnsi="Times New Roman"/>
                <w:b/>
                <w:sz w:val="20"/>
              </w:rPr>
              <w:t xml:space="preserve">workplace </w:t>
            </w:r>
            <w:r>
              <w:rPr>
                <w:rFonts w:ascii="Times New Roman" w:hAnsi="Times New Roman"/>
                <w:b/>
                <w:sz w:val="20"/>
              </w:rPr>
              <w:t xml:space="preserve">accidents and occupational </w:t>
            </w:r>
            <w:r w:rsidR="00AD722B">
              <w:rPr>
                <w:rFonts w:ascii="Times New Roman" w:hAnsi="Times New Roman"/>
                <w:b/>
                <w:sz w:val="20"/>
              </w:rPr>
              <w:t xml:space="preserve">ailments </w:t>
            </w:r>
            <w:r>
              <w:rPr>
                <w:rFonts w:ascii="Times New Roman" w:hAnsi="Times New Roman"/>
                <w:b/>
                <w:sz w:val="20"/>
              </w:rPr>
              <w:t>(Social Security Fund)</w:t>
            </w:r>
          </w:p>
        </w:tc>
      </w:tr>
      <w:tr w:rsidR="007A059E" w:rsidRPr="00D846B6" w14:paraId="551A020B" w14:textId="77777777" w:rsidTr="000D13DF">
        <w:trPr>
          <w:trHeight w:val="606"/>
        </w:trPr>
        <w:tc>
          <w:tcPr>
            <w:tcW w:w="198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1A402" w14:textId="4E56593D" w:rsidR="007A059E" w:rsidRPr="0027474F" w:rsidRDefault="00112F73" w:rsidP="00323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Russian citizen</w:t>
            </w:r>
            <w:r>
              <w:rPr>
                <w:rStyle w:val="a6"/>
                <w:rFonts w:ascii="Times New Roman" w:hAnsi="Times New Roman"/>
                <w:b/>
                <w:sz w:val="24"/>
              </w:rPr>
              <w:footnoteReference w:id="2"/>
            </w:r>
          </w:p>
        </w:tc>
        <w:tc>
          <w:tcPr>
            <w:tcW w:w="16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BDB64C" w14:textId="77777777" w:rsidR="007A059E" w:rsidRPr="0027474F" w:rsidRDefault="007A059E" w:rsidP="00323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22%</w:t>
            </w:r>
            <w:r>
              <w:rPr>
                <w:rStyle w:val="a6"/>
                <w:rFonts w:ascii="Times New Roman" w:hAnsi="Times New Roman"/>
                <w:b/>
                <w:sz w:val="24"/>
              </w:rPr>
              <w:footnoteReference w:id="3"/>
            </w:r>
          </w:p>
        </w:tc>
        <w:tc>
          <w:tcPr>
            <w:tcW w:w="164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0745B8" w14:textId="77777777" w:rsidR="007A059E" w:rsidRPr="0027474F" w:rsidRDefault="007A059E" w:rsidP="00323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5.1%</w:t>
            </w:r>
          </w:p>
        </w:tc>
        <w:tc>
          <w:tcPr>
            <w:tcW w:w="240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A81F5" w14:textId="77777777" w:rsidR="007A059E" w:rsidRPr="0027474F" w:rsidRDefault="007A059E" w:rsidP="00323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2.9%</w:t>
            </w:r>
            <w:r>
              <w:rPr>
                <w:rStyle w:val="a6"/>
                <w:rFonts w:ascii="Times New Roman" w:hAnsi="Times New Roman"/>
                <w:b/>
                <w:sz w:val="24"/>
              </w:rPr>
              <w:footnoteReference w:id="4"/>
            </w:r>
          </w:p>
        </w:tc>
        <w:tc>
          <w:tcPr>
            <w:tcW w:w="184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284CDF" w14:textId="25FAC8D0" w:rsidR="007A059E" w:rsidRPr="0027474F" w:rsidRDefault="007A059E" w:rsidP="004F5C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  <w:r w:rsidR="00AD722B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2%</w:t>
            </w:r>
          </w:p>
        </w:tc>
      </w:tr>
    </w:tbl>
    <w:p w14:paraId="0E3807EB" w14:textId="77777777" w:rsidR="00511D74" w:rsidRDefault="00511D7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br w:type="page"/>
      </w:r>
    </w:p>
    <w:p w14:paraId="1AAC0758" w14:textId="21F421EF" w:rsidR="000365DD" w:rsidRDefault="00193E2A" w:rsidP="00036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All foreign citizens and (or) stateless persons</w:t>
      </w:r>
      <w:r>
        <w:rPr>
          <w:rFonts w:ascii="Times New Roman" w:hAnsi="Times New Roman"/>
          <w:sz w:val="28"/>
        </w:rPr>
        <w:t xml:space="preserve"> employed at HSE under employment or individual contractor agreements for</w:t>
      </w:r>
      <w:r w:rsidR="005034F4">
        <w:rPr>
          <w:rFonts w:ascii="Times New Roman" w:hAnsi="Times New Roman"/>
          <w:sz w:val="28"/>
        </w:rPr>
        <w:t xml:space="preserve"> the</w:t>
      </w:r>
      <w:r>
        <w:rPr>
          <w:rFonts w:ascii="Times New Roman" w:hAnsi="Times New Roman"/>
          <w:sz w:val="28"/>
        </w:rPr>
        <w:t xml:space="preserve"> provision of works and (or) services and earning income at HSE </w:t>
      </w:r>
      <w:r>
        <w:rPr>
          <w:rFonts w:ascii="Times New Roman" w:hAnsi="Times New Roman"/>
          <w:b/>
          <w:sz w:val="28"/>
          <w:u w:val="single"/>
        </w:rPr>
        <w:t>during their employment in Russia shall be entitled to compulsory social insurance</w:t>
      </w:r>
      <w:r w:rsidRPr="00A65C2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Depending on migration status, the following rates </w:t>
      </w:r>
      <w:r w:rsidR="005034F4">
        <w:rPr>
          <w:rFonts w:ascii="Times New Roman" w:hAnsi="Times New Roman"/>
          <w:sz w:val="28"/>
        </w:rPr>
        <w:t xml:space="preserve">for </w:t>
      </w:r>
      <w:r>
        <w:rPr>
          <w:rFonts w:ascii="Times New Roman" w:hAnsi="Times New Roman"/>
          <w:sz w:val="28"/>
        </w:rPr>
        <w:t xml:space="preserve">compulsory insurance contributions shall be applicable to </w:t>
      </w:r>
      <w:r w:rsidR="005034F4">
        <w:rPr>
          <w:rFonts w:ascii="Times New Roman" w:hAnsi="Times New Roman"/>
          <w:sz w:val="28"/>
        </w:rPr>
        <w:t>income</w:t>
      </w:r>
      <w:r>
        <w:rPr>
          <w:rFonts w:ascii="Times New Roman" w:hAnsi="Times New Roman"/>
          <w:sz w:val="28"/>
        </w:rPr>
        <w:t xml:space="preserve"> earned by foreign citizens and (or) stateless persons</w:t>
      </w:r>
      <w:r w:rsidR="007B6BCA">
        <w:rPr>
          <w:rFonts w:ascii="Times New Roman" w:hAnsi="Times New Roman"/>
          <w:sz w:val="28"/>
        </w:rPr>
        <w:t xml:space="preserve"> in Russia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with </w:t>
      </w:r>
      <w:r w:rsidR="00E3344C">
        <w:rPr>
          <w:rFonts w:ascii="Times New Roman" w:hAnsi="Times New Roman"/>
          <w:b/>
          <w:sz w:val="28"/>
        </w:rPr>
        <w:t xml:space="preserve">the </w:t>
      </w:r>
      <w:r>
        <w:rPr>
          <w:rFonts w:ascii="Times New Roman" w:hAnsi="Times New Roman"/>
          <w:b/>
          <w:sz w:val="28"/>
        </w:rPr>
        <w:t xml:space="preserve">exception of highly qualified specialists (hereafter, </w:t>
      </w:r>
      <w:r w:rsidR="005034F4">
        <w:rPr>
          <w:rFonts w:ascii="Times New Roman" w:hAnsi="Times New Roman"/>
          <w:b/>
          <w:sz w:val="28"/>
        </w:rPr>
        <w:t>“</w:t>
      </w:r>
      <w:r>
        <w:rPr>
          <w:rFonts w:ascii="Times New Roman" w:hAnsi="Times New Roman"/>
          <w:b/>
          <w:sz w:val="28"/>
        </w:rPr>
        <w:t>HQS</w:t>
      </w:r>
      <w:r w:rsidR="005034F4">
        <w:rPr>
          <w:rFonts w:ascii="Times New Roman" w:hAnsi="Times New Roman"/>
          <w:b/>
          <w:sz w:val="28"/>
        </w:rPr>
        <w:t>”</w:t>
      </w:r>
      <w:r>
        <w:rPr>
          <w:rFonts w:ascii="Times New Roman" w:hAnsi="Times New Roman"/>
          <w:b/>
          <w:sz w:val="28"/>
        </w:rPr>
        <w:t>)</w:t>
      </w:r>
      <w:r>
        <w:rPr>
          <w:rFonts w:ascii="Times New Roman" w:hAnsi="Times New Roman"/>
          <w:sz w:val="28"/>
        </w:rPr>
        <w:t xml:space="preserve">: </w:t>
      </w:r>
    </w:p>
    <w:tbl>
      <w:tblPr>
        <w:tblW w:w="944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459"/>
        <w:gridCol w:w="1401"/>
        <w:gridCol w:w="1625"/>
        <w:gridCol w:w="1418"/>
      </w:tblGrid>
      <w:tr w:rsidR="000365DD" w:rsidRPr="00DC2B66" w14:paraId="190227DA" w14:textId="77777777" w:rsidTr="00B04D5A">
        <w:trPr>
          <w:trHeight w:val="373"/>
        </w:trPr>
        <w:tc>
          <w:tcPr>
            <w:tcW w:w="3544" w:type="dxa"/>
            <w:vMerge w:val="restart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A28D77" w14:textId="77777777" w:rsidR="000365DD" w:rsidRPr="00511D74" w:rsidRDefault="000365DD" w:rsidP="00217D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Status</w:t>
            </w:r>
          </w:p>
          <w:p w14:paraId="7B19E78B" w14:textId="335578E7" w:rsidR="000365DD" w:rsidRPr="00511D74" w:rsidRDefault="000365DD" w:rsidP="00217D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of foreign citizen or stateless person </w:t>
            </w:r>
          </w:p>
        </w:tc>
        <w:tc>
          <w:tcPr>
            <w:tcW w:w="5903" w:type="dxa"/>
            <w:gridSpan w:val="4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D4AD1E" w14:textId="77777777" w:rsidR="000365DD" w:rsidRPr="00511D74" w:rsidRDefault="000365DD" w:rsidP="00217D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Insurance contributions remitted to the following federal funds:</w:t>
            </w:r>
          </w:p>
        </w:tc>
      </w:tr>
      <w:tr w:rsidR="000365DD" w:rsidRPr="00DC2B66" w14:paraId="35C46C96" w14:textId="77777777" w:rsidTr="00C42D04">
        <w:trPr>
          <w:trHeight w:val="1347"/>
        </w:trPr>
        <w:tc>
          <w:tcPr>
            <w:tcW w:w="3544" w:type="dxa"/>
            <w:vMerge/>
            <w:shd w:val="clear" w:color="auto" w:fill="FFFFFF"/>
            <w:vAlign w:val="center"/>
            <w:hideMark/>
          </w:tcPr>
          <w:p w14:paraId="02BF8268" w14:textId="77777777" w:rsidR="000365DD" w:rsidRPr="00511D74" w:rsidRDefault="000365DD" w:rsidP="00217D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9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FA89B4" w14:textId="44D899F4" w:rsidR="000365DD" w:rsidRPr="00511D74" w:rsidRDefault="000365DD" w:rsidP="00217D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compulsory pension insurance contributions (Pension Fund of the Russian Federation)</w:t>
            </w:r>
            <w:r>
              <w:rPr>
                <w:rStyle w:val="a6"/>
                <w:rFonts w:ascii="Times New Roman" w:hAnsi="Times New Roman"/>
                <w:b/>
                <w:sz w:val="20"/>
              </w:rPr>
              <w:footnoteReference w:id="5"/>
            </w:r>
          </w:p>
          <w:p w14:paraId="31818188" w14:textId="77777777" w:rsidR="000365DD" w:rsidRPr="00511D74" w:rsidRDefault="000365DD" w:rsidP="00217D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01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52FF49" w14:textId="77777777" w:rsidR="000365DD" w:rsidRPr="00511D74" w:rsidRDefault="000365DD" w:rsidP="00217D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compulsory medical insurance contributions (Federal Compulsory Medical Insurance Fund)</w:t>
            </w:r>
          </w:p>
        </w:tc>
        <w:tc>
          <w:tcPr>
            <w:tcW w:w="1625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869A7" w14:textId="77085D74" w:rsidR="000365DD" w:rsidRPr="00511D74" w:rsidRDefault="000365DD" w:rsidP="00217D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compulsory social insurance in case of temporary disability and maternity (Social Security Fund)</w:t>
            </w:r>
            <w:r>
              <w:rPr>
                <w:rStyle w:val="a6"/>
                <w:rFonts w:ascii="Times New Roman" w:hAnsi="Times New Roman"/>
                <w:b/>
                <w:sz w:val="20"/>
              </w:rPr>
              <w:footnoteReference w:id="6"/>
            </w:r>
          </w:p>
        </w:tc>
        <w:tc>
          <w:tcPr>
            <w:tcW w:w="1418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99EA76" w14:textId="77F049B2" w:rsidR="000365DD" w:rsidRPr="00511D74" w:rsidRDefault="000365DD" w:rsidP="004F5C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compulsory social insurance against disability caused by </w:t>
            </w:r>
            <w:r w:rsidR="00E3344C">
              <w:rPr>
                <w:rFonts w:ascii="Times New Roman" w:hAnsi="Times New Roman"/>
                <w:b/>
                <w:sz w:val="20"/>
              </w:rPr>
              <w:t xml:space="preserve">workplace </w:t>
            </w:r>
            <w:r>
              <w:rPr>
                <w:rFonts w:ascii="Times New Roman" w:hAnsi="Times New Roman"/>
                <w:b/>
                <w:sz w:val="20"/>
              </w:rPr>
              <w:t xml:space="preserve">accidents and occupational </w:t>
            </w:r>
            <w:r w:rsidR="00E3344C">
              <w:rPr>
                <w:rFonts w:ascii="Times New Roman" w:hAnsi="Times New Roman"/>
                <w:b/>
                <w:sz w:val="20"/>
              </w:rPr>
              <w:t xml:space="preserve">ailments </w:t>
            </w:r>
            <w:r>
              <w:rPr>
                <w:rFonts w:ascii="Times New Roman" w:hAnsi="Times New Roman"/>
                <w:b/>
                <w:sz w:val="20"/>
              </w:rPr>
              <w:t>(Social Security Fund)</w:t>
            </w:r>
          </w:p>
        </w:tc>
      </w:tr>
      <w:tr w:rsidR="00C42D04" w:rsidRPr="00DC2B66" w14:paraId="1708B474" w14:textId="77777777" w:rsidTr="00C42D04">
        <w:trPr>
          <w:trHeight w:val="1347"/>
        </w:trPr>
        <w:tc>
          <w:tcPr>
            <w:tcW w:w="3544" w:type="dxa"/>
            <w:shd w:val="clear" w:color="auto" w:fill="auto"/>
            <w:vAlign w:val="center"/>
          </w:tcPr>
          <w:p w14:paraId="2C40E804" w14:textId="6A4672B7" w:rsidR="00C42D04" w:rsidRPr="00C42D04" w:rsidRDefault="00C42D04" w:rsidP="00C42D04">
            <w:pPr>
              <w:spacing w:after="0"/>
              <w:ind w:left="1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Foreign citizens or stateless persons permanently or temporarily residing in Russia</w:t>
            </w:r>
          </w:p>
        </w:tc>
        <w:tc>
          <w:tcPr>
            <w:tcW w:w="14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11ACFB" w14:textId="71E9E80F" w:rsidR="00C42D04" w:rsidRPr="00C42D04" w:rsidRDefault="00C42D04" w:rsidP="00C4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22%</w:t>
            </w:r>
          </w:p>
        </w:tc>
        <w:tc>
          <w:tcPr>
            <w:tcW w:w="140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25F69F" w14:textId="3578772B" w:rsidR="00C42D04" w:rsidRPr="00C42D04" w:rsidRDefault="00C42D04" w:rsidP="00C4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5.1%</w:t>
            </w:r>
          </w:p>
        </w:tc>
        <w:tc>
          <w:tcPr>
            <w:tcW w:w="162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72F8A6" w14:textId="69807FDD" w:rsidR="00C42D04" w:rsidRPr="00C42D04" w:rsidRDefault="00C42D04" w:rsidP="00C4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2.9%</w:t>
            </w:r>
          </w:p>
        </w:tc>
        <w:tc>
          <w:tcPr>
            <w:tcW w:w="14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B9A556" w14:textId="01B639ED" w:rsidR="00C42D04" w:rsidRPr="00C42D04" w:rsidRDefault="00C42D04" w:rsidP="00C4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0.2%</w:t>
            </w:r>
          </w:p>
        </w:tc>
      </w:tr>
      <w:tr w:rsidR="00C42D04" w:rsidRPr="00D846B6" w14:paraId="259D5E21" w14:textId="77777777" w:rsidTr="00C42D04">
        <w:trPr>
          <w:trHeight w:val="797"/>
        </w:trPr>
        <w:tc>
          <w:tcPr>
            <w:tcW w:w="354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86876A" w14:textId="289921AC" w:rsidR="00C42D04" w:rsidRPr="0027474F" w:rsidRDefault="00C42D04" w:rsidP="00C42D04">
            <w:pPr>
              <w:spacing w:after="0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Foreign citizens or stateless persons temporarily residing in Russia</w:t>
            </w:r>
          </w:p>
        </w:tc>
        <w:tc>
          <w:tcPr>
            <w:tcW w:w="14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05CDF2" w14:textId="499D0A18" w:rsidR="00C42D04" w:rsidRPr="0027474F" w:rsidRDefault="00C42D04" w:rsidP="00C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22%*</w:t>
            </w:r>
          </w:p>
        </w:tc>
        <w:tc>
          <w:tcPr>
            <w:tcW w:w="140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A67A0" w14:textId="77777777" w:rsidR="00C42D04" w:rsidRPr="0027474F" w:rsidRDefault="00C42D04" w:rsidP="00C4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2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262D22" w14:textId="58482AF9" w:rsidR="00C42D04" w:rsidRPr="0027474F" w:rsidRDefault="00C42D04" w:rsidP="0014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144C5A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8 %</w:t>
            </w:r>
          </w:p>
        </w:tc>
        <w:tc>
          <w:tcPr>
            <w:tcW w:w="14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9E5130" w14:textId="77777777" w:rsidR="00C42D04" w:rsidRPr="0027474F" w:rsidRDefault="00C42D04" w:rsidP="00C4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0.2%</w:t>
            </w:r>
          </w:p>
        </w:tc>
      </w:tr>
      <w:tr w:rsidR="00C42D04" w:rsidRPr="00D846B6" w14:paraId="0F86815A" w14:textId="77777777" w:rsidTr="00C42D04">
        <w:trPr>
          <w:trHeight w:val="684"/>
        </w:trPr>
        <w:tc>
          <w:tcPr>
            <w:tcW w:w="354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30DA9A" w14:textId="111E7FA5" w:rsidR="00C42D04" w:rsidRPr="0027474F" w:rsidRDefault="00C42D04" w:rsidP="00C42D04">
            <w:pPr>
              <w:spacing w:after="0"/>
              <w:ind w:left="1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Foreign citizens (citizens of the EEU members states) temporarily residing in Russia</w:t>
            </w:r>
          </w:p>
        </w:tc>
        <w:tc>
          <w:tcPr>
            <w:tcW w:w="14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3F0BC7" w14:textId="7DC12DD6" w:rsidR="00C42D04" w:rsidRPr="0027474F" w:rsidRDefault="00C42D04" w:rsidP="00C4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22%</w:t>
            </w:r>
          </w:p>
        </w:tc>
        <w:tc>
          <w:tcPr>
            <w:tcW w:w="140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B3B63A" w14:textId="77777777" w:rsidR="00C42D04" w:rsidRPr="0027474F" w:rsidRDefault="00C42D04" w:rsidP="00C42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5.1%</w:t>
            </w:r>
          </w:p>
        </w:tc>
        <w:tc>
          <w:tcPr>
            <w:tcW w:w="162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6275E1" w14:textId="1481E3F9" w:rsidR="00C42D04" w:rsidRPr="0027474F" w:rsidRDefault="00C42D04" w:rsidP="00C42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2.9%</w:t>
            </w:r>
          </w:p>
        </w:tc>
        <w:tc>
          <w:tcPr>
            <w:tcW w:w="14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513C63" w14:textId="77777777" w:rsidR="00C42D04" w:rsidRPr="0027474F" w:rsidRDefault="00C42D04" w:rsidP="00C4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0.2%</w:t>
            </w:r>
          </w:p>
        </w:tc>
      </w:tr>
    </w:tbl>
    <w:p w14:paraId="38885F92" w14:textId="1EEF3A5E" w:rsidR="00946DD7" w:rsidRPr="00B04D5A" w:rsidRDefault="00946DD7" w:rsidP="0094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8"/>
        </w:rPr>
        <w:t xml:space="preserve">*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0"/>
        </w:rPr>
        <w:t xml:space="preserve">Provisions of international treaties of the Russian Federation (including the EEU Treaty), which may provide for special aspects of staff social insurance, </w:t>
      </w:r>
      <w:r w:rsidR="00841AE1">
        <w:rPr>
          <w:rFonts w:ascii="Times New Roman" w:hAnsi="Times New Roman"/>
          <w:b/>
          <w:sz w:val="20"/>
        </w:rPr>
        <w:t>should</w:t>
      </w:r>
      <w:r>
        <w:rPr>
          <w:rFonts w:ascii="Times New Roman" w:hAnsi="Times New Roman"/>
          <w:b/>
          <w:sz w:val="20"/>
        </w:rPr>
        <w:t xml:space="preserve"> be considered </w:t>
      </w:r>
      <w:r w:rsidR="00841AE1">
        <w:rPr>
          <w:rFonts w:ascii="Times New Roman" w:hAnsi="Times New Roman"/>
          <w:b/>
          <w:sz w:val="20"/>
        </w:rPr>
        <w:t>in order to</w:t>
      </w:r>
      <w:r>
        <w:rPr>
          <w:rFonts w:ascii="Times New Roman" w:hAnsi="Times New Roman"/>
          <w:b/>
          <w:sz w:val="20"/>
        </w:rPr>
        <w:t xml:space="preserve"> calculat</w:t>
      </w:r>
      <w:r w:rsidR="00841AE1"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z w:val="20"/>
        </w:rPr>
        <w:t xml:space="preserve"> </w:t>
      </w:r>
      <w:r w:rsidR="00E3344C">
        <w:rPr>
          <w:rFonts w:ascii="Times New Roman" w:hAnsi="Times New Roman"/>
          <w:b/>
          <w:sz w:val="20"/>
        </w:rPr>
        <w:t xml:space="preserve">the </w:t>
      </w:r>
      <w:r>
        <w:rPr>
          <w:rFonts w:ascii="Times New Roman" w:hAnsi="Times New Roman"/>
          <w:b/>
          <w:sz w:val="20"/>
        </w:rPr>
        <w:t>insurance contributions deduct</w:t>
      </w:r>
      <w:r w:rsidR="00841AE1">
        <w:rPr>
          <w:rFonts w:ascii="Times New Roman" w:hAnsi="Times New Roman"/>
          <w:b/>
          <w:sz w:val="20"/>
        </w:rPr>
        <w:t>ible</w:t>
      </w:r>
      <w:r>
        <w:rPr>
          <w:rFonts w:ascii="Times New Roman" w:hAnsi="Times New Roman"/>
          <w:b/>
          <w:sz w:val="20"/>
        </w:rPr>
        <w:t xml:space="preserve"> from payments to international staff temporarily residing in the Russian Federation. </w:t>
      </w:r>
    </w:p>
    <w:p w14:paraId="142F0842" w14:textId="375F3C2C" w:rsidR="00511D74" w:rsidRPr="004F5C1E" w:rsidRDefault="00946DD7" w:rsidP="00B04D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C21">
        <w:rPr>
          <w:rFonts w:ascii="Times New Roman" w:hAnsi="Times New Roman" w:cs="Times New Roman"/>
          <w:sz w:val="20"/>
        </w:rPr>
        <w:t>Citizens of the People’s Republic of China working at HSE under employment agreements or individual contractor agreements, temporarily residing in Russia, are not entitled to compulsory pension insurance and, respectively,</w:t>
      </w:r>
      <w:r w:rsidR="00D96838">
        <w:rPr>
          <w:rFonts w:ascii="Times New Roman" w:hAnsi="Times New Roman" w:cs="Times New Roman"/>
          <w:sz w:val="20"/>
        </w:rPr>
        <w:t xml:space="preserve"> the</w:t>
      </w:r>
      <w:r w:rsidRPr="00A65C21">
        <w:rPr>
          <w:rFonts w:ascii="Times New Roman" w:hAnsi="Times New Roman" w:cs="Times New Roman"/>
          <w:sz w:val="20"/>
        </w:rPr>
        <w:t xml:space="preserve"> </w:t>
      </w:r>
      <w:r w:rsidR="00463B48" w:rsidRPr="00A65C21">
        <w:rPr>
          <w:rFonts w:ascii="Times New Roman" w:hAnsi="Times New Roman" w:cs="Times New Roman"/>
          <w:sz w:val="20"/>
        </w:rPr>
        <w:t xml:space="preserve">income </w:t>
      </w:r>
      <w:r w:rsidRPr="00A65C21">
        <w:rPr>
          <w:rFonts w:ascii="Times New Roman" w:hAnsi="Times New Roman" w:cs="Times New Roman"/>
          <w:sz w:val="20"/>
        </w:rPr>
        <w:t xml:space="preserve">of such persons shall not be subject to deductions, pursuant to paragraph 2 of Article 12 of the International Treaty between the Russian Government and the Government of the People’s Republic of China on conditions </w:t>
      </w:r>
      <w:r w:rsidR="00597582">
        <w:rPr>
          <w:rFonts w:ascii="Times New Roman" w:hAnsi="Times New Roman" w:cs="Times New Roman"/>
          <w:sz w:val="20"/>
        </w:rPr>
        <w:t>for</w:t>
      </w:r>
      <w:r w:rsidR="00597582" w:rsidRPr="00A65C21">
        <w:rPr>
          <w:rFonts w:ascii="Times New Roman" w:hAnsi="Times New Roman" w:cs="Times New Roman"/>
          <w:sz w:val="20"/>
        </w:rPr>
        <w:t xml:space="preserve"> </w:t>
      </w:r>
      <w:r w:rsidRPr="00A65C21">
        <w:rPr>
          <w:rFonts w:ascii="Times New Roman" w:hAnsi="Times New Roman" w:cs="Times New Roman"/>
          <w:sz w:val="20"/>
        </w:rPr>
        <w:t>the temporary employment of Russian citizens in the People’s Republic of China, as well as Chinese citizens in the Russian Federation, dated November 3, 2000.</w:t>
      </w:r>
      <w:r w:rsidRPr="00A65C21">
        <w:rPr>
          <w:rFonts w:ascii="Times New Roman" w:hAnsi="Times New Roman" w:cs="Times New Roman"/>
        </w:rPr>
        <w:br w:type="page"/>
      </w:r>
    </w:p>
    <w:p w14:paraId="14DF7387" w14:textId="3D53DE24" w:rsidR="00C77D2B" w:rsidRDefault="00246C58" w:rsidP="00A700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/>
        </w:rPr>
        <w:t>During their temporary stay in Russia, international HQS</w:t>
      </w:r>
      <w:r>
        <w:rPr>
          <w:rFonts w:ascii="Times New Roman" w:hAnsi="Times New Roman"/>
          <w:b/>
          <w:color w:val="000000"/>
          <w:sz w:val="28"/>
          <w:u w:val="single"/>
        </w:rPr>
        <w:t xml:space="preserve"> - citizens of the EEU member states, </w:t>
      </w:r>
      <w:r>
        <w:rPr>
          <w:rFonts w:ascii="Times New Roman" w:hAnsi="Times New Roman"/>
          <w:b/>
          <w:sz w:val="28"/>
          <w:u w:val="single"/>
        </w:rPr>
        <w:t>and international HQS temporarily residing in Russia, shall be entitled</w:t>
      </w:r>
      <w:r>
        <w:rPr>
          <w:rFonts w:ascii="Times New Roman" w:hAnsi="Times New Roman"/>
          <w:sz w:val="28"/>
        </w:rPr>
        <w:t xml:space="preserve"> to compulsory social insurance and eligible for the following types of compulsory social insurance:</w:t>
      </w:r>
    </w:p>
    <w:p w14:paraId="55FA973D" w14:textId="77777777" w:rsidR="00AA7BF4" w:rsidRPr="00246C58" w:rsidRDefault="00AA7BF4" w:rsidP="00A700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843"/>
        <w:gridCol w:w="1559"/>
      </w:tblGrid>
      <w:tr w:rsidR="003D1FA1" w:rsidRPr="00DC2B66" w14:paraId="02920ACC" w14:textId="77777777" w:rsidTr="000D13DF">
        <w:trPr>
          <w:trHeight w:val="711"/>
        </w:trPr>
        <w:tc>
          <w:tcPr>
            <w:tcW w:w="3119" w:type="dxa"/>
            <w:vMerge w:val="restart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5FC5A0" w14:textId="77777777" w:rsidR="003D1FA1" w:rsidRPr="00511D74" w:rsidRDefault="003D1FA1" w:rsidP="00217D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Status</w:t>
            </w:r>
          </w:p>
          <w:p w14:paraId="042D8530" w14:textId="6195F381" w:rsidR="003D1FA1" w:rsidRPr="006C027F" w:rsidRDefault="003D1FA1" w:rsidP="00217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of foreign citizen or stateless person</w:t>
            </w:r>
          </w:p>
        </w:tc>
        <w:tc>
          <w:tcPr>
            <w:tcW w:w="6237" w:type="dxa"/>
            <w:gridSpan w:val="4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B31CA" w14:textId="77777777" w:rsidR="003D1FA1" w:rsidRPr="006C027F" w:rsidRDefault="003D1FA1" w:rsidP="00217D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Insurance contributions remitted to the following federal funds:</w:t>
            </w:r>
          </w:p>
        </w:tc>
      </w:tr>
      <w:tr w:rsidR="003D1FA1" w:rsidRPr="00DC2B66" w14:paraId="692EE3DC" w14:textId="77777777" w:rsidTr="000D13DF">
        <w:trPr>
          <w:trHeight w:val="1347"/>
        </w:trPr>
        <w:tc>
          <w:tcPr>
            <w:tcW w:w="3119" w:type="dxa"/>
            <w:vMerge/>
            <w:shd w:val="clear" w:color="auto" w:fill="FFFFFF"/>
            <w:vAlign w:val="center"/>
            <w:hideMark/>
          </w:tcPr>
          <w:p w14:paraId="37B4E39D" w14:textId="77777777" w:rsidR="003D1FA1" w:rsidRPr="006C027F" w:rsidRDefault="003D1FA1" w:rsidP="00217D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8CDE06" w14:textId="5B8E0EA8" w:rsidR="003D1FA1" w:rsidRPr="00511D74" w:rsidRDefault="003D1FA1" w:rsidP="00217D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compulsory pension insurance contributions (Pension Fund of the Russian Federation)</w:t>
            </w:r>
            <w:r>
              <w:rPr>
                <w:rStyle w:val="a6"/>
                <w:rFonts w:ascii="Times New Roman" w:hAnsi="Times New Roman"/>
                <w:b/>
                <w:sz w:val="20"/>
              </w:rPr>
              <w:footnoteReference w:id="7"/>
            </w:r>
          </w:p>
          <w:p w14:paraId="042E4A73" w14:textId="77777777" w:rsidR="003D1FA1" w:rsidRPr="00511D74" w:rsidRDefault="003D1FA1" w:rsidP="00217D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EACF14" w14:textId="0C7C3949" w:rsidR="003D1FA1" w:rsidRPr="00511D74" w:rsidRDefault="003D1FA1" w:rsidP="00217D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compulsory medical insurance co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t>ntributions (Federal Compulsory Medical Insurance Fund)</w:t>
            </w:r>
          </w:p>
        </w:tc>
        <w:tc>
          <w:tcPr>
            <w:tcW w:w="1843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17200A" w14:textId="66881CD2" w:rsidR="003D1FA1" w:rsidRPr="00511D74" w:rsidRDefault="003D1FA1" w:rsidP="00217D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compulsory social insurance in case of temporary disability and maternity (Social Security Fund)</w:t>
            </w:r>
            <w:r>
              <w:rPr>
                <w:rStyle w:val="a6"/>
                <w:rFonts w:ascii="Times New Roman" w:hAnsi="Times New Roman"/>
                <w:b/>
                <w:sz w:val="20"/>
              </w:rPr>
              <w:footnoteReference w:id="8"/>
            </w:r>
          </w:p>
        </w:tc>
        <w:tc>
          <w:tcPr>
            <w:tcW w:w="1559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34D728" w14:textId="5DB261D8" w:rsidR="003D1FA1" w:rsidRPr="006C027F" w:rsidRDefault="003D1FA1" w:rsidP="004F5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compulsory social insurance against disability caused by </w:t>
            </w:r>
            <w:r w:rsidR="00D96838">
              <w:rPr>
                <w:rFonts w:ascii="Times New Roman" w:hAnsi="Times New Roman"/>
                <w:b/>
                <w:sz w:val="20"/>
              </w:rPr>
              <w:t>workplace accidents</w:t>
            </w:r>
            <w:r>
              <w:rPr>
                <w:rFonts w:ascii="Times New Roman" w:hAnsi="Times New Roman"/>
                <w:b/>
                <w:sz w:val="20"/>
              </w:rPr>
              <w:t xml:space="preserve"> and occupational </w:t>
            </w:r>
            <w:r w:rsidR="00D96838">
              <w:rPr>
                <w:rFonts w:ascii="Times New Roman" w:hAnsi="Times New Roman"/>
                <w:b/>
                <w:sz w:val="20"/>
              </w:rPr>
              <w:t xml:space="preserve">ailments </w:t>
            </w:r>
            <w:r>
              <w:rPr>
                <w:rFonts w:ascii="Times New Roman" w:hAnsi="Times New Roman"/>
                <w:b/>
                <w:sz w:val="20"/>
              </w:rPr>
              <w:t>(Social Security Fund)</w:t>
            </w:r>
          </w:p>
        </w:tc>
      </w:tr>
      <w:tr w:rsidR="00C77D2B" w:rsidRPr="00D846B6" w14:paraId="35B99C8D" w14:textId="77777777" w:rsidTr="000D13DF">
        <w:trPr>
          <w:trHeight w:val="1624"/>
        </w:trPr>
        <w:tc>
          <w:tcPr>
            <w:tcW w:w="311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E84FF4" w14:textId="1C711926" w:rsidR="00C77D2B" w:rsidRPr="005450F2" w:rsidRDefault="00597582" w:rsidP="005450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HQS</w:t>
            </w:r>
            <w:r w:rsidR="00C77D2B">
              <w:rPr>
                <w:rFonts w:ascii="Times New Roman" w:hAnsi="Times New Roman"/>
                <w:b/>
                <w:sz w:val="24"/>
              </w:rPr>
              <w:t xml:space="preserve"> temporarily residing in Russia 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502618" w14:textId="77777777" w:rsidR="00C77D2B" w:rsidRPr="0027474F" w:rsidRDefault="00C77D2B" w:rsidP="007B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22%</w:t>
            </w:r>
          </w:p>
        </w:tc>
        <w:tc>
          <w:tcPr>
            <w:tcW w:w="14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D25A7B" w14:textId="77777777" w:rsidR="00C77D2B" w:rsidRPr="0027474F" w:rsidRDefault="00C77D2B" w:rsidP="007B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E612E1" w14:textId="026EC242" w:rsidR="00C77D2B" w:rsidRPr="0027474F" w:rsidRDefault="00316490" w:rsidP="00144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144C5A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9%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6EEE52" w14:textId="77777777" w:rsidR="00C77D2B" w:rsidRPr="00C77D2B" w:rsidRDefault="00C77D2B" w:rsidP="007B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0.2%</w:t>
            </w:r>
          </w:p>
        </w:tc>
      </w:tr>
      <w:tr w:rsidR="00246C58" w:rsidRPr="00D846B6" w14:paraId="14941EFF" w14:textId="77777777" w:rsidTr="000D13DF">
        <w:trPr>
          <w:trHeight w:val="1142"/>
        </w:trPr>
        <w:tc>
          <w:tcPr>
            <w:tcW w:w="311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B7A21E" w14:textId="6E1F1319" w:rsidR="00246C58" w:rsidRPr="008A0C99" w:rsidRDefault="005D7DA0" w:rsidP="005975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HQS (residents of EEU member states) temporarily residing in Russia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D32B06" w14:textId="5876F454" w:rsidR="00246C58" w:rsidRPr="0027474F" w:rsidRDefault="007B66CF" w:rsidP="0021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263BA8" w14:textId="392C9DF8" w:rsidR="00246C58" w:rsidRPr="0027474F" w:rsidRDefault="00246C58" w:rsidP="00144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144C5A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1%</w:t>
            </w:r>
          </w:p>
        </w:tc>
        <w:tc>
          <w:tcPr>
            <w:tcW w:w="184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CB5188" w14:textId="58DEBC57" w:rsidR="00246C58" w:rsidRPr="0027474F" w:rsidRDefault="00246C58" w:rsidP="007B6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2.9%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039C68" w14:textId="77777777" w:rsidR="00246C58" w:rsidRPr="0027474F" w:rsidRDefault="00246C58" w:rsidP="0021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0.2%</w:t>
            </w:r>
          </w:p>
        </w:tc>
      </w:tr>
    </w:tbl>
    <w:p w14:paraId="32EE4FDA" w14:textId="77777777" w:rsidR="00543D81" w:rsidRDefault="00543D81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5D1232D9" w14:textId="16267168" w:rsidR="00AA7BF4" w:rsidRDefault="00AA7BF4" w:rsidP="00AA7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/>
        </w:rPr>
        <w:t xml:space="preserve">Foreign citizens </w:t>
      </w:r>
      <w:r w:rsidR="00631E50">
        <w:rPr>
          <w:rFonts w:ascii="Times New Roman" w:hAnsi="Times New Roman"/>
          <w:b/>
          <w:sz w:val="28"/>
          <w:u w:val="single"/>
        </w:rPr>
        <w:t>referred to</w:t>
      </w:r>
      <w:r>
        <w:rPr>
          <w:rFonts w:ascii="Times New Roman" w:hAnsi="Times New Roman"/>
          <w:b/>
          <w:sz w:val="28"/>
          <w:u w:val="single"/>
        </w:rPr>
        <w:t xml:space="preserve"> the category of HQS</w:t>
      </w:r>
      <w:r w:rsidR="00362591" w:rsidRPr="00A65C2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employed at HSE under employment or individual contractor agreements for provision of works (or) services and earning income at HSE </w:t>
      </w:r>
      <w:r>
        <w:rPr>
          <w:rFonts w:ascii="Times New Roman" w:hAnsi="Times New Roman"/>
          <w:b/>
          <w:sz w:val="28"/>
          <w:u w:val="single"/>
        </w:rPr>
        <w:t>during their temporary stay in Russia</w:t>
      </w:r>
      <w:r>
        <w:rPr>
          <w:rFonts w:ascii="Times New Roman" w:hAnsi="Times New Roman"/>
          <w:sz w:val="28"/>
        </w:rPr>
        <w:t xml:space="preserve"> shall not be entitled to compulsory social insurance, except </w:t>
      </w:r>
      <w:r w:rsidR="001835B1">
        <w:rPr>
          <w:rFonts w:ascii="Times New Roman" w:hAnsi="Times New Roman"/>
          <w:sz w:val="28"/>
        </w:rPr>
        <w:t xml:space="preserve">for </w:t>
      </w:r>
      <w:r>
        <w:rPr>
          <w:rFonts w:ascii="Times New Roman" w:hAnsi="Times New Roman"/>
          <w:sz w:val="28"/>
        </w:rPr>
        <w:t xml:space="preserve">compulsory social insurance against disability caused by </w:t>
      </w:r>
      <w:r w:rsidR="00362591">
        <w:rPr>
          <w:rFonts w:ascii="Times New Roman" w:hAnsi="Times New Roman"/>
          <w:sz w:val="28"/>
        </w:rPr>
        <w:t xml:space="preserve">workplace </w:t>
      </w:r>
      <w:r>
        <w:rPr>
          <w:rFonts w:ascii="Times New Roman" w:hAnsi="Times New Roman"/>
          <w:sz w:val="28"/>
        </w:rPr>
        <w:t xml:space="preserve">accidents and occupational diseases. No compulsory insurance contributions shall be deducted from </w:t>
      </w:r>
      <w:r w:rsidR="00463B48">
        <w:rPr>
          <w:rFonts w:ascii="Times New Roman" w:hAnsi="Times New Roman"/>
          <w:sz w:val="28"/>
        </w:rPr>
        <w:t xml:space="preserve">the income </w:t>
      </w:r>
      <w:r>
        <w:rPr>
          <w:rFonts w:ascii="Times New Roman" w:hAnsi="Times New Roman"/>
          <w:sz w:val="28"/>
        </w:rPr>
        <w:t xml:space="preserve">of international HQS, except </w:t>
      </w:r>
      <w:r w:rsidR="001835B1">
        <w:rPr>
          <w:rFonts w:ascii="Times New Roman" w:hAnsi="Times New Roman"/>
          <w:sz w:val="28"/>
        </w:rPr>
        <w:t xml:space="preserve">for </w:t>
      </w:r>
      <w:r>
        <w:rPr>
          <w:rFonts w:ascii="Times New Roman" w:hAnsi="Times New Roman"/>
          <w:sz w:val="28"/>
        </w:rPr>
        <w:t xml:space="preserve">compulsory social insurance against disability caused by </w:t>
      </w:r>
      <w:r w:rsidR="00463B48">
        <w:rPr>
          <w:rFonts w:ascii="Times New Roman" w:hAnsi="Times New Roman"/>
          <w:sz w:val="28"/>
        </w:rPr>
        <w:t xml:space="preserve">workplace </w:t>
      </w:r>
      <w:r>
        <w:rPr>
          <w:rFonts w:ascii="Times New Roman" w:hAnsi="Times New Roman"/>
          <w:sz w:val="28"/>
        </w:rPr>
        <w:t xml:space="preserve">accidents: 0.2%. </w:t>
      </w:r>
    </w:p>
    <w:p w14:paraId="154011E1" w14:textId="77777777" w:rsidR="00AA7BF4" w:rsidRDefault="00AA7BF4" w:rsidP="00AA7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843"/>
        <w:gridCol w:w="1559"/>
      </w:tblGrid>
      <w:tr w:rsidR="00AA7BF4" w:rsidRPr="00DC2B66" w14:paraId="0241EF6D" w14:textId="77777777" w:rsidTr="003D622B">
        <w:trPr>
          <w:trHeight w:val="711"/>
        </w:trPr>
        <w:tc>
          <w:tcPr>
            <w:tcW w:w="3119" w:type="dxa"/>
            <w:vMerge w:val="restart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044837" w14:textId="77777777" w:rsidR="00AA7BF4" w:rsidRPr="00511D74" w:rsidRDefault="00AA7BF4" w:rsidP="003D622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Status</w:t>
            </w:r>
          </w:p>
          <w:p w14:paraId="325310C4" w14:textId="3DD73C3E" w:rsidR="00AA7BF4" w:rsidRPr="006C027F" w:rsidRDefault="00AA7BF4" w:rsidP="003D6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of foreign citizen or stateless person</w:t>
            </w:r>
          </w:p>
        </w:tc>
        <w:tc>
          <w:tcPr>
            <w:tcW w:w="6237" w:type="dxa"/>
            <w:gridSpan w:val="4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B6FE2E" w14:textId="77777777" w:rsidR="00AA7BF4" w:rsidRPr="006C027F" w:rsidRDefault="00AA7BF4" w:rsidP="003D622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Insurance contributions remitted to the following federal funds:</w:t>
            </w:r>
          </w:p>
        </w:tc>
      </w:tr>
      <w:tr w:rsidR="00AA7BF4" w:rsidRPr="00DC2B66" w14:paraId="07DFD9F1" w14:textId="77777777" w:rsidTr="003D622B">
        <w:trPr>
          <w:trHeight w:val="1347"/>
        </w:trPr>
        <w:tc>
          <w:tcPr>
            <w:tcW w:w="3119" w:type="dxa"/>
            <w:vMerge/>
            <w:shd w:val="clear" w:color="auto" w:fill="FFFFFF"/>
            <w:vAlign w:val="center"/>
            <w:hideMark/>
          </w:tcPr>
          <w:p w14:paraId="368ACB5E" w14:textId="77777777" w:rsidR="00AA7BF4" w:rsidRPr="006C027F" w:rsidRDefault="00AA7BF4" w:rsidP="003D62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A8936C" w14:textId="77777777" w:rsidR="00AA7BF4" w:rsidRPr="00511D74" w:rsidRDefault="00AA7BF4" w:rsidP="003D62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compulsory pension insurance contributions (Pension Fund of the Russian Federation)</w:t>
            </w:r>
            <w:r>
              <w:rPr>
                <w:rStyle w:val="a6"/>
                <w:rFonts w:ascii="Times New Roman" w:hAnsi="Times New Roman"/>
                <w:b/>
                <w:sz w:val="20"/>
              </w:rPr>
              <w:footnoteReference w:id="9"/>
            </w:r>
          </w:p>
          <w:p w14:paraId="2F2C382E" w14:textId="77777777" w:rsidR="00AA7BF4" w:rsidRPr="00511D74" w:rsidRDefault="00AA7BF4" w:rsidP="003D62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73FB0D" w14:textId="77777777" w:rsidR="00AA7BF4" w:rsidRPr="00511D74" w:rsidRDefault="00AA7BF4" w:rsidP="003D62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compulsory medical insurance contributions (Federal Compulsory Medical Insurance Fund)</w:t>
            </w:r>
          </w:p>
        </w:tc>
        <w:tc>
          <w:tcPr>
            <w:tcW w:w="1843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73005B" w14:textId="77777777" w:rsidR="00AA7BF4" w:rsidRPr="00511D74" w:rsidRDefault="00AA7BF4" w:rsidP="003D62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compulsory social insurance in case of temporary disability and maternity (Social Security Fund)</w:t>
            </w:r>
            <w:r>
              <w:rPr>
                <w:rStyle w:val="a6"/>
                <w:rFonts w:ascii="Times New Roman" w:hAnsi="Times New Roman"/>
                <w:b/>
                <w:sz w:val="20"/>
              </w:rPr>
              <w:footnoteReference w:id="10"/>
            </w:r>
          </w:p>
        </w:tc>
        <w:tc>
          <w:tcPr>
            <w:tcW w:w="1559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E18CB6" w14:textId="052EDEE8" w:rsidR="00AA7BF4" w:rsidRPr="006C027F" w:rsidRDefault="00AA7BF4" w:rsidP="004F5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compulsory social insurance against disability caused by work</w:t>
            </w:r>
            <w:r w:rsidR="00362591">
              <w:rPr>
                <w:rFonts w:ascii="Times New Roman" w:hAnsi="Times New Roman"/>
                <w:b/>
                <w:sz w:val="20"/>
              </w:rPr>
              <w:t>place accidents</w:t>
            </w:r>
            <w:r>
              <w:rPr>
                <w:rFonts w:ascii="Times New Roman" w:hAnsi="Times New Roman"/>
                <w:b/>
                <w:sz w:val="20"/>
              </w:rPr>
              <w:t xml:space="preserve"> and occupational diseases (Social Security Fund)</w:t>
            </w:r>
          </w:p>
        </w:tc>
      </w:tr>
      <w:tr w:rsidR="00AA7BF4" w:rsidRPr="00D846B6" w14:paraId="3F590FCB" w14:textId="77777777" w:rsidTr="003D622B">
        <w:trPr>
          <w:trHeight w:val="1248"/>
        </w:trPr>
        <w:tc>
          <w:tcPr>
            <w:tcW w:w="311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C736F7" w14:textId="722A2F96" w:rsidR="00AA7BF4" w:rsidRPr="00EB5873" w:rsidRDefault="00AA7BF4" w:rsidP="004F5C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HQS temporarily residing in Russia (except </w:t>
            </w:r>
            <w:r w:rsidR="001835B1">
              <w:rPr>
                <w:rFonts w:ascii="Times New Roman" w:hAnsi="Times New Roman"/>
                <w:b/>
                <w:sz w:val="24"/>
              </w:rPr>
              <w:t xml:space="preserve">for </w:t>
            </w:r>
            <w:r>
              <w:rPr>
                <w:rFonts w:ascii="Times New Roman" w:hAnsi="Times New Roman"/>
                <w:b/>
                <w:sz w:val="24"/>
              </w:rPr>
              <w:t xml:space="preserve">residents of EEU member states) 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948311" w14:textId="77777777" w:rsidR="00AA7BF4" w:rsidRPr="0027474F" w:rsidRDefault="00AA7BF4" w:rsidP="003D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74D4C8" w14:textId="77777777" w:rsidR="00AA7BF4" w:rsidRPr="0027474F" w:rsidRDefault="00AA7BF4" w:rsidP="003D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3B993" w14:textId="77777777" w:rsidR="00AA7BF4" w:rsidRPr="0027474F" w:rsidRDefault="00AA7BF4" w:rsidP="003D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C309BA" w14:textId="57708E5E" w:rsidR="00AA7BF4" w:rsidRPr="0027474F" w:rsidRDefault="00AA7BF4" w:rsidP="00144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  <w:r w:rsidR="00144C5A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2%</w:t>
            </w:r>
          </w:p>
        </w:tc>
      </w:tr>
    </w:tbl>
    <w:p w14:paraId="0507BF3C" w14:textId="77777777" w:rsidR="00AA7BF4" w:rsidRDefault="00AA7BF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br w:type="page"/>
      </w:r>
    </w:p>
    <w:p w14:paraId="0EBBEA37" w14:textId="1412962D" w:rsidR="00C214FA" w:rsidRPr="008D1919" w:rsidRDefault="00C214FA" w:rsidP="00C21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/>
        </w:rPr>
        <w:t>Foreign citizens and (or) stateless persons working (remotely) outside Russia</w:t>
      </w:r>
      <w:r>
        <w:rPr>
          <w:rFonts w:ascii="Times New Roman" w:hAnsi="Times New Roman"/>
          <w:sz w:val="28"/>
        </w:rPr>
        <w:t xml:space="preserve"> and employed at HSE under employment or individual contractor agreements for provision of works (or) services </w:t>
      </w:r>
      <w:r>
        <w:rPr>
          <w:rFonts w:ascii="Times New Roman" w:hAnsi="Times New Roman"/>
          <w:b/>
          <w:sz w:val="28"/>
          <w:u w:val="single"/>
        </w:rPr>
        <w:t>shall not be entitled to compulsory social insurance</w:t>
      </w:r>
      <w:r>
        <w:rPr>
          <w:rFonts w:ascii="Times New Roman" w:hAnsi="Times New Roman"/>
          <w:sz w:val="28"/>
        </w:rPr>
        <w:t xml:space="preserve">, except </w:t>
      </w:r>
      <w:r w:rsidR="001835B1">
        <w:rPr>
          <w:rFonts w:ascii="Times New Roman" w:hAnsi="Times New Roman"/>
          <w:sz w:val="28"/>
        </w:rPr>
        <w:t xml:space="preserve">for </w:t>
      </w:r>
      <w:r>
        <w:rPr>
          <w:rFonts w:ascii="Times New Roman" w:hAnsi="Times New Roman"/>
          <w:sz w:val="28"/>
        </w:rPr>
        <w:t xml:space="preserve">compulsory social insurance against disability caused by accidents at work and occupational diseases. No compulsory insurance contributions shall be deducted from </w:t>
      </w:r>
      <w:r w:rsidR="00463B48">
        <w:rPr>
          <w:rFonts w:ascii="Times New Roman" w:hAnsi="Times New Roman"/>
          <w:sz w:val="28"/>
        </w:rPr>
        <w:t xml:space="preserve">the income </w:t>
      </w:r>
      <w:r>
        <w:rPr>
          <w:rFonts w:ascii="Times New Roman" w:hAnsi="Times New Roman"/>
          <w:sz w:val="28"/>
        </w:rPr>
        <w:t xml:space="preserve">of foreign citizens and (or) stateless persons working outside </w:t>
      </w:r>
      <w:r w:rsidR="00101A5E">
        <w:rPr>
          <w:rFonts w:ascii="Times New Roman" w:hAnsi="Times New Roman"/>
          <w:sz w:val="28"/>
        </w:rPr>
        <w:t xml:space="preserve">of </w:t>
      </w:r>
      <w:r>
        <w:rPr>
          <w:rFonts w:ascii="Times New Roman" w:hAnsi="Times New Roman"/>
          <w:sz w:val="28"/>
        </w:rPr>
        <w:t xml:space="preserve">Russia, except </w:t>
      </w:r>
      <w:r w:rsidR="00DB4A8B">
        <w:rPr>
          <w:rFonts w:ascii="Times New Roman" w:hAnsi="Times New Roman"/>
          <w:sz w:val="28"/>
        </w:rPr>
        <w:t xml:space="preserve">for </w:t>
      </w:r>
      <w:r>
        <w:rPr>
          <w:rFonts w:ascii="Times New Roman" w:hAnsi="Times New Roman"/>
          <w:sz w:val="28"/>
        </w:rPr>
        <w:t>compulsory social insurance against disability caused by accidents: 0.2%.</w:t>
      </w:r>
    </w:p>
    <w:tbl>
      <w:tblPr>
        <w:tblW w:w="935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1618"/>
        <w:gridCol w:w="1618"/>
        <w:gridCol w:w="1909"/>
        <w:gridCol w:w="1701"/>
      </w:tblGrid>
      <w:tr w:rsidR="00C214FA" w:rsidRPr="00DC2B66" w14:paraId="64C8A59E" w14:textId="77777777" w:rsidTr="000D13DF">
        <w:trPr>
          <w:trHeight w:val="711"/>
        </w:trPr>
        <w:tc>
          <w:tcPr>
            <w:tcW w:w="2510" w:type="dxa"/>
            <w:vMerge w:val="restart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77976B" w14:textId="77777777" w:rsidR="00C214FA" w:rsidRPr="00511D74" w:rsidRDefault="00C214FA" w:rsidP="003D622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Status</w:t>
            </w:r>
          </w:p>
          <w:p w14:paraId="64F8E63F" w14:textId="47222D57" w:rsidR="00C214FA" w:rsidRPr="00511D74" w:rsidRDefault="00C214FA" w:rsidP="003D62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of foreign citizen or</w:t>
            </w:r>
            <w:r w:rsidR="001D2878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stateless person</w:t>
            </w:r>
          </w:p>
        </w:tc>
        <w:tc>
          <w:tcPr>
            <w:tcW w:w="6846" w:type="dxa"/>
            <w:gridSpan w:val="4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5DAD3" w14:textId="77777777" w:rsidR="00C214FA" w:rsidRPr="00511D74" w:rsidRDefault="00C214FA" w:rsidP="003D622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Insurance contributions remitted to the following federal funds:</w:t>
            </w:r>
          </w:p>
        </w:tc>
      </w:tr>
      <w:tr w:rsidR="00C214FA" w:rsidRPr="00DC2B66" w14:paraId="61A412C3" w14:textId="77777777" w:rsidTr="000D13DF">
        <w:trPr>
          <w:trHeight w:val="1347"/>
        </w:trPr>
        <w:tc>
          <w:tcPr>
            <w:tcW w:w="2510" w:type="dxa"/>
            <w:vMerge/>
            <w:shd w:val="clear" w:color="auto" w:fill="FFFFFF"/>
            <w:vAlign w:val="center"/>
            <w:hideMark/>
          </w:tcPr>
          <w:p w14:paraId="00869DDB" w14:textId="77777777" w:rsidR="00C214FA" w:rsidRPr="00511D74" w:rsidRDefault="00C214FA" w:rsidP="003D62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18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628CE9" w14:textId="77777777" w:rsidR="00C214FA" w:rsidRPr="00511D74" w:rsidRDefault="00C214FA" w:rsidP="003D62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compulsory pension insurance contributions (Pension Fund of the Russian Federation) </w:t>
            </w:r>
          </w:p>
          <w:p w14:paraId="2AC4A2E2" w14:textId="77777777" w:rsidR="00C214FA" w:rsidRPr="00511D74" w:rsidRDefault="00C214FA" w:rsidP="003D62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18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A98E0B" w14:textId="77777777" w:rsidR="00C214FA" w:rsidRPr="00511D74" w:rsidRDefault="00C214FA" w:rsidP="003D62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compulsory medical insurance contributions (Federal Compulsory Medical Insurance Fund)</w:t>
            </w:r>
          </w:p>
        </w:tc>
        <w:tc>
          <w:tcPr>
            <w:tcW w:w="1909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BB22F4" w14:textId="77777777" w:rsidR="00C214FA" w:rsidRPr="00511D74" w:rsidRDefault="00C214FA" w:rsidP="003D62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compulsory social insurance in case of temporary disability and maternity (Social Security Fund)</w:t>
            </w:r>
          </w:p>
        </w:tc>
        <w:tc>
          <w:tcPr>
            <w:tcW w:w="1701" w:type="dxa"/>
            <w:shd w:val="clear" w:color="auto" w:fill="FDF8E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388DC9" w14:textId="053234F5" w:rsidR="00C214FA" w:rsidRPr="00511D74" w:rsidRDefault="00C214FA" w:rsidP="004F5C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compulsory social insurance against disability caused by work</w:t>
            </w:r>
            <w:r w:rsidR="00362591">
              <w:rPr>
                <w:rFonts w:ascii="Times New Roman" w:hAnsi="Times New Roman"/>
                <w:b/>
                <w:sz w:val="20"/>
              </w:rPr>
              <w:t>place accidents</w:t>
            </w:r>
            <w:r>
              <w:rPr>
                <w:rFonts w:ascii="Times New Roman" w:hAnsi="Times New Roman"/>
                <w:b/>
                <w:sz w:val="20"/>
              </w:rPr>
              <w:t xml:space="preserve"> and occupational diseases (Social Security Fund)</w:t>
            </w:r>
          </w:p>
        </w:tc>
      </w:tr>
      <w:tr w:rsidR="00C214FA" w:rsidRPr="00D846B6" w14:paraId="42E63114" w14:textId="77777777" w:rsidTr="000D13DF">
        <w:trPr>
          <w:trHeight w:val="1101"/>
        </w:trPr>
        <w:tc>
          <w:tcPr>
            <w:tcW w:w="251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70AC43" w14:textId="7509C6CA" w:rsidR="00C214FA" w:rsidRPr="0027474F" w:rsidRDefault="00C214FA" w:rsidP="003D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Foreign citizens and (or) stateless persons working outside </w:t>
            </w:r>
            <w:r w:rsidR="00101A5E">
              <w:rPr>
                <w:rFonts w:ascii="Times New Roman" w:hAnsi="Times New Roman"/>
                <w:b/>
                <w:sz w:val="24"/>
              </w:rPr>
              <w:t xml:space="preserve">of </w:t>
            </w:r>
            <w:r>
              <w:rPr>
                <w:rFonts w:ascii="Times New Roman" w:hAnsi="Times New Roman"/>
                <w:b/>
                <w:sz w:val="24"/>
              </w:rPr>
              <w:t>Russia</w:t>
            </w:r>
          </w:p>
        </w:tc>
        <w:tc>
          <w:tcPr>
            <w:tcW w:w="16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8D75FB" w14:textId="6847A139" w:rsidR="00C214FA" w:rsidRPr="0027474F" w:rsidRDefault="00C214FA" w:rsidP="003D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1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F410E7" w14:textId="04DB8FDB" w:rsidR="00C214FA" w:rsidRPr="00C214FA" w:rsidRDefault="00C214FA" w:rsidP="003D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90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3924FD" w14:textId="56BEBDC4" w:rsidR="00C214FA" w:rsidRPr="00C214FA" w:rsidRDefault="00C214FA" w:rsidP="003D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4CEB29" w14:textId="77777777" w:rsidR="00C214FA" w:rsidRPr="0027474F" w:rsidRDefault="00C214FA" w:rsidP="003D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0.2%</w:t>
            </w:r>
          </w:p>
        </w:tc>
      </w:tr>
    </w:tbl>
    <w:p w14:paraId="07E59CC5" w14:textId="77777777" w:rsidR="00C214FA" w:rsidRDefault="00C214FA" w:rsidP="00511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214FA" w:rsidSect="00511D74">
      <w:footerReference w:type="default" r:id="rId9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D7BF9" w14:textId="77777777" w:rsidR="0037566B" w:rsidRDefault="0037566B" w:rsidP="00A9084C">
      <w:pPr>
        <w:spacing w:after="0" w:line="240" w:lineRule="auto"/>
      </w:pPr>
      <w:r>
        <w:separator/>
      </w:r>
    </w:p>
  </w:endnote>
  <w:endnote w:type="continuationSeparator" w:id="0">
    <w:p w14:paraId="1A25E2EA" w14:textId="77777777" w:rsidR="0037566B" w:rsidRDefault="0037566B" w:rsidP="00A9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423074"/>
      <w:docPartObj>
        <w:docPartGallery w:val="Page Numbers (Bottom of Page)"/>
        <w:docPartUnique/>
      </w:docPartObj>
    </w:sdtPr>
    <w:sdtEndPr/>
    <w:sdtContent>
      <w:p w14:paraId="30CD34A1" w14:textId="77777777" w:rsidR="000541F2" w:rsidRDefault="000541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0F2">
          <w:rPr>
            <w:noProof/>
          </w:rPr>
          <w:t>4</w:t>
        </w:r>
        <w:r>
          <w:fldChar w:fldCharType="end"/>
        </w:r>
      </w:p>
    </w:sdtContent>
  </w:sdt>
  <w:p w14:paraId="4B68D88F" w14:textId="77777777" w:rsidR="000541F2" w:rsidRDefault="000541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161C7" w14:textId="77777777" w:rsidR="0037566B" w:rsidRDefault="0037566B" w:rsidP="00A9084C">
      <w:pPr>
        <w:spacing w:after="0" w:line="240" w:lineRule="auto"/>
      </w:pPr>
      <w:r>
        <w:separator/>
      </w:r>
    </w:p>
  </w:footnote>
  <w:footnote w:type="continuationSeparator" w:id="0">
    <w:p w14:paraId="3DDF34BB" w14:textId="77777777" w:rsidR="0037566B" w:rsidRDefault="0037566B" w:rsidP="00A9084C">
      <w:pPr>
        <w:spacing w:after="0" w:line="240" w:lineRule="auto"/>
      </w:pPr>
      <w:r>
        <w:continuationSeparator/>
      </w:r>
    </w:p>
  </w:footnote>
  <w:footnote w:id="1">
    <w:p w14:paraId="6E3313A0" w14:textId="2CE7CFC0" w:rsidR="007A059E" w:rsidRPr="002E7F81" w:rsidRDefault="007A059E" w:rsidP="00112F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Paragraph 1 of Article 419 of the Tax Code of the Russian Federation</w:t>
      </w:r>
    </w:p>
  </w:footnote>
  <w:footnote w:id="2">
    <w:p w14:paraId="3884D5DD" w14:textId="38EC8C35" w:rsidR="00112F73" w:rsidRPr="00112F73" w:rsidRDefault="00112F73" w:rsidP="00112F73">
      <w:pPr>
        <w:pStyle w:val="a4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Style w:val="a6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 w:rsidR="00220773">
        <w:rPr>
          <w:rFonts w:ascii="Times New Roman" w:hAnsi="Times New Roman"/>
          <w:sz w:val="18"/>
        </w:rPr>
        <w:t xml:space="preserve">A </w:t>
      </w:r>
      <w:r>
        <w:rPr>
          <w:rFonts w:ascii="Times New Roman" w:hAnsi="Times New Roman"/>
          <w:sz w:val="18"/>
        </w:rPr>
        <w:t>Russian citizen</w:t>
      </w:r>
      <w:r w:rsidR="00A4503D">
        <w:rPr>
          <w:rFonts w:ascii="Times New Roman" w:hAnsi="Times New Roman"/>
          <w:sz w:val="18"/>
        </w:rPr>
        <w:t xml:space="preserve"> is</w:t>
      </w:r>
      <w:r>
        <w:rPr>
          <w:rFonts w:ascii="Times New Roman" w:hAnsi="Times New Roman"/>
          <w:sz w:val="18"/>
        </w:rPr>
        <w:t>:</w:t>
      </w:r>
    </w:p>
    <w:p w14:paraId="5B0D591F" w14:textId="4072CF51" w:rsidR="00112F73" w:rsidRPr="00112F73" w:rsidRDefault="00112F73" w:rsidP="00112F73">
      <w:pPr>
        <w:pStyle w:val="a4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а) a person </w:t>
      </w:r>
      <w:r w:rsidR="00971A16">
        <w:rPr>
          <w:rFonts w:ascii="Times New Roman" w:hAnsi="Times New Roman"/>
          <w:sz w:val="18"/>
        </w:rPr>
        <w:t xml:space="preserve">with </w:t>
      </w:r>
      <w:r>
        <w:rPr>
          <w:rFonts w:ascii="Times New Roman" w:hAnsi="Times New Roman"/>
          <w:sz w:val="18"/>
        </w:rPr>
        <w:t>citizenship of the Russian Federation as of the effective date of Federal Law No. 62-FZ “On the Citizenship of the Russian Federation”</w:t>
      </w:r>
      <w:r w:rsidR="00FE110B">
        <w:rPr>
          <w:rFonts w:ascii="Times New Roman" w:hAnsi="Times New Roman"/>
          <w:sz w:val="18"/>
        </w:rPr>
        <w:t>, dated May 31, 2002</w:t>
      </w:r>
      <w:r>
        <w:rPr>
          <w:rFonts w:ascii="Times New Roman" w:hAnsi="Times New Roman"/>
          <w:sz w:val="18"/>
        </w:rPr>
        <w:t>;</w:t>
      </w:r>
      <w:r w:rsidR="00A4503D">
        <w:rPr>
          <w:rFonts w:ascii="Times New Roman" w:hAnsi="Times New Roman"/>
          <w:sz w:val="18"/>
        </w:rPr>
        <w:t xml:space="preserve"> or</w:t>
      </w:r>
    </w:p>
    <w:p w14:paraId="2A20F24C" w14:textId="0F8825A1" w:rsidR="00112F73" w:rsidRDefault="00112F73" w:rsidP="00112F73">
      <w:pPr>
        <w:pStyle w:val="a4"/>
        <w:ind w:firstLine="284"/>
      </w:pPr>
      <w:r>
        <w:rPr>
          <w:rFonts w:ascii="Times New Roman" w:hAnsi="Times New Roman"/>
          <w:sz w:val="18"/>
        </w:rPr>
        <w:t xml:space="preserve">b) </w:t>
      </w:r>
      <w:proofErr w:type="gramStart"/>
      <w:r>
        <w:rPr>
          <w:rFonts w:ascii="Times New Roman" w:hAnsi="Times New Roman"/>
          <w:sz w:val="18"/>
        </w:rPr>
        <w:t>a</w:t>
      </w:r>
      <w:proofErr w:type="gramEnd"/>
      <w:r>
        <w:rPr>
          <w:rFonts w:ascii="Times New Roman" w:hAnsi="Times New Roman"/>
          <w:sz w:val="18"/>
        </w:rPr>
        <w:t xml:space="preserve"> person who has acquired Russian citizenship, pursuant to Federal Law No. 62-FZ “On the Citizenship of the Russian Federation”</w:t>
      </w:r>
      <w:r w:rsidR="008468A0">
        <w:rPr>
          <w:rFonts w:ascii="Times New Roman" w:hAnsi="Times New Roman"/>
          <w:sz w:val="18"/>
        </w:rPr>
        <w:t>, dated May 31, 2002</w:t>
      </w:r>
      <w:r>
        <w:rPr>
          <w:rFonts w:ascii="Times New Roman" w:hAnsi="Times New Roman"/>
          <w:sz w:val="18"/>
        </w:rPr>
        <w:t>.</w:t>
      </w:r>
    </w:p>
  </w:footnote>
  <w:footnote w:id="3">
    <w:p w14:paraId="4CFC2700" w14:textId="751844BC" w:rsidR="007A059E" w:rsidRPr="00DC0285" w:rsidRDefault="007A059E" w:rsidP="00112F73">
      <w:pPr>
        <w:pStyle w:val="a4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Style w:val="a6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Levied from annual taxable income of 876,000 roubles, accrued from the beginning of the calendar year, +10% from the amount of taxable income, accrued from the beginning of the calendar year exceeding 876,000 roubles.</w:t>
      </w:r>
      <w:proofErr w:type="gramEnd"/>
    </w:p>
  </w:footnote>
  <w:footnote w:id="4">
    <w:p w14:paraId="0070F93B" w14:textId="773A7BAF" w:rsidR="007A059E" w:rsidRDefault="007A059E" w:rsidP="00112F73">
      <w:pPr>
        <w:pStyle w:val="a4"/>
        <w:ind w:firstLine="284"/>
      </w:pPr>
      <w:r>
        <w:rPr>
          <w:rStyle w:val="a6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Levied from annual taxable income of 755,000 roubles, accrued from the beginning of the calendar year.</w:t>
      </w:r>
      <w:proofErr w:type="gramEnd"/>
      <w:r>
        <w:rPr>
          <w:rFonts w:ascii="Times New Roman" w:hAnsi="Times New Roman"/>
          <w:sz w:val="18"/>
        </w:rPr>
        <w:t xml:space="preserve"> No insurance contributions shall be charged from taxable income accrued from the beginning of the calendar year which exceeds 755,000 roubles.</w:t>
      </w:r>
    </w:p>
  </w:footnote>
  <w:footnote w:id="5">
    <w:p w14:paraId="44970493" w14:textId="19A7E123" w:rsidR="00511D74" w:rsidRDefault="00511D74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 w:val="18"/>
        </w:rPr>
        <w:t>Levied from annual taxable income of 876,000 roubles, accrued from the beginning of the calendar year, +10% from the amount of taxable income, accrued from the beginning of the calendar year exceeding 876,000 roubles.</w:t>
      </w:r>
      <w:proofErr w:type="gramEnd"/>
    </w:p>
  </w:footnote>
  <w:footnote w:id="6">
    <w:p w14:paraId="16F62EF1" w14:textId="5874B93B" w:rsidR="00511D74" w:rsidRDefault="00511D74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 w:val="18"/>
        </w:rPr>
        <w:t>Levied from annual taxable income of 755,000 roubles, accrued from the beginning of the calendar year.</w:t>
      </w:r>
      <w:proofErr w:type="gramEnd"/>
      <w:r>
        <w:rPr>
          <w:rFonts w:ascii="Times New Roman" w:hAnsi="Times New Roman"/>
          <w:sz w:val="18"/>
        </w:rPr>
        <w:t xml:space="preserve"> No insurance contributions shall be charged from the taxable income accrued from the beginning of the calendar year which exceeds 755,000 roubles.</w:t>
      </w:r>
    </w:p>
  </w:footnote>
  <w:footnote w:id="7">
    <w:p w14:paraId="73D52795" w14:textId="10F2EB25" w:rsidR="007B66CF" w:rsidRDefault="007B66CF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 w:val="18"/>
        </w:rPr>
        <w:t>Levied from annual taxable income of 876,000 roubles, accrued from the beginning of the calendar year, +10% from the amount of taxable income, accrued from the beginning of the calendar year exceeding 876,000 roubles.</w:t>
      </w:r>
      <w:proofErr w:type="gramEnd"/>
    </w:p>
  </w:footnote>
  <w:footnote w:id="8">
    <w:p w14:paraId="0EC68A1F" w14:textId="58E4C825" w:rsidR="007B66CF" w:rsidRDefault="007B66CF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 w:val="18"/>
        </w:rPr>
        <w:t>Levied from annual taxable income of 755,000 roubles, accrued from the beginning of the calendar year.</w:t>
      </w:r>
      <w:proofErr w:type="gramEnd"/>
      <w:r>
        <w:rPr>
          <w:rFonts w:ascii="Times New Roman" w:hAnsi="Times New Roman"/>
          <w:sz w:val="18"/>
        </w:rPr>
        <w:t xml:space="preserve"> No insurance contributions shall be charged from taxable income accrued from the beginning of the calendar year </w:t>
      </w:r>
      <w:r w:rsidR="00433E00">
        <w:rPr>
          <w:rFonts w:ascii="Times New Roman" w:hAnsi="Times New Roman"/>
          <w:sz w:val="18"/>
        </w:rPr>
        <w:t xml:space="preserve">that </w:t>
      </w:r>
      <w:r>
        <w:rPr>
          <w:rFonts w:ascii="Times New Roman" w:hAnsi="Times New Roman"/>
          <w:sz w:val="18"/>
        </w:rPr>
        <w:t>exceeds 755,000 roubles.</w:t>
      </w:r>
    </w:p>
  </w:footnote>
  <w:footnote w:id="9">
    <w:p w14:paraId="56BFB5E3" w14:textId="1AE79327" w:rsidR="00AA7BF4" w:rsidRDefault="00AA7BF4" w:rsidP="00AA7BF4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 w:val="18"/>
        </w:rPr>
        <w:t xml:space="preserve">Levied from annual taxable income of 876,000 roubles, accrued from the </w:t>
      </w:r>
      <w:r w:rsidR="00144C5A">
        <w:rPr>
          <w:rFonts w:ascii="Times New Roman" w:hAnsi="Times New Roman"/>
          <w:sz w:val="18"/>
        </w:rPr>
        <w:t xml:space="preserve">start </w:t>
      </w:r>
      <w:r>
        <w:rPr>
          <w:rFonts w:ascii="Times New Roman" w:hAnsi="Times New Roman"/>
          <w:sz w:val="18"/>
        </w:rPr>
        <w:t xml:space="preserve">of the calendar year, +10% from </w:t>
      </w:r>
      <w:r w:rsidR="00144C5A">
        <w:rPr>
          <w:rFonts w:ascii="Times New Roman" w:hAnsi="Times New Roman"/>
          <w:sz w:val="18"/>
        </w:rPr>
        <w:t>total</w:t>
      </w:r>
      <w:r>
        <w:rPr>
          <w:rFonts w:ascii="Times New Roman" w:hAnsi="Times New Roman"/>
          <w:sz w:val="18"/>
        </w:rPr>
        <w:t xml:space="preserve"> taxable income</w:t>
      </w:r>
      <w:r w:rsidR="0058764D">
        <w:rPr>
          <w:rFonts w:ascii="Times New Roman" w:hAnsi="Times New Roman"/>
          <w:sz w:val="18"/>
        </w:rPr>
        <w:t>,</w:t>
      </w:r>
      <w:r w:rsidR="00144C5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accrued from the beginning of the calendar year exceeding 876,000 roubles.</w:t>
      </w:r>
      <w:proofErr w:type="gramEnd"/>
    </w:p>
  </w:footnote>
  <w:footnote w:id="10">
    <w:p w14:paraId="13B1A8D3" w14:textId="1871C8F3" w:rsidR="00AA7BF4" w:rsidRDefault="00AA7BF4" w:rsidP="00AA7BF4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 w:val="18"/>
        </w:rPr>
        <w:t>Levied from annual taxable income of 755,000 roubles, accrued from the beginning of the calendar year.</w:t>
      </w:r>
      <w:proofErr w:type="gramEnd"/>
      <w:r>
        <w:rPr>
          <w:rFonts w:ascii="Times New Roman" w:hAnsi="Times New Roman"/>
          <w:sz w:val="18"/>
        </w:rPr>
        <w:t xml:space="preserve"> No insurance contributions shall be charged from taxable income accrued from the beginning of the calendar year which exceeds 755,000 roubles.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003"/>
    <w:multiLevelType w:val="hybridMultilevel"/>
    <w:tmpl w:val="6102ED10"/>
    <w:lvl w:ilvl="0" w:tplc="22EC20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C06AC1"/>
    <w:multiLevelType w:val="hybridMultilevel"/>
    <w:tmpl w:val="B798D02C"/>
    <w:lvl w:ilvl="0" w:tplc="6B0E96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F75CDB"/>
    <w:multiLevelType w:val="hybridMultilevel"/>
    <w:tmpl w:val="EE967380"/>
    <w:lvl w:ilvl="0" w:tplc="748C9FE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>
    <w:nsid w:val="7FA5416E"/>
    <w:multiLevelType w:val="hybridMultilevel"/>
    <w:tmpl w:val="193C7A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0A"/>
    <w:rsid w:val="00001273"/>
    <w:rsid w:val="00034C77"/>
    <w:rsid w:val="000365DD"/>
    <w:rsid w:val="00045091"/>
    <w:rsid w:val="000541F2"/>
    <w:rsid w:val="000B250A"/>
    <w:rsid w:val="000B32EF"/>
    <w:rsid w:val="000C3424"/>
    <w:rsid w:val="000D13DF"/>
    <w:rsid w:val="000D27CC"/>
    <w:rsid w:val="000E3527"/>
    <w:rsid w:val="000E5756"/>
    <w:rsid w:val="00101A5E"/>
    <w:rsid w:val="001118D9"/>
    <w:rsid w:val="00112F73"/>
    <w:rsid w:val="001412F4"/>
    <w:rsid w:val="001427E8"/>
    <w:rsid w:val="00144C5A"/>
    <w:rsid w:val="0015272B"/>
    <w:rsid w:val="001834EA"/>
    <w:rsid w:val="001835B1"/>
    <w:rsid w:val="0018447F"/>
    <w:rsid w:val="00185278"/>
    <w:rsid w:val="001929EA"/>
    <w:rsid w:val="00193E2A"/>
    <w:rsid w:val="001D2878"/>
    <w:rsid w:val="001E1152"/>
    <w:rsid w:val="00220773"/>
    <w:rsid w:val="002313D3"/>
    <w:rsid w:val="00231FCC"/>
    <w:rsid w:val="00246C58"/>
    <w:rsid w:val="00266C9F"/>
    <w:rsid w:val="00267338"/>
    <w:rsid w:val="0027474F"/>
    <w:rsid w:val="002C6C2D"/>
    <w:rsid w:val="002D154C"/>
    <w:rsid w:val="002E0B3A"/>
    <w:rsid w:val="002E7F81"/>
    <w:rsid w:val="00302F57"/>
    <w:rsid w:val="0030335D"/>
    <w:rsid w:val="0031472E"/>
    <w:rsid w:val="00316490"/>
    <w:rsid w:val="003231FD"/>
    <w:rsid w:val="0032702A"/>
    <w:rsid w:val="00360788"/>
    <w:rsid w:val="00362591"/>
    <w:rsid w:val="0037566B"/>
    <w:rsid w:val="003977DC"/>
    <w:rsid w:val="003D1FA1"/>
    <w:rsid w:val="004079D5"/>
    <w:rsid w:val="00433E00"/>
    <w:rsid w:val="00463B48"/>
    <w:rsid w:val="004813B0"/>
    <w:rsid w:val="004E333D"/>
    <w:rsid w:val="004F5238"/>
    <w:rsid w:val="004F5C1E"/>
    <w:rsid w:val="005034F4"/>
    <w:rsid w:val="00511D74"/>
    <w:rsid w:val="00515B85"/>
    <w:rsid w:val="0052119F"/>
    <w:rsid w:val="00543D81"/>
    <w:rsid w:val="005450F2"/>
    <w:rsid w:val="00576FE2"/>
    <w:rsid w:val="0058764D"/>
    <w:rsid w:val="005879E9"/>
    <w:rsid w:val="00591B14"/>
    <w:rsid w:val="00597582"/>
    <w:rsid w:val="005A015E"/>
    <w:rsid w:val="005B4081"/>
    <w:rsid w:val="005B5C16"/>
    <w:rsid w:val="005D7DA0"/>
    <w:rsid w:val="005E5379"/>
    <w:rsid w:val="005F083A"/>
    <w:rsid w:val="00626577"/>
    <w:rsid w:val="00631E50"/>
    <w:rsid w:val="00657FD8"/>
    <w:rsid w:val="00661FF6"/>
    <w:rsid w:val="00680D34"/>
    <w:rsid w:val="006C027F"/>
    <w:rsid w:val="006C2638"/>
    <w:rsid w:val="006C2D92"/>
    <w:rsid w:val="006E3AD3"/>
    <w:rsid w:val="006E68D3"/>
    <w:rsid w:val="00707D77"/>
    <w:rsid w:val="00731724"/>
    <w:rsid w:val="007348DD"/>
    <w:rsid w:val="00740820"/>
    <w:rsid w:val="00760ABB"/>
    <w:rsid w:val="0077495C"/>
    <w:rsid w:val="00782213"/>
    <w:rsid w:val="0079144E"/>
    <w:rsid w:val="00795C12"/>
    <w:rsid w:val="007A059E"/>
    <w:rsid w:val="007A1443"/>
    <w:rsid w:val="007A4694"/>
    <w:rsid w:val="007B66CF"/>
    <w:rsid w:val="007B6BCA"/>
    <w:rsid w:val="007C6888"/>
    <w:rsid w:val="00841AE1"/>
    <w:rsid w:val="008468A0"/>
    <w:rsid w:val="00846D3B"/>
    <w:rsid w:val="00854527"/>
    <w:rsid w:val="00875CFC"/>
    <w:rsid w:val="008A0C99"/>
    <w:rsid w:val="008D1919"/>
    <w:rsid w:val="008F1CFA"/>
    <w:rsid w:val="008F2ACA"/>
    <w:rsid w:val="009114C4"/>
    <w:rsid w:val="00916C9C"/>
    <w:rsid w:val="00945630"/>
    <w:rsid w:val="00946DD7"/>
    <w:rsid w:val="00971A16"/>
    <w:rsid w:val="0099288A"/>
    <w:rsid w:val="009A0AAE"/>
    <w:rsid w:val="009A0AD9"/>
    <w:rsid w:val="009F43EF"/>
    <w:rsid w:val="00A027AF"/>
    <w:rsid w:val="00A4503D"/>
    <w:rsid w:val="00A567ED"/>
    <w:rsid w:val="00A65C21"/>
    <w:rsid w:val="00A70097"/>
    <w:rsid w:val="00A9084C"/>
    <w:rsid w:val="00AA7BF4"/>
    <w:rsid w:val="00AD0A58"/>
    <w:rsid w:val="00AD5775"/>
    <w:rsid w:val="00AD722B"/>
    <w:rsid w:val="00B04D5A"/>
    <w:rsid w:val="00B11340"/>
    <w:rsid w:val="00B3227B"/>
    <w:rsid w:val="00B42523"/>
    <w:rsid w:val="00B71BB2"/>
    <w:rsid w:val="00B76232"/>
    <w:rsid w:val="00B86CFF"/>
    <w:rsid w:val="00BA7EF0"/>
    <w:rsid w:val="00BE11C6"/>
    <w:rsid w:val="00C05383"/>
    <w:rsid w:val="00C10E1F"/>
    <w:rsid w:val="00C166A4"/>
    <w:rsid w:val="00C214FA"/>
    <w:rsid w:val="00C42D04"/>
    <w:rsid w:val="00C441F9"/>
    <w:rsid w:val="00C77D2B"/>
    <w:rsid w:val="00C90A5C"/>
    <w:rsid w:val="00C926FD"/>
    <w:rsid w:val="00CB4F0A"/>
    <w:rsid w:val="00CC6807"/>
    <w:rsid w:val="00CF0411"/>
    <w:rsid w:val="00D03DF1"/>
    <w:rsid w:val="00D121B6"/>
    <w:rsid w:val="00D25DB8"/>
    <w:rsid w:val="00D82B72"/>
    <w:rsid w:val="00D846B6"/>
    <w:rsid w:val="00D9038A"/>
    <w:rsid w:val="00D96838"/>
    <w:rsid w:val="00DB4A8B"/>
    <w:rsid w:val="00DC0285"/>
    <w:rsid w:val="00DC2B66"/>
    <w:rsid w:val="00DC6B18"/>
    <w:rsid w:val="00DC76BF"/>
    <w:rsid w:val="00E061E1"/>
    <w:rsid w:val="00E3344C"/>
    <w:rsid w:val="00E37350"/>
    <w:rsid w:val="00E431FC"/>
    <w:rsid w:val="00E936BF"/>
    <w:rsid w:val="00EA086F"/>
    <w:rsid w:val="00EB5873"/>
    <w:rsid w:val="00EC4E37"/>
    <w:rsid w:val="00F01FE8"/>
    <w:rsid w:val="00F05321"/>
    <w:rsid w:val="00F2523D"/>
    <w:rsid w:val="00F3312E"/>
    <w:rsid w:val="00F719E9"/>
    <w:rsid w:val="00F77FDD"/>
    <w:rsid w:val="00FA48FD"/>
    <w:rsid w:val="00FC251F"/>
    <w:rsid w:val="00FC46FB"/>
    <w:rsid w:val="00FD5975"/>
    <w:rsid w:val="00FD7832"/>
    <w:rsid w:val="00FE110B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9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32702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908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08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084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1F2"/>
  </w:style>
  <w:style w:type="paragraph" w:styleId="a9">
    <w:name w:val="footer"/>
    <w:basedOn w:val="a"/>
    <w:link w:val="aa"/>
    <w:uiPriority w:val="99"/>
    <w:unhideWhenUsed/>
    <w:rsid w:val="0005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1F2"/>
  </w:style>
  <w:style w:type="character" w:styleId="ab">
    <w:name w:val="annotation reference"/>
    <w:basedOn w:val="a0"/>
    <w:uiPriority w:val="99"/>
    <w:semiHidden/>
    <w:unhideWhenUsed/>
    <w:rsid w:val="000C34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342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342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34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342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C3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3424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597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32702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908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08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084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1F2"/>
  </w:style>
  <w:style w:type="paragraph" w:styleId="a9">
    <w:name w:val="footer"/>
    <w:basedOn w:val="a"/>
    <w:link w:val="aa"/>
    <w:uiPriority w:val="99"/>
    <w:unhideWhenUsed/>
    <w:rsid w:val="0005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1F2"/>
  </w:style>
  <w:style w:type="character" w:styleId="ab">
    <w:name w:val="annotation reference"/>
    <w:basedOn w:val="a0"/>
    <w:uiPriority w:val="99"/>
    <w:semiHidden/>
    <w:unhideWhenUsed/>
    <w:rsid w:val="000C34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342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342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34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342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C3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3424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597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6C5B-04EA-44C1-8E9D-E75CDD33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971</Words>
  <Characters>7332</Characters>
  <Application>Microsoft Office Word</Application>
  <DocSecurity>0</DocSecurity>
  <Lines>135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2017-04-27T10:07:00Z</cp:lastPrinted>
  <dcterms:created xsi:type="dcterms:W3CDTF">2017-05-03T13:08:00Z</dcterms:created>
  <dcterms:modified xsi:type="dcterms:W3CDTF">2017-05-05T13:21:00Z</dcterms:modified>
</cp:coreProperties>
</file>