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2" w:rsidRDefault="00B00C22" w:rsidP="00B00C22">
      <w:pPr>
        <w:pStyle w:val="Title"/>
        <w:spacing w:before="0" w:after="0"/>
        <w:rPr>
          <w:rFonts w:ascii="Times New Roman" w:hAnsi="Times New Roman" w:cs="Times New Roman"/>
          <w:b/>
          <w:sz w:val="40"/>
          <w:szCs w:val="40"/>
        </w:rPr>
      </w:pPr>
    </w:p>
    <w:p w:rsidR="00B00C22" w:rsidRPr="00B00C22" w:rsidRDefault="006A4C51" w:rsidP="00B00C22">
      <w:pPr>
        <w:pStyle w:val="Title"/>
        <w:spacing w:before="0"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00C22">
        <w:rPr>
          <w:rFonts w:ascii="Times New Roman" w:hAnsi="Times New Roman" w:cs="Times New Roman"/>
          <w:b/>
          <w:sz w:val="36"/>
          <w:szCs w:val="36"/>
        </w:rPr>
        <w:t xml:space="preserve">Экономическая отдача на социальный капитал: </w:t>
      </w:r>
    </w:p>
    <w:p w:rsidR="006A4C51" w:rsidRPr="00B00C22" w:rsidRDefault="006A4C51" w:rsidP="00B00C22">
      <w:pPr>
        <w:pStyle w:val="Title"/>
        <w:spacing w:before="0"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00C22">
        <w:rPr>
          <w:rFonts w:ascii="Times New Roman" w:hAnsi="Times New Roman" w:cs="Times New Roman"/>
          <w:b/>
          <w:sz w:val="36"/>
          <w:szCs w:val="36"/>
        </w:rPr>
        <w:t>о чем говорят российские данные?</w:t>
      </w:r>
    </w:p>
    <w:p w:rsidR="000071A8" w:rsidRDefault="000071A8" w:rsidP="00B00C22">
      <w:pPr>
        <w:ind w:left="1134" w:right="1132"/>
        <w:rPr>
          <w:color w:val="000000"/>
        </w:rPr>
      </w:pPr>
    </w:p>
    <w:p w:rsidR="000071A8" w:rsidRDefault="000071A8" w:rsidP="00B00C22">
      <w:pPr>
        <w:ind w:left="1134" w:right="1132"/>
        <w:rPr>
          <w:color w:val="000000"/>
        </w:rPr>
      </w:pPr>
    </w:p>
    <w:p w:rsidR="008134B6" w:rsidRPr="008134B6" w:rsidRDefault="008134B6" w:rsidP="00B00C22">
      <w:pPr>
        <w:ind w:left="90" w:right="1132"/>
        <w:rPr>
          <w:color w:val="000000"/>
          <w:u w:val="single"/>
        </w:rPr>
      </w:pPr>
      <w:r>
        <w:rPr>
          <w:color w:val="000000"/>
        </w:rPr>
        <w:t xml:space="preserve">Р.Ш. </w:t>
      </w:r>
      <w:r w:rsidR="000071A8">
        <w:rPr>
          <w:color w:val="000000"/>
        </w:rPr>
        <w:t xml:space="preserve">Меняшев, </w:t>
      </w:r>
      <w:r>
        <w:rPr>
          <w:color w:val="000000"/>
        </w:rPr>
        <w:t xml:space="preserve">ГУ-ВШЭ, </w:t>
      </w:r>
      <w:r w:rsidRPr="008134B6">
        <w:rPr>
          <w:color w:val="000000"/>
          <w:u w:val="single"/>
          <w:lang w:val="en-US"/>
        </w:rPr>
        <w:t>rinat</w:t>
      </w:r>
      <w:r w:rsidRPr="008134B6">
        <w:rPr>
          <w:color w:val="000000"/>
          <w:u w:val="single"/>
        </w:rPr>
        <w:t>.</w:t>
      </w:r>
      <w:r w:rsidR="00592A20">
        <w:rPr>
          <w:color w:val="000000"/>
          <w:u w:val="single"/>
          <w:lang w:val="en-US"/>
        </w:rPr>
        <w:t>meny</w:t>
      </w:r>
      <w:r w:rsidRPr="008134B6">
        <w:rPr>
          <w:color w:val="000000"/>
          <w:u w:val="single"/>
          <w:lang w:val="en-US"/>
        </w:rPr>
        <w:t>ashev</w:t>
      </w:r>
      <w:r w:rsidRPr="008134B6">
        <w:rPr>
          <w:color w:val="000000"/>
          <w:u w:val="single"/>
        </w:rPr>
        <w:t>@</w:t>
      </w:r>
      <w:r w:rsidRPr="008134B6">
        <w:rPr>
          <w:color w:val="000000"/>
          <w:u w:val="single"/>
          <w:lang w:val="en-US"/>
        </w:rPr>
        <w:t>gmail</w:t>
      </w:r>
      <w:r w:rsidRPr="008134B6">
        <w:rPr>
          <w:color w:val="000000"/>
          <w:u w:val="single"/>
        </w:rPr>
        <w:t>.</w:t>
      </w:r>
      <w:r w:rsidRPr="008134B6">
        <w:rPr>
          <w:color w:val="000000"/>
          <w:u w:val="single"/>
          <w:lang w:val="en-US"/>
        </w:rPr>
        <w:t>com</w:t>
      </w:r>
    </w:p>
    <w:p w:rsidR="000071A8" w:rsidRPr="008134B6" w:rsidRDefault="000071A8" w:rsidP="00B00C22">
      <w:pPr>
        <w:ind w:left="90" w:right="1132"/>
      </w:pPr>
      <w:r>
        <w:rPr>
          <w:color w:val="000000"/>
        </w:rPr>
        <w:t>Л</w:t>
      </w:r>
      <w:r w:rsidR="008134B6">
        <w:rPr>
          <w:color w:val="000000"/>
        </w:rPr>
        <w:t>.И.Полищук, ГУ-ВШЭ</w:t>
      </w:r>
      <w:r w:rsidR="008134B6" w:rsidRPr="008134B6">
        <w:t xml:space="preserve">,  </w:t>
      </w:r>
      <w:hyperlink r:id="rId8" w:history="1">
        <w:r w:rsidR="008134B6" w:rsidRPr="008134B6">
          <w:rPr>
            <w:rStyle w:val="Hyperlink"/>
            <w:color w:val="auto"/>
            <w:lang w:val="en-US"/>
          </w:rPr>
          <w:t>leonid</w:t>
        </w:r>
        <w:r w:rsidR="008134B6" w:rsidRPr="008134B6">
          <w:rPr>
            <w:rStyle w:val="Hyperlink"/>
            <w:color w:val="auto"/>
          </w:rPr>
          <w:t>.</w:t>
        </w:r>
        <w:r w:rsidR="008134B6" w:rsidRPr="008134B6">
          <w:rPr>
            <w:rStyle w:val="Hyperlink"/>
            <w:color w:val="auto"/>
            <w:lang w:val="en-US"/>
          </w:rPr>
          <w:t>polishchuk</w:t>
        </w:r>
        <w:r w:rsidR="008134B6" w:rsidRPr="008134B6">
          <w:rPr>
            <w:rStyle w:val="Hyperlink"/>
            <w:color w:val="auto"/>
          </w:rPr>
          <w:t>@</w:t>
        </w:r>
        <w:r w:rsidR="008134B6" w:rsidRPr="008134B6">
          <w:rPr>
            <w:rStyle w:val="Hyperlink"/>
            <w:color w:val="auto"/>
            <w:lang w:val="en-US"/>
          </w:rPr>
          <w:t>gmail</w:t>
        </w:r>
        <w:r w:rsidR="008134B6" w:rsidRPr="008134B6">
          <w:rPr>
            <w:rStyle w:val="Hyperlink"/>
            <w:color w:val="auto"/>
          </w:rPr>
          <w:t>.</w:t>
        </w:r>
        <w:r w:rsidR="008134B6" w:rsidRPr="008134B6">
          <w:rPr>
            <w:rStyle w:val="Hyperlink"/>
            <w:color w:val="auto"/>
            <w:lang w:val="en-US"/>
          </w:rPr>
          <w:t>com</w:t>
        </w:r>
      </w:hyperlink>
      <w:r w:rsidR="008134B6" w:rsidRPr="008134B6">
        <w:t xml:space="preserve">  </w:t>
      </w:r>
      <w:r w:rsidRPr="008134B6">
        <w:t xml:space="preserve"> </w:t>
      </w:r>
    </w:p>
    <w:p w:rsidR="000071A8" w:rsidRDefault="000071A8" w:rsidP="00B00C22">
      <w:pPr>
        <w:ind w:left="1134" w:right="1132"/>
        <w:rPr>
          <w:color w:val="000000"/>
        </w:rPr>
      </w:pPr>
    </w:p>
    <w:p w:rsidR="000071A8" w:rsidRDefault="000071A8" w:rsidP="00B00C22">
      <w:pPr>
        <w:ind w:left="1134" w:right="1132"/>
        <w:rPr>
          <w:color w:val="000000"/>
        </w:rPr>
      </w:pPr>
    </w:p>
    <w:p w:rsidR="000071A8" w:rsidRDefault="000071A8" w:rsidP="00B00C22">
      <w:pPr>
        <w:ind w:left="1134" w:right="1132"/>
        <w:rPr>
          <w:color w:val="000000"/>
        </w:rPr>
      </w:pPr>
    </w:p>
    <w:p w:rsidR="00B00C22" w:rsidRDefault="00B00C22" w:rsidP="00B00C22">
      <w:pPr>
        <w:ind w:left="1134" w:right="1132"/>
        <w:rPr>
          <w:color w:val="000000"/>
        </w:rPr>
      </w:pPr>
    </w:p>
    <w:p w:rsidR="006A4C51" w:rsidRPr="00B00C22" w:rsidRDefault="006A4C51" w:rsidP="00B00C22">
      <w:pPr>
        <w:pStyle w:val="Heading1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00C22">
        <w:rPr>
          <w:rFonts w:ascii="Times New Roman" w:hAnsi="Times New Roman" w:cs="Times New Roman"/>
          <w:sz w:val="28"/>
          <w:szCs w:val="28"/>
        </w:rPr>
        <w:t>Введение</w:t>
      </w:r>
    </w:p>
    <w:p w:rsidR="006A4C51" w:rsidRPr="00280E48" w:rsidRDefault="006A4C51" w:rsidP="00B00C22">
      <w:pPr>
        <w:ind w:firstLine="709"/>
        <w:rPr>
          <w:color w:val="000000"/>
        </w:rPr>
      </w:pPr>
    </w:p>
    <w:p w:rsidR="00DA75E1" w:rsidRPr="00280E48" w:rsidRDefault="006A4C51" w:rsidP="00B00C22">
      <w:pPr>
        <w:ind w:firstLine="709"/>
        <w:rPr>
          <w:color w:val="000000"/>
        </w:rPr>
      </w:pPr>
      <w:r w:rsidRPr="00280E48">
        <w:rPr>
          <w:color w:val="000000"/>
        </w:rPr>
        <w:t xml:space="preserve">За последние два десятилетия в экономической литературе появились многочисленные свидетельства важности </w:t>
      </w:r>
      <w:r w:rsidR="007B2BA0" w:rsidRPr="00280E48">
        <w:rPr>
          <w:color w:val="000000"/>
        </w:rPr>
        <w:t xml:space="preserve">для социально-экономического развития </w:t>
      </w:r>
      <w:r w:rsidRPr="00280E48">
        <w:rPr>
          <w:color w:val="000000"/>
        </w:rPr>
        <w:t>культурных норм, ценностей, доверия и других характеристик общества</w:t>
      </w:r>
      <w:r w:rsidR="007B2BA0">
        <w:rPr>
          <w:color w:val="000000"/>
        </w:rPr>
        <w:t xml:space="preserve">. </w:t>
      </w:r>
      <w:r w:rsidR="00DA75E1" w:rsidRPr="00280E48">
        <w:rPr>
          <w:color w:val="000000"/>
        </w:rPr>
        <w:t>Подобные характеристики получили собирательное наименование социального капитала, под которым принято понимать способность к самоорганизации и совместным действиям</w:t>
      </w:r>
      <w:r w:rsidRPr="00280E48">
        <w:rPr>
          <w:color w:val="000000"/>
        </w:rPr>
        <w:t xml:space="preserve"> ради общего блага. </w:t>
      </w:r>
      <w:r w:rsidR="00DA75E1" w:rsidRPr="00280E48">
        <w:rPr>
          <w:color w:val="000000"/>
        </w:rPr>
        <w:t xml:space="preserve">Методами регрессионного анализа установлена значимость различного рода </w:t>
      </w:r>
      <w:r w:rsidR="007B2BA0">
        <w:rPr>
          <w:color w:val="000000"/>
        </w:rPr>
        <w:t xml:space="preserve">показателей </w:t>
      </w:r>
      <w:r w:rsidR="00DA75E1" w:rsidRPr="00280E48">
        <w:rPr>
          <w:color w:val="000000"/>
        </w:rPr>
        <w:t>социального капитала для темпов экономического роста, общественного благосостояния, положения дел в социальной сфере и пр. Единицами анализа в так</w:t>
      </w:r>
      <w:r w:rsidR="007B2BA0">
        <w:rPr>
          <w:color w:val="000000"/>
        </w:rPr>
        <w:t xml:space="preserve">их исследованиях обычно </w:t>
      </w:r>
      <w:r w:rsidR="00DA75E1" w:rsidRPr="00280E48">
        <w:rPr>
          <w:color w:val="000000"/>
        </w:rPr>
        <w:t>являются страны или регионы отдельных государств. Для России связь между социальным капиталом и развитием до сих пор сколько-нибудь систематически не рассма</w:t>
      </w:r>
      <w:r w:rsidR="00A1431E" w:rsidRPr="00280E48">
        <w:rPr>
          <w:color w:val="000000"/>
        </w:rPr>
        <w:t>т</w:t>
      </w:r>
      <w:r w:rsidR="00DA75E1" w:rsidRPr="00280E48">
        <w:rPr>
          <w:color w:val="000000"/>
        </w:rPr>
        <w:t xml:space="preserve">ривалась, и настоящая работа имеет целью </w:t>
      </w:r>
      <w:r w:rsidR="00A1431E" w:rsidRPr="00280E48">
        <w:rPr>
          <w:color w:val="000000"/>
        </w:rPr>
        <w:t xml:space="preserve">отчасти </w:t>
      </w:r>
      <w:r w:rsidR="00DA75E1" w:rsidRPr="00280E48">
        <w:rPr>
          <w:color w:val="000000"/>
        </w:rPr>
        <w:t xml:space="preserve">заполнить этот пробел. </w:t>
      </w:r>
    </w:p>
    <w:p w:rsidR="00E1636D" w:rsidRPr="00280E48" w:rsidRDefault="00E1636D" w:rsidP="00B00C22">
      <w:pPr>
        <w:ind w:firstLine="709"/>
        <w:rPr>
          <w:color w:val="000000"/>
        </w:rPr>
      </w:pPr>
      <w:r w:rsidRPr="00280E48">
        <w:rPr>
          <w:color w:val="000000"/>
        </w:rPr>
        <w:t xml:space="preserve">Актуальность </w:t>
      </w:r>
      <w:r w:rsidR="00A1431E" w:rsidRPr="00280E48">
        <w:rPr>
          <w:color w:val="000000"/>
        </w:rPr>
        <w:t xml:space="preserve">поставленной задачи связана с тем, что российские реформы до сих пор не обеспечили необходимой модернизации и диверсификации экономики, улучшения дел в социальной сфере и утверждения институтов рыночной демократии. Все чаще </w:t>
      </w:r>
      <w:r w:rsidR="00381B8A" w:rsidRPr="00280E48">
        <w:rPr>
          <w:color w:val="000000"/>
        </w:rPr>
        <w:t xml:space="preserve">встречается </w:t>
      </w:r>
      <w:r w:rsidR="00A1431E" w:rsidRPr="00280E48">
        <w:rPr>
          <w:color w:val="000000"/>
        </w:rPr>
        <w:t>мнение, что первопричиной проблем является не отсутствие инвестиций и других производственн</w:t>
      </w:r>
      <w:r w:rsidR="00592A20">
        <w:rPr>
          <w:color w:val="000000"/>
        </w:rPr>
        <w:t>ы</w:t>
      </w:r>
      <w:r w:rsidR="00A1431E" w:rsidRPr="00280E48">
        <w:rPr>
          <w:color w:val="000000"/>
        </w:rPr>
        <w:t xml:space="preserve">х ресурсов, а пассивность общества, которое неспособно выступить активным агентом перемен </w:t>
      </w:r>
      <w:r w:rsidRPr="00280E48">
        <w:rPr>
          <w:color w:val="000000"/>
        </w:rPr>
        <w:t xml:space="preserve">и участником институциональных преобразований.. Важно выяснить, </w:t>
      </w:r>
      <w:r w:rsidR="00F7242F">
        <w:rPr>
          <w:color w:val="000000"/>
        </w:rPr>
        <w:t>подтверждается ли т</w:t>
      </w:r>
      <w:r w:rsidR="007B2BA0">
        <w:rPr>
          <w:color w:val="000000"/>
        </w:rPr>
        <w:t xml:space="preserve">акая точка зрения данными, </w:t>
      </w:r>
      <w:r w:rsidR="000E06B8" w:rsidRPr="00280E48">
        <w:rPr>
          <w:color w:val="000000"/>
        </w:rPr>
        <w:t xml:space="preserve">и есть ли свидетельства того, что социальный капитал в России может быть мобилизован как ресурс развития и реформ. </w:t>
      </w:r>
    </w:p>
    <w:p w:rsidR="00B8239A" w:rsidRPr="00280E48" w:rsidRDefault="001C675A" w:rsidP="00B00C22">
      <w:pPr>
        <w:ind w:firstLine="706"/>
        <w:rPr>
          <w:color w:val="000000"/>
        </w:rPr>
      </w:pPr>
      <w:r w:rsidRPr="00280E48">
        <w:rPr>
          <w:color w:val="000000"/>
        </w:rPr>
        <w:lastRenderedPageBreak/>
        <w:t xml:space="preserve">Исследования связи между социальным капиталом и развитием в зарубежных странах </w:t>
      </w:r>
      <w:r w:rsidR="008463F1">
        <w:rPr>
          <w:color w:val="000000"/>
        </w:rPr>
        <w:t xml:space="preserve">свидетельствуют о том, что </w:t>
      </w:r>
      <w:r w:rsidRPr="00280E48">
        <w:rPr>
          <w:color w:val="000000"/>
        </w:rPr>
        <w:t xml:space="preserve">в различных условиях экономическому росту и благосостоянию способствуют определенные составляющие социального капитала, набор которых может меняться от одной страны к другой. </w:t>
      </w:r>
      <w:r w:rsidR="00B8239A" w:rsidRPr="00280E48">
        <w:rPr>
          <w:color w:val="000000"/>
        </w:rPr>
        <w:t xml:space="preserve">Таким образом, возникает вопрос, какие именно формы социального капитала значимы для развития в российском контексте. </w:t>
      </w:r>
    </w:p>
    <w:p w:rsidR="000E06B8" w:rsidRPr="00280E48" w:rsidRDefault="00592A20" w:rsidP="00B00C22">
      <w:pPr>
        <w:ind w:firstLine="709"/>
        <w:rPr>
          <w:color w:val="000000"/>
        </w:rPr>
      </w:pPr>
      <w:r>
        <w:rPr>
          <w:color w:val="000000"/>
        </w:rPr>
        <w:t xml:space="preserve">Ответ может зависеть от границ и целей </w:t>
      </w:r>
      <w:r w:rsidR="001C675A" w:rsidRPr="00280E48">
        <w:rPr>
          <w:color w:val="000000"/>
        </w:rPr>
        <w:t>самоорганизации</w:t>
      </w:r>
      <w:r>
        <w:rPr>
          <w:color w:val="000000"/>
        </w:rPr>
        <w:t>. Е</w:t>
      </w:r>
      <w:r w:rsidR="001C675A" w:rsidRPr="00280E48">
        <w:rPr>
          <w:color w:val="000000"/>
        </w:rPr>
        <w:t>сли совместные действия не выходя</w:t>
      </w:r>
      <w:r w:rsidR="008C407F" w:rsidRPr="00280E48">
        <w:rPr>
          <w:color w:val="000000"/>
        </w:rPr>
        <w:t>т</w:t>
      </w:r>
      <w:r w:rsidR="001C675A" w:rsidRPr="00280E48">
        <w:rPr>
          <w:color w:val="000000"/>
        </w:rPr>
        <w:t xml:space="preserve"> за пределы узких групп, добивающихся эксклюзивных привилегий («группы Олсона»), то говорят о социальном капитале в закрытой форме; коллективные действия в рамках широких общественных коалиций («группы Патнэма») </w:t>
      </w:r>
      <w:r w:rsidR="001728CA" w:rsidRPr="00280E48">
        <w:rPr>
          <w:color w:val="000000"/>
        </w:rPr>
        <w:t>требуют открытого социального капитала.</w:t>
      </w:r>
      <w:r w:rsidR="00A57167">
        <w:rPr>
          <w:rStyle w:val="FootnoteReference"/>
          <w:color w:val="000000"/>
        </w:rPr>
        <w:footnoteReference w:id="1"/>
      </w:r>
      <w:r w:rsidR="001728CA" w:rsidRPr="00280E48">
        <w:rPr>
          <w:color w:val="000000"/>
        </w:rPr>
        <w:t xml:space="preserve"> Открыт</w:t>
      </w:r>
      <w:r w:rsidR="00A57167">
        <w:rPr>
          <w:color w:val="000000"/>
        </w:rPr>
        <w:t>ы</w:t>
      </w:r>
      <w:r w:rsidR="001728CA" w:rsidRPr="00280E48">
        <w:rPr>
          <w:color w:val="000000"/>
        </w:rPr>
        <w:t>й социальный капитал</w:t>
      </w:r>
      <w:r>
        <w:rPr>
          <w:color w:val="000000"/>
        </w:rPr>
        <w:t xml:space="preserve">, как правило, </w:t>
      </w:r>
      <w:r w:rsidR="001728CA" w:rsidRPr="00280E48">
        <w:rPr>
          <w:color w:val="000000"/>
        </w:rPr>
        <w:t>благоприятствует развитию, тогда как закрыт</w:t>
      </w:r>
      <w:r>
        <w:rPr>
          <w:color w:val="000000"/>
        </w:rPr>
        <w:t>ы</w:t>
      </w:r>
      <w:r w:rsidR="001728CA" w:rsidRPr="00280E48">
        <w:rPr>
          <w:color w:val="000000"/>
        </w:rPr>
        <w:t>й может стать его тормозом, отвлекая ресурсы и энергию общества на перераспределительную борьбу за ренту</w:t>
      </w:r>
      <w:r w:rsidR="00A57167" w:rsidRPr="00A57167">
        <w:rPr>
          <w:color w:val="000000"/>
        </w:rPr>
        <w:t xml:space="preserve"> (</w:t>
      </w:r>
      <w:r w:rsidR="00A57167">
        <w:rPr>
          <w:color w:val="000000"/>
          <w:lang w:val="en-US"/>
        </w:rPr>
        <w:t>Halpern</w:t>
      </w:r>
      <w:r w:rsidR="00A57167" w:rsidRPr="00A57167">
        <w:rPr>
          <w:color w:val="000000"/>
        </w:rPr>
        <w:t>, 2005)</w:t>
      </w:r>
      <w:r w:rsidR="001728CA" w:rsidRPr="00280E48">
        <w:rPr>
          <w:color w:val="000000"/>
        </w:rPr>
        <w:t xml:space="preserve">. </w:t>
      </w:r>
    </w:p>
    <w:p w:rsidR="00A17B60" w:rsidRPr="00280E48" w:rsidRDefault="008C407F" w:rsidP="00B00C22">
      <w:pPr>
        <w:ind w:firstLine="709"/>
        <w:rPr>
          <w:color w:val="000000"/>
        </w:rPr>
      </w:pPr>
      <w:r w:rsidRPr="00280E48">
        <w:rPr>
          <w:color w:val="000000"/>
        </w:rPr>
        <w:t xml:space="preserve">Наконец, недостаточно констатировать наличие связи социального капитала и развития (даже если такую связь удается обнаружить) </w:t>
      </w:r>
      <w:r w:rsidR="00733FF5" w:rsidRPr="00280E48">
        <w:rPr>
          <w:color w:val="000000"/>
        </w:rPr>
        <w:t>–</w:t>
      </w:r>
      <w:r w:rsidRPr="00280E48">
        <w:rPr>
          <w:color w:val="000000"/>
        </w:rPr>
        <w:t xml:space="preserve"> </w:t>
      </w:r>
      <w:r w:rsidR="00733FF5" w:rsidRPr="00280E48">
        <w:rPr>
          <w:color w:val="000000"/>
        </w:rPr>
        <w:t xml:space="preserve">важно также представлять природу «передаточных механизмов» между социальным капиталом и состоянием институтов, экономики и общества. Такие механизмы могут иметь «горизонтальную» или «вертикальную» природу. В первом случае речь идет о частном (не связанным с государством) решении общественных проблем, когда </w:t>
      </w:r>
      <w:r w:rsidR="00592A20">
        <w:rPr>
          <w:color w:val="000000"/>
        </w:rPr>
        <w:t>доверие позволяет сократить тран</w:t>
      </w:r>
      <w:r w:rsidR="00733FF5" w:rsidRPr="00280E48">
        <w:rPr>
          <w:color w:val="000000"/>
        </w:rPr>
        <w:t xml:space="preserve">закционные издержки, или граждане оказывают друг другу взаимную помощь, сотрудничают в рамках добровольных объединений и пр. Во втором случае социальный капитал материализуется в виде политической активности граждан для достижения более высокой подотчетности и эффективности работы органов власти. </w:t>
      </w:r>
      <w:r w:rsidR="00A17B60" w:rsidRPr="00280E48">
        <w:rPr>
          <w:color w:val="000000"/>
        </w:rPr>
        <w:t xml:space="preserve">Выявление передаточных механизмов между социальным капиталом и развитием в российских условиях представляет собой важную задачу. </w:t>
      </w:r>
    </w:p>
    <w:p w:rsidR="005D4B47" w:rsidRPr="00280E48" w:rsidRDefault="00426918" w:rsidP="00B00C22">
      <w:pPr>
        <w:ind w:firstLine="709"/>
        <w:rPr>
          <w:color w:val="000000"/>
        </w:rPr>
      </w:pPr>
      <w:r w:rsidRPr="00280E48">
        <w:rPr>
          <w:color w:val="000000"/>
        </w:rPr>
        <w:t xml:space="preserve">В настоящей работе </w:t>
      </w:r>
      <w:r w:rsidR="005D4B47" w:rsidRPr="00280E48">
        <w:rPr>
          <w:color w:val="000000"/>
        </w:rPr>
        <w:t>предлагается простая модель, позволяющая проанализировать влияние социального капитала в закрытой и открытой разновидностях на экономику и общественное благосостояние. Выводы модели тестируются с использованием данных проекта «Георейтинг» Фонда «Общественное мнение»</w:t>
      </w:r>
      <w:r w:rsidR="000071A8" w:rsidRPr="00280E48">
        <w:rPr>
          <w:rStyle w:val="FootnoteReference"/>
          <w:color w:val="000000"/>
        </w:rPr>
        <w:footnoteReference w:id="2"/>
      </w:r>
      <w:r w:rsidR="00F067F6" w:rsidRPr="00280E48">
        <w:rPr>
          <w:color w:val="000000"/>
        </w:rPr>
        <w:t xml:space="preserve">; единицей анализа является город. </w:t>
      </w:r>
      <w:r w:rsidR="005D4B47" w:rsidRPr="00280E48">
        <w:rPr>
          <w:color w:val="000000"/>
        </w:rPr>
        <w:t>Сформированы индикаторы открытого и закрытого социального капитала, а также гражданской культуры населения, и показано, что открытый социальный капитал и гражданская культура находятся в статис</w:t>
      </w:r>
      <w:r w:rsidR="00F067F6" w:rsidRPr="00280E48">
        <w:rPr>
          <w:color w:val="000000"/>
        </w:rPr>
        <w:t>ти</w:t>
      </w:r>
      <w:r w:rsidR="005D4B47" w:rsidRPr="00280E48">
        <w:rPr>
          <w:color w:val="000000"/>
        </w:rPr>
        <w:t xml:space="preserve">чески значимой положительной связи с </w:t>
      </w:r>
      <w:r w:rsidR="005D4B47" w:rsidRPr="00280E48">
        <w:rPr>
          <w:color w:val="000000"/>
        </w:rPr>
        <w:lastRenderedPageBreak/>
        <w:t>удовлетворенностью россиян положением дел в своем городе, тогда как для закрытого социального капитала такая связь отрицательна.</w:t>
      </w:r>
      <w:r w:rsidR="00F067F6" w:rsidRPr="00280E48">
        <w:rPr>
          <w:color w:val="000000"/>
        </w:rPr>
        <w:t xml:space="preserve"> Анали</w:t>
      </w:r>
      <w:r w:rsidR="00B00D6D">
        <w:rPr>
          <w:color w:val="000000"/>
        </w:rPr>
        <w:t>з</w:t>
      </w:r>
      <w:r w:rsidR="00F067F6" w:rsidRPr="00280E48">
        <w:rPr>
          <w:color w:val="000000"/>
        </w:rPr>
        <w:t xml:space="preserve"> дает основания для вывода о том, что в России есть более и менее </w:t>
      </w:r>
      <w:r w:rsidR="000071A8" w:rsidRPr="00280E48">
        <w:rPr>
          <w:color w:val="000000"/>
        </w:rPr>
        <w:t>«</w:t>
      </w:r>
      <w:r w:rsidR="00F067F6" w:rsidRPr="00280E48">
        <w:rPr>
          <w:color w:val="000000"/>
        </w:rPr>
        <w:t>гражданские</w:t>
      </w:r>
      <w:r w:rsidR="000071A8" w:rsidRPr="00280E48">
        <w:rPr>
          <w:color w:val="000000"/>
        </w:rPr>
        <w:t>»</w:t>
      </w:r>
      <w:r w:rsidR="00F067F6" w:rsidRPr="00280E48">
        <w:rPr>
          <w:color w:val="000000"/>
        </w:rPr>
        <w:t xml:space="preserve"> города,</w:t>
      </w:r>
      <w:r w:rsidR="00A23E62">
        <w:rPr>
          <w:color w:val="000000"/>
        </w:rPr>
        <w:t xml:space="preserve"> </w:t>
      </w:r>
      <w:r w:rsidR="000071A8" w:rsidRPr="00280E48">
        <w:rPr>
          <w:color w:val="000000"/>
        </w:rPr>
        <w:t xml:space="preserve">причем </w:t>
      </w:r>
      <w:r w:rsidR="000071A8" w:rsidRPr="00280E48">
        <w:t>«гражданские» города при прочих равных условиях благополучнее «негражданских». Таким образом, закономерность, обнаруженная в развитых странах Европы и США, подтверждается и российскими данными: социальный капитал дает осязаемую отдачу.</w:t>
      </w:r>
    </w:p>
    <w:p w:rsidR="00280E48" w:rsidRDefault="00280E48" w:rsidP="00B00C22">
      <w:pPr>
        <w:ind w:firstLine="720"/>
        <w:rPr>
          <w:color w:val="000000"/>
        </w:rPr>
      </w:pPr>
    </w:p>
    <w:p w:rsidR="00B00C22" w:rsidRPr="00280E48" w:rsidRDefault="00B00C22" w:rsidP="00B00C22">
      <w:pPr>
        <w:ind w:firstLine="720"/>
        <w:rPr>
          <w:color w:val="000000"/>
        </w:rPr>
      </w:pPr>
    </w:p>
    <w:p w:rsidR="00280E48" w:rsidRPr="00B00C22" w:rsidRDefault="008C7305" w:rsidP="00B00C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00C2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80E48" w:rsidRPr="00B00C22">
        <w:rPr>
          <w:rFonts w:ascii="Times New Roman" w:hAnsi="Times New Roman"/>
          <w:b/>
          <w:color w:val="000000"/>
          <w:sz w:val="28"/>
          <w:szCs w:val="28"/>
        </w:rPr>
        <w:t xml:space="preserve">одель </w:t>
      </w:r>
    </w:p>
    <w:p w:rsidR="008A1C94" w:rsidRDefault="00D363C9" w:rsidP="00B00C22">
      <w:pPr>
        <w:ind w:firstLine="720"/>
        <w:rPr>
          <w:color w:val="000000"/>
        </w:rPr>
      </w:pPr>
      <w:r>
        <w:rPr>
          <w:color w:val="000000"/>
        </w:rPr>
        <w:t xml:space="preserve">В излагаемой далее модели основное внимание уделяется «вертикальному» передаточному механизму, когда социальный капитал влияет на развитие через подотчетность власти. </w:t>
      </w:r>
    </w:p>
    <w:p w:rsidR="00D363C9" w:rsidRDefault="00D363C9" w:rsidP="00B00C22">
      <w:pPr>
        <w:ind w:firstLine="720"/>
        <w:rPr>
          <w:color w:val="000000"/>
        </w:rPr>
      </w:pPr>
      <w:r>
        <w:rPr>
          <w:color w:val="000000"/>
        </w:rPr>
        <w:t xml:space="preserve">Как известно, экономическая функция государства заключается в преодолении провалов рынка, возникающих, помимо прочего, ввиду проблемы «безбилетника» в создании общественных благ. Вместе с тем </w:t>
      </w:r>
      <w:r w:rsidR="00AC0709">
        <w:rPr>
          <w:color w:val="000000"/>
        </w:rPr>
        <w:t>компетентное, эффективное и неподкупное государство само по себе является важнейшим общественным благом, поддержание которого также наталкивается на проблему безбилетника, когда граждане по тем или иным причинам политически пассивны и не участвуют в общественном контроле над властью, которая в таком случае оказывается склонной к злоупотреблени</w:t>
      </w:r>
      <w:r w:rsidR="008C79EE">
        <w:rPr>
          <w:color w:val="000000"/>
        </w:rPr>
        <w:t>ям</w:t>
      </w:r>
      <w:r w:rsidR="00AC0709">
        <w:rPr>
          <w:color w:val="000000"/>
        </w:rPr>
        <w:t xml:space="preserve">. Согласно </w:t>
      </w:r>
      <w:r w:rsidR="00AC0709" w:rsidRPr="00AC0709">
        <w:rPr>
          <w:color w:val="000000"/>
        </w:rPr>
        <w:t>(</w:t>
      </w:r>
      <w:r w:rsidR="00AC0709">
        <w:rPr>
          <w:color w:val="000000"/>
          <w:lang w:val="en-US"/>
        </w:rPr>
        <w:t>Weingast</w:t>
      </w:r>
      <w:r w:rsidR="00AC0709" w:rsidRPr="00AC0709">
        <w:rPr>
          <w:color w:val="000000"/>
        </w:rPr>
        <w:t xml:space="preserve">, &amp;&amp;&amp;), </w:t>
      </w:r>
      <w:r w:rsidR="00AC0709">
        <w:rPr>
          <w:color w:val="000000"/>
        </w:rPr>
        <w:t xml:space="preserve">демократия экономически дееспособна в тех случаях, </w:t>
      </w:r>
      <w:r w:rsidR="006042DB">
        <w:rPr>
          <w:color w:val="000000"/>
        </w:rPr>
        <w:t>когда в обществе широко разделяе</w:t>
      </w:r>
      <w:r w:rsidR="00AC0709">
        <w:rPr>
          <w:color w:val="000000"/>
        </w:rPr>
        <w:t xml:space="preserve">тся </w:t>
      </w:r>
      <w:r w:rsidR="006042DB">
        <w:rPr>
          <w:color w:val="000000"/>
        </w:rPr>
        <w:t xml:space="preserve">восприятие </w:t>
      </w:r>
      <w:r w:rsidR="00AC0709">
        <w:rPr>
          <w:color w:val="000000"/>
        </w:rPr>
        <w:t xml:space="preserve">ценности прав и свобод, а также </w:t>
      </w:r>
      <w:r w:rsidR="006042DB">
        <w:rPr>
          <w:color w:val="000000"/>
        </w:rPr>
        <w:t xml:space="preserve">чувство </w:t>
      </w:r>
      <w:r w:rsidR="00AC0709">
        <w:rPr>
          <w:color w:val="000000"/>
        </w:rPr>
        <w:t>ответственности за положение в стране, регионе, и</w:t>
      </w:r>
      <w:r w:rsidR="004759B6">
        <w:rPr>
          <w:color w:val="000000"/>
        </w:rPr>
        <w:t>ли городе, и когда граждане спо</w:t>
      </w:r>
      <w:r w:rsidR="00AC0709">
        <w:rPr>
          <w:color w:val="000000"/>
        </w:rPr>
        <w:t>с</w:t>
      </w:r>
      <w:r w:rsidR="004759B6">
        <w:rPr>
          <w:color w:val="000000"/>
        </w:rPr>
        <w:t>о</w:t>
      </w:r>
      <w:r w:rsidR="00AC0709">
        <w:rPr>
          <w:color w:val="000000"/>
        </w:rPr>
        <w:t xml:space="preserve">бны к образованию достаточно широких коалиций в защиту таких ценностей, </w:t>
      </w:r>
      <w:r w:rsidR="006042DB">
        <w:rPr>
          <w:color w:val="000000"/>
        </w:rPr>
        <w:t xml:space="preserve">если последние </w:t>
      </w:r>
      <w:r w:rsidR="00AC0709">
        <w:rPr>
          <w:color w:val="000000"/>
        </w:rPr>
        <w:t xml:space="preserve">оказываются под угрозой. </w:t>
      </w:r>
    </w:p>
    <w:p w:rsidR="008C7305" w:rsidRPr="00D231A9" w:rsidRDefault="004759B6" w:rsidP="00B00C22">
      <w:pPr>
        <w:ind w:firstLine="720"/>
        <w:rPr>
          <w:color w:val="000000"/>
        </w:rPr>
      </w:pPr>
      <w:r>
        <w:rPr>
          <w:color w:val="000000"/>
        </w:rPr>
        <w:t xml:space="preserve">Такого рода зависимость отражена в </w:t>
      </w:r>
      <w:r w:rsidR="008C79EE">
        <w:rPr>
          <w:color w:val="000000"/>
        </w:rPr>
        <w:t xml:space="preserve">следующей далее </w:t>
      </w:r>
      <w:r>
        <w:rPr>
          <w:color w:val="000000"/>
        </w:rPr>
        <w:t xml:space="preserve">модели индексом </w:t>
      </w:r>
      <w:r w:rsidR="00687EEE">
        <w:rPr>
          <w:color w:val="000000"/>
        </w:rPr>
        <w:t>подочетности власти</w:t>
      </w:r>
      <w:r w:rsidR="00687EEE" w:rsidRPr="00687EE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a∈[0,1]</m:t>
        </m:r>
      </m:oMath>
      <w:r w:rsidR="00687EEE" w:rsidRPr="00687EEE">
        <w:rPr>
          <w:color w:val="000000"/>
        </w:rPr>
        <w:t xml:space="preserve">. </w:t>
      </w:r>
      <w:r w:rsidR="00687EEE">
        <w:rPr>
          <w:color w:val="000000"/>
        </w:rPr>
        <w:t xml:space="preserve">Этот индекс </w:t>
      </w:r>
      <w:r>
        <w:rPr>
          <w:color w:val="000000"/>
        </w:rPr>
        <w:t>находится в положительной зависимости от двух факторов, первый из</w:t>
      </w:r>
      <w:r w:rsidR="009B63C0">
        <w:rPr>
          <w:color w:val="000000"/>
        </w:rPr>
        <w:t xml:space="preserve"> которых – гражданская культура</w:t>
      </w:r>
      <w:r w:rsidR="009B63C0" w:rsidRPr="009B63C0">
        <w:rPr>
          <w:color w:val="000000"/>
        </w:rPr>
        <w:t>,</w:t>
      </w:r>
      <w:r>
        <w:rPr>
          <w:color w:val="000000"/>
        </w:rPr>
        <w:t xml:space="preserve"> т.е. осознание общественного блага как ценности и предмета личной ответственности, а второй – открытый социальный капитал, т.е. способность к образованию широких общественных коалиций ради общего блага.</w:t>
      </w:r>
      <w:r w:rsidR="008C7305">
        <w:rPr>
          <w:color w:val="000000"/>
        </w:rPr>
        <w:t xml:space="preserve"> Предполагается</w:t>
      </w:r>
      <w:r w:rsidR="009B63C0" w:rsidRPr="009B63C0">
        <w:rPr>
          <w:color w:val="000000"/>
        </w:rPr>
        <w:t xml:space="preserve">, </w:t>
      </w:r>
      <w:r w:rsidR="008C7305">
        <w:rPr>
          <w:color w:val="000000"/>
        </w:rPr>
        <w:t xml:space="preserve">что правящий класс принимает решения, исходя </w:t>
      </w:r>
      <w:r w:rsidR="008C79EE">
        <w:rPr>
          <w:color w:val="000000"/>
        </w:rPr>
        <w:t xml:space="preserve">как </w:t>
      </w:r>
      <w:r w:rsidR="008C7305">
        <w:rPr>
          <w:color w:val="000000"/>
        </w:rPr>
        <w:t>из собственной выгоды</w:t>
      </w:r>
      <w:r w:rsidR="008C79EE">
        <w:rPr>
          <w:color w:val="000000"/>
        </w:rPr>
        <w:t xml:space="preserve">, так и из </w:t>
      </w:r>
      <w:r w:rsidR="008C7305">
        <w:rPr>
          <w:color w:val="000000"/>
        </w:rPr>
        <w:t xml:space="preserve">интересов остальной части общества, </w:t>
      </w:r>
      <w:r w:rsidR="00687EEE">
        <w:rPr>
          <w:color w:val="000000"/>
        </w:rPr>
        <w:t>причем перв</w:t>
      </w:r>
      <w:r w:rsidR="008C79EE">
        <w:rPr>
          <w:color w:val="000000"/>
        </w:rPr>
        <w:t xml:space="preserve">ая </w:t>
      </w:r>
      <w:r w:rsidR="00687EEE">
        <w:rPr>
          <w:color w:val="000000"/>
        </w:rPr>
        <w:t>учитывается с весом 1, а втор</w:t>
      </w:r>
      <w:r w:rsidR="008C79EE">
        <w:rPr>
          <w:color w:val="000000"/>
        </w:rPr>
        <w:t xml:space="preserve">ые </w:t>
      </w:r>
      <w:r w:rsidR="00687EEE">
        <w:rPr>
          <w:color w:val="000000"/>
        </w:rPr>
        <w:t xml:space="preserve">– с весом </w:t>
      </w:r>
      <m:oMath>
        <m:r>
          <w:rPr>
            <w:rFonts w:ascii="Cambria Math" w:hAnsi="Cambria Math"/>
            <w:color w:val="000000"/>
          </w:rPr>
          <m:t>a</m:t>
        </m:r>
      </m:oMath>
      <w:r w:rsidR="00687EEE" w:rsidRPr="00687EEE">
        <w:rPr>
          <w:color w:val="000000"/>
        </w:rPr>
        <w:t xml:space="preserve">. </w:t>
      </w:r>
    </w:p>
    <w:p w:rsidR="00B00C22" w:rsidRDefault="00B00C22" w:rsidP="00B00C22">
      <w:pPr>
        <w:ind w:firstLine="720"/>
        <w:rPr>
          <w:color w:val="000000"/>
        </w:rPr>
      </w:pPr>
    </w:p>
    <w:p w:rsidR="00B00C22" w:rsidRDefault="00B00C22" w:rsidP="00B00C22">
      <w:pPr>
        <w:ind w:firstLine="720"/>
        <w:rPr>
          <w:color w:val="000000"/>
        </w:rPr>
      </w:pPr>
    </w:p>
    <w:p w:rsidR="00687EEE" w:rsidRPr="00D231A9" w:rsidRDefault="00687EEE" w:rsidP="00B00C22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Признаком неподотчетности власти является присвоение ею ресурсов частного сектора, для изъятия которых используется налог со ставкой </w:t>
      </w:r>
      <m:oMath>
        <m:r>
          <w:rPr>
            <w:rFonts w:ascii="Cambria Math" w:hAnsi="Cambria Math"/>
            <w:color w:val="000000"/>
          </w:rPr>
          <m:t>t∈[0,1]</m:t>
        </m:r>
      </m:oMath>
      <w:r w:rsidRPr="00687EEE">
        <w:rPr>
          <w:color w:val="000000"/>
        </w:rPr>
        <w:t xml:space="preserve">. </w:t>
      </w:r>
      <w:r w:rsidR="001D6A61">
        <w:rPr>
          <w:color w:val="000000"/>
        </w:rPr>
        <w:t>Налоговые сбор</w:t>
      </w:r>
      <w:r w:rsidR="006042DB">
        <w:rPr>
          <w:color w:val="000000"/>
        </w:rPr>
        <w:t>ы</w:t>
      </w:r>
      <w:r w:rsidR="001D6A61">
        <w:rPr>
          <w:color w:val="000000"/>
        </w:rPr>
        <w:t xml:space="preserve">, присваиваемые правящим классом, составляют </w:t>
      </w:r>
      <m:oMath>
        <m:r>
          <w:rPr>
            <w:rFonts w:ascii="Cambria Math" w:hAnsi="Cambria Math"/>
            <w:color w:val="000000"/>
          </w:rPr>
          <m:t>R(t)</m:t>
        </m:r>
      </m:oMath>
      <w:r w:rsidR="001D6A61">
        <w:rPr>
          <w:color w:val="000000"/>
        </w:rPr>
        <w:t xml:space="preserve">, а доход (благосостояние) частного сектора после выплаты налога –  </w:t>
      </w:r>
      <m:oMath>
        <m:r>
          <w:rPr>
            <w:rFonts w:ascii="Cambria Math" w:hAnsi="Cambria Math"/>
            <w:color w:val="000000"/>
          </w:rPr>
          <m:t>V(t)</m:t>
        </m:r>
      </m:oMath>
      <w:r w:rsidR="001D6A61">
        <w:rPr>
          <w:color w:val="000000"/>
        </w:rPr>
        <w:t xml:space="preserve">. В дальнейшем считается, что частный сектор образован единичным континуумом экономически неотличимых друг от друга агентов. Используемый налог создает искажения и безвозвратные потери в размере </w:t>
      </w:r>
      <m:oMath>
        <m:r>
          <w:rPr>
            <w:rFonts w:ascii="Cambria Math" w:hAnsi="Cambria Math"/>
            <w:color w:val="000000"/>
          </w:rPr>
          <m:t>D(t)</m:t>
        </m:r>
      </m:oMath>
      <w:r w:rsidR="001D6A61">
        <w:rPr>
          <w:color w:val="000000"/>
        </w:rPr>
        <w:t xml:space="preserve">. Общественному оптимуму соответсвует нулевая ставка налога и общественное благосостояние в размере </w:t>
      </w:r>
      <m:oMath>
        <m:r>
          <w:rPr>
            <w:rFonts w:ascii="Cambria Math" w:hAnsi="Cambria Math"/>
            <w:color w:val="000000"/>
          </w:rPr>
          <m:t>V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0</m:t>
            </m:r>
          </m:e>
        </m:d>
        <m:r>
          <w:rPr>
            <w:rFonts w:ascii="Cambria Math" w:hAnsi="Cambria Math"/>
            <w:color w:val="000000"/>
          </w:rPr>
          <m:t>=V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</m:e>
        </m:d>
        <m:r>
          <w:rPr>
            <w:rFonts w:ascii="Cambria Math" w:hAnsi="Cambria Math"/>
            <w:color w:val="000000"/>
          </w:rPr>
          <m:t>+R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</m:e>
        </m:d>
        <m:r>
          <w:rPr>
            <w:rFonts w:ascii="Cambria Math" w:hAnsi="Cambria Math"/>
            <w:color w:val="000000"/>
          </w:rPr>
          <m:t>+D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</m:e>
        </m:d>
      </m:oMath>
      <w:r w:rsidR="003D2152" w:rsidRPr="003D2152">
        <w:rPr>
          <w:color w:val="000000"/>
        </w:rPr>
        <w:t xml:space="preserve">. </w:t>
      </w:r>
      <w:r w:rsidR="003D2152">
        <w:rPr>
          <w:color w:val="000000"/>
        </w:rPr>
        <w:t>В дальнейшем предполагается, что функция</w:t>
      </w:r>
      <w:r w:rsidR="00846FD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V</m:t>
        </m:r>
      </m:oMath>
      <w:r w:rsidR="003D2152">
        <w:rPr>
          <w:color w:val="000000"/>
        </w:rPr>
        <w:t xml:space="preserve"> является монотонно убывающей, а</w:t>
      </w:r>
      <w:r w:rsidR="00846FDE" w:rsidRPr="00846FD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R</m:t>
        </m:r>
      </m:oMath>
      <w:r w:rsidR="003D2152">
        <w:rPr>
          <w:color w:val="000000"/>
        </w:rPr>
        <w:t xml:space="preserve"> и </w:t>
      </w:r>
      <m:oMath>
        <m:r>
          <w:rPr>
            <w:rFonts w:ascii="Cambria Math" w:hAnsi="Cambria Math"/>
            <w:color w:val="000000"/>
          </w:rPr>
          <m:t>D</m:t>
        </m:r>
      </m:oMath>
      <w:r w:rsidR="00846FDE" w:rsidRPr="00846FDE">
        <w:rPr>
          <w:color w:val="000000"/>
        </w:rPr>
        <w:t xml:space="preserve"> </w:t>
      </w:r>
      <w:r w:rsidR="003D2152">
        <w:rPr>
          <w:color w:val="000000"/>
        </w:rPr>
        <w:t xml:space="preserve">монотонно возрастают в зависимости от </w:t>
      </w:r>
      <m:oMath>
        <m:r>
          <w:rPr>
            <w:rFonts w:ascii="Cambria Math" w:hAnsi="Cambria Math"/>
            <w:color w:val="000000"/>
          </w:rPr>
          <m:t>t</m:t>
        </m:r>
      </m:oMath>
      <w:r w:rsidR="00846FDE" w:rsidRPr="00846FDE">
        <w:rPr>
          <w:color w:val="000000"/>
        </w:rPr>
        <w:t xml:space="preserve"> </w:t>
      </w:r>
      <w:r w:rsidR="003D2152">
        <w:rPr>
          <w:color w:val="000000"/>
        </w:rPr>
        <w:t>(</w:t>
      </w:r>
      <w:r w:rsidR="008C79EE">
        <w:rPr>
          <w:color w:val="000000"/>
        </w:rPr>
        <w:t xml:space="preserve">сделанное </w:t>
      </w:r>
      <w:r w:rsidR="003D2152">
        <w:rPr>
          <w:color w:val="000000"/>
        </w:rPr>
        <w:t>предположение о зависимости налоговых сборов от ставки налога означает, что рассматривается восходящая ветвь кривой Лаффера</w:t>
      </w:r>
      <w:r w:rsidR="00846FDE" w:rsidRPr="00846FDE">
        <w:rPr>
          <w:color w:val="000000"/>
        </w:rPr>
        <w:t>)</w:t>
      </w:r>
      <w:r w:rsidR="003D2152">
        <w:rPr>
          <w:color w:val="000000"/>
        </w:rPr>
        <w:t xml:space="preserve">. </w:t>
      </w:r>
    </w:p>
    <w:p w:rsidR="00C302F4" w:rsidRPr="00121681" w:rsidRDefault="00C302F4" w:rsidP="00B00C22">
      <w:pPr>
        <w:ind w:firstLine="720"/>
        <w:rPr>
          <w:color w:val="000000"/>
        </w:rPr>
      </w:pPr>
      <w:r>
        <w:rPr>
          <w:color w:val="000000"/>
        </w:rPr>
        <w:t xml:space="preserve">Если открытый социальный капитал мобилизуется для предотвращения злоупотреблений властью </w:t>
      </w:r>
      <w:r w:rsidR="00C01F91">
        <w:rPr>
          <w:color w:val="000000"/>
        </w:rPr>
        <w:t xml:space="preserve">(в данном случае – в виде налогообложения, не обоснованного нуждами общества), то функция закрытого социального капитала – сократить ущерб от таких злоупотреблений </w:t>
      </w:r>
      <w:r w:rsidR="008C79EE">
        <w:rPr>
          <w:color w:val="000000"/>
        </w:rPr>
        <w:t xml:space="preserve">в пределах </w:t>
      </w:r>
      <w:r w:rsidR="00C01F91">
        <w:rPr>
          <w:color w:val="000000"/>
        </w:rPr>
        <w:t xml:space="preserve">узкой группы. Предполагается, что соответствующая группа в сепаратном порядке «откупается» от властных посягательств прямой выплатой суммы </w:t>
      </w:r>
      <m:oMath>
        <m:r>
          <w:rPr>
            <w:rFonts w:ascii="Cambria Math" w:hAnsi="Cambria Math"/>
            <w:color w:val="000000"/>
          </w:rPr>
          <m:t>R(t)</m:t>
        </m:r>
      </m:oMath>
      <w:r w:rsidR="00C01F91" w:rsidRPr="00C01F91">
        <w:rPr>
          <w:color w:val="000000"/>
        </w:rPr>
        <w:t xml:space="preserve"> </w:t>
      </w:r>
      <w:r w:rsidR="00C01F91">
        <w:rPr>
          <w:color w:val="000000"/>
        </w:rPr>
        <w:t xml:space="preserve">в расчете на каждого </w:t>
      </w:r>
      <w:r w:rsidR="008C79EE">
        <w:rPr>
          <w:color w:val="000000"/>
        </w:rPr>
        <w:t xml:space="preserve">участника, </w:t>
      </w:r>
      <w:r w:rsidR="00C01F91">
        <w:rPr>
          <w:color w:val="000000"/>
        </w:rPr>
        <w:t xml:space="preserve">для чего </w:t>
      </w:r>
      <w:r w:rsidR="008C79EE">
        <w:rPr>
          <w:color w:val="000000"/>
        </w:rPr>
        <w:t xml:space="preserve">последние </w:t>
      </w:r>
      <w:r w:rsidR="00C01F91">
        <w:rPr>
          <w:color w:val="000000"/>
        </w:rPr>
        <w:t>делают необходимые взносы. Выгода такого варианта заключается в экономии для членов группы безвоз</w:t>
      </w:r>
      <w:r w:rsidR="001D153A">
        <w:rPr>
          <w:color w:val="000000"/>
        </w:rPr>
        <w:t>в</w:t>
      </w:r>
      <w:r w:rsidR="00C01F91">
        <w:rPr>
          <w:color w:val="000000"/>
        </w:rPr>
        <w:t xml:space="preserve">ратных потерь </w:t>
      </w:r>
      <m:oMath>
        <m:r>
          <w:rPr>
            <w:rFonts w:ascii="Cambria Math" w:hAnsi="Cambria Math"/>
            <w:color w:val="000000"/>
          </w:rPr>
          <m:t>D(t)</m:t>
        </m:r>
      </m:oMath>
      <w:r w:rsidR="00C01F91">
        <w:rPr>
          <w:color w:val="000000"/>
        </w:rPr>
        <w:t xml:space="preserve">. Будем считать характеристикой закрытого социального капитала долю </w:t>
      </w:r>
      <m:oMath>
        <m:r>
          <w:rPr>
            <w:rFonts w:ascii="Cambria Math" w:hAnsi="Cambria Math"/>
            <w:color w:val="000000"/>
          </w:rPr>
          <m:t>w∈[0,1]</m:t>
        </m:r>
      </m:oMath>
      <w:r w:rsidR="008727BC" w:rsidRPr="008727BC">
        <w:rPr>
          <w:color w:val="000000"/>
        </w:rPr>
        <w:t xml:space="preserve"> </w:t>
      </w:r>
      <w:r w:rsidR="00C01F91">
        <w:rPr>
          <w:color w:val="000000"/>
        </w:rPr>
        <w:t xml:space="preserve">членов общества, организованного в такого рода группы. </w:t>
      </w:r>
    </w:p>
    <w:p w:rsidR="008727BC" w:rsidRPr="00D231A9" w:rsidRDefault="008727BC" w:rsidP="00B00C22">
      <w:pPr>
        <w:ind w:firstLine="720"/>
        <w:rPr>
          <w:color w:val="000000"/>
        </w:rPr>
      </w:pPr>
      <w:r>
        <w:rPr>
          <w:color w:val="000000"/>
        </w:rPr>
        <w:t>В сделанных предположениях экономический выигрыш правящего класса составляет</w:t>
      </w:r>
      <w:r w:rsidR="007A452B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R(t)</m:t>
        </m:r>
      </m:oMath>
      <w:r>
        <w:rPr>
          <w:color w:val="000000"/>
        </w:rPr>
        <w:t>, а остальной части общества –</w:t>
      </w:r>
      <w:r w:rsidR="008C79EE">
        <w:rPr>
          <w:color w:val="000000"/>
        </w:rPr>
        <w:t xml:space="preserve"> величину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1-w</m:t>
            </m:r>
          </m:e>
        </m:d>
        <m:r>
          <w:rPr>
            <w:rFonts w:ascii="Cambria Math" w:hAnsi="Cambria Math"/>
            <w:color w:val="000000"/>
          </w:rPr>
          <m:t>V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</m:e>
        </m:d>
        <m:r>
          <w:rPr>
            <w:rFonts w:ascii="Cambria Math" w:hAnsi="Cambria Math"/>
            <w:color w:val="000000"/>
          </w:rPr>
          <m:t>+w(V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0</m:t>
            </m:r>
          </m:e>
        </m:d>
        <m:r>
          <w:rPr>
            <w:rFonts w:ascii="Cambria Math" w:hAnsi="Cambria Math"/>
            <w:color w:val="000000"/>
          </w:rPr>
          <m:t>-R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</m:e>
        </m:d>
        <m:r>
          <w:rPr>
            <w:rFonts w:ascii="Cambria Math" w:hAnsi="Cambria Math"/>
            <w:color w:val="000000"/>
          </w:rPr>
          <m:t>)</m:t>
        </m:r>
      </m:oMath>
      <w:r>
        <w:rPr>
          <w:color w:val="000000"/>
        </w:rPr>
        <w:t xml:space="preserve">. Уровень налога, таким образом, определяется из решения следующей задачи: </w:t>
      </w:r>
    </w:p>
    <w:p w:rsidR="00256363" w:rsidRPr="00D231A9" w:rsidRDefault="00256363" w:rsidP="00B00C22">
      <w:pPr>
        <w:ind w:firstLine="720"/>
        <w:rPr>
          <w:color w:val="000000"/>
        </w:rPr>
      </w:pPr>
    </w:p>
    <w:p w:rsidR="00256363" w:rsidRPr="00D231A9" w:rsidRDefault="00350B7E" w:rsidP="00B00C22">
      <w:pPr>
        <w:ind w:firstLine="720"/>
        <w:rPr>
          <w:color w:val="000000"/>
        </w:rPr>
      </w:pPr>
      <m:oMath>
        <m:r>
          <w:rPr>
            <w:rFonts w:ascii="Cambria Math" w:hAnsi="Cambria Math"/>
            <w:color w:val="000000"/>
          </w:rPr>
          <m:t xml:space="preserve">                       </m:t>
        </m:r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en-US"/>
                  </w:rPr>
                  <m:t>max</m:t>
                </m:r>
              </m:e>
              <m:lim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lim>
            </m:limLow>
          </m:fName>
          <m:e>
            <m:r>
              <w:rPr>
                <w:rFonts w:ascii="Cambria Math" w:hAnsi="Cambria Math"/>
                <w:color w:val="000000"/>
              </w:rPr>
              <m:t>[</m:t>
            </m:r>
            <m:r>
              <w:rPr>
                <w:rFonts w:ascii="Cambria Math" w:hAnsi="Cambria Math"/>
                <w:color w:val="000000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color w:val="000000"/>
              </w:rPr>
              <m:t>+</m:t>
            </m:r>
            <m:r>
              <w:rPr>
                <w:rFonts w:ascii="Cambria Math" w:hAnsi="Cambria Math"/>
                <w:color w:val="000000"/>
                <w:lang w:val="en-US"/>
              </w:rPr>
              <m:t>a</m:t>
            </m:r>
            <m:r>
              <w:rPr>
                <w:rFonts w:ascii="Cambria Math" w:hAnsi="Cambria Math"/>
                <w:color w:val="000000"/>
              </w:rPr>
              <m:t>(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1-</m:t>
                </m:r>
                <m:r>
                  <w:rPr>
                    <w:rFonts w:ascii="Cambria Math" w:hAnsi="Cambria Math"/>
                    <w:color w:val="000000"/>
                    <w:lang w:val="en-US"/>
                  </w:rPr>
                  <m:t>w</m:t>
                </m:r>
              </m:e>
            </m:d>
            <m:r>
              <w:rPr>
                <w:rFonts w:ascii="Cambria Math" w:hAnsi="Cambria Math"/>
                <w:color w:val="000000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color w:val="000000"/>
              </w:rPr>
              <m:t>+</m:t>
            </m:r>
            <m:r>
              <w:rPr>
                <w:rFonts w:ascii="Cambria Math" w:hAnsi="Cambria Math"/>
                <w:color w:val="000000"/>
                <w:lang w:val="en-US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V</m:t>
                </m:r>
                <m:r>
                  <w:rPr>
                    <w:rFonts w:ascii="Cambria Math" w:hAnsi="Cambria Math"/>
                    <w:color w:val="000000"/>
                  </w:rPr>
                  <m:t>(0</m:t>
                </m:r>
              </m:e>
            </m:d>
            <m:r>
              <w:rPr>
                <w:rFonts w:ascii="Cambria Math" w:hAnsi="Cambria Math"/>
                <w:color w:val="000000"/>
              </w:rPr>
              <m:t>-</m:t>
            </m:r>
            <m:r>
              <w:rPr>
                <w:rFonts w:ascii="Cambria Math" w:hAnsi="Cambria Math"/>
                <w:color w:val="000000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/>
                <w:color w:val="000000"/>
              </w:rPr>
              <m:t>)</m:t>
            </m:r>
          </m:e>
        </m:func>
        <m:r>
          <w:rPr>
            <w:rFonts w:ascii="Cambria Math" w:hAnsi="Cambria Math"/>
            <w:color w:val="000000"/>
          </w:rPr>
          <m:t>]</m:t>
        </m:r>
      </m:oMath>
      <w:r w:rsidRPr="00D231A9">
        <w:rPr>
          <w:color w:val="000000"/>
        </w:rPr>
        <w:t xml:space="preserve">.                      (1) </w:t>
      </w:r>
    </w:p>
    <w:p w:rsidR="00256363" w:rsidRPr="00D231A9" w:rsidRDefault="00256363" w:rsidP="00B00C22">
      <w:pPr>
        <w:ind w:firstLine="720"/>
        <w:rPr>
          <w:color w:val="000000"/>
        </w:rPr>
      </w:pPr>
    </w:p>
    <w:p w:rsidR="00256363" w:rsidRDefault="00256363" w:rsidP="00B00C22">
      <w:pPr>
        <w:ind w:firstLine="720"/>
        <w:rPr>
          <w:color w:val="000000"/>
        </w:rPr>
      </w:pPr>
      <w:r>
        <w:rPr>
          <w:color w:val="000000"/>
        </w:rPr>
        <w:t xml:space="preserve">Анализ сравнительной статики </w:t>
      </w:r>
      <w:r w:rsidR="00350B7E">
        <w:rPr>
          <w:color w:val="000000"/>
        </w:rPr>
        <w:t xml:space="preserve">задачи (1) </w:t>
      </w:r>
      <w:r>
        <w:rPr>
          <w:color w:val="000000"/>
        </w:rPr>
        <w:t xml:space="preserve">приводит к следующим выводам. </w:t>
      </w:r>
    </w:p>
    <w:p w:rsidR="00350B7E" w:rsidRDefault="00350B7E" w:rsidP="00B00C22">
      <w:pPr>
        <w:ind w:firstLine="720"/>
        <w:rPr>
          <w:color w:val="000000"/>
        </w:rPr>
      </w:pPr>
    </w:p>
    <w:p w:rsidR="00256363" w:rsidRDefault="00256363" w:rsidP="00B00C22">
      <w:pPr>
        <w:ind w:firstLine="720"/>
        <w:rPr>
          <w:color w:val="000000"/>
        </w:rPr>
      </w:pPr>
      <w:r w:rsidRPr="00350B7E">
        <w:rPr>
          <w:color w:val="000000"/>
          <w:u w:val="single"/>
        </w:rPr>
        <w:t>Предложение.</w:t>
      </w:r>
      <w:r>
        <w:rPr>
          <w:color w:val="000000"/>
        </w:rPr>
        <w:t xml:space="preserve"> Ставка налога </w:t>
      </w:r>
      <m:oMath>
        <m:r>
          <w:rPr>
            <w:rFonts w:ascii="Cambria Math" w:hAnsi="Cambria Math"/>
            <w:color w:val="000000"/>
          </w:rPr>
          <m:t>t</m:t>
        </m:r>
      </m:oMath>
      <w:r w:rsidR="00350B7E" w:rsidRPr="00350B7E">
        <w:rPr>
          <w:color w:val="000000"/>
        </w:rPr>
        <w:t xml:space="preserve"> </w:t>
      </w:r>
      <w:r>
        <w:rPr>
          <w:color w:val="000000"/>
        </w:rPr>
        <w:t xml:space="preserve">нестрого монотонно возрастает в зависимости от </w:t>
      </w:r>
      <m:oMath>
        <m:r>
          <w:rPr>
            <w:rFonts w:ascii="Cambria Math" w:hAnsi="Cambria Math"/>
            <w:color w:val="000000"/>
          </w:rPr>
          <m:t>w</m:t>
        </m:r>
      </m:oMath>
      <w:r w:rsidR="00350B7E" w:rsidRPr="00350B7E">
        <w:rPr>
          <w:color w:val="000000"/>
        </w:rPr>
        <w:t xml:space="preserve"> </w:t>
      </w:r>
      <w:r>
        <w:rPr>
          <w:color w:val="000000"/>
        </w:rPr>
        <w:t xml:space="preserve">и убывает в зависимости от </w:t>
      </w:r>
      <m:oMath>
        <m:r>
          <w:rPr>
            <w:rFonts w:ascii="Cambria Math" w:hAnsi="Cambria Math"/>
            <w:color w:val="000000"/>
          </w:rPr>
          <m:t>a</m:t>
        </m:r>
      </m:oMath>
      <w:r>
        <w:rPr>
          <w:color w:val="000000"/>
        </w:rPr>
        <w:t xml:space="preserve">. Если решение задачи (1) </w:t>
      </w:r>
      <w:r w:rsidR="00350B7E">
        <w:rPr>
          <w:color w:val="000000"/>
        </w:rPr>
        <w:t xml:space="preserve">при всех значениях параметров </w:t>
      </w:r>
      <m:oMath>
        <m:r>
          <w:rPr>
            <w:rFonts w:ascii="Cambria Math" w:hAnsi="Cambria Math"/>
            <w:color w:val="000000"/>
          </w:rPr>
          <m:t>a,w</m:t>
        </m:r>
      </m:oMath>
      <w:r w:rsidR="00350B7E" w:rsidRPr="00350B7E">
        <w:rPr>
          <w:color w:val="000000"/>
        </w:rPr>
        <w:t xml:space="preserve"> </w:t>
      </w:r>
      <w:r>
        <w:rPr>
          <w:color w:val="000000"/>
        </w:rPr>
        <w:t xml:space="preserve">единственное, то указанные зависимости являются строгими. </w:t>
      </w:r>
    </w:p>
    <w:p w:rsidR="00350B7E" w:rsidRPr="00D231A9" w:rsidRDefault="00350B7E" w:rsidP="00B00C22">
      <w:pPr>
        <w:ind w:firstLine="720"/>
        <w:rPr>
          <w:color w:val="000000"/>
        </w:rPr>
      </w:pPr>
    </w:p>
    <w:p w:rsidR="00256363" w:rsidRPr="008727BC" w:rsidRDefault="00256363" w:rsidP="00B00C22">
      <w:pPr>
        <w:ind w:firstLine="720"/>
        <w:rPr>
          <w:color w:val="000000"/>
        </w:rPr>
      </w:pPr>
      <w:r>
        <w:rPr>
          <w:color w:val="000000"/>
        </w:rPr>
        <w:t xml:space="preserve">Доказательство может быть получено ссылкой на «лемму о монотонности», согласно которой оптимальное решение задачи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max</m:t>
                </m:r>
              </m:e>
              <m:lim>
                <m:r>
                  <w:rPr>
                    <w:rFonts w:ascii="Cambria Math" w:hAnsi="Cambria Math"/>
                    <w:color w:val="000000"/>
                  </w:rPr>
                  <m:t>x</m:t>
                </m:r>
              </m:lim>
            </m:limLow>
          </m:fName>
          <m:e>
            <m:r>
              <w:rPr>
                <w:rFonts w:ascii="Cambria Math" w:hAnsi="Cambria Math"/>
                <w:color w:val="000000"/>
              </w:rPr>
              <m:t>[f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</w:rPr>
              <m:t>+αg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  <m:r>
              <w:rPr>
                <w:rFonts w:ascii="Cambria Math" w:hAnsi="Cambria Math"/>
                <w:color w:val="000000"/>
              </w:rPr>
              <m:t>]</m:t>
            </m:r>
          </m:e>
        </m:func>
      </m:oMath>
      <w:r w:rsidR="00350B7E" w:rsidRPr="00350B7E">
        <w:rPr>
          <w:color w:val="000000"/>
        </w:rPr>
        <w:t xml:space="preserve"> </w:t>
      </w:r>
      <w:r>
        <w:rPr>
          <w:color w:val="000000"/>
        </w:rPr>
        <w:t xml:space="preserve">монотонно возрастает в зависимости от параметра </w:t>
      </w:r>
      <m:oMath>
        <m:r>
          <w:rPr>
            <w:rFonts w:ascii="Cambria Math" w:hAnsi="Cambria Math"/>
            <w:color w:val="000000"/>
          </w:rPr>
          <m:t>α</m:t>
        </m:r>
      </m:oMath>
      <w:r>
        <w:rPr>
          <w:color w:val="000000"/>
        </w:rPr>
        <w:t xml:space="preserve">, если функция </w:t>
      </w:r>
      <m:oMath>
        <m:r>
          <w:rPr>
            <w:rFonts w:ascii="Cambria Math" w:hAnsi="Cambria Math"/>
            <w:color w:val="000000"/>
          </w:rPr>
          <m:t>g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</m:oMath>
      <w:r w:rsidR="00350B7E" w:rsidRPr="00350B7E">
        <w:rPr>
          <w:color w:val="000000"/>
        </w:rPr>
        <w:t xml:space="preserve"> </w:t>
      </w:r>
      <w:r>
        <w:rPr>
          <w:color w:val="000000"/>
        </w:rPr>
        <w:t xml:space="preserve">является монотонно возрастающей. </w:t>
      </w:r>
      <w:r>
        <w:rPr>
          <w:color w:val="000000"/>
        </w:rPr>
        <w:lastRenderedPageBreak/>
        <w:t xml:space="preserve">Чтобы получить нужную зависимость </w:t>
      </w:r>
      <m:oMath>
        <m:r>
          <w:rPr>
            <w:rFonts w:ascii="Cambria Math" w:hAnsi="Cambria Math"/>
            <w:color w:val="000000"/>
          </w:rPr>
          <m:t>t</m:t>
        </m:r>
      </m:oMath>
      <w:r w:rsidR="00350B7E" w:rsidRPr="00350B7E">
        <w:rPr>
          <w:color w:val="000000"/>
        </w:rPr>
        <w:t xml:space="preserve"> </w:t>
      </w:r>
      <w:r>
        <w:rPr>
          <w:color w:val="000000"/>
        </w:rPr>
        <w:t xml:space="preserve">от </w:t>
      </w:r>
      <m:oMath>
        <m:r>
          <w:rPr>
            <w:rFonts w:ascii="Cambria Math" w:hAnsi="Cambria Math"/>
            <w:color w:val="000000"/>
          </w:rPr>
          <m:t>w</m:t>
        </m:r>
      </m:oMath>
      <w:r>
        <w:rPr>
          <w:color w:val="000000"/>
        </w:rPr>
        <w:t xml:space="preserve">, следует представить целевую функцию задачи (1) в виде </w:t>
      </w:r>
      <m:oMath>
        <m:r>
          <w:rPr>
            <w:rFonts w:ascii="Cambria Math" w:hAnsi="Cambria Math"/>
            <w:color w:val="000000"/>
          </w:rPr>
          <m:t>R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</m:e>
        </m:d>
        <m:r>
          <w:rPr>
            <w:rFonts w:ascii="Cambria Math" w:hAnsi="Cambria Math"/>
            <w:color w:val="000000"/>
          </w:rPr>
          <m:t>+aV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t</m:t>
            </m:r>
          </m:e>
        </m:d>
        <m:r>
          <w:rPr>
            <w:rFonts w:ascii="Cambria Math" w:hAnsi="Cambria Math"/>
            <w:color w:val="000000"/>
          </w:rPr>
          <m:t>+waD(t)</m:t>
        </m:r>
      </m:oMath>
      <w:r>
        <w:rPr>
          <w:color w:val="000000"/>
        </w:rPr>
        <w:t xml:space="preserve">, а от </w:t>
      </w:r>
      <m:oMath>
        <m:r>
          <w:rPr>
            <w:rFonts w:ascii="Cambria Math" w:hAnsi="Cambria Math"/>
            <w:color w:val="000000"/>
          </w:rPr>
          <m:t>a</m:t>
        </m:r>
      </m:oMath>
      <w:r w:rsidR="00350B7E" w:rsidRPr="00350B7E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350B7E">
        <w:rPr>
          <w:color w:val="000000"/>
        </w:rPr>
        <w:t xml:space="preserve">преобразовать эту функцию к виду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den>
        </m:f>
        <m:r>
          <w:rPr>
            <w:rFonts w:ascii="Cambria Math" w:hAnsi="Cambria Math"/>
            <w:color w:val="000000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/>
          </w:rPr>
          <m:t>+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</m:t>
            </m:r>
            <m:r>
              <w:rPr>
                <w:rFonts w:ascii="Cambria Math" w:hAnsi="Cambria Math"/>
                <w:color w:val="000000"/>
                <w:lang w:val="en-US"/>
              </w:rPr>
              <m:t>w</m:t>
            </m:r>
          </m:e>
        </m:d>
        <m:r>
          <w:rPr>
            <w:rFonts w:ascii="Cambria Math" w:hAnsi="Cambria Math"/>
            <w:color w:val="000000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/>
          </w:rPr>
          <m:t>+</m:t>
        </m:r>
        <m:r>
          <w:rPr>
            <w:rFonts w:ascii="Cambria Math" w:hAnsi="Cambria Math"/>
            <w:color w:val="000000"/>
            <w:lang w:val="en-US"/>
          </w:rPr>
          <m:t>w</m:t>
        </m:r>
        <m:r>
          <w:rPr>
            <w:rFonts w:ascii="Cambria Math" w:hAnsi="Cambria Math"/>
            <w:color w:val="000000"/>
          </w:rPr>
          <m:t>(</m:t>
        </m:r>
        <m:r>
          <w:rPr>
            <w:rFonts w:ascii="Cambria Math" w:hAnsi="Cambria Math"/>
            <w:color w:val="000000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0</m:t>
            </m:r>
          </m:e>
        </m:d>
        <m:r>
          <w:rPr>
            <w:rFonts w:ascii="Cambria Math" w:hAnsi="Cambria Math"/>
            <w:color w:val="000000"/>
          </w:rPr>
          <m:t>-</m:t>
        </m:r>
        <m:r>
          <w:rPr>
            <w:rFonts w:ascii="Cambria Math" w:hAnsi="Cambria Math"/>
            <w:color w:val="000000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/>
          </w:rPr>
          <m:t>)</m:t>
        </m:r>
      </m:oMath>
      <w:r>
        <w:rPr>
          <w:color w:val="000000"/>
        </w:rPr>
        <w:t xml:space="preserve">. </w:t>
      </w:r>
      <m:oMath>
        <m:r>
          <w:rPr>
            <w:rFonts w:ascii="Cambria Math" w:hAnsi="Cambria Math"/>
            <w:color w:val="000000"/>
          </w:rPr>
          <m:t>∎</m:t>
        </m:r>
      </m:oMath>
    </w:p>
    <w:p w:rsidR="00280E48" w:rsidRDefault="007A452B" w:rsidP="00B00C22">
      <w:pPr>
        <w:ind w:firstLine="720"/>
        <w:rPr>
          <w:color w:val="000000"/>
        </w:rPr>
      </w:pPr>
      <w:r>
        <w:rPr>
          <w:color w:val="000000"/>
        </w:rPr>
        <w:t xml:space="preserve">Таким образом, открытый социальный капитал и гражданская культура, повышая подотчетность власти, ограничивают масштабы возможных злоупотреблений (величину </w:t>
      </w:r>
      <m:oMath>
        <m:r>
          <w:rPr>
            <w:rFonts w:ascii="Cambria Math" w:hAnsi="Cambria Math"/>
            <w:color w:val="000000"/>
          </w:rPr>
          <m:t>t</m:t>
        </m:r>
      </m:oMath>
      <w:r w:rsidR="008C79EE">
        <w:rPr>
          <w:color w:val="000000"/>
        </w:rPr>
        <w:t xml:space="preserve">), и повышают тем самым </w:t>
      </w:r>
      <w:r>
        <w:rPr>
          <w:color w:val="000000"/>
        </w:rPr>
        <w:t xml:space="preserve">благосостояние </w:t>
      </w:r>
      <w:r w:rsidR="003F5F6E">
        <w:rPr>
          <w:color w:val="000000"/>
        </w:rPr>
        <w:t xml:space="preserve">как </w:t>
      </w:r>
      <w:r>
        <w:rPr>
          <w:color w:val="000000"/>
        </w:rPr>
        <w:t>частного сектора в целом, так и его сегментов, орган</w:t>
      </w:r>
      <w:r w:rsidR="003F5F6E">
        <w:rPr>
          <w:color w:val="000000"/>
        </w:rPr>
        <w:t xml:space="preserve">изованных в сепаратные группы и </w:t>
      </w:r>
      <w:r>
        <w:rPr>
          <w:color w:val="000000"/>
        </w:rPr>
        <w:t>оста</w:t>
      </w:r>
      <w:r w:rsidR="002333AA">
        <w:rPr>
          <w:color w:val="000000"/>
        </w:rPr>
        <w:t xml:space="preserve">вшихся </w:t>
      </w:r>
      <w:r>
        <w:rPr>
          <w:color w:val="000000"/>
        </w:rPr>
        <w:t xml:space="preserve">за пределами таких групп. Наоборот, социальный капитал закрытого типа поощряет власть к посягательствам на интересы граждан, снижая политические издержки таких действий. </w:t>
      </w:r>
      <w:r w:rsidR="00A90B38">
        <w:rPr>
          <w:color w:val="000000"/>
        </w:rPr>
        <w:t xml:space="preserve">Обратимся </w:t>
      </w:r>
      <w:r w:rsidR="002333AA">
        <w:rPr>
          <w:color w:val="000000"/>
        </w:rPr>
        <w:t xml:space="preserve">к эмпирической проверке </w:t>
      </w:r>
      <w:r w:rsidR="00A90B38">
        <w:rPr>
          <w:color w:val="000000"/>
        </w:rPr>
        <w:t xml:space="preserve">этих </w:t>
      </w:r>
      <w:r w:rsidR="009B63C0">
        <w:rPr>
          <w:color w:val="000000"/>
        </w:rPr>
        <w:t xml:space="preserve">выводов. </w:t>
      </w:r>
      <w:r w:rsidR="002333AA">
        <w:rPr>
          <w:color w:val="000000"/>
        </w:rPr>
        <w:t xml:space="preserve"> </w:t>
      </w:r>
    </w:p>
    <w:p w:rsidR="00DB3145" w:rsidRDefault="00DB3145" w:rsidP="00B00C22">
      <w:pPr>
        <w:ind w:firstLine="720"/>
      </w:pPr>
    </w:p>
    <w:p w:rsidR="00280E48" w:rsidRPr="00B00C22" w:rsidRDefault="00280E48" w:rsidP="00B00C22">
      <w:pPr>
        <w:pStyle w:val="Heading1"/>
        <w:spacing w:before="0" w:after="0"/>
        <w:rPr>
          <w:sz w:val="28"/>
          <w:szCs w:val="28"/>
        </w:rPr>
      </w:pPr>
    </w:p>
    <w:p w:rsidR="006A4C51" w:rsidRPr="00B00C22" w:rsidRDefault="006A4C51" w:rsidP="00B00C22">
      <w:pPr>
        <w:pStyle w:val="Heading1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B00C22">
        <w:rPr>
          <w:rFonts w:ascii="Times New Roman" w:hAnsi="Times New Roman" w:cs="Times New Roman"/>
          <w:sz w:val="28"/>
          <w:szCs w:val="28"/>
        </w:rPr>
        <w:t>Описание данных</w:t>
      </w:r>
    </w:p>
    <w:p w:rsidR="002A0038" w:rsidRDefault="002A0038" w:rsidP="00B00C22">
      <w:pPr>
        <w:pStyle w:val="BodyText"/>
        <w:spacing w:after="0"/>
        <w:ind w:firstLine="709"/>
      </w:pPr>
    </w:p>
    <w:p w:rsidR="006A4C51" w:rsidRDefault="006A4C51" w:rsidP="00B00C22">
      <w:pPr>
        <w:pStyle w:val="BodyText"/>
        <w:spacing w:after="0"/>
        <w:ind w:firstLine="709"/>
      </w:pPr>
      <w:r>
        <w:t>В качестве источника данных использ</w:t>
      </w:r>
      <w:r w:rsidR="002A0038">
        <w:t xml:space="preserve">ован </w:t>
      </w:r>
      <w:r>
        <w:t>общероссийский опрос населения по 1924 населенным пунктам 68 субъектов РФ.</w:t>
      </w:r>
      <w:r w:rsidR="002A0038">
        <w:rPr>
          <w:rStyle w:val="FootnoteReference"/>
        </w:rPr>
        <w:footnoteReference w:id="3"/>
      </w:r>
      <w:r w:rsidR="002A0038">
        <w:t xml:space="preserve"> О</w:t>
      </w:r>
      <w:r>
        <w:t>бъем выборки по России составля</w:t>
      </w:r>
      <w:r w:rsidR="002A0038">
        <w:t>е</w:t>
      </w:r>
      <w:r>
        <w:t xml:space="preserve">т 34 038 респондентов старше 18 лет, </w:t>
      </w:r>
      <w:r w:rsidR="002A0038">
        <w:t xml:space="preserve">причем в каждом из регионов опрошено не менее </w:t>
      </w:r>
      <w:r>
        <w:t>500 респондентов. Опрос проводился в сентябре 2007 года.</w:t>
      </w:r>
    </w:p>
    <w:p w:rsidR="002A0038" w:rsidRDefault="006A4C51" w:rsidP="00B00C22">
      <w:pPr>
        <w:pStyle w:val="BodyText"/>
        <w:spacing w:after="0"/>
        <w:ind w:firstLine="709"/>
      </w:pPr>
      <w:r>
        <w:t xml:space="preserve">Из опросного листа </w:t>
      </w:r>
      <w:r w:rsidR="002A0038">
        <w:t xml:space="preserve">были использованы три группы вопросов – первые характеризуют взгляды, нормы и ценности, необходимые для оценки социального капитала, вторые – оценку респондентами условий жизни в регионе, и третьи – характеристики респондентов и городов проживания. Вопросы трех групп используются для расчета соответственно объясняющих, объясняемых и контрольных переменных эмпирической модели. </w:t>
      </w:r>
    </w:p>
    <w:p w:rsidR="006A4C51" w:rsidRDefault="002A0038" w:rsidP="00B00C22">
      <w:pPr>
        <w:pStyle w:val="BodyText"/>
        <w:spacing w:after="0"/>
        <w:ind w:firstLine="709"/>
      </w:pPr>
      <w:r>
        <w:t xml:space="preserve">Первую группу составили вопросы, </w:t>
      </w:r>
      <w:r w:rsidR="006A4C51">
        <w:t>в которых респонденту предл</w:t>
      </w:r>
      <w:r w:rsidR="00761462">
        <w:t xml:space="preserve">агается </w:t>
      </w:r>
      <w:r w:rsidR="006A4C51">
        <w:t xml:space="preserve">охарактеризовать общество в целом: сплоченность, взаимопомощь, готовность </w:t>
      </w:r>
      <w:r w:rsidR="00761462">
        <w:t>к объединению</w:t>
      </w:r>
      <w:r w:rsidR="006A4C51">
        <w:t>.</w:t>
      </w:r>
      <w:r w:rsidR="00761462">
        <w:t xml:space="preserve"> Сюда же входят вопросы о личных представлениях и поведении респондента</w:t>
      </w:r>
      <w:r w:rsidR="006A4C51">
        <w:t>: доверие к людям</w:t>
      </w:r>
      <w:r w:rsidR="00761462">
        <w:t xml:space="preserve"> вообще и к лицам с близкими респонденту ценностями, </w:t>
      </w:r>
      <w:r w:rsidR="006A4C51">
        <w:t>помощь окружающим и готовность объединяться</w:t>
      </w:r>
      <w:r w:rsidR="00761462">
        <w:t xml:space="preserve"> ради общей цели</w:t>
      </w:r>
      <w:r w:rsidR="006A4C51">
        <w:t xml:space="preserve">, </w:t>
      </w:r>
      <w:r w:rsidR="00761462">
        <w:t xml:space="preserve">а также </w:t>
      </w:r>
      <w:r w:rsidR="006A4C51">
        <w:t>чувство ответственности за происходящее в семье, во дворе, в населенном пункте</w:t>
      </w:r>
      <w:r w:rsidR="006A4C51">
        <w:rPr>
          <w:rStyle w:val="FootnoteReference"/>
        </w:rPr>
        <w:footnoteReference w:id="4"/>
      </w:r>
      <w:r w:rsidR="006A4C51">
        <w:t xml:space="preserve">. </w:t>
      </w:r>
    </w:p>
    <w:p w:rsidR="006A4C51" w:rsidRDefault="00761462" w:rsidP="00B00C22">
      <w:pPr>
        <w:pStyle w:val="BodyText"/>
        <w:spacing w:after="0"/>
        <w:ind w:firstLine="709"/>
      </w:pPr>
      <w:r>
        <w:t xml:space="preserve">Вторую группу составляют вопросы об удовлетворенности респондентами </w:t>
      </w:r>
      <w:r w:rsidR="006A4C51">
        <w:t>положением дел в городе</w:t>
      </w:r>
      <w:r>
        <w:t xml:space="preserve">, а также о том, учитывают ли городские власти мнение </w:t>
      </w:r>
      <w:r>
        <w:lastRenderedPageBreak/>
        <w:t xml:space="preserve">респондентов. Ответы на первый вопрос дают возможность судить о социально-экономической ситуации в городе, а </w:t>
      </w:r>
      <w:r w:rsidR="0027337C">
        <w:t xml:space="preserve">на </w:t>
      </w:r>
      <w:r>
        <w:t xml:space="preserve">второй – о подотчетности властей. </w:t>
      </w:r>
      <w:r w:rsidR="00FB5AA1">
        <w:t xml:space="preserve">Подотчетность власти, будучи самостоятельной ценностью и возможным «продуктом» </w:t>
      </w:r>
      <w:r w:rsidR="00F044CE">
        <w:t>социального капи</w:t>
      </w:r>
      <w:r w:rsidR="0027337C">
        <w:t xml:space="preserve">тала, включена в анализ и как вероятный </w:t>
      </w:r>
      <w:r w:rsidR="00F044CE">
        <w:t xml:space="preserve">передаточный механизм между социальным капиталом и городским развитием. </w:t>
      </w:r>
    </w:p>
    <w:p w:rsidR="002B56D9" w:rsidRDefault="006A4C51" w:rsidP="00B00C22">
      <w:pPr>
        <w:pStyle w:val="BodyText"/>
        <w:spacing w:after="0"/>
      </w:pPr>
      <w:r w:rsidRPr="007C740B">
        <w:tab/>
      </w:r>
      <w:r w:rsidR="00F044CE">
        <w:t xml:space="preserve">В третью группу вошли </w:t>
      </w:r>
      <w:r>
        <w:t>вопросы о возрасте, образовании, доходе</w:t>
      </w:r>
      <w:r w:rsidR="00F044CE">
        <w:t xml:space="preserve"> и </w:t>
      </w:r>
      <w:r>
        <w:t>благосостоянии респондента</w:t>
      </w:r>
      <w:r w:rsidR="00F044CE">
        <w:t xml:space="preserve"> (пол и национальность оказались при дальнейшем анализе незначимыми), а также данные о размере города и его административном статусе. Как и следовало ожидать, </w:t>
      </w:r>
      <w:r w:rsidR="003D0D9E">
        <w:t xml:space="preserve">образование, доход и благополучие оказались положительно связанными с размером и статусом города. Логично предположить, что размер города оказывает сильное влияние на структуру, функции и </w:t>
      </w:r>
      <w:r>
        <w:t>роль гражданского общества</w:t>
      </w:r>
      <w:r w:rsidR="003D0D9E">
        <w:t xml:space="preserve">, поэтому помимо использования размера населеннного пункта в качестве контрольной переменной, </w:t>
      </w:r>
      <w:r w:rsidR="002B56D9">
        <w:t xml:space="preserve">расчеты выполнялись отдельно над подвыборках больших и малых городов. </w:t>
      </w:r>
    </w:p>
    <w:p w:rsidR="00221ED5" w:rsidRDefault="00DB3145" w:rsidP="00B00C22">
      <w:pPr>
        <w:pStyle w:val="BodyText"/>
        <w:spacing w:after="0"/>
      </w:pPr>
      <w:r>
        <w:tab/>
        <w:t xml:space="preserve">Структура данных проекта «Георейтинг» позволяет анализировать связь развития и социального капитала на уровне </w:t>
      </w:r>
      <w:r w:rsidR="00A41F3B">
        <w:t xml:space="preserve">городов и </w:t>
      </w:r>
      <w:r>
        <w:t xml:space="preserve">населенных пунктов, тогда как в большинстве упомянутых выше зарубежных исследований единицей анализа является регион. Данные «Георейтинга» говорят о том, что в рамках одного и того же субъекта федерации индикаторы социального капитала могут испытывать значительные перепады от одного города к другому, так что при усреднении на уровне региона значительная часть информации теряется. Кроме того, опрос не содержит оценок респондентами действий региональных администраций. </w:t>
      </w:r>
      <w:r w:rsidR="00A41F3B">
        <w:t xml:space="preserve">В силу названных причин основное внимание в дальнейшем уделяется вкладу социального капитала в городское развитие. </w:t>
      </w:r>
    </w:p>
    <w:p w:rsidR="009B63C0" w:rsidRDefault="009B63C0" w:rsidP="00B00C22">
      <w:pPr>
        <w:pStyle w:val="BodyText"/>
        <w:spacing w:after="0"/>
      </w:pPr>
    </w:p>
    <w:p w:rsidR="00221ED5" w:rsidRDefault="00221ED5" w:rsidP="00B00C22">
      <w:pPr>
        <w:pStyle w:val="BodyText"/>
        <w:spacing w:after="0"/>
      </w:pPr>
    </w:p>
    <w:p w:rsidR="00221ED5" w:rsidRPr="00221ED5" w:rsidRDefault="00221ED5" w:rsidP="00B00C22">
      <w:pPr>
        <w:pStyle w:val="BodyText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21ED5">
        <w:rPr>
          <w:b/>
          <w:sz w:val="28"/>
          <w:szCs w:val="28"/>
        </w:rPr>
        <w:t>Измерение социального капитала</w:t>
      </w:r>
    </w:p>
    <w:p w:rsidR="00221ED5" w:rsidRDefault="00221ED5" w:rsidP="00B00C22">
      <w:pPr>
        <w:pStyle w:val="BodyText"/>
        <w:spacing w:after="0"/>
        <w:ind w:firstLine="709"/>
      </w:pPr>
    </w:p>
    <w:p w:rsidR="009A7D8D" w:rsidRDefault="00221ED5" w:rsidP="00B00C22">
      <w:pPr>
        <w:pStyle w:val="BodyText"/>
        <w:spacing w:after="0"/>
        <w:ind w:firstLine="709"/>
      </w:pPr>
      <w:r>
        <w:t>Анализ м</w:t>
      </w:r>
      <w:r w:rsidR="006A4C51">
        <w:t>атриц</w:t>
      </w:r>
      <w:r>
        <w:t xml:space="preserve">ы </w:t>
      </w:r>
      <w:r w:rsidR="006A4C51">
        <w:t xml:space="preserve">парных корреляций </w:t>
      </w:r>
      <w:r>
        <w:t xml:space="preserve">ответов на вопросы первой группы указывает на тесную связь некоторых из них друг с другом, что </w:t>
      </w:r>
      <w:r w:rsidR="0027337C">
        <w:t xml:space="preserve">позволяет предположить </w:t>
      </w:r>
      <w:r>
        <w:t>наличие</w:t>
      </w:r>
      <w:r w:rsidR="009A7D8D">
        <w:t xml:space="preserve"> более общих латентных показателей, лежащих в основе норм, ценностей и поведения респондентов. Выявление таких показателей важно как с инструментальной, так и с теоретической точек зрения, </w:t>
      </w:r>
      <w:r w:rsidR="0027337C">
        <w:t xml:space="preserve">поскольку таким образом в первичных данных удается обнаружить </w:t>
      </w:r>
      <w:r w:rsidR="009A7D8D">
        <w:t xml:space="preserve">индикаторы определенных разновидностей социального капитала. </w:t>
      </w:r>
    </w:p>
    <w:p w:rsidR="006A4C51" w:rsidRDefault="00922033" w:rsidP="00B00C22">
      <w:pPr>
        <w:pStyle w:val="BodyText"/>
        <w:spacing w:after="0"/>
        <w:ind w:firstLine="709"/>
      </w:pPr>
      <w:r>
        <w:t xml:space="preserve">Факторный анализ первой группы данных опроса выделяет три основных фактора. В первый фактор с высокими положительными весами входят характеристики общественной солидарности, согласия, взаимопомощи и готовности к объединению (в том </w:t>
      </w:r>
      <w:r>
        <w:lastRenderedPageBreak/>
        <w:t xml:space="preserve">числе для решения проблем, не касающихся респондента лично). Доверие респондентов к </w:t>
      </w:r>
      <w:r w:rsidR="003233C2">
        <w:t xml:space="preserve">людям </w:t>
      </w:r>
      <w:r>
        <w:t xml:space="preserve">также входит </w:t>
      </w:r>
      <w:r w:rsidR="003233C2">
        <w:t xml:space="preserve">с данный фактор с положительным, хотя и несколько меньшим, весом. Первый фактор, таким образом, характеризует способность к образованию широких общественных коалиций – «групп Патнэма», и его правомерно рассматривать как меру открытого социального капитала. </w:t>
      </w:r>
    </w:p>
    <w:p w:rsidR="006A4C51" w:rsidRDefault="006A4C51" w:rsidP="00B00C22">
      <w:pPr>
        <w:pStyle w:val="BodyText"/>
        <w:spacing w:after="0"/>
        <w:ind w:firstLine="709"/>
      </w:pPr>
      <w:r>
        <w:t xml:space="preserve">Во второй фактор с наибольшим положительным весом входят </w:t>
      </w:r>
      <w:r w:rsidR="000E104A">
        <w:t xml:space="preserve">индикаторы локальных и закрытых для посторонних общественных связей – доверие к близким и к </w:t>
      </w:r>
      <w:r w:rsidR="006A3090">
        <w:t xml:space="preserve">людям, с которыми </w:t>
      </w:r>
      <w:r w:rsidR="0027337C">
        <w:t xml:space="preserve">у респондента </w:t>
      </w:r>
      <w:r w:rsidR="006A3090">
        <w:t xml:space="preserve">много общего, и круг ответственности, ограниченный семьей и ближайшей средой обитания – домом. Наоборот, признаки, составившие основу открытого социального капитала, входят в данный фактор со знаком «минус», отражая настороженное отношение респондентов к «чужакам». Таким образом, есть все основания рассматривать данный фактор как индикатор закрытого социального капитала, способствующего образованию эксклюзивных «групп Олсона», объединенных ради клубного, а не общественного, блага. </w:t>
      </w:r>
    </w:p>
    <w:p w:rsidR="00346711" w:rsidRDefault="00346711" w:rsidP="00B00C22">
      <w:pPr>
        <w:pStyle w:val="BodyText"/>
        <w:spacing w:after="0"/>
        <w:ind w:firstLine="709"/>
      </w:pPr>
      <w:r>
        <w:t xml:space="preserve">Наконец, третий фактор </w:t>
      </w:r>
      <w:r w:rsidR="006A4C51">
        <w:t>положительно с</w:t>
      </w:r>
      <w:r>
        <w:t>вязан с чувством ответственности за происходящее в городе, а также во дворе и доме. Такое свойство отражает осознание прав и обязанностей гражданина и может поэтому интерпретироваться как показатель гражданской культуры.</w:t>
      </w:r>
    </w:p>
    <w:p w:rsidR="006A4C51" w:rsidRDefault="00346711" w:rsidP="00B00C22">
      <w:pPr>
        <w:pStyle w:val="BodyText"/>
        <w:spacing w:after="0"/>
        <w:ind w:firstLine="709"/>
      </w:pPr>
      <w:r>
        <w:t xml:space="preserve">Следует отметить </w:t>
      </w:r>
      <w:r w:rsidR="00D72D92">
        <w:t>робастность полученного агрегирования: использование альтернативны</w:t>
      </w:r>
      <w:r w:rsidR="0027337C">
        <w:t>х методик факторного анализа дае</w:t>
      </w:r>
      <w:r w:rsidR="00D72D92">
        <w:t xml:space="preserve">т близкие результаты. </w:t>
      </w:r>
    </w:p>
    <w:p w:rsidR="00521A84" w:rsidRDefault="00521A84" w:rsidP="00B00C22">
      <w:pPr>
        <w:pStyle w:val="BodyText"/>
        <w:spacing w:after="0"/>
        <w:ind w:firstLine="709"/>
      </w:pPr>
      <w:r>
        <w:t xml:space="preserve">Представляет интерес связь найденных факторов с контрольными переменными. Так, открытый социальный капитал </w:t>
      </w:r>
      <w:r w:rsidR="005D4B63">
        <w:t>положительно связан с образованием и доходом респондентов. Интересно, что открытый социальный капитал отрицательно, а закрытый – положительно связан с возрастом респондентов – возможно, данный факт отражает урон, нанесенный социальному капиталу старших возрастных групп за годы переходного периода (</w:t>
      </w:r>
      <w:r w:rsidR="005D4B63">
        <w:rPr>
          <w:lang w:val="en-US"/>
        </w:rPr>
        <w:t>Aghion</w:t>
      </w:r>
      <w:r w:rsidR="005D4B63" w:rsidRPr="005D4B63">
        <w:t xml:space="preserve"> </w:t>
      </w:r>
      <w:r w:rsidR="005D4B63">
        <w:rPr>
          <w:lang w:val="en-US"/>
        </w:rPr>
        <w:t>et</w:t>
      </w:r>
      <w:r w:rsidR="005D4B63" w:rsidRPr="005D4B63">
        <w:t xml:space="preserve"> </w:t>
      </w:r>
      <w:r w:rsidR="005D4B63">
        <w:rPr>
          <w:lang w:val="en-US"/>
        </w:rPr>
        <w:t>al</w:t>
      </w:r>
      <w:r w:rsidR="005D4B63">
        <w:t xml:space="preserve">., 2009). Наконец, гражданская культура снижается с </w:t>
      </w:r>
      <w:r w:rsidR="00146FCD">
        <w:t xml:space="preserve">увеличением </w:t>
      </w:r>
      <w:r w:rsidR="005D4B63">
        <w:t xml:space="preserve">дохода (возможно, ввиду растущих личных издержек проявления гражданской активности), а также с </w:t>
      </w:r>
      <w:r w:rsidR="00146FCD">
        <w:t xml:space="preserve">ростом размера и статуса города – в крупных мегаполисах сильнее чувство отчужденности от общественных дел и неспособности повлиять на них. </w:t>
      </w:r>
    </w:p>
    <w:p w:rsidR="00146FCD" w:rsidRDefault="00146FCD" w:rsidP="00B00C22">
      <w:pPr>
        <w:pStyle w:val="BodyText"/>
        <w:spacing w:after="0"/>
        <w:ind w:firstLine="709"/>
      </w:pPr>
      <w:r>
        <w:t xml:space="preserve">Для использования в излагаемых далее расчетах найденные факторы были калиброваны таким образом, чтобы их минимальное значение было нулевым, а стандартное отклонение единичным. </w:t>
      </w:r>
    </w:p>
    <w:p w:rsidR="00B00C22" w:rsidRDefault="00B00C22" w:rsidP="00B00C22">
      <w:pPr>
        <w:pStyle w:val="BodyText"/>
        <w:spacing w:after="0"/>
        <w:ind w:firstLine="709"/>
      </w:pPr>
    </w:p>
    <w:p w:rsidR="00B00C22" w:rsidRDefault="00B00C22" w:rsidP="00B00C22">
      <w:pPr>
        <w:pStyle w:val="BodyText"/>
        <w:spacing w:after="0"/>
        <w:ind w:firstLine="709"/>
      </w:pPr>
    </w:p>
    <w:p w:rsidR="00B00C22" w:rsidRDefault="00B00C22" w:rsidP="00B00C22">
      <w:pPr>
        <w:pStyle w:val="BodyText"/>
        <w:spacing w:after="0"/>
        <w:ind w:firstLine="709"/>
      </w:pPr>
    </w:p>
    <w:p w:rsidR="00521A84" w:rsidRPr="00D72F08" w:rsidRDefault="00521A84" w:rsidP="00B00C22">
      <w:pPr>
        <w:pStyle w:val="BodyText"/>
        <w:spacing w:after="0"/>
        <w:ind w:firstLine="709"/>
      </w:pPr>
    </w:p>
    <w:p w:rsidR="00521A84" w:rsidRPr="00B00C22" w:rsidRDefault="00121681" w:rsidP="00B00C22">
      <w:pPr>
        <w:pStyle w:val="BodyText"/>
        <w:numPr>
          <w:ilvl w:val="0"/>
          <w:numId w:val="3"/>
        </w:numPr>
        <w:spacing w:after="0"/>
        <w:rPr>
          <w:b/>
          <w:sz w:val="28"/>
          <w:szCs w:val="28"/>
          <w:lang w:val="en-US"/>
        </w:rPr>
      </w:pPr>
      <w:r w:rsidRPr="00B00C22">
        <w:rPr>
          <w:b/>
          <w:sz w:val="28"/>
          <w:szCs w:val="28"/>
        </w:rPr>
        <w:t xml:space="preserve">Регрессионный анализ </w:t>
      </w:r>
    </w:p>
    <w:p w:rsidR="00521A84" w:rsidRDefault="00521A84" w:rsidP="00B00C22">
      <w:pPr>
        <w:pStyle w:val="BodyText"/>
        <w:spacing w:after="0"/>
        <w:ind w:firstLine="709"/>
      </w:pPr>
    </w:p>
    <w:p w:rsidR="00737512" w:rsidRDefault="00737512" w:rsidP="00B00C22">
      <w:pPr>
        <w:pStyle w:val="BodyText"/>
        <w:spacing w:after="0"/>
        <w:ind w:firstLine="709"/>
      </w:pPr>
      <w:r>
        <w:t xml:space="preserve">В регрессионных уравнениях для </w:t>
      </w:r>
      <w:r w:rsidR="005E669B">
        <w:t xml:space="preserve">анализа </w:t>
      </w:r>
      <w:r>
        <w:t>связи между социальным капиталом и развитием</w:t>
      </w:r>
      <w:r w:rsidR="005E669B">
        <w:t xml:space="preserve"> оценка </w:t>
      </w:r>
      <w:r>
        <w:t>респондент</w:t>
      </w:r>
      <w:r w:rsidR="005E669B">
        <w:t xml:space="preserve">ами </w:t>
      </w:r>
      <w:r>
        <w:t>положени</w:t>
      </w:r>
      <w:r w:rsidR="005E669B">
        <w:t xml:space="preserve">я </w:t>
      </w:r>
      <w:r>
        <w:t>дел в городах (</w:t>
      </w:r>
      <w:r w:rsidR="005E669B">
        <w:t xml:space="preserve">далее в уравнениях – </w:t>
      </w:r>
      <w:r>
        <w:rPr>
          <w:i/>
          <w:lang w:val="en-US"/>
        </w:rPr>
        <w:t>Outcome</w:t>
      </w:r>
      <w:r>
        <w:t>) выступает в качестве объясняемой переменной, тогда как три характеристики социального капитала –</w:t>
      </w:r>
      <w:r w:rsidR="005E669B">
        <w:t xml:space="preserve"> открытой и </w:t>
      </w:r>
      <w:r>
        <w:t>закрыт</w:t>
      </w:r>
      <w:r w:rsidR="005E669B">
        <w:t xml:space="preserve">ой разновидностей, а также </w:t>
      </w:r>
      <w:r>
        <w:t>гражданск</w:t>
      </w:r>
      <w:r w:rsidR="005E669B">
        <w:t xml:space="preserve">ой </w:t>
      </w:r>
      <w:r>
        <w:t>культур</w:t>
      </w:r>
      <w:r w:rsidR="005E669B">
        <w:t>ы</w:t>
      </w:r>
      <w:r>
        <w:t xml:space="preserve"> (соответственно </w:t>
      </w:r>
      <w:r>
        <w:rPr>
          <w:i/>
          <w:lang w:val="en-US"/>
        </w:rPr>
        <w:t>OpenSC</w:t>
      </w:r>
      <w:r>
        <w:rPr>
          <w:i/>
        </w:rPr>
        <w:t xml:space="preserve">, </w:t>
      </w:r>
      <w:r>
        <w:rPr>
          <w:i/>
          <w:lang w:val="en-US"/>
        </w:rPr>
        <w:t>Closed</w:t>
      </w:r>
      <w:r w:rsidRPr="00737512">
        <w:rPr>
          <w:i/>
        </w:rPr>
        <w:t xml:space="preserve"> </w:t>
      </w:r>
      <w:r>
        <w:rPr>
          <w:i/>
          <w:lang w:val="en-US"/>
        </w:rPr>
        <w:t>SC</w:t>
      </w:r>
      <w:r>
        <w:rPr>
          <w:i/>
        </w:rPr>
        <w:t xml:space="preserve">, </w:t>
      </w:r>
      <w:r>
        <w:t xml:space="preserve">и </w:t>
      </w:r>
      <w:r>
        <w:rPr>
          <w:i/>
          <w:lang w:val="en-US"/>
        </w:rPr>
        <w:t>CivicCulture</w:t>
      </w:r>
      <w:r>
        <w:t>) являются объясняющими переменными. Индекс подотчетности власти (</w:t>
      </w:r>
      <w:r>
        <w:rPr>
          <w:i/>
          <w:lang w:val="en-US"/>
        </w:rPr>
        <w:t>Accountability</w:t>
      </w:r>
      <w:r>
        <w:t xml:space="preserve">) поочередно используется в </w:t>
      </w:r>
      <w:r w:rsidR="005E669B">
        <w:t xml:space="preserve">обоих </w:t>
      </w:r>
      <w:r>
        <w:t>качеств</w:t>
      </w:r>
      <w:r w:rsidR="005E669B">
        <w:t xml:space="preserve">ах </w:t>
      </w:r>
      <w:r>
        <w:t>– в первом случае для подтверждения связи между социальным капиталом и подотчетност</w:t>
      </w:r>
      <w:r w:rsidR="005E669B">
        <w:t xml:space="preserve">ью </w:t>
      </w:r>
      <w:r>
        <w:t xml:space="preserve">власти, а во втором – для </w:t>
      </w:r>
      <w:r w:rsidR="009C327C">
        <w:t>оценки влияни</w:t>
      </w:r>
      <w:r w:rsidR="005E669B">
        <w:t>я</w:t>
      </w:r>
      <w:r w:rsidR="009C327C">
        <w:t xml:space="preserve"> подотчетности власти на городское развитие. В качестве контрольных переменных </w:t>
      </w:r>
      <w:r w:rsidR="005E669B">
        <w:t xml:space="preserve">в регрессиях используются размер, статус и региональная принадлежность городов, а также </w:t>
      </w:r>
      <w:r w:rsidR="009C327C">
        <w:t xml:space="preserve">различного рода </w:t>
      </w:r>
      <w:r w:rsidR="005E669B">
        <w:t xml:space="preserve">индивидуальные </w:t>
      </w:r>
      <w:r w:rsidR="009C327C">
        <w:t>характеристики респондентов</w:t>
      </w:r>
      <w:r w:rsidR="005E669B">
        <w:t xml:space="preserve">, усредненные в пределах соответствующего города. </w:t>
      </w:r>
      <w:r w:rsidR="009C327C">
        <w:t xml:space="preserve"> </w:t>
      </w:r>
    </w:p>
    <w:p w:rsidR="006A4C51" w:rsidRDefault="009C327C" w:rsidP="00B00C22">
      <w:pPr>
        <w:pStyle w:val="BodyText"/>
        <w:spacing w:after="0"/>
        <w:ind w:firstLine="709"/>
      </w:pPr>
      <w:r>
        <w:t xml:space="preserve">Первый вариант регрессионной модели предназначен для подтверждения связи положения дел в городах с </w:t>
      </w:r>
      <w:r w:rsidR="004F546E">
        <w:t xml:space="preserve">наличием </w:t>
      </w:r>
      <w:r>
        <w:t xml:space="preserve">социального капитала: </w:t>
      </w:r>
    </w:p>
    <w:p w:rsidR="009C327C" w:rsidRDefault="009C327C" w:rsidP="00B00C22">
      <w:pPr>
        <w:pStyle w:val="BodyText"/>
        <w:spacing w:after="0"/>
        <w:ind w:firstLine="709"/>
      </w:pPr>
    </w:p>
    <w:tbl>
      <w:tblPr>
        <w:tblW w:w="5000" w:type="pct"/>
        <w:jc w:val="center"/>
        <w:tblLook w:val="04A0"/>
      </w:tblPr>
      <w:tblGrid>
        <w:gridCol w:w="517"/>
        <w:gridCol w:w="8362"/>
        <w:gridCol w:w="652"/>
      </w:tblGrid>
      <w:tr w:rsidR="006A4C51" w:rsidTr="00D363C9">
        <w:trPr>
          <w:trHeight w:val="579"/>
          <w:jc w:val="center"/>
        </w:trPr>
        <w:tc>
          <w:tcPr>
            <w:tcW w:w="271" w:type="pct"/>
            <w:vAlign w:val="center"/>
          </w:tcPr>
          <w:p w:rsidR="006A4C51" w:rsidRDefault="006A4C51" w:rsidP="00B00C22">
            <w:pPr>
              <w:pStyle w:val="ListParagraph"/>
              <w:spacing w:after="0" w:line="360" w:lineRule="auto"/>
              <w:ind w:left="0"/>
              <w:jc w:val="both"/>
            </w:pPr>
          </w:p>
        </w:tc>
        <w:tc>
          <w:tcPr>
            <w:tcW w:w="4387" w:type="pct"/>
            <w:vAlign w:val="center"/>
          </w:tcPr>
          <w:p w:rsidR="006A4C51" w:rsidRPr="004F546E" w:rsidRDefault="006A4C51" w:rsidP="00B00C22">
            <w:pPr>
              <w:pStyle w:val="ListParagraph"/>
              <w:spacing w:after="0" w:line="360" w:lineRule="auto"/>
              <w:ind w:left="0"/>
            </w:pPr>
            <m:oMath>
              <m:r>
                <w:rPr>
                  <w:rFonts w:ascii="Cambria Math" w:hAnsi="Cambria Math"/>
                  <w:lang w:val="en-US"/>
                </w:rPr>
                <m:t>Outcom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const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OpenSC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ClosedSC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CivicCulture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Pr="00517FE9">
              <w:rPr>
                <w:kern w:val="1"/>
                <w:sz w:val="24"/>
                <w:szCs w:val="24"/>
                <w:lang w:eastAsia="ru-RU"/>
              </w:rPr>
              <w:t xml:space="preserve"> +</w:t>
            </w:r>
            <w:r w:rsidR="004F546E">
              <w:rPr>
                <w:kern w:val="1"/>
                <w:sz w:val="24"/>
                <w:szCs w:val="24"/>
                <w:lang w:eastAsia="ru-RU"/>
              </w:rPr>
              <w:t xml:space="preserve">                    </w:t>
            </w:r>
            <w:r w:rsidR="004F546E" w:rsidRPr="004F546E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(2) </w:t>
            </w:r>
            <m:oMath>
              <m:r>
                <w:rPr>
                  <w:rFonts w:ascii="Cambria Math" w:hAnsi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Contro</m:t>
              </m:r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eastAsia="Arial Unicode MS" w:hAnsi="Times New Roman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RegionDummy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4F546E">
              <w:rPr>
                <w:rFonts w:ascii="Times New Roman" w:hAnsi="Times New Roman"/>
              </w:rPr>
              <w:t>.</w:t>
            </w:r>
          </w:p>
        </w:tc>
        <w:tc>
          <w:tcPr>
            <w:tcW w:w="342" w:type="pct"/>
            <w:vAlign w:val="center"/>
          </w:tcPr>
          <w:p w:rsidR="006A4C51" w:rsidRDefault="006A4C51" w:rsidP="00B00C22">
            <w:pPr>
              <w:pStyle w:val="ListParagraph"/>
              <w:spacing w:after="0" w:line="360" w:lineRule="auto"/>
              <w:ind w:left="0"/>
            </w:pPr>
          </w:p>
        </w:tc>
      </w:tr>
    </w:tbl>
    <w:p w:rsidR="004F546E" w:rsidRDefault="004F546E" w:rsidP="00B00C22">
      <w:pPr>
        <w:pStyle w:val="BodyText"/>
        <w:spacing w:after="0"/>
      </w:pPr>
    </w:p>
    <w:p w:rsidR="004F546E" w:rsidRDefault="006A4C51" w:rsidP="00B00C22">
      <w:pPr>
        <w:pStyle w:val="BodyText"/>
        <w:spacing w:after="0"/>
      </w:pPr>
      <w:r>
        <w:t xml:space="preserve">Здесь </w:t>
      </w:r>
      <w:r>
        <w:rPr>
          <w:i/>
          <w:lang w:val="en-US"/>
        </w:rPr>
        <w:t>i</w:t>
      </w:r>
      <w:r w:rsidRPr="00517FE9">
        <w:rPr>
          <w:i/>
        </w:rPr>
        <w:t xml:space="preserve"> – </w:t>
      </w:r>
      <w:r w:rsidRPr="00517FE9">
        <w:t>номер</w:t>
      </w:r>
      <w:r>
        <w:rPr>
          <w:i/>
        </w:rPr>
        <w:t xml:space="preserve"> </w:t>
      </w:r>
      <w:r>
        <w:t xml:space="preserve">населенного пункта. Контроль производится на фиксированные региональные эффекты, </w:t>
      </w:r>
      <w:r w:rsidR="005E669B">
        <w:t xml:space="preserve">а также </w:t>
      </w:r>
      <w:r w:rsidR="00B10C30">
        <w:t xml:space="preserve">на вышеназванные </w:t>
      </w:r>
      <w:r w:rsidR="005E669B">
        <w:t xml:space="preserve">характеристики </w:t>
      </w:r>
      <w:r w:rsidR="00B10C30">
        <w:t xml:space="preserve">населенного пункта и его жителей. </w:t>
      </w:r>
    </w:p>
    <w:p w:rsidR="006A4C51" w:rsidRDefault="00B65576" w:rsidP="00B00C22">
      <w:pPr>
        <w:pStyle w:val="BodyText"/>
        <w:spacing w:after="0"/>
        <w:ind w:firstLine="709"/>
      </w:pPr>
      <w:r>
        <w:t xml:space="preserve">Во втором варианте модели оценивается влияние социального капитала на подотчетность власти с тем же набором контролирующих переменных: </w:t>
      </w:r>
    </w:p>
    <w:p w:rsidR="00B65576" w:rsidRDefault="00B65576" w:rsidP="00B00C22">
      <w:pPr>
        <w:pStyle w:val="BodyText"/>
        <w:spacing w:after="0"/>
        <w:ind w:firstLine="709"/>
      </w:pPr>
    </w:p>
    <w:tbl>
      <w:tblPr>
        <w:tblW w:w="5000" w:type="pct"/>
        <w:jc w:val="center"/>
        <w:tblLook w:val="04A0"/>
      </w:tblPr>
      <w:tblGrid>
        <w:gridCol w:w="517"/>
        <w:gridCol w:w="8362"/>
        <w:gridCol w:w="652"/>
      </w:tblGrid>
      <w:tr w:rsidR="006A4C51" w:rsidTr="00D363C9">
        <w:trPr>
          <w:trHeight w:val="579"/>
          <w:jc w:val="center"/>
        </w:trPr>
        <w:tc>
          <w:tcPr>
            <w:tcW w:w="271" w:type="pct"/>
            <w:vAlign w:val="center"/>
          </w:tcPr>
          <w:p w:rsidR="006A4C51" w:rsidRDefault="006A4C51" w:rsidP="00B00C22">
            <w:pPr>
              <w:pStyle w:val="ListParagraph"/>
              <w:spacing w:after="0" w:line="360" w:lineRule="auto"/>
              <w:ind w:left="0"/>
              <w:jc w:val="both"/>
            </w:pPr>
          </w:p>
        </w:tc>
        <w:tc>
          <w:tcPr>
            <w:tcW w:w="4387" w:type="pct"/>
            <w:vAlign w:val="center"/>
          </w:tcPr>
          <w:p w:rsidR="006A4C51" w:rsidRPr="00B65576" w:rsidRDefault="0067233F" w:rsidP="00B00C22">
            <w:pPr>
              <w:pStyle w:val="ListParagraph"/>
              <w:spacing w:after="0" w:line="360" w:lineRule="auto"/>
              <w:ind w:left="0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Accountability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const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Open</m:t>
                  </m:r>
                  <m:r>
                    <w:rPr>
                      <w:rFonts w:ascii="Cambria Math" w:hAnsi="Cambria Math"/>
                      <w:lang w:val="en-US"/>
                    </w:rPr>
                    <m:t>SC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ClosedSC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CivicCulture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6A4C51" w:rsidRPr="00517FE9">
              <w:t>+</w:t>
            </w:r>
            <w:r w:rsidR="00B65576">
              <w:t xml:space="preserve">           </w:t>
            </w:r>
            <w:r w:rsidR="00B65576" w:rsidRPr="00B65576">
              <w:rPr>
                <w:rFonts w:ascii="Times New Roman" w:hAnsi="Times New Roman"/>
                <w:sz w:val="24"/>
                <w:szCs w:val="24"/>
              </w:rPr>
              <w:t>(3)</w:t>
            </w:r>
            <w:r w:rsidR="00B65576"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Contro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RegionDummy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;</m:t>
              </m:r>
            </m:oMath>
          </w:p>
        </w:tc>
        <w:tc>
          <w:tcPr>
            <w:tcW w:w="342" w:type="pct"/>
            <w:vAlign w:val="center"/>
          </w:tcPr>
          <w:p w:rsidR="006A4C51" w:rsidRDefault="006A4C51" w:rsidP="00B00C22">
            <w:pPr>
              <w:jc w:val="center"/>
            </w:pPr>
          </w:p>
        </w:tc>
      </w:tr>
    </w:tbl>
    <w:p w:rsidR="00B65576" w:rsidRDefault="00B65576" w:rsidP="00B00C22">
      <w:pPr>
        <w:pStyle w:val="BodyText"/>
        <w:spacing w:after="0"/>
      </w:pPr>
    </w:p>
    <w:p w:rsidR="00B65576" w:rsidRDefault="00B65576" w:rsidP="00B00C22">
      <w:pPr>
        <w:pStyle w:val="BodyText"/>
        <w:spacing w:after="0"/>
      </w:pPr>
      <w:r>
        <w:t xml:space="preserve">эмпирическое подтверждение такой связи дает основания рассматривать работу городских администраций как возможный передаточный механизм между социальным капиталом и развитием. </w:t>
      </w:r>
    </w:p>
    <w:p w:rsidR="00B65576" w:rsidRDefault="00B65576" w:rsidP="00B00C22">
      <w:pPr>
        <w:pStyle w:val="BodyText"/>
        <w:spacing w:after="0"/>
        <w:ind w:firstLine="720"/>
      </w:pPr>
      <w:r>
        <w:t xml:space="preserve">Наконец, в третьем, заключительном варианте оценивается зависимость городского развития от социального капитала </w:t>
      </w:r>
      <w:r>
        <w:rPr>
          <w:i/>
        </w:rPr>
        <w:t>и</w:t>
      </w:r>
      <w:r>
        <w:t xml:space="preserve"> подотчетности властей: </w:t>
      </w:r>
    </w:p>
    <w:p w:rsidR="00AC609E" w:rsidRPr="00B65576" w:rsidRDefault="00AC609E" w:rsidP="00B00C22">
      <w:pPr>
        <w:pStyle w:val="BodyText"/>
        <w:spacing w:after="0"/>
        <w:ind w:firstLine="720"/>
      </w:pPr>
    </w:p>
    <w:tbl>
      <w:tblPr>
        <w:tblW w:w="5000" w:type="pct"/>
        <w:jc w:val="center"/>
        <w:tblLook w:val="04A0"/>
      </w:tblPr>
      <w:tblGrid>
        <w:gridCol w:w="517"/>
        <w:gridCol w:w="8362"/>
        <w:gridCol w:w="652"/>
      </w:tblGrid>
      <w:tr w:rsidR="006A4C51" w:rsidTr="00D363C9">
        <w:trPr>
          <w:trHeight w:val="579"/>
          <w:jc w:val="center"/>
        </w:trPr>
        <w:tc>
          <w:tcPr>
            <w:tcW w:w="271" w:type="pct"/>
            <w:vAlign w:val="center"/>
          </w:tcPr>
          <w:p w:rsidR="006A4C51" w:rsidRDefault="006A4C51" w:rsidP="00B00C22">
            <w:pPr>
              <w:pStyle w:val="ListParagraph"/>
              <w:spacing w:after="0" w:line="360" w:lineRule="auto"/>
              <w:ind w:left="0"/>
              <w:jc w:val="both"/>
            </w:pPr>
          </w:p>
        </w:tc>
        <w:tc>
          <w:tcPr>
            <w:tcW w:w="4387" w:type="pct"/>
            <w:vAlign w:val="center"/>
          </w:tcPr>
          <w:p w:rsidR="006A4C51" w:rsidRPr="00517FE9" w:rsidRDefault="006A4C51" w:rsidP="00B00C22">
            <w:pPr>
              <w:pStyle w:val="ListParagraph"/>
              <w:spacing w:after="0" w:line="360" w:lineRule="auto"/>
              <w:ind w:left="0"/>
            </w:pPr>
            <m:oMath>
              <m:r>
                <w:rPr>
                  <w:rFonts w:ascii="Cambria Math" w:hAnsi="Cambria Math"/>
                  <w:lang w:val="en-US"/>
                </w:rPr>
                <m:t>Outcome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const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Accountability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Pr="00517FE9">
              <w:t xml:space="preserve"> +  </w:t>
            </w:r>
          </w:p>
          <w:p w:rsidR="006A4C51" w:rsidRPr="006053D4" w:rsidRDefault="0067233F" w:rsidP="00B00C22">
            <w:pPr>
              <w:pStyle w:val="ListParagraph"/>
              <w:spacing w:after="0" w:line="360" w:lineRule="auto"/>
              <w:ind w:left="0" w:right="-25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OpenSC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ClosedSC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CivicCulture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6A4C51" w:rsidRPr="00517FE9">
              <w:t>+</w:t>
            </w:r>
            <w:r w:rsidR="00B65576">
              <w:t xml:space="preserve">                                                      </w:t>
            </w:r>
            <w:r w:rsidR="00B65576" w:rsidRPr="00B65576">
              <w:rPr>
                <w:rFonts w:ascii="Times New Roman" w:hAnsi="Times New Roman"/>
                <w:sz w:val="24"/>
                <w:szCs w:val="24"/>
              </w:rPr>
              <w:t xml:space="preserve">  (4)</w:t>
            </w:r>
            <w:r w:rsidR="006053D4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ik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Contro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="Arial Unicode MS" w:hAnsi="Cambria Math"/>
                      <w:i/>
                      <w:kern w:val="1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RegionDummy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="006053D4">
              <w:t xml:space="preserve">. </w:t>
            </w:r>
          </w:p>
        </w:tc>
        <w:tc>
          <w:tcPr>
            <w:tcW w:w="342" w:type="pct"/>
            <w:vAlign w:val="center"/>
          </w:tcPr>
          <w:p w:rsidR="006A4C51" w:rsidRDefault="006A4C51" w:rsidP="00B00C22">
            <w:pPr>
              <w:jc w:val="center"/>
            </w:pPr>
          </w:p>
        </w:tc>
      </w:tr>
    </w:tbl>
    <w:p w:rsidR="006053D4" w:rsidRDefault="006053D4" w:rsidP="00B00C22">
      <w:pPr>
        <w:pStyle w:val="BodyText"/>
        <w:spacing w:after="0"/>
      </w:pPr>
    </w:p>
    <w:p w:rsidR="006053D4" w:rsidRDefault="00B87867" w:rsidP="00B00C22">
      <w:pPr>
        <w:pStyle w:val="BodyText"/>
        <w:spacing w:after="0"/>
      </w:pPr>
      <w:r>
        <w:t>П</w:t>
      </w:r>
      <w:r w:rsidR="00B10C30">
        <w:t xml:space="preserve">одтверждение </w:t>
      </w:r>
      <w:r>
        <w:t>значимости</w:t>
      </w:r>
      <w:r w:rsidR="006053D4">
        <w:t xml:space="preserve"> для положения дел в городах подотчетности власти (в свою очередь зависящей от социального капитала) завершит эмпирическое доказательство того, что работа городских органов власти действительно </w:t>
      </w:r>
      <w:r>
        <w:t xml:space="preserve">служит </w:t>
      </w:r>
      <w:r w:rsidR="006053D4">
        <w:t>«вертикальн</w:t>
      </w:r>
      <w:r>
        <w:t>ым»</w:t>
      </w:r>
      <w:r w:rsidR="006053D4">
        <w:t xml:space="preserve"> передаточн</w:t>
      </w:r>
      <w:r>
        <w:t>ым м</w:t>
      </w:r>
      <w:r w:rsidR="006053D4">
        <w:t>еханизм</w:t>
      </w:r>
      <w:r>
        <w:t xml:space="preserve">ом </w:t>
      </w:r>
      <w:r w:rsidR="006053D4">
        <w:t xml:space="preserve">между социальным капиталом и развитием. Если при этом в регрессионном уравнении (4) сохранят значимость и </w:t>
      </w:r>
      <w:r>
        <w:t xml:space="preserve">сами </w:t>
      </w:r>
      <w:r w:rsidR="006053D4">
        <w:t xml:space="preserve">показатели социального капитала, то </w:t>
      </w:r>
      <w:r>
        <w:t xml:space="preserve">это </w:t>
      </w:r>
      <w:r w:rsidR="006053D4">
        <w:t>ука</w:t>
      </w:r>
      <w:r>
        <w:t xml:space="preserve">жет </w:t>
      </w:r>
      <w:r w:rsidR="006053D4">
        <w:t xml:space="preserve">на одновременное </w:t>
      </w:r>
      <w:r>
        <w:t xml:space="preserve">наличие </w:t>
      </w:r>
      <w:r w:rsidR="006053D4">
        <w:t xml:space="preserve">и «горизонтального» передаточного механизма, действующего помимо городских администраций. Сопоставление коэффициентов при </w:t>
      </w:r>
      <w:r>
        <w:t xml:space="preserve">названных </w:t>
      </w:r>
      <w:r w:rsidR="006053D4">
        <w:t xml:space="preserve">факторах позволит судить о сравнительной </w:t>
      </w:r>
      <w:r>
        <w:t xml:space="preserve">значимости </w:t>
      </w:r>
      <w:r w:rsidR="006053D4">
        <w:t xml:space="preserve">двух механизмов. </w:t>
      </w:r>
    </w:p>
    <w:p w:rsidR="00B511C0" w:rsidRDefault="006A4C51" w:rsidP="00B00C22">
      <w:pPr>
        <w:pStyle w:val="BodyText"/>
        <w:spacing w:after="0"/>
        <w:ind w:firstLine="709"/>
      </w:pPr>
      <w:r>
        <w:t xml:space="preserve">Результаты </w:t>
      </w:r>
      <w:r w:rsidR="00B87867">
        <w:t xml:space="preserve">оценки первого из перечисленных регрессионных уравнений </w:t>
      </w:r>
      <w:r w:rsidR="009B63C0">
        <w:t xml:space="preserve">свидетельствуют о том, что </w:t>
      </w:r>
      <w:r>
        <w:t xml:space="preserve">открытый социальный капитал положительно связан с развитием и оказывается значимым на </w:t>
      </w:r>
      <w:r w:rsidRPr="002D6FA3">
        <w:t>1%</w:t>
      </w:r>
      <w:r w:rsidR="00B87867">
        <w:t>-м</w:t>
      </w:r>
      <w:r w:rsidRPr="002D6FA3">
        <w:t xml:space="preserve"> </w:t>
      </w:r>
      <w:r>
        <w:t xml:space="preserve">уровне. </w:t>
      </w:r>
      <w:r w:rsidR="00B87867">
        <w:t>Эта зависимость выражена весьма отчетливо: у</w:t>
      </w:r>
      <w:r>
        <w:t xml:space="preserve">величение открытого социального капитала на одно стандартное отклонение </w:t>
      </w:r>
      <w:r w:rsidR="00B87867">
        <w:t xml:space="preserve">улучшает положение дел в городе на </w:t>
      </w:r>
      <w:r>
        <w:t>четверть стандартного отклонения</w:t>
      </w:r>
      <w:r w:rsidR="00B87867">
        <w:t xml:space="preserve">. Вклад закрытого социального капитала в развитие отрицателен и также значим на 1%-м уровне. Наконец, гражданская </w:t>
      </w:r>
      <w:r>
        <w:t>культура</w:t>
      </w:r>
      <w:r w:rsidR="00B87867">
        <w:t xml:space="preserve">, как и открытый социальный капитал, </w:t>
      </w:r>
      <w:r>
        <w:t xml:space="preserve">значимо </w:t>
      </w:r>
      <w:r w:rsidR="00B87867">
        <w:t xml:space="preserve">и </w:t>
      </w:r>
      <w:r>
        <w:t xml:space="preserve">положительно связана с развитием, </w:t>
      </w:r>
      <w:r w:rsidR="00B87867">
        <w:t xml:space="preserve">хотя ее воздействие менее ощутимо. </w:t>
      </w:r>
      <w:r w:rsidR="00B511C0">
        <w:t xml:space="preserve">Полученные оценки полностью согласуются с результатами анализа </w:t>
      </w:r>
      <w:r w:rsidR="00B10C30">
        <w:t xml:space="preserve">рассмотренной выше </w:t>
      </w:r>
      <w:r w:rsidR="00B511C0">
        <w:t xml:space="preserve">теоретической модели. </w:t>
      </w:r>
    </w:p>
    <w:p w:rsidR="006A4C51" w:rsidRDefault="00B511C0" w:rsidP="00B00C22">
      <w:pPr>
        <w:pStyle w:val="BodyText"/>
        <w:spacing w:after="0"/>
        <w:ind w:firstLine="709"/>
      </w:pPr>
      <w:r>
        <w:t xml:space="preserve">Оценка модели (2) робастна и не зависит от спецификации; включение в регрессию в качестве контрольных переменных </w:t>
      </w:r>
      <w:r w:rsidR="006A4C51">
        <w:t>средн</w:t>
      </w:r>
      <w:r>
        <w:t xml:space="preserve">его возраста, </w:t>
      </w:r>
      <w:r w:rsidR="006A4C51">
        <w:t>образовани</w:t>
      </w:r>
      <w:r>
        <w:t>я</w:t>
      </w:r>
      <w:r w:rsidR="006A4C51">
        <w:t xml:space="preserve"> и доход</w:t>
      </w:r>
      <w:r>
        <w:t>а</w:t>
      </w:r>
      <w:r w:rsidR="006A4C51">
        <w:t xml:space="preserve"> </w:t>
      </w:r>
      <w:r>
        <w:t xml:space="preserve">жителей города </w:t>
      </w:r>
      <w:r w:rsidR="006A4C51">
        <w:t xml:space="preserve">существенно </w:t>
      </w:r>
      <w:r>
        <w:t>не влияет на к</w:t>
      </w:r>
      <w:r w:rsidR="006A4C51">
        <w:t>оэффициент</w:t>
      </w:r>
      <w:r>
        <w:t xml:space="preserve">ы при индикаторах социального капитала. Заметим, что удовлетворенность положением дел увеличивается с ростом размера города и улучшением материального благополучия респондентов. Если сохранить в выборке лишь крупные (с населением более 100 тыс. жителей) города, </w:t>
      </w:r>
      <w:r w:rsidR="0046593C">
        <w:t xml:space="preserve">то и в этом случае результаты регрессии не </w:t>
      </w:r>
      <w:r w:rsidR="00AC609E">
        <w:t>претерпят значительных изменени</w:t>
      </w:r>
      <w:r w:rsidR="0046593C">
        <w:t xml:space="preserve">й. </w:t>
      </w:r>
      <w:r w:rsidR="00AC609E">
        <w:t xml:space="preserve">То же касается использования различных </w:t>
      </w:r>
      <w:r w:rsidR="006A4C51">
        <w:t>комбинаци</w:t>
      </w:r>
      <w:r w:rsidR="00AC609E">
        <w:t>й</w:t>
      </w:r>
      <w:r w:rsidR="006A4C51">
        <w:t xml:space="preserve"> контрольных переменных и учет </w:t>
      </w:r>
      <w:r w:rsidR="00AC609E">
        <w:t xml:space="preserve">возможных нелинейных эффектов. </w:t>
      </w:r>
    </w:p>
    <w:p w:rsidR="006A4C51" w:rsidRDefault="00AC609E" w:rsidP="00B00C22">
      <w:pPr>
        <w:pStyle w:val="BodyText"/>
        <w:spacing w:after="0"/>
        <w:ind w:firstLine="709"/>
      </w:pPr>
      <w:r>
        <w:t xml:space="preserve">Оценка регрессионной модели (3) </w:t>
      </w:r>
      <w:r w:rsidR="008463F1">
        <w:t xml:space="preserve">показывает, что </w:t>
      </w:r>
      <w:r w:rsidR="00751FCF">
        <w:t xml:space="preserve">воздействие социального капитала на подотчетность городских администраций качественно такое же, как и на развитие городов: подотчетность положительно и значимо связана с открытым </w:t>
      </w:r>
      <w:r w:rsidR="00751FCF">
        <w:lastRenderedPageBreak/>
        <w:t xml:space="preserve">социальным капиталом и гражданской культурой, и отрицательно – с закрытым социальным капиталом. </w:t>
      </w:r>
      <w:r w:rsidR="00E71016">
        <w:t xml:space="preserve">Таким образом и здесь предсказания теоретической модели находят эмпирическое подтверждение. </w:t>
      </w:r>
      <w:r w:rsidR="002E6DF3">
        <w:t xml:space="preserve">При этом </w:t>
      </w:r>
      <w:r w:rsidR="00E71016">
        <w:t xml:space="preserve">подотчетность власти более чувствительна к наличию социального капитала, </w:t>
      </w:r>
      <w:r w:rsidR="00B10C30">
        <w:t>нежели с</w:t>
      </w:r>
      <w:r w:rsidR="00E71016">
        <w:t xml:space="preserve">остояние дел в городах: коэффициенты при соответствующих переменных в уравнении (4) больше по величине, чем в (3). </w:t>
      </w:r>
      <w:r w:rsidR="002E6DF3">
        <w:t xml:space="preserve">Наконец, отметим, что воздействие социального капитала на подотчетность усиливается с ростом размера города; так, для выборки, состоящей из крупных городов, прирост </w:t>
      </w:r>
      <w:r w:rsidR="006A4C51">
        <w:t xml:space="preserve">открытого социального капитала на одно стандартное отклонение </w:t>
      </w:r>
      <w:r w:rsidR="007839D8">
        <w:t xml:space="preserve">увеличивает подотчетность власти также на одно стандартное отклонение. </w:t>
      </w:r>
    </w:p>
    <w:p w:rsidR="007839D8" w:rsidRDefault="007839D8" w:rsidP="00B00C22">
      <w:pPr>
        <w:pStyle w:val="BodyText"/>
        <w:spacing w:after="0"/>
        <w:ind w:firstLine="709"/>
      </w:pPr>
      <w:r>
        <w:t xml:space="preserve">При оценке регрессионной модели (4) обнаруживается сильная зависимость положения дел в городе от подотчетности городских администраций: при увеличении подотчетности на один балл (в шкале от 0 до 3) удовлетворенность респондентов состоянием дел повышается </w:t>
      </w:r>
      <w:r w:rsidR="006A4C51">
        <w:t>на треть балла</w:t>
      </w:r>
      <w:r>
        <w:t xml:space="preserve">. С учетом результатов оценивания модели (3) есть все основания констатировать наличие «вертикального» передаточного механизма между социальным капиталом и городским развитием. При этом коэффициенты при показателях социального капитала (сверх их влияния на развитие, опосредованное подотчетностью власти)  сокращаются вдвое по сравнению с моделью (2); из этого следует, что указанный вертикальный механизм играет важную роль </w:t>
      </w:r>
      <w:r w:rsidR="00725545">
        <w:t>в обеспечении экономической отдачи на социальный капитал. Эта роль оказывается преобладающей в более крупных городах – в оценке уравнения (4) для таких городов прямое влияние социального капитала оказывается незначим</w:t>
      </w:r>
      <w:r w:rsidR="001D5D6E">
        <w:t xml:space="preserve">ым, а значит, горизонтальные передаточные механизмы в таких городах бездействуют. </w:t>
      </w:r>
    </w:p>
    <w:p w:rsidR="001D5D6E" w:rsidRDefault="001D5D6E" w:rsidP="00B00C22">
      <w:pPr>
        <w:pStyle w:val="BodyText"/>
        <w:spacing w:after="0"/>
        <w:ind w:firstLine="709"/>
      </w:pPr>
    </w:p>
    <w:p w:rsidR="00B21E6E" w:rsidRDefault="00B21E6E" w:rsidP="00B00C22">
      <w:pPr>
        <w:pStyle w:val="BodyText"/>
        <w:spacing w:after="0"/>
        <w:ind w:firstLine="709"/>
      </w:pPr>
    </w:p>
    <w:p w:rsidR="00582511" w:rsidRPr="00B00C22" w:rsidRDefault="00582511" w:rsidP="00B00C22">
      <w:pPr>
        <w:pStyle w:val="BodyText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B00C22">
        <w:rPr>
          <w:b/>
          <w:sz w:val="28"/>
          <w:szCs w:val="28"/>
        </w:rPr>
        <w:t xml:space="preserve">Заключительные замечания </w:t>
      </w:r>
    </w:p>
    <w:p w:rsidR="00582511" w:rsidRDefault="00582511" w:rsidP="00B00C22">
      <w:pPr>
        <w:pStyle w:val="BodyText"/>
        <w:spacing w:after="0"/>
      </w:pPr>
    </w:p>
    <w:p w:rsidR="007B79FF" w:rsidRDefault="007B79FF" w:rsidP="00B00C22">
      <w:pPr>
        <w:ind w:firstLine="720"/>
      </w:pPr>
      <w:r>
        <w:t xml:space="preserve">Согласно данным проекта «Георейтинг», запасы социального капитала претерпевают значительные колебания от одного города России к другому. Причины таких перепадов требуют дальнейшего анализа; скорее всего, они коренятся в истории, причем, возможно, весьма отдаленной – социальный капитал обладает значительной инерцией; другими возможными причинами могут быть география, структура экономики, характер и масштабы миграции, экономические и социально-культурные различия и пр. Как бы то ни было, наличие в России более или менее «гражданских» городов позволяет исследовать связь социального капитала и положения дел в городах. </w:t>
      </w:r>
    </w:p>
    <w:p w:rsidR="0096410D" w:rsidRDefault="0096410D" w:rsidP="00B00C22">
      <w:pPr>
        <w:ind w:firstLine="720"/>
      </w:pPr>
      <w:r>
        <w:t xml:space="preserve">Наш анализ свидетельствует о том, что несмотря на сомнения в способности </w:t>
      </w:r>
      <w:r>
        <w:lastRenderedPageBreak/>
        <w:t xml:space="preserve">российского общества стать самостоятельной движущей силой развития страны, социальный капитал в российских условиях дает осязаемую экономическую отдачу, в первую очередь за счет повышения подотчетности органов власти. Таким образом в этом отношении Россия, несмотря на свою специфику, оказывается «нормальной страной», подтверждая закономерность, обнаруженную ранее в других государствах. </w:t>
      </w:r>
      <w:r w:rsidR="00B32E74">
        <w:t xml:space="preserve">При этом развитию благоприятствует открытый социальный капитал и гражданская культура; наоборот, социальный капитал в закрытой разновидности отрицательно влияет на подотчетность власти и </w:t>
      </w:r>
      <w:r w:rsidR="008D565B">
        <w:t>общественное благосостояние</w:t>
      </w:r>
      <w:r w:rsidR="00B32E74">
        <w:t xml:space="preserve"> </w:t>
      </w:r>
    </w:p>
    <w:p w:rsidR="0096410D" w:rsidRDefault="007B79FF" w:rsidP="00B00C22">
      <w:pPr>
        <w:ind w:firstLine="709"/>
      </w:pPr>
      <w:r>
        <w:t>В</w:t>
      </w:r>
      <w:r w:rsidR="00C11DB4">
        <w:t xml:space="preserve"> малых городах с более традиционным жизненным укладом социальный капитал оказывает на положение дел в городе  и прямое влияние, не опосредованное работой органов власти. В средних же и особенно крупных городах прямое влияние исчезает – здесь главной функцией и задачей социального капитала является обеспечение должной подотчетности власти. Таким образом, чем крупнее территориальное образование, тем важнее роль государственного и муниципального управления как  передаточного механизма между социальным капиталом и качеством жизни. Экстраполируя эту закономерность, следовало бы ожидать еще более отчетливого ее проявления на уровне регионов. Вопреки ожиданиям, такая гипотеза не подтверждается данными – в отличие от Западной Европы и США, зависимость между </w:t>
      </w:r>
      <w:r w:rsidR="00C11DB4">
        <w:rPr>
          <w:i/>
        </w:rPr>
        <w:t xml:space="preserve">региональным </w:t>
      </w:r>
      <w:r w:rsidR="00C11DB4">
        <w:t>развитием и социальным капиталом в России не наблюдается. Данный вывод может быть связан со значительными перепадами социального капитала в пределах регионов, но нельзя исключить и политическое объяснение, связанное с тем, чт</w:t>
      </w:r>
      <w:r w:rsidR="008D565B">
        <w:t xml:space="preserve">о мэры </w:t>
      </w:r>
      <w:r w:rsidR="00C11DB4">
        <w:t xml:space="preserve">городов избираются населением, тогда как губернаторские выборы последние годы не проводятся. </w:t>
      </w:r>
    </w:p>
    <w:p w:rsidR="0096410D" w:rsidRDefault="006425D6" w:rsidP="00B00C22">
      <w:pPr>
        <w:ind w:firstLine="709"/>
      </w:pPr>
      <w:r>
        <w:t xml:space="preserve">В дальнейших исследованиях экономической отдачи на социальный капитал в России следует включить в анализ полученные из альтернативных независимых источников показатели состояния экономики, социальной сферы и работы органов власти, а также характеристики норм, ценностей и общественной активности населения. Важно также найти более убедительные подтверждения </w:t>
      </w:r>
      <w:r>
        <w:rPr>
          <w:i/>
        </w:rPr>
        <w:t xml:space="preserve">причинной </w:t>
      </w:r>
      <w:r>
        <w:t xml:space="preserve">связи между социальным капиталом и развитием, подобрав для этого </w:t>
      </w:r>
      <w:r w:rsidR="00120F21">
        <w:t xml:space="preserve">подходящие </w:t>
      </w:r>
      <w:r>
        <w:t>инструментальные переменные. Наконец, большой интерес представляет анализ связи между социальным капиталом, с одной стороны, и состоянием формальных институтов и государственным регулированием экономики, с другой. Пречисленные вопросы выходят за рамки настоящей статьи и должны стать тем</w:t>
      </w:r>
      <w:r w:rsidR="00120F21">
        <w:t xml:space="preserve">ами </w:t>
      </w:r>
      <w:r>
        <w:t xml:space="preserve">дальнейших публикаций. </w:t>
      </w:r>
    </w:p>
    <w:p w:rsidR="007B79FF" w:rsidRDefault="007B79FF" w:rsidP="00B00C22">
      <w:pPr>
        <w:pStyle w:val="BodyText"/>
        <w:spacing w:after="0"/>
      </w:pPr>
    </w:p>
    <w:p w:rsidR="007B79FF" w:rsidRDefault="007B79FF" w:rsidP="00B00C22">
      <w:pPr>
        <w:pStyle w:val="BodyText"/>
        <w:spacing w:after="0"/>
      </w:pPr>
    </w:p>
    <w:p w:rsidR="007B79FF" w:rsidRDefault="007B79FF" w:rsidP="00B00C22">
      <w:pPr>
        <w:pStyle w:val="BodyText"/>
        <w:spacing w:after="0"/>
      </w:pPr>
    </w:p>
    <w:p w:rsidR="007B79FF" w:rsidRDefault="007B79FF" w:rsidP="00B00C22">
      <w:pPr>
        <w:pStyle w:val="BodyText"/>
        <w:spacing w:after="0"/>
      </w:pPr>
    </w:p>
    <w:p w:rsidR="00B00C22" w:rsidRDefault="00B00C22" w:rsidP="00B00C22">
      <w:pPr>
        <w:pStyle w:val="BodyText"/>
        <w:spacing w:after="0"/>
        <w:ind w:firstLine="709"/>
      </w:pPr>
    </w:p>
    <w:p w:rsidR="00B00C22" w:rsidRPr="00B00C22" w:rsidRDefault="00B00C22" w:rsidP="00B00C22">
      <w:pPr>
        <w:pStyle w:val="BodyText"/>
        <w:spacing w:after="0"/>
        <w:ind w:firstLine="709"/>
        <w:rPr>
          <w:b/>
          <w:sz w:val="28"/>
          <w:szCs w:val="28"/>
          <w:lang w:val="en-US"/>
        </w:rPr>
      </w:pPr>
      <w:r w:rsidRPr="00B00C22">
        <w:rPr>
          <w:b/>
          <w:sz w:val="28"/>
          <w:szCs w:val="28"/>
        </w:rPr>
        <w:t>Литература</w:t>
      </w:r>
      <w:r w:rsidRPr="00B00C22">
        <w:rPr>
          <w:b/>
          <w:sz w:val="28"/>
          <w:szCs w:val="28"/>
          <w:lang w:val="en-US"/>
        </w:rPr>
        <w:t xml:space="preserve"> </w:t>
      </w:r>
    </w:p>
    <w:p w:rsidR="000709DA" w:rsidRPr="000709DA" w:rsidRDefault="00523F26" w:rsidP="000709DA">
      <w:pPr>
        <w:pStyle w:val="BodyText"/>
        <w:spacing w:before="29" w:after="29"/>
        <w:ind w:firstLine="720"/>
        <w:rPr>
          <w:lang w:val="en-US"/>
        </w:rPr>
      </w:pPr>
      <w:r w:rsidRPr="000709DA">
        <w:rPr>
          <w:lang w:val="en-US"/>
        </w:rPr>
        <w:t xml:space="preserve">Aghion, Ph., Y. Algan, P. Cahuc, and A. Shleifer. Regulation and Distrust. NBER Working Paper No. w14648, 2009. </w:t>
      </w:r>
    </w:p>
    <w:p w:rsidR="000709DA" w:rsidRPr="000709DA" w:rsidRDefault="000709DA" w:rsidP="000709DA">
      <w:pPr>
        <w:pStyle w:val="BodyText"/>
        <w:spacing w:before="29" w:after="29"/>
        <w:ind w:firstLine="720"/>
        <w:rPr>
          <w:color w:val="000000"/>
          <w:lang w:val="en-CA"/>
        </w:rPr>
      </w:pPr>
      <w:r w:rsidRPr="000709DA">
        <w:rPr>
          <w:rFonts w:cs="Tahoma"/>
          <w:lang w:val="en-CA"/>
        </w:rPr>
        <w:t xml:space="preserve">Durlauf, S., and M. Fafchamps, Social Capital, In: Philippe Aghion &amp; Steven Durlauf (ed.) </w:t>
      </w:r>
      <w:r w:rsidRPr="000709DA">
        <w:rPr>
          <w:rFonts w:cs="Tahoma"/>
          <w:i/>
          <w:lang w:val="en-CA"/>
        </w:rPr>
        <w:t>Handbook of Economic Growth</w:t>
      </w:r>
      <w:r w:rsidRPr="000709DA">
        <w:rPr>
          <w:rFonts w:cs="Tahoma"/>
          <w:lang w:val="en-CA"/>
        </w:rPr>
        <w:t xml:space="preserve">, Ch. 26, 2005, </w:t>
      </w:r>
      <w:r>
        <w:rPr>
          <w:rFonts w:cs="Tahoma"/>
          <w:lang w:val="en-CA"/>
        </w:rPr>
        <w:t>1</w:t>
      </w:r>
      <w:r w:rsidRPr="000709DA">
        <w:rPr>
          <w:rFonts w:cs="Tahoma"/>
          <w:lang w:val="en-CA"/>
        </w:rPr>
        <w:t>639-1699.</w:t>
      </w:r>
      <w:r w:rsidRPr="000709DA">
        <w:rPr>
          <w:color w:val="000000"/>
          <w:lang w:val="en-CA"/>
        </w:rPr>
        <w:t xml:space="preserve"> </w:t>
      </w:r>
    </w:p>
    <w:p w:rsidR="00523F26" w:rsidRPr="000709DA" w:rsidRDefault="000709DA" w:rsidP="000709DA">
      <w:pPr>
        <w:pStyle w:val="BodyText"/>
        <w:spacing w:before="29" w:after="29"/>
        <w:ind w:firstLine="720"/>
        <w:rPr>
          <w:lang w:val="en-US"/>
        </w:rPr>
      </w:pPr>
      <w:r w:rsidRPr="000709DA">
        <w:rPr>
          <w:lang w:val="en-CA"/>
        </w:rPr>
        <w:t>Guiso, L., P. Sapienza, and L. Zingales</w:t>
      </w:r>
      <w:r w:rsidRPr="000709DA">
        <w:rPr>
          <w:lang w:val="en-US"/>
        </w:rPr>
        <w:t xml:space="preserve"> </w:t>
      </w:r>
      <w:r w:rsidRPr="000709DA">
        <w:rPr>
          <w:lang w:val="en-CA"/>
        </w:rPr>
        <w:t>Does Culture Affect Economic Outcomes?</w:t>
      </w:r>
      <w:r w:rsidRPr="000709DA">
        <w:rPr>
          <w:lang w:val="en-US"/>
        </w:rPr>
        <w:t xml:space="preserve"> </w:t>
      </w:r>
      <w:r w:rsidRPr="000709DA">
        <w:rPr>
          <w:i/>
          <w:lang w:val="en-CA"/>
        </w:rPr>
        <w:t xml:space="preserve">Journal of Economic Perspectives, </w:t>
      </w:r>
      <w:r w:rsidRPr="000709DA">
        <w:rPr>
          <w:lang w:val="en-CA"/>
        </w:rPr>
        <w:t xml:space="preserve">20(2), 2006, 23–48. </w:t>
      </w:r>
    </w:p>
    <w:p w:rsidR="00523F26" w:rsidRPr="000709DA" w:rsidRDefault="00523F26" w:rsidP="000709DA">
      <w:pPr>
        <w:pStyle w:val="BodyText"/>
        <w:spacing w:after="0"/>
        <w:ind w:firstLine="720"/>
        <w:rPr>
          <w:lang w:val="en-US"/>
        </w:rPr>
      </w:pPr>
      <w:r w:rsidRPr="000709DA">
        <w:rPr>
          <w:lang w:val="en-US"/>
        </w:rPr>
        <w:t xml:space="preserve">Halpern, D. </w:t>
      </w:r>
      <w:r w:rsidRPr="000709DA">
        <w:rPr>
          <w:i/>
          <w:lang w:val="en-US"/>
        </w:rPr>
        <w:t xml:space="preserve">Social Capital. </w:t>
      </w:r>
      <w:r w:rsidRPr="000709DA">
        <w:rPr>
          <w:lang w:val="en-US"/>
        </w:rPr>
        <w:t xml:space="preserve">Polity, 2005. </w:t>
      </w:r>
    </w:p>
    <w:p w:rsidR="00523F26" w:rsidRPr="000709DA" w:rsidRDefault="00FD2978" w:rsidP="000709DA">
      <w:pPr>
        <w:pStyle w:val="BodyText"/>
        <w:spacing w:after="0"/>
        <w:ind w:firstLine="720"/>
        <w:rPr>
          <w:lang w:val="en-US"/>
        </w:rPr>
      </w:pPr>
      <w:r w:rsidRPr="000709DA">
        <w:rPr>
          <w:lang w:val="en-US"/>
        </w:rPr>
        <w:t xml:space="preserve">Putnam, R. </w:t>
      </w:r>
      <w:r w:rsidRPr="000709DA">
        <w:rPr>
          <w:i/>
          <w:lang w:val="en-US"/>
        </w:rPr>
        <w:t>Making Democracy Work: Civic Tradition in Modern Italy</w:t>
      </w:r>
      <w:r w:rsidRPr="000709DA">
        <w:rPr>
          <w:lang w:val="en-US"/>
        </w:rPr>
        <w:t xml:space="preserve">. Princeton Univ. Press, 1993. </w:t>
      </w:r>
    </w:p>
    <w:p w:rsidR="00523F26" w:rsidRPr="000709DA" w:rsidRDefault="00523F26" w:rsidP="000709DA">
      <w:pPr>
        <w:pStyle w:val="BodyText"/>
        <w:spacing w:before="29" w:after="29"/>
        <w:ind w:firstLine="720"/>
        <w:rPr>
          <w:lang w:val="en-US"/>
        </w:rPr>
      </w:pPr>
      <w:r w:rsidRPr="000709DA">
        <w:rPr>
          <w:color w:val="000000"/>
          <w:lang w:val="fr-FR"/>
        </w:rPr>
        <w:t xml:space="preserve">Tabellini, G. Institutions and Culture. </w:t>
      </w:r>
      <w:r w:rsidRPr="000709DA">
        <w:rPr>
          <w:i/>
          <w:lang w:val="en-CA"/>
        </w:rPr>
        <w:t xml:space="preserve">Journal of the European Economic Association </w:t>
      </w:r>
      <w:r w:rsidRPr="000709DA">
        <w:rPr>
          <w:lang w:val="en-CA"/>
        </w:rPr>
        <w:t>6(2-3), 2008, 255–294.</w:t>
      </w:r>
      <w:r w:rsidRPr="000709DA">
        <w:rPr>
          <w:lang w:val="en-US"/>
        </w:rPr>
        <w:t xml:space="preserve"> </w:t>
      </w:r>
    </w:p>
    <w:p w:rsidR="00523F26" w:rsidRPr="000709DA" w:rsidRDefault="00523F26" w:rsidP="000709DA">
      <w:pPr>
        <w:pStyle w:val="BodyText"/>
        <w:widowControl/>
        <w:spacing w:before="29" w:after="29"/>
        <w:ind w:firstLine="720"/>
        <w:rPr>
          <w:color w:val="141314"/>
          <w:lang w:val="en-US"/>
        </w:rPr>
      </w:pPr>
      <w:r w:rsidRPr="000709DA">
        <w:rPr>
          <w:color w:val="141314"/>
          <w:lang w:val="en-CA"/>
        </w:rPr>
        <w:t xml:space="preserve">Woolcock, M. Social Capital and Economic Development: Toward a Theoretical Synthesis and Policy Framework. </w:t>
      </w:r>
      <w:r w:rsidRPr="000709DA">
        <w:rPr>
          <w:i/>
          <w:color w:val="141314"/>
          <w:lang w:val="en-CA"/>
        </w:rPr>
        <w:t>Theory</w:t>
      </w:r>
      <w:r w:rsidRPr="000709DA">
        <w:rPr>
          <w:color w:val="141314"/>
          <w:lang w:val="en-US"/>
        </w:rPr>
        <w:t xml:space="preserve"> </w:t>
      </w:r>
      <w:r w:rsidRPr="000709DA">
        <w:rPr>
          <w:i/>
          <w:color w:val="141314"/>
          <w:lang w:val="en-CA"/>
        </w:rPr>
        <w:t>and</w:t>
      </w:r>
      <w:r w:rsidRPr="000709DA">
        <w:rPr>
          <w:color w:val="141314"/>
          <w:lang w:val="en-US"/>
        </w:rPr>
        <w:t xml:space="preserve"> </w:t>
      </w:r>
      <w:r w:rsidRPr="000709DA">
        <w:rPr>
          <w:i/>
          <w:color w:val="141314"/>
          <w:lang w:val="en-CA"/>
        </w:rPr>
        <w:t>Society</w:t>
      </w:r>
      <w:r w:rsidRPr="000709DA">
        <w:rPr>
          <w:color w:val="141314"/>
          <w:lang w:val="en-US"/>
        </w:rPr>
        <w:t xml:space="preserve"> 27, 1998, 151-208.</w:t>
      </w:r>
    </w:p>
    <w:p w:rsidR="00523F26" w:rsidRPr="000709DA" w:rsidRDefault="00523F26" w:rsidP="000709DA">
      <w:pPr>
        <w:pStyle w:val="BodyText"/>
        <w:widowControl/>
        <w:spacing w:before="29" w:after="29"/>
        <w:ind w:firstLine="720"/>
        <w:rPr>
          <w:color w:val="141314"/>
          <w:lang w:val="en-US"/>
        </w:rPr>
      </w:pPr>
      <w:r w:rsidRPr="000709DA">
        <w:rPr>
          <w:rStyle w:val="Emphasis"/>
          <w:rFonts w:cs="Arial"/>
          <w:bCs/>
          <w:i w:val="0"/>
          <w:iCs w:val="0"/>
          <w:color w:val="000000"/>
          <w:lang w:val="en-US"/>
        </w:rPr>
        <w:t>Weingast</w:t>
      </w:r>
      <w:r w:rsidRPr="000709DA">
        <w:rPr>
          <w:rStyle w:val="apple-converted-space"/>
          <w:rFonts w:cs="Arial"/>
          <w:color w:val="000000"/>
          <w:lang w:val="en-US"/>
        </w:rPr>
        <w:t> </w:t>
      </w:r>
      <w:r w:rsidR="000709DA" w:rsidRPr="000709DA">
        <w:rPr>
          <w:rStyle w:val="apple-style-span"/>
          <w:rFonts w:cs="Arial"/>
          <w:color w:val="000000"/>
          <w:lang w:val="en-US"/>
        </w:rPr>
        <w:t xml:space="preserve">Barry. </w:t>
      </w:r>
      <w:r w:rsidRPr="000709DA">
        <w:rPr>
          <w:rStyle w:val="apple-style-span"/>
          <w:rFonts w:cs="Arial"/>
          <w:color w:val="000000"/>
          <w:lang w:val="en-US"/>
        </w:rPr>
        <w:t>The</w:t>
      </w:r>
      <w:r w:rsidRPr="000709DA">
        <w:rPr>
          <w:rStyle w:val="apple-converted-space"/>
          <w:rFonts w:cs="Arial"/>
          <w:color w:val="000000"/>
          <w:lang w:val="en-US"/>
        </w:rPr>
        <w:t> </w:t>
      </w:r>
      <w:r w:rsidRPr="000709DA">
        <w:rPr>
          <w:rStyle w:val="Emphasis"/>
          <w:rFonts w:cs="Arial"/>
          <w:bCs/>
          <w:i w:val="0"/>
          <w:iCs w:val="0"/>
          <w:color w:val="000000"/>
          <w:lang w:val="en-US"/>
        </w:rPr>
        <w:t>Political Foundations</w:t>
      </w:r>
      <w:r w:rsidRPr="000709DA">
        <w:rPr>
          <w:rStyle w:val="apple-converted-space"/>
          <w:rFonts w:cs="Arial"/>
          <w:color w:val="000000"/>
          <w:lang w:val="en-US"/>
        </w:rPr>
        <w:t> </w:t>
      </w:r>
      <w:r w:rsidRPr="000709DA">
        <w:rPr>
          <w:rStyle w:val="apple-style-span"/>
          <w:rFonts w:cs="Arial"/>
          <w:color w:val="000000"/>
          <w:lang w:val="en-US"/>
        </w:rPr>
        <w:t>of Democracy and the Rule of Law</w:t>
      </w:r>
      <w:r w:rsidR="000709DA" w:rsidRPr="000709DA">
        <w:rPr>
          <w:rStyle w:val="apple-style-span"/>
          <w:rFonts w:cs="Arial"/>
          <w:color w:val="000000"/>
          <w:lang w:val="en-US"/>
        </w:rPr>
        <w:t xml:space="preserve">. </w:t>
      </w:r>
      <w:r w:rsidRPr="000709DA">
        <w:rPr>
          <w:rStyle w:val="apple-style-span"/>
          <w:rFonts w:cs="Arial"/>
          <w:color w:val="000000"/>
          <w:lang w:val="en-US"/>
        </w:rPr>
        <w:t xml:space="preserve"> </w:t>
      </w:r>
      <w:r w:rsidRPr="000709DA">
        <w:rPr>
          <w:rStyle w:val="apple-style-span"/>
          <w:rFonts w:cs="Arial"/>
          <w:i/>
          <w:color w:val="000000"/>
          <w:lang w:val="en-US"/>
        </w:rPr>
        <w:t>American</w:t>
      </w:r>
      <w:r w:rsidRPr="000709DA">
        <w:rPr>
          <w:rStyle w:val="apple-converted-space"/>
          <w:rFonts w:cs="Arial"/>
          <w:i/>
          <w:color w:val="000000"/>
          <w:lang w:val="en-US"/>
        </w:rPr>
        <w:t> </w:t>
      </w:r>
      <w:r w:rsidRPr="000709DA">
        <w:rPr>
          <w:rStyle w:val="Emphasis"/>
          <w:rFonts w:cs="Arial"/>
          <w:bCs/>
          <w:iCs w:val="0"/>
          <w:color w:val="000000"/>
          <w:lang w:val="en-US"/>
        </w:rPr>
        <w:t>Political</w:t>
      </w:r>
      <w:r w:rsidRPr="000709DA">
        <w:rPr>
          <w:rStyle w:val="apple-converted-space"/>
          <w:rFonts w:cs="Arial"/>
          <w:color w:val="000000"/>
          <w:lang w:val="en-US"/>
        </w:rPr>
        <w:t> </w:t>
      </w:r>
      <w:r w:rsidRPr="000709DA">
        <w:rPr>
          <w:rStyle w:val="apple-style-span"/>
          <w:rFonts w:cs="Arial"/>
          <w:i/>
          <w:color w:val="000000"/>
          <w:lang w:val="en-US"/>
        </w:rPr>
        <w:t>Science Review</w:t>
      </w:r>
      <w:r w:rsidR="000709DA" w:rsidRPr="000709DA">
        <w:rPr>
          <w:rStyle w:val="apple-style-span"/>
          <w:rFonts w:cs="Arial"/>
          <w:i/>
          <w:color w:val="000000"/>
          <w:lang w:val="en-US"/>
        </w:rPr>
        <w:t>,</w:t>
      </w:r>
      <w:r w:rsidRPr="000709DA">
        <w:rPr>
          <w:rStyle w:val="apple-style-span"/>
          <w:rFonts w:cs="Arial"/>
          <w:color w:val="000000"/>
          <w:lang w:val="en-US"/>
        </w:rPr>
        <w:t xml:space="preserve"> 91</w:t>
      </w:r>
      <w:r w:rsidR="000709DA" w:rsidRPr="000709DA">
        <w:rPr>
          <w:rStyle w:val="apple-style-span"/>
          <w:rFonts w:cs="Arial"/>
          <w:color w:val="000000"/>
          <w:lang w:val="en-US"/>
        </w:rPr>
        <w:t>,</w:t>
      </w:r>
      <w:r w:rsidRPr="000709DA">
        <w:rPr>
          <w:rStyle w:val="apple-style-span"/>
          <w:rFonts w:cs="Arial"/>
          <w:color w:val="000000"/>
          <w:lang w:val="en-US"/>
        </w:rPr>
        <w:t xml:space="preserve"> </w:t>
      </w:r>
      <w:r w:rsidR="000709DA" w:rsidRPr="000709DA">
        <w:rPr>
          <w:rStyle w:val="apple-style-span"/>
          <w:rFonts w:cs="Arial"/>
          <w:color w:val="000000"/>
          <w:lang w:val="en-US"/>
        </w:rPr>
        <w:t xml:space="preserve">1997, </w:t>
      </w:r>
      <w:r w:rsidRPr="000709DA">
        <w:rPr>
          <w:rStyle w:val="apple-style-span"/>
          <w:rFonts w:cs="Arial"/>
          <w:color w:val="000000"/>
          <w:lang w:val="en-US"/>
        </w:rPr>
        <w:t>245 – 263</w:t>
      </w:r>
      <w:r w:rsidR="000709DA" w:rsidRPr="000709DA">
        <w:rPr>
          <w:rStyle w:val="apple-style-span"/>
          <w:rFonts w:cs="Arial"/>
          <w:color w:val="000000"/>
          <w:lang w:val="en-US"/>
        </w:rPr>
        <w:t xml:space="preserve">. </w:t>
      </w:r>
    </w:p>
    <w:p w:rsidR="00570BE2" w:rsidRPr="000709DA" w:rsidRDefault="00570BE2" w:rsidP="00B00C22">
      <w:pPr>
        <w:rPr>
          <w:lang w:val="en-US"/>
        </w:rPr>
      </w:pPr>
    </w:p>
    <w:p w:rsidR="008644E8" w:rsidRPr="00523F26" w:rsidRDefault="008644E8" w:rsidP="00B00C22">
      <w:pPr>
        <w:rPr>
          <w:lang w:val="en-US"/>
        </w:rPr>
      </w:pPr>
    </w:p>
    <w:p w:rsidR="008644E8" w:rsidRPr="008644E8" w:rsidRDefault="008644E8" w:rsidP="00B00C22">
      <w:pPr>
        <w:pStyle w:val="NormalWeb"/>
        <w:spacing w:line="360" w:lineRule="auto"/>
      </w:pPr>
      <w:r>
        <w:rPr>
          <w:b/>
          <w:bCs/>
          <w:color w:val="000000"/>
          <w:sz w:val="21"/>
          <w:szCs w:val="21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rFonts w:eastAsia="MS Mincho" w:cs="Arial"/>
          <w:b/>
          <w:bCs/>
          <w:color w:val="000000"/>
          <w:sz w:val="21"/>
          <w:szCs w:val="21"/>
        </w:rPr>
        <w:t> </w:t>
      </w:r>
    </w:p>
    <w:sectPr w:rsidR="008644E8" w:rsidRPr="008644E8" w:rsidSect="008339DC">
      <w:pgSz w:w="11907" w:h="16839" w:code="9"/>
      <w:pgMar w:top="1152" w:right="864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45" w:rsidRDefault="00410F45" w:rsidP="006A4C51">
      <w:pPr>
        <w:spacing w:line="240" w:lineRule="auto"/>
      </w:pPr>
      <w:r>
        <w:separator/>
      </w:r>
    </w:p>
  </w:endnote>
  <w:endnote w:type="continuationSeparator" w:id="0">
    <w:p w:rsidR="00410F45" w:rsidRDefault="00410F45" w:rsidP="006A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45" w:rsidRDefault="00410F45" w:rsidP="006A4C51">
      <w:pPr>
        <w:spacing w:line="240" w:lineRule="auto"/>
      </w:pPr>
      <w:r>
        <w:separator/>
      </w:r>
    </w:p>
  </w:footnote>
  <w:footnote w:type="continuationSeparator" w:id="0">
    <w:p w:rsidR="00410F45" w:rsidRDefault="00410F45" w:rsidP="006A4C51">
      <w:pPr>
        <w:spacing w:line="240" w:lineRule="auto"/>
      </w:pPr>
      <w:r>
        <w:continuationSeparator/>
      </w:r>
    </w:p>
  </w:footnote>
  <w:footnote w:id="1">
    <w:p w:rsidR="008C79EE" w:rsidRPr="00D231A9" w:rsidRDefault="008C79EE" w:rsidP="00B00C22">
      <w:pPr>
        <w:pStyle w:val="FootnoteText"/>
        <w:spacing w:line="240" w:lineRule="auto"/>
        <w:ind w:left="0" w:firstLine="0"/>
        <w:jc w:val="left"/>
      </w:pPr>
      <w:r>
        <w:rPr>
          <w:rStyle w:val="FootnoteReference"/>
        </w:rPr>
        <w:footnoteRef/>
      </w:r>
      <w:r>
        <w:t xml:space="preserve"> Открытый социальный капитал «наводит в обществе мосты» (</w:t>
      </w:r>
      <w:r>
        <w:rPr>
          <w:lang w:val="en-US"/>
        </w:rPr>
        <w:t>bridging</w:t>
      </w:r>
      <w:r w:rsidRPr="00A57167">
        <w:t xml:space="preserve"> </w:t>
      </w:r>
      <w:r>
        <w:rPr>
          <w:lang w:val="en-US"/>
        </w:rPr>
        <w:t>social</w:t>
      </w:r>
      <w:r w:rsidRPr="00A57167">
        <w:t xml:space="preserve"> </w:t>
      </w:r>
      <w:r>
        <w:rPr>
          <w:lang w:val="en-US"/>
        </w:rPr>
        <w:t>capital</w:t>
      </w:r>
      <w:r>
        <w:t>), тогда как закрытый служит средством «огораживания» социальных анклавов (</w:t>
      </w:r>
      <w:r>
        <w:rPr>
          <w:lang w:val="en-US"/>
        </w:rPr>
        <w:t>bonding</w:t>
      </w:r>
      <w:r w:rsidRPr="00A57167">
        <w:t xml:space="preserve"> </w:t>
      </w:r>
      <w:r>
        <w:rPr>
          <w:lang w:val="en-US"/>
        </w:rPr>
        <w:t>social</w:t>
      </w:r>
      <w:r w:rsidRPr="00A57167">
        <w:t xml:space="preserve"> </w:t>
      </w:r>
      <w:r>
        <w:rPr>
          <w:lang w:val="en-US"/>
        </w:rPr>
        <w:t>capital</w:t>
      </w:r>
      <w:r>
        <w:t xml:space="preserve">); подробнее см. </w:t>
      </w:r>
      <w:r>
        <w:rPr>
          <w:lang w:val="en-US"/>
        </w:rPr>
        <w:t>Putnam</w:t>
      </w:r>
      <w:r>
        <w:t xml:space="preserve"> (2000)</w:t>
      </w:r>
      <w:r w:rsidRPr="00D231A9">
        <w:t xml:space="preserve">, </w:t>
      </w:r>
      <w:r>
        <w:rPr>
          <w:lang w:val="en-US"/>
        </w:rPr>
        <w:t>Halpern</w:t>
      </w:r>
      <w:r w:rsidRPr="00D231A9">
        <w:t xml:space="preserve"> (2005). </w:t>
      </w:r>
    </w:p>
  </w:footnote>
  <w:footnote w:id="2">
    <w:p w:rsidR="008C79EE" w:rsidRDefault="008C79EE" w:rsidP="00B00C22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Авторы признательны Фонду «Общественное мнение» за предоставленный доступ к материалам проекта. </w:t>
      </w:r>
    </w:p>
  </w:footnote>
  <w:footnote w:id="3">
    <w:p w:rsidR="008C79EE" w:rsidRDefault="008C79EE" w:rsidP="002A0038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Опросом не были охвачены малонаселенные регионы России и кавказские республики</w:t>
      </w:r>
      <w:r w:rsidRPr="00A97966">
        <w:t>.</w:t>
      </w:r>
    </w:p>
  </w:footnote>
  <w:footnote w:id="4">
    <w:p w:rsidR="008C79EE" w:rsidRDefault="008C79EE" w:rsidP="00B00C22">
      <w:pPr>
        <w:pStyle w:val="FootnoteText"/>
        <w:tabs>
          <w:tab w:val="left" w:pos="0"/>
        </w:tabs>
        <w:spacing w:line="240" w:lineRule="auto"/>
        <w:ind w:left="0" w:firstLine="0"/>
      </w:pPr>
      <w:r>
        <w:rPr>
          <w:rStyle w:val="FootnoteReference"/>
        </w:rPr>
        <w:footnoteRef/>
      </w:r>
      <w:r>
        <w:t xml:space="preserve"> Ф</w:t>
      </w:r>
      <w:r w:rsidRPr="00A97966">
        <w:t>ормулировка большинства вопросов составлялась профессиональными социологами из Фонда «Общественное мнени</w:t>
      </w:r>
      <w:r>
        <w:t>е</w:t>
      </w:r>
      <w:r w:rsidRPr="00A97966">
        <w:t>», а часть вопросов заимствова</w:t>
      </w:r>
      <w:r>
        <w:t xml:space="preserve">на из </w:t>
      </w:r>
      <w:r w:rsidRPr="00A97966">
        <w:t>международных о</w:t>
      </w:r>
      <w:r>
        <w:t xml:space="preserve">бследований.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8E32312"/>
    <w:multiLevelType w:val="multilevel"/>
    <w:tmpl w:val="ABD21AD8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AE64A20"/>
    <w:multiLevelType w:val="hybridMultilevel"/>
    <w:tmpl w:val="3DAA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C51"/>
    <w:rsid w:val="000071A8"/>
    <w:rsid w:val="00013319"/>
    <w:rsid w:val="000709DA"/>
    <w:rsid w:val="000C0097"/>
    <w:rsid w:val="000E06B8"/>
    <w:rsid w:val="000E104A"/>
    <w:rsid w:val="00120F21"/>
    <w:rsid w:val="00121681"/>
    <w:rsid w:val="00146FCD"/>
    <w:rsid w:val="0015266E"/>
    <w:rsid w:val="001728CA"/>
    <w:rsid w:val="001C675A"/>
    <w:rsid w:val="001D153A"/>
    <w:rsid w:val="001D5D6E"/>
    <w:rsid w:val="001D6A61"/>
    <w:rsid w:val="00221ED5"/>
    <w:rsid w:val="002333AA"/>
    <w:rsid w:val="00256363"/>
    <w:rsid w:val="0027337C"/>
    <w:rsid w:val="00280E48"/>
    <w:rsid w:val="00290681"/>
    <w:rsid w:val="002A0038"/>
    <w:rsid w:val="002B56D9"/>
    <w:rsid w:val="002E6DF3"/>
    <w:rsid w:val="003233C2"/>
    <w:rsid w:val="00346711"/>
    <w:rsid w:val="00350B7E"/>
    <w:rsid w:val="00381B8A"/>
    <w:rsid w:val="003D0D9E"/>
    <w:rsid w:val="003D2152"/>
    <w:rsid w:val="003F5F6E"/>
    <w:rsid w:val="00410F45"/>
    <w:rsid w:val="0042111E"/>
    <w:rsid w:val="00426918"/>
    <w:rsid w:val="00461640"/>
    <w:rsid w:val="0046593C"/>
    <w:rsid w:val="004759B6"/>
    <w:rsid w:val="004E500A"/>
    <w:rsid w:val="004F546E"/>
    <w:rsid w:val="00521A84"/>
    <w:rsid w:val="00523F26"/>
    <w:rsid w:val="00555E58"/>
    <w:rsid w:val="00570BE2"/>
    <w:rsid w:val="00582511"/>
    <w:rsid w:val="00592A20"/>
    <w:rsid w:val="005D4B47"/>
    <w:rsid w:val="005D4B63"/>
    <w:rsid w:val="005E669B"/>
    <w:rsid w:val="006042DB"/>
    <w:rsid w:val="006053D4"/>
    <w:rsid w:val="006425D6"/>
    <w:rsid w:val="0067233F"/>
    <w:rsid w:val="00687EEE"/>
    <w:rsid w:val="006A3090"/>
    <w:rsid w:val="006A38BD"/>
    <w:rsid w:val="006A4238"/>
    <w:rsid w:val="006A4C51"/>
    <w:rsid w:val="00725545"/>
    <w:rsid w:val="00733FF5"/>
    <w:rsid w:val="00737512"/>
    <w:rsid w:val="00751FCF"/>
    <w:rsid w:val="00761462"/>
    <w:rsid w:val="007750CF"/>
    <w:rsid w:val="007839D8"/>
    <w:rsid w:val="007A1776"/>
    <w:rsid w:val="007A452B"/>
    <w:rsid w:val="007B2BA0"/>
    <w:rsid w:val="007B79FF"/>
    <w:rsid w:val="007F0D78"/>
    <w:rsid w:val="008134B6"/>
    <w:rsid w:val="008339DC"/>
    <w:rsid w:val="00840455"/>
    <w:rsid w:val="008463F1"/>
    <w:rsid w:val="00846FDE"/>
    <w:rsid w:val="008644E8"/>
    <w:rsid w:val="008727BC"/>
    <w:rsid w:val="008A1C94"/>
    <w:rsid w:val="008C407F"/>
    <w:rsid w:val="008C7305"/>
    <w:rsid w:val="008C79EE"/>
    <w:rsid w:val="008D565B"/>
    <w:rsid w:val="008F10C9"/>
    <w:rsid w:val="00922033"/>
    <w:rsid w:val="0096410D"/>
    <w:rsid w:val="009A7D8D"/>
    <w:rsid w:val="009B069B"/>
    <w:rsid w:val="009B63C0"/>
    <w:rsid w:val="009C327C"/>
    <w:rsid w:val="009D3C58"/>
    <w:rsid w:val="009D4C2E"/>
    <w:rsid w:val="00A1431E"/>
    <w:rsid w:val="00A17B60"/>
    <w:rsid w:val="00A23E62"/>
    <w:rsid w:val="00A25D42"/>
    <w:rsid w:val="00A31E21"/>
    <w:rsid w:val="00A41F3B"/>
    <w:rsid w:val="00A57167"/>
    <w:rsid w:val="00A90B38"/>
    <w:rsid w:val="00AC0709"/>
    <w:rsid w:val="00AC609E"/>
    <w:rsid w:val="00B00C22"/>
    <w:rsid w:val="00B00D6D"/>
    <w:rsid w:val="00B10C30"/>
    <w:rsid w:val="00B21E6E"/>
    <w:rsid w:val="00B32E74"/>
    <w:rsid w:val="00B511C0"/>
    <w:rsid w:val="00B604A3"/>
    <w:rsid w:val="00B65576"/>
    <w:rsid w:val="00B72C52"/>
    <w:rsid w:val="00B8239A"/>
    <w:rsid w:val="00B87867"/>
    <w:rsid w:val="00C01F91"/>
    <w:rsid w:val="00C11DB4"/>
    <w:rsid w:val="00C302F4"/>
    <w:rsid w:val="00D231A9"/>
    <w:rsid w:val="00D35D10"/>
    <w:rsid w:val="00D363C9"/>
    <w:rsid w:val="00D451EF"/>
    <w:rsid w:val="00D72D92"/>
    <w:rsid w:val="00DA75E1"/>
    <w:rsid w:val="00DB3145"/>
    <w:rsid w:val="00DC6AAC"/>
    <w:rsid w:val="00E03395"/>
    <w:rsid w:val="00E1636D"/>
    <w:rsid w:val="00E71016"/>
    <w:rsid w:val="00EA32D1"/>
    <w:rsid w:val="00F044CE"/>
    <w:rsid w:val="00F067F6"/>
    <w:rsid w:val="00F40092"/>
    <w:rsid w:val="00F7242F"/>
    <w:rsid w:val="00FB5AA1"/>
    <w:rsid w:val="00FD2978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51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val="ru-RU" w:eastAsia="ru-RU"/>
    </w:rPr>
  </w:style>
  <w:style w:type="paragraph" w:styleId="Heading1">
    <w:name w:val="heading 1"/>
    <w:basedOn w:val="Normal"/>
    <w:next w:val="BodyText"/>
    <w:link w:val="Heading1Char"/>
    <w:qFormat/>
    <w:rsid w:val="006A4C51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6A4C51"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6A4C51"/>
    <w:pPr>
      <w:keepNext/>
      <w:tabs>
        <w:tab w:val="num" w:pos="864"/>
      </w:tabs>
      <w:spacing w:before="240" w:after="120"/>
      <w:ind w:left="864" w:hanging="864"/>
      <w:outlineLvl w:val="3"/>
    </w:pPr>
    <w:rPr>
      <w:rFonts w:ascii="Arial" w:eastAsia="MS Mincho" w:hAnsi="Arial" w:cs="Tahoma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C51"/>
    <w:rPr>
      <w:rFonts w:ascii="Arial" w:eastAsia="MS Mincho" w:hAnsi="Arial" w:cs="Tahoma"/>
      <w:b/>
      <w:bCs/>
      <w:kern w:val="1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6A4C51"/>
    <w:rPr>
      <w:rFonts w:ascii="Arial" w:eastAsia="MS Mincho" w:hAnsi="Arial" w:cs="Tahoma"/>
      <w:b/>
      <w:bCs/>
      <w:i/>
      <w:iCs/>
      <w:kern w:val="1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A4C51"/>
    <w:rPr>
      <w:rFonts w:ascii="Arial" w:eastAsia="MS Mincho" w:hAnsi="Arial" w:cs="Tahoma"/>
      <w:b/>
      <w:bCs/>
      <w:i/>
      <w:iCs/>
      <w:kern w:val="1"/>
      <w:sz w:val="24"/>
      <w:szCs w:val="24"/>
      <w:lang w:val="ru-RU" w:eastAsia="ru-RU"/>
    </w:rPr>
  </w:style>
  <w:style w:type="character" w:styleId="FootnoteReference">
    <w:name w:val="footnote reference"/>
    <w:rsid w:val="006A4C51"/>
    <w:rPr>
      <w:vertAlign w:val="superscript"/>
    </w:rPr>
  </w:style>
  <w:style w:type="paragraph" w:styleId="BodyText">
    <w:name w:val="Body Text"/>
    <w:basedOn w:val="Normal"/>
    <w:link w:val="BodyTextChar"/>
    <w:rsid w:val="006A4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4C51"/>
    <w:rPr>
      <w:rFonts w:ascii="Times New Roman" w:eastAsia="Arial Unicode MS" w:hAnsi="Times New Roman" w:cs="Times New Roman"/>
      <w:kern w:val="1"/>
      <w:sz w:val="24"/>
      <w:szCs w:val="24"/>
      <w:lang w:val="ru-RU" w:eastAsia="ru-RU"/>
    </w:rPr>
  </w:style>
  <w:style w:type="paragraph" w:styleId="Title">
    <w:name w:val="Title"/>
    <w:basedOn w:val="Normal"/>
    <w:next w:val="Subtitle"/>
    <w:link w:val="TitleChar"/>
    <w:qFormat/>
    <w:rsid w:val="006A4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A4C51"/>
    <w:rPr>
      <w:rFonts w:ascii="Arial" w:eastAsia="MS Mincho" w:hAnsi="Arial" w:cs="Tahoma"/>
      <w:kern w:val="1"/>
      <w:sz w:val="28"/>
      <w:szCs w:val="28"/>
      <w:lang w:val="ru-RU" w:eastAsia="ru-RU"/>
    </w:rPr>
  </w:style>
  <w:style w:type="paragraph" w:styleId="FootnoteText">
    <w:name w:val="footnote text"/>
    <w:basedOn w:val="Normal"/>
    <w:link w:val="FootnoteTextChar"/>
    <w:rsid w:val="006A4C51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C51"/>
    <w:rPr>
      <w:rFonts w:ascii="Times New Roman" w:eastAsia="Arial Unicode MS" w:hAnsi="Times New Roman" w:cs="Times New Roman"/>
      <w:kern w:val="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6A4C5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C51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51"/>
    <w:rPr>
      <w:rFonts w:ascii="Tahoma" w:eastAsia="Arial Unicode MS" w:hAnsi="Tahoma" w:cs="Tahoma"/>
      <w:kern w:val="1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0071A8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0071A8"/>
  </w:style>
  <w:style w:type="character" w:styleId="Hyperlink">
    <w:name w:val="Hyperlink"/>
    <w:basedOn w:val="DefaultParagraphFont"/>
    <w:uiPriority w:val="99"/>
    <w:unhideWhenUsed/>
    <w:rsid w:val="000071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759B6"/>
    <w:rPr>
      <w:color w:val="808080"/>
    </w:rPr>
  </w:style>
  <w:style w:type="character" w:customStyle="1" w:styleId="apple-style-span">
    <w:name w:val="apple-style-span"/>
    <w:basedOn w:val="DefaultParagraphFont"/>
    <w:rsid w:val="00523F26"/>
  </w:style>
  <w:style w:type="character" w:customStyle="1" w:styleId="googqs-tidbit">
    <w:name w:val="goog_qs-tidbit"/>
    <w:basedOn w:val="DefaultParagraphFont"/>
    <w:rsid w:val="00523F26"/>
  </w:style>
  <w:style w:type="paragraph" w:customStyle="1" w:styleId="a">
    <w:name w:val="Текст в заданном формате"/>
    <w:basedOn w:val="Normal"/>
    <w:rsid w:val="00523F26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23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.polishchu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0969-F02B-4E80-8CE6-F4E3CC3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3263</Words>
  <Characters>22876</Characters>
  <Application>Microsoft Office Word</Application>
  <DocSecurity>0</DocSecurity>
  <Lines>423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</dc:creator>
  <cp:lastModifiedBy>lpol</cp:lastModifiedBy>
  <cp:revision>5</cp:revision>
  <cp:lastPrinted>2010-06-26T19:59:00Z</cp:lastPrinted>
  <dcterms:created xsi:type="dcterms:W3CDTF">2010-06-28T10:02:00Z</dcterms:created>
  <dcterms:modified xsi:type="dcterms:W3CDTF">2010-06-28T10:45:00Z</dcterms:modified>
</cp:coreProperties>
</file>