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2A" w:rsidRPr="00410F2A" w:rsidRDefault="00F63A49" w:rsidP="00410F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"http://минобрнауки.рф/../новости/2849/файл/1341/12.11.23-Вузы-Октябрь-Мониторинг.pdf"</w:instrText>
      </w:r>
      <w:r>
        <w:fldChar w:fldCharType="separate"/>
      </w:r>
      <w:r w:rsidR="00410F2A" w:rsidRPr="00410F2A">
        <w:rPr>
          <w:rStyle w:val="a6"/>
          <w:rFonts w:ascii="Times New Roman" w:hAnsi="Times New Roman" w:cs="Times New Roman"/>
          <w:sz w:val="24"/>
          <w:szCs w:val="24"/>
        </w:rPr>
        <w:t>Данные о средней заработной плате штатных сотрудников профессорско-преподавательского состава за октябрь 2012 год</w:t>
      </w:r>
      <w:r>
        <w:fldChar w:fldCharType="end"/>
      </w:r>
      <w:r w:rsidR="00410F2A" w:rsidRPr="00410F2A">
        <w:rPr>
          <w:rFonts w:ascii="Times New Roman" w:hAnsi="Times New Roman" w:cs="Times New Roman"/>
          <w:sz w:val="24"/>
          <w:szCs w:val="24"/>
        </w:rPr>
        <w:t xml:space="preserve"> представлены по сети вузов всех федеральных органов исполнительной </w:t>
      </w:r>
      <w:proofErr w:type="gramStart"/>
      <w:r w:rsidR="00410F2A" w:rsidRPr="00410F2A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="00410F2A" w:rsidRPr="00410F2A">
        <w:rPr>
          <w:rFonts w:ascii="Times New Roman" w:hAnsi="Times New Roman" w:cs="Times New Roman"/>
          <w:sz w:val="24"/>
          <w:szCs w:val="24"/>
        </w:rPr>
        <w:t xml:space="preserve"> за исключением реализующих государственную политику в области национальной обороны и безопасности, правоохранительной деятельности. По состоянию на 22 ноября 2012 года </w:t>
      </w:r>
      <w:hyperlink r:id="rId4" w:history="1">
        <w:r w:rsidR="00410F2A" w:rsidRPr="00410F2A">
          <w:rPr>
            <w:rStyle w:val="a6"/>
            <w:rFonts w:ascii="Times New Roman" w:hAnsi="Times New Roman" w:cs="Times New Roman"/>
            <w:sz w:val="24"/>
            <w:szCs w:val="24"/>
          </w:rPr>
          <w:t>данные не предоставлены 45 вузами</w:t>
        </w:r>
      </w:hyperlink>
      <w:r w:rsidR="00410F2A" w:rsidRPr="00410F2A">
        <w:rPr>
          <w:rFonts w:ascii="Times New Roman" w:hAnsi="Times New Roman" w:cs="Times New Roman"/>
          <w:sz w:val="24"/>
          <w:szCs w:val="24"/>
        </w:rPr>
        <w:t>.</w:t>
      </w:r>
    </w:p>
    <w:p w:rsidR="00410F2A" w:rsidRDefault="00914963" w:rsidP="00410F2A">
      <w:pPr>
        <w:ind w:firstLine="709"/>
        <w:jc w:val="both"/>
      </w:pPr>
      <w:r w:rsidRPr="00410F2A">
        <w:rPr>
          <w:rFonts w:ascii="Times New Roman" w:hAnsi="Times New Roman" w:cs="Times New Roman"/>
          <w:sz w:val="24"/>
          <w:szCs w:val="24"/>
        </w:rPr>
        <w:t>Мониторинг осуществляется в пилотном режиме в соответствии с методикой, разработанной и утвержденной Росстатом формы федерального статистического наблюдения № ЗП-образование «Сведения о численности и оплате труда работников сф</w:t>
      </w:r>
      <w:bookmarkStart w:id="0" w:name="_GoBack"/>
      <w:bookmarkEnd w:id="0"/>
      <w:r w:rsidRPr="00410F2A">
        <w:rPr>
          <w:rFonts w:ascii="Times New Roman" w:hAnsi="Times New Roman" w:cs="Times New Roman"/>
          <w:sz w:val="24"/>
          <w:szCs w:val="24"/>
        </w:rPr>
        <w:t>еры образования по категориям персонала» (приказ от 30 октября 2012 г. № 574). К работникам профессорско-преподавательского состава относятся ассистенты, преподаватели, старшие преподаватели, доценты, профессора. Средняя заработная плата вычисляется как частное от деления фонда оплаты труда профессорско-преподавательского состава на его среднесписочную численность. Представление данных осуществляется вузами через созданные электронные кабинеты в Единой информационной системе обеспечения деятельности Минобрнауки России.</w:t>
      </w:r>
      <w:r>
        <w:t xml:space="preserve"> </w:t>
      </w:r>
    </w:p>
    <w:p w:rsidR="005C52D0" w:rsidRDefault="005C52D0" w:rsidP="00410F2A">
      <w:pPr>
        <w:ind w:firstLine="709"/>
        <w:jc w:val="both"/>
      </w:pPr>
      <w:r w:rsidRPr="005C52D0">
        <w:rPr>
          <w:noProof/>
          <w:lang w:eastAsia="ru-RU"/>
        </w:rPr>
        <w:drawing>
          <wp:inline distT="0" distB="0" distL="0" distR="0">
            <wp:extent cx="6152515" cy="4019550"/>
            <wp:effectExtent l="0" t="0" r="635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4963" w:rsidRPr="00DF39D9" w:rsidRDefault="00914963" w:rsidP="00881550">
      <w:pPr>
        <w:spacing w:after="0"/>
        <w:ind w:firstLine="709"/>
        <w:jc w:val="both"/>
        <w:rPr>
          <w:rStyle w:val="FontStyle17"/>
          <w:sz w:val="20"/>
          <w:szCs w:val="20"/>
        </w:rPr>
      </w:pPr>
      <w:r w:rsidRPr="00B3549D">
        <w:rPr>
          <w:rFonts w:ascii="Times New Roman" w:hAnsi="Times New Roman"/>
          <w:b/>
          <w:bCs/>
          <w:sz w:val="24"/>
          <w:szCs w:val="24"/>
        </w:rPr>
        <w:t xml:space="preserve">Сравнение НИУ ВШЭ с вузами НИУ, ВУ, АВВЭМ, РПСР* </w:t>
      </w:r>
      <w:r w:rsidR="00881550" w:rsidRPr="00D22285">
        <w:rPr>
          <w:rFonts w:ascii="Times New Roman" w:hAnsi="Times New Roman"/>
          <w:b/>
          <w:bCs/>
          <w:sz w:val="24"/>
          <w:szCs w:val="24"/>
        </w:rPr>
        <w:t xml:space="preserve">по средней заработной плате штатных </w:t>
      </w:r>
      <w:r w:rsidR="00881550">
        <w:rPr>
          <w:rFonts w:ascii="Times New Roman" w:hAnsi="Times New Roman"/>
          <w:b/>
          <w:bCs/>
          <w:sz w:val="24"/>
          <w:szCs w:val="24"/>
        </w:rPr>
        <w:t xml:space="preserve">сотрудников </w:t>
      </w:r>
      <w:r w:rsidR="00881550" w:rsidRPr="00D079CB">
        <w:rPr>
          <w:rFonts w:ascii="Times New Roman" w:hAnsi="Times New Roman" w:cs="Times New Roman"/>
          <w:b/>
        </w:rPr>
        <w:t>профессорско-преподавательского состава</w:t>
      </w:r>
      <w:r w:rsidR="00881550" w:rsidRPr="00B354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4963" w:rsidRPr="00DF39D9" w:rsidRDefault="00914963" w:rsidP="00914963">
      <w:pPr>
        <w:ind w:left="284"/>
        <w:jc w:val="both"/>
        <w:rPr>
          <w:rStyle w:val="FontStyle17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777"/>
        <w:gridCol w:w="1100"/>
        <w:gridCol w:w="958"/>
        <w:gridCol w:w="850"/>
        <w:gridCol w:w="709"/>
        <w:gridCol w:w="5187"/>
      </w:tblGrid>
      <w:tr w:rsidR="005D62C7" w:rsidTr="0083583C">
        <w:trPr>
          <w:cantSplit/>
        </w:trPr>
        <w:tc>
          <w:tcPr>
            <w:tcW w:w="1101" w:type="dxa"/>
          </w:tcPr>
          <w:p w:rsidR="005D62C7" w:rsidRPr="007D02F8" w:rsidRDefault="005D62C7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7" w:type="dxa"/>
          </w:tcPr>
          <w:p w:rsidR="005D62C7" w:rsidRPr="007D02F8" w:rsidRDefault="005D62C7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ВШЭ</w:t>
            </w:r>
          </w:p>
        </w:tc>
        <w:tc>
          <w:tcPr>
            <w:tcW w:w="1100" w:type="dxa"/>
          </w:tcPr>
          <w:p w:rsidR="005D62C7" w:rsidRPr="007D02F8" w:rsidRDefault="005D62C7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Позиция</w:t>
            </w:r>
          </w:p>
        </w:tc>
        <w:tc>
          <w:tcPr>
            <w:tcW w:w="958" w:type="dxa"/>
          </w:tcPr>
          <w:p w:rsidR="005D62C7" w:rsidRPr="007D02F8" w:rsidRDefault="005D62C7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Максимум</w:t>
            </w:r>
          </w:p>
        </w:tc>
        <w:tc>
          <w:tcPr>
            <w:tcW w:w="850" w:type="dxa"/>
          </w:tcPr>
          <w:p w:rsidR="005D62C7" w:rsidRPr="007D02F8" w:rsidRDefault="005D62C7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Минимум</w:t>
            </w:r>
          </w:p>
        </w:tc>
        <w:tc>
          <w:tcPr>
            <w:tcW w:w="709" w:type="dxa"/>
          </w:tcPr>
          <w:p w:rsidR="005D62C7" w:rsidRPr="007D02F8" w:rsidRDefault="005D62C7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Медиана</w:t>
            </w:r>
          </w:p>
        </w:tc>
        <w:tc>
          <w:tcPr>
            <w:tcW w:w="5187" w:type="dxa"/>
          </w:tcPr>
          <w:p w:rsidR="005D62C7" w:rsidRPr="00181471" w:rsidRDefault="005D62C7" w:rsidP="00E0049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Вузы, занимающие позиции выше ВШЭ</w:t>
            </w:r>
          </w:p>
        </w:tc>
      </w:tr>
      <w:tr w:rsidR="00BB186F" w:rsidTr="0083583C">
        <w:trPr>
          <w:cantSplit/>
        </w:trPr>
        <w:tc>
          <w:tcPr>
            <w:tcW w:w="1101" w:type="dxa"/>
          </w:tcPr>
          <w:p w:rsidR="00BB186F" w:rsidRPr="007D02F8" w:rsidRDefault="005265CE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АВВЭМ</w:t>
            </w:r>
          </w:p>
        </w:tc>
        <w:tc>
          <w:tcPr>
            <w:tcW w:w="777" w:type="dxa"/>
          </w:tcPr>
          <w:p w:rsidR="00BB186F" w:rsidRPr="007D02F8" w:rsidRDefault="003E2DCA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  <w:tc>
          <w:tcPr>
            <w:tcW w:w="1100" w:type="dxa"/>
          </w:tcPr>
          <w:p w:rsidR="00BB186F" w:rsidRPr="007D02F8" w:rsidRDefault="005265CE" w:rsidP="002A4B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BB186F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  <w:tc>
          <w:tcPr>
            <w:tcW w:w="850" w:type="dxa"/>
          </w:tcPr>
          <w:p w:rsidR="00BB186F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31,8</w:t>
            </w:r>
          </w:p>
        </w:tc>
        <w:tc>
          <w:tcPr>
            <w:tcW w:w="709" w:type="dxa"/>
          </w:tcPr>
          <w:p w:rsidR="00BB186F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47,4</w:t>
            </w:r>
          </w:p>
        </w:tc>
        <w:tc>
          <w:tcPr>
            <w:tcW w:w="5187" w:type="dxa"/>
          </w:tcPr>
          <w:p w:rsidR="00BB186F" w:rsidRPr="007D02F8" w:rsidRDefault="001602D7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B2B92" w:rsidTr="0083583C">
        <w:trPr>
          <w:cantSplit/>
        </w:trPr>
        <w:tc>
          <w:tcPr>
            <w:tcW w:w="1101" w:type="dxa"/>
          </w:tcPr>
          <w:p w:rsidR="003B2B92" w:rsidRPr="007D02F8" w:rsidRDefault="003B2B92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НИУ</w:t>
            </w:r>
          </w:p>
        </w:tc>
        <w:tc>
          <w:tcPr>
            <w:tcW w:w="777" w:type="dxa"/>
          </w:tcPr>
          <w:p w:rsidR="003B2B92" w:rsidRPr="007D02F8" w:rsidRDefault="003B2B92">
            <w:pPr>
              <w:rPr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  <w:tc>
          <w:tcPr>
            <w:tcW w:w="1100" w:type="dxa"/>
          </w:tcPr>
          <w:p w:rsidR="003B2B92" w:rsidRPr="007D02F8" w:rsidRDefault="003B2B92" w:rsidP="002A4B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850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23,9</w:t>
            </w:r>
          </w:p>
        </w:tc>
        <w:tc>
          <w:tcPr>
            <w:tcW w:w="709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5187" w:type="dxa"/>
          </w:tcPr>
          <w:p w:rsidR="003B2B92" w:rsidRPr="007D02F8" w:rsidRDefault="00A4228E" w:rsidP="00A422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1) Национальный минерально-сырьевой университет "Горный"</w:t>
            </w:r>
            <w:r w:rsidR="00053657"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4228E" w:rsidRPr="007D02F8" w:rsidRDefault="00A4228E" w:rsidP="00A422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2) Национальный исследовательский ядерный университет "МИФИ"</w:t>
            </w:r>
            <w:r w:rsidR="00053657"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4228E" w:rsidRPr="007D02F8" w:rsidRDefault="00A4228E" w:rsidP="00A422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3) Национальный исследовательский университет "МЭИ"</w:t>
            </w:r>
            <w:r w:rsidR="00053657"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4228E" w:rsidRPr="007D02F8" w:rsidRDefault="00A4228E" w:rsidP="00A422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4) Новосибирский национальный исследовательский государственный университет</w:t>
            </w:r>
            <w:r w:rsidR="00053657"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3B2B92" w:rsidTr="0083583C">
        <w:trPr>
          <w:cantSplit/>
        </w:trPr>
        <w:tc>
          <w:tcPr>
            <w:tcW w:w="1101" w:type="dxa"/>
          </w:tcPr>
          <w:p w:rsidR="003B2B92" w:rsidRPr="007D02F8" w:rsidRDefault="003B2B92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ВУ</w:t>
            </w:r>
          </w:p>
        </w:tc>
        <w:tc>
          <w:tcPr>
            <w:tcW w:w="777" w:type="dxa"/>
          </w:tcPr>
          <w:p w:rsidR="003B2B92" w:rsidRPr="007D02F8" w:rsidRDefault="003B2B92">
            <w:pPr>
              <w:rPr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  <w:tc>
          <w:tcPr>
            <w:tcW w:w="1100" w:type="dxa"/>
          </w:tcPr>
          <w:p w:rsidR="003B2B92" w:rsidRPr="007D02F8" w:rsidRDefault="003B2B92" w:rsidP="002A4B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850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23,6</w:t>
            </w:r>
          </w:p>
        </w:tc>
        <w:tc>
          <w:tcPr>
            <w:tcW w:w="709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41,7</w:t>
            </w:r>
          </w:p>
        </w:tc>
        <w:tc>
          <w:tcPr>
            <w:tcW w:w="5187" w:type="dxa"/>
          </w:tcPr>
          <w:p w:rsidR="00053657" w:rsidRPr="007D02F8" w:rsidRDefault="00053657" w:rsidP="00053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1) Национальный минерально-сырьевой университет "Горный";</w:t>
            </w:r>
          </w:p>
          <w:p w:rsidR="00053657" w:rsidRPr="007D02F8" w:rsidRDefault="00053657" w:rsidP="00053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2) Национальный исследовательский ядерный университет "МИФИ";</w:t>
            </w:r>
          </w:p>
          <w:p w:rsidR="00053657" w:rsidRPr="007D02F8" w:rsidRDefault="00053657" w:rsidP="00053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3) Национальный исследовательский университет "МЭИ";</w:t>
            </w:r>
          </w:p>
          <w:p w:rsidR="003B2B92" w:rsidRPr="007D02F8" w:rsidRDefault="00053657" w:rsidP="00053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4) Новосибирский национальный исследовательский государственный университет</w:t>
            </w:r>
          </w:p>
        </w:tc>
      </w:tr>
      <w:tr w:rsidR="003B2B92" w:rsidTr="0083583C">
        <w:trPr>
          <w:cantSplit/>
        </w:trPr>
        <w:tc>
          <w:tcPr>
            <w:tcW w:w="1101" w:type="dxa"/>
          </w:tcPr>
          <w:p w:rsidR="003B2B92" w:rsidRPr="007D02F8" w:rsidRDefault="003B2B92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РПСР</w:t>
            </w:r>
          </w:p>
        </w:tc>
        <w:tc>
          <w:tcPr>
            <w:tcW w:w="777" w:type="dxa"/>
          </w:tcPr>
          <w:p w:rsidR="003B2B92" w:rsidRPr="007D02F8" w:rsidRDefault="003B2B92">
            <w:pPr>
              <w:rPr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  <w:tc>
          <w:tcPr>
            <w:tcW w:w="1100" w:type="dxa"/>
          </w:tcPr>
          <w:p w:rsidR="003B2B92" w:rsidRPr="007D02F8" w:rsidRDefault="003B2B92" w:rsidP="002A4B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709" w:type="dxa"/>
          </w:tcPr>
          <w:p w:rsidR="003B2B92" w:rsidRPr="007D02F8" w:rsidRDefault="00B439A8" w:rsidP="005C52D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30,8</w:t>
            </w:r>
          </w:p>
        </w:tc>
        <w:tc>
          <w:tcPr>
            <w:tcW w:w="5187" w:type="dxa"/>
          </w:tcPr>
          <w:p w:rsidR="00AD49D9" w:rsidRPr="007D02F8" w:rsidRDefault="00AD49D9" w:rsidP="00AD4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Московская государственная юридическая академия имени О.Е. </w:t>
            </w:r>
            <w:proofErr w:type="spellStart"/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Кутафина</w:t>
            </w:r>
            <w:proofErr w:type="spellEnd"/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B2B92" w:rsidRPr="007D02F8" w:rsidRDefault="00AD49D9" w:rsidP="00AD49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2F8">
              <w:rPr>
                <w:rFonts w:ascii="Times New Roman" w:hAnsi="Times New Roman" w:cs="Times New Roman"/>
                <w:bCs/>
                <w:sz w:val="20"/>
                <w:szCs w:val="20"/>
              </w:rPr>
              <w:t>2) Санкт-Петербургский государственный электротехнический университет "ЛЭТИ" им. В.И. Ульянова (Ленина)</w:t>
            </w:r>
          </w:p>
        </w:tc>
      </w:tr>
    </w:tbl>
    <w:p w:rsidR="00881550" w:rsidRDefault="00881550" w:rsidP="0088155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F39D9">
        <w:rPr>
          <w:rFonts w:ascii="Times New Roman" w:hAnsi="Times New Roman" w:cs="Times New Roman"/>
          <w:bCs/>
          <w:sz w:val="20"/>
          <w:szCs w:val="20"/>
        </w:rPr>
        <w:t>*) АВВЭМ – Ассоциация ведущих вузов в области экономики и менеджмента</w:t>
      </w:r>
      <w:r>
        <w:rPr>
          <w:rFonts w:ascii="Times New Roman" w:hAnsi="Times New Roman" w:cs="Times New Roman"/>
          <w:bCs/>
          <w:sz w:val="20"/>
          <w:szCs w:val="20"/>
        </w:rPr>
        <w:t xml:space="preserve"> (16 университетов);</w:t>
      </w:r>
      <w:proofErr w:type="gramEnd"/>
    </w:p>
    <w:p w:rsidR="00881550" w:rsidRDefault="00881550" w:rsidP="0088155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39D9">
        <w:rPr>
          <w:rFonts w:ascii="Times New Roman" w:hAnsi="Times New Roman" w:cs="Times New Roman"/>
          <w:bCs/>
          <w:sz w:val="20"/>
          <w:szCs w:val="20"/>
        </w:rPr>
        <w:t>НИУ – национально-исследовательские университеты</w:t>
      </w:r>
      <w:r>
        <w:rPr>
          <w:rFonts w:ascii="Times New Roman" w:hAnsi="Times New Roman" w:cs="Times New Roman"/>
          <w:bCs/>
          <w:sz w:val="20"/>
          <w:szCs w:val="20"/>
        </w:rPr>
        <w:t xml:space="preserve"> (29 университетов);</w:t>
      </w:r>
    </w:p>
    <w:p w:rsidR="00881550" w:rsidRDefault="00881550" w:rsidP="0088155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39D9">
        <w:rPr>
          <w:rFonts w:ascii="Times New Roman" w:hAnsi="Times New Roman" w:cs="Times New Roman"/>
          <w:bCs/>
          <w:sz w:val="20"/>
          <w:szCs w:val="20"/>
        </w:rPr>
        <w:t>ВУ – ведущие университеты (</w:t>
      </w:r>
      <w:r w:rsidR="00980E62">
        <w:rPr>
          <w:rFonts w:ascii="Times New Roman" w:hAnsi="Times New Roman" w:cs="Times New Roman"/>
          <w:bCs/>
          <w:sz w:val="20"/>
          <w:szCs w:val="20"/>
        </w:rPr>
        <w:t xml:space="preserve">университеты с особым статусом, ФУ и </w:t>
      </w:r>
      <w:r w:rsidRPr="00DF39D9">
        <w:rPr>
          <w:rFonts w:ascii="Times New Roman" w:hAnsi="Times New Roman" w:cs="Times New Roman"/>
          <w:bCs/>
          <w:sz w:val="20"/>
          <w:szCs w:val="20"/>
        </w:rPr>
        <w:t>НИУ)</w:t>
      </w:r>
      <w:r>
        <w:rPr>
          <w:rFonts w:ascii="Times New Roman" w:hAnsi="Times New Roman" w:cs="Times New Roman"/>
          <w:bCs/>
          <w:sz w:val="20"/>
          <w:szCs w:val="20"/>
        </w:rPr>
        <w:t xml:space="preserve"> (40 университетов);</w:t>
      </w:r>
    </w:p>
    <w:p w:rsidR="00FC2221" w:rsidRDefault="00881550" w:rsidP="00881550">
      <w:pPr>
        <w:tabs>
          <w:tab w:val="right" w:pos="142"/>
        </w:tabs>
        <w:spacing w:after="0"/>
        <w:jc w:val="both"/>
        <w:rPr>
          <w:rStyle w:val="FontStyle17"/>
          <w:sz w:val="24"/>
          <w:szCs w:val="24"/>
        </w:rPr>
      </w:pPr>
      <w:r w:rsidRPr="00DF39D9">
        <w:rPr>
          <w:rFonts w:ascii="Times New Roman" w:hAnsi="Times New Roman" w:cs="Times New Roman"/>
          <w:bCs/>
          <w:sz w:val="20"/>
          <w:szCs w:val="20"/>
        </w:rPr>
        <w:t>РПСР – университеты, реализующие программы стратегического развития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(56 университетов)</w:t>
      </w:r>
      <w:r w:rsidRPr="00DF39D9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FC2221" w:rsidSect="00267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D4A"/>
    <w:rsid w:val="000018D0"/>
    <w:rsid w:val="00030337"/>
    <w:rsid w:val="00053657"/>
    <w:rsid w:val="00065C31"/>
    <w:rsid w:val="00067C15"/>
    <w:rsid w:val="00087A8E"/>
    <w:rsid w:val="000943E6"/>
    <w:rsid w:val="00097F19"/>
    <w:rsid w:val="000A25D6"/>
    <w:rsid w:val="000D4789"/>
    <w:rsid w:val="000E285E"/>
    <w:rsid w:val="000E4642"/>
    <w:rsid w:val="000F74D2"/>
    <w:rsid w:val="00123771"/>
    <w:rsid w:val="001464A4"/>
    <w:rsid w:val="001602D7"/>
    <w:rsid w:val="0016116F"/>
    <w:rsid w:val="00165B3E"/>
    <w:rsid w:val="00172A6E"/>
    <w:rsid w:val="00181471"/>
    <w:rsid w:val="00181BF7"/>
    <w:rsid w:val="001855CA"/>
    <w:rsid w:val="001A7BF5"/>
    <w:rsid w:val="001C6B6F"/>
    <w:rsid w:val="001D3DA4"/>
    <w:rsid w:val="001E4937"/>
    <w:rsid w:val="00252CE1"/>
    <w:rsid w:val="00253148"/>
    <w:rsid w:val="00267D4A"/>
    <w:rsid w:val="00273805"/>
    <w:rsid w:val="002A1836"/>
    <w:rsid w:val="002A4B60"/>
    <w:rsid w:val="002B2F43"/>
    <w:rsid w:val="002C6F84"/>
    <w:rsid w:val="002D6048"/>
    <w:rsid w:val="003024F8"/>
    <w:rsid w:val="00310089"/>
    <w:rsid w:val="00321CB4"/>
    <w:rsid w:val="00321EF1"/>
    <w:rsid w:val="00330238"/>
    <w:rsid w:val="00347635"/>
    <w:rsid w:val="003568C8"/>
    <w:rsid w:val="00357133"/>
    <w:rsid w:val="00382CD4"/>
    <w:rsid w:val="00387B13"/>
    <w:rsid w:val="003B2B92"/>
    <w:rsid w:val="003D4822"/>
    <w:rsid w:val="003E2DCA"/>
    <w:rsid w:val="003F36DE"/>
    <w:rsid w:val="00410F2A"/>
    <w:rsid w:val="00426673"/>
    <w:rsid w:val="00434E2C"/>
    <w:rsid w:val="004479F6"/>
    <w:rsid w:val="00464862"/>
    <w:rsid w:val="00466897"/>
    <w:rsid w:val="00480B66"/>
    <w:rsid w:val="00485C45"/>
    <w:rsid w:val="00485F80"/>
    <w:rsid w:val="00496128"/>
    <w:rsid w:val="004A2C2B"/>
    <w:rsid w:val="004A2DC6"/>
    <w:rsid w:val="004A34D5"/>
    <w:rsid w:val="004B481E"/>
    <w:rsid w:val="004B7853"/>
    <w:rsid w:val="0050746A"/>
    <w:rsid w:val="005265CE"/>
    <w:rsid w:val="0053173C"/>
    <w:rsid w:val="00564C49"/>
    <w:rsid w:val="00573153"/>
    <w:rsid w:val="00576274"/>
    <w:rsid w:val="005A0C44"/>
    <w:rsid w:val="005B5633"/>
    <w:rsid w:val="005B58F8"/>
    <w:rsid w:val="005C52D0"/>
    <w:rsid w:val="005D29A9"/>
    <w:rsid w:val="005D2A21"/>
    <w:rsid w:val="005D40FF"/>
    <w:rsid w:val="005D62C7"/>
    <w:rsid w:val="00623BDD"/>
    <w:rsid w:val="006254C9"/>
    <w:rsid w:val="00660C3F"/>
    <w:rsid w:val="00670A64"/>
    <w:rsid w:val="006755F9"/>
    <w:rsid w:val="006A539A"/>
    <w:rsid w:val="006C47FF"/>
    <w:rsid w:val="0071235F"/>
    <w:rsid w:val="00713295"/>
    <w:rsid w:val="00716713"/>
    <w:rsid w:val="00754FC8"/>
    <w:rsid w:val="007621C9"/>
    <w:rsid w:val="00795BAD"/>
    <w:rsid w:val="007A3BC7"/>
    <w:rsid w:val="007B4FE4"/>
    <w:rsid w:val="007B589F"/>
    <w:rsid w:val="007B6063"/>
    <w:rsid w:val="007B6719"/>
    <w:rsid w:val="007C3EAE"/>
    <w:rsid w:val="007C4D96"/>
    <w:rsid w:val="007C7888"/>
    <w:rsid w:val="007C78E9"/>
    <w:rsid w:val="007D02F8"/>
    <w:rsid w:val="007F3799"/>
    <w:rsid w:val="00803214"/>
    <w:rsid w:val="008132BA"/>
    <w:rsid w:val="00817D05"/>
    <w:rsid w:val="0082179C"/>
    <w:rsid w:val="0083583C"/>
    <w:rsid w:val="0083640C"/>
    <w:rsid w:val="0085250C"/>
    <w:rsid w:val="00863EE2"/>
    <w:rsid w:val="0086762E"/>
    <w:rsid w:val="00870E41"/>
    <w:rsid w:val="008731D5"/>
    <w:rsid w:val="00881550"/>
    <w:rsid w:val="008B0F73"/>
    <w:rsid w:val="008B28EE"/>
    <w:rsid w:val="008C26AB"/>
    <w:rsid w:val="008F438B"/>
    <w:rsid w:val="00906079"/>
    <w:rsid w:val="0091410C"/>
    <w:rsid w:val="00914963"/>
    <w:rsid w:val="00915F8D"/>
    <w:rsid w:val="009449E9"/>
    <w:rsid w:val="00973D1B"/>
    <w:rsid w:val="0098009D"/>
    <w:rsid w:val="00980E62"/>
    <w:rsid w:val="009B6362"/>
    <w:rsid w:val="009C0E6C"/>
    <w:rsid w:val="009D3571"/>
    <w:rsid w:val="00A2409E"/>
    <w:rsid w:val="00A27C02"/>
    <w:rsid w:val="00A4228E"/>
    <w:rsid w:val="00A47EF3"/>
    <w:rsid w:val="00A66968"/>
    <w:rsid w:val="00A675F7"/>
    <w:rsid w:val="00A703D8"/>
    <w:rsid w:val="00A765F6"/>
    <w:rsid w:val="00A76F9B"/>
    <w:rsid w:val="00AA02F3"/>
    <w:rsid w:val="00AA70D3"/>
    <w:rsid w:val="00AD49D9"/>
    <w:rsid w:val="00AF4CEF"/>
    <w:rsid w:val="00B0399C"/>
    <w:rsid w:val="00B206A9"/>
    <w:rsid w:val="00B3549D"/>
    <w:rsid w:val="00B360B6"/>
    <w:rsid w:val="00B439A8"/>
    <w:rsid w:val="00B55F7D"/>
    <w:rsid w:val="00B57C4A"/>
    <w:rsid w:val="00B67411"/>
    <w:rsid w:val="00B720D4"/>
    <w:rsid w:val="00B84FFC"/>
    <w:rsid w:val="00BB186F"/>
    <w:rsid w:val="00C21D92"/>
    <w:rsid w:val="00C37AD9"/>
    <w:rsid w:val="00C7382F"/>
    <w:rsid w:val="00C81D86"/>
    <w:rsid w:val="00C84957"/>
    <w:rsid w:val="00CA54B0"/>
    <w:rsid w:val="00CD1426"/>
    <w:rsid w:val="00CF4E98"/>
    <w:rsid w:val="00CF623F"/>
    <w:rsid w:val="00D079CB"/>
    <w:rsid w:val="00D22285"/>
    <w:rsid w:val="00D26612"/>
    <w:rsid w:val="00D30434"/>
    <w:rsid w:val="00D466B7"/>
    <w:rsid w:val="00D46C5F"/>
    <w:rsid w:val="00D54541"/>
    <w:rsid w:val="00D61EA0"/>
    <w:rsid w:val="00D700EE"/>
    <w:rsid w:val="00D81249"/>
    <w:rsid w:val="00D82E92"/>
    <w:rsid w:val="00DB4350"/>
    <w:rsid w:val="00DB77C5"/>
    <w:rsid w:val="00DC2DA3"/>
    <w:rsid w:val="00DE0344"/>
    <w:rsid w:val="00DF39D9"/>
    <w:rsid w:val="00E25DF3"/>
    <w:rsid w:val="00E26ADA"/>
    <w:rsid w:val="00E51A15"/>
    <w:rsid w:val="00E663AD"/>
    <w:rsid w:val="00E7011E"/>
    <w:rsid w:val="00EB3E1F"/>
    <w:rsid w:val="00EC482A"/>
    <w:rsid w:val="00EE18F3"/>
    <w:rsid w:val="00EE556A"/>
    <w:rsid w:val="00EE55A4"/>
    <w:rsid w:val="00EE6A40"/>
    <w:rsid w:val="00EF6173"/>
    <w:rsid w:val="00F12402"/>
    <w:rsid w:val="00F2476C"/>
    <w:rsid w:val="00F40FB8"/>
    <w:rsid w:val="00F5243F"/>
    <w:rsid w:val="00F6176F"/>
    <w:rsid w:val="00F63A49"/>
    <w:rsid w:val="00F67628"/>
    <w:rsid w:val="00F738C1"/>
    <w:rsid w:val="00FA4C4F"/>
    <w:rsid w:val="00FB118F"/>
    <w:rsid w:val="00FC2221"/>
    <w:rsid w:val="00FC5B4F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4A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A76F9B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EF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52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314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14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&#1084;&#1080;&#1085;&#1086;&#1073;&#1088;&#1085;&#1072;&#1091;&#1082;&#1080;.&#1088;&#1092;/../&#1085;&#1086;&#1074;&#1086;&#1089;&#1090;&#1080;/2849/&#1092;&#1072;&#1081;&#1083;/1342/12.11.23-&#1042;&#1091;&#1079;&#1099;-&#1054;&#1082;&#1090;&#1103;&#1073;&#1088;&#1100;-&#1053;&#1077;&#1090;_&#1076;&#1072;&#1085;&#1085;&#1099;&#1093;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VVasilyev\HSE\&#1055;&#1086;%20&#1089;&#1072;&#1081;&#1090;&#1091;\&#1057;&#1090;&#1088;&#1072;&#1074;&#1085;&#1077;&#1085;&#1080;&#1077;%20&#1089;%20&#1076;&#1088;&#1091;&#1075;&#1080;&#1084;&#1080;%20&#1091;&#1085;&#1080;&#1074;&#1077;&#1088;&#1089;&#1080;&#1090;&#1077;&#1090;&#1072;&#1084;&#1080;\&#1047;&#1055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345931704351798"/>
          <c:y val="1.92812628279285E-2"/>
          <c:w val="0.8783192348634441"/>
          <c:h val="0.8187702603525272"/>
        </c:manualLayout>
      </c:layout>
      <c:lineChart>
        <c:grouping val="standard"/>
        <c:ser>
          <c:idx val="0"/>
          <c:order val="0"/>
          <c:tx>
            <c:strRef>
              <c:f>Лист10!$B$3</c:f>
              <c:strCache>
                <c:ptCount val="1"/>
                <c:pt idx="0">
                  <c:v>НИУ</c:v>
                </c:pt>
              </c:strCache>
            </c:strRef>
          </c:tx>
          <c:dPt>
            <c:idx val="24"/>
            <c:marker>
              <c:symbol val="circle"/>
              <c:size val="11"/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</c:dPt>
          <c:dLbls>
            <c:dLbl>
              <c:idx val="24"/>
              <c:layout>
                <c:manualLayout>
                  <c:x val="-7.7271814859451823E-2"/>
                  <c:y val="-4.8178278663034362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 b="1"/>
                      <a:t>ВШЭ  (5)</a:t>
                    </a:r>
                    <a:endParaRPr lang="en-US" b="1"/>
                  </a:p>
                </c:rich>
              </c:tx>
              <c:spPr/>
              <c:showVal val="1"/>
            </c:dLbl>
            <c:delete val="1"/>
          </c:dLbls>
          <c:val>
            <c:numRef>
              <c:f>Лист10!$B$4:$B$59</c:f>
              <c:numCache>
                <c:formatCode>General</c:formatCode>
                <c:ptCount val="56"/>
                <c:pt idx="0">
                  <c:v>23.9</c:v>
                </c:pt>
                <c:pt idx="1">
                  <c:v>24.1</c:v>
                </c:pt>
                <c:pt idx="2">
                  <c:v>24.8</c:v>
                </c:pt>
                <c:pt idx="3">
                  <c:v>27.2</c:v>
                </c:pt>
                <c:pt idx="4">
                  <c:v>28</c:v>
                </c:pt>
                <c:pt idx="5">
                  <c:v>29.9</c:v>
                </c:pt>
                <c:pt idx="6">
                  <c:v>30.1</c:v>
                </c:pt>
                <c:pt idx="7">
                  <c:v>30.2</c:v>
                </c:pt>
                <c:pt idx="8">
                  <c:v>32.1</c:v>
                </c:pt>
                <c:pt idx="9">
                  <c:v>32.800000000000004</c:v>
                </c:pt>
                <c:pt idx="10">
                  <c:v>35.200000000000003</c:v>
                </c:pt>
                <c:pt idx="11">
                  <c:v>36.9</c:v>
                </c:pt>
                <c:pt idx="12">
                  <c:v>39.700000000000003</c:v>
                </c:pt>
                <c:pt idx="13">
                  <c:v>43.6</c:v>
                </c:pt>
                <c:pt idx="14">
                  <c:v>44.6</c:v>
                </c:pt>
                <c:pt idx="15">
                  <c:v>48.1</c:v>
                </c:pt>
                <c:pt idx="16">
                  <c:v>48.8</c:v>
                </c:pt>
                <c:pt idx="17">
                  <c:v>51.1</c:v>
                </c:pt>
                <c:pt idx="18">
                  <c:v>52.9</c:v>
                </c:pt>
                <c:pt idx="19">
                  <c:v>55.3</c:v>
                </c:pt>
                <c:pt idx="20">
                  <c:v>55.7</c:v>
                </c:pt>
                <c:pt idx="21">
                  <c:v>57.2</c:v>
                </c:pt>
                <c:pt idx="22">
                  <c:v>58.1</c:v>
                </c:pt>
                <c:pt idx="23">
                  <c:v>61.3</c:v>
                </c:pt>
                <c:pt idx="24">
                  <c:v>65.3</c:v>
                </c:pt>
                <c:pt idx="25">
                  <c:v>65.5</c:v>
                </c:pt>
                <c:pt idx="26">
                  <c:v>66.400000000000006</c:v>
                </c:pt>
                <c:pt idx="27">
                  <c:v>71</c:v>
                </c:pt>
                <c:pt idx="28">
                  <c:v>74.5</c:v>
                </c:pt>
              </c:numCache>
            </c:numRef>
          </c:val>
        </c:ser>
        <c:ser>
          <c:idx val="1"/>
          <c:order val="1"/>
          <c:tx>
            <c:strRef>
              <c:f>Лист10!$C$3</c:f>
              <c:strCache>
                <c:ptCount val="1"/>
                <c:pt idx="0">
                  <c:v>ВУ</c:v>
                </c:pt>
              </c:strCache>
            </c:strRef>
          </c:tx>
          <c:marker>
            <c:symbol val="square"/>
            <c:size val="5"/>
          </c:marker>
          <c:dPt>
            <c:idx val="35"/>
            <c:marker>
              <c:symbol val="circle"/>
              <c:size val="11"/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</c:dPt>
          <c:dLbls>
            <c:dLbl>
              <c:idx val="35"/>
              <c:layout>
                <c:manualLayout>
                  <c:x val="-6.6950832301912303E-2"/>
                  <c:y val="-4.6135015113632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ВШЭ (5)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val>
            <c:numRef>
              <c:f>Лист10!$C$4:$C$59</c:f>
              <c:numCache>
                <c:formatCode>General</c:formatCode>
                <c:ptCount val="56"/>
                <c:pt idx="0">
                  <c:v>23.6</c:v>
                </c:pt>
                <c:pt idx="1">
                  <c:v>23.9</c:v>
                </c:pt>
                <c:pt idx="2">
                  <c:v>24.1</c:v>
                </c:pt>
                <c:pt idx="3">
                  <c:v>24.8</c:v>
                </c:pt>
                <c:pt idx="4">
                  <c:v>25.1</c:v>
                </c:pt>
                <c:pt idx="5">
                  <c:v>26.7</c:v>
                </c:pt>
                <c:pt idx="6">
                  <c:v>27.2</c:v>
                </c:pt>
                <c:pt idx="7">
                  <c:v>27.3</c:v>
                </c:pt>
                <c:pt idx="8">
                  <c:v>28</c:v>
                </c:pt>
                <c:pt idx="9">
                  <c:v>29.9</c:v>
                </c:pt>
                <c:pt idx="10">
                  <c:v>30.1</c:v>
                </c:pt>
                <c:pt idx="11">
                  <c:v>30.2</c:v>
                </c:pt>
                <c:pt idx="12">
                  <c:v>32.1</c:v>
                </c:pt>
                <c:pt idx="13">
                  <c:v>32.800000000000004</c:v>
                </c:pt>
                <c:pt idx="14">
                  <c:v>35.200000000000003</c:v>
                </c:pt>
                <c:pt idx="15">
                  <c:v>36</c:v>
                </c:pt>
                <c:pt idx="16">
                  <c:v>36.300000000000004</c:v>
                </c:pt>
                <c:pt idx="17">
                  <c:v>36.9</c:v>
                </c:pt>
                <c:pt idx="18">
                  <c:v>37.300000000000004</c:v>
                </c:pt>
                <c:pt idx="19">
                  <c:v>39.700000000000003</c:v>
                </c:pt>
                <c:pt idx="20">
                  <c:v>43.6</c:v>
                </c:pt>
                <c:pt idx="21">
                  <c:v>44.6</c:v>
                </c:pt>
                <c:pt idx="22">
                  <c:v>45.9</c:v>
                </c:pt>
                <c:pt idx="23">
                  <c:v>48.1</c:v>
                </c:pt>
                <c:pt idx="24">
                  <c:v>48.8</c:v>
                </c:pt>
                <c:pt idx="25">
                  <c:v>50.7</c:v>
                </c:pt>
                <c:pt idx="26">
                  <c:v>51.1</c:v>
                </c:pt>
                <c:pt idx="27">
                  <c:v>52.9</c:v>
                </c:pt>
                <c:pt idx="28">
                  <c:v>55</c:v>
                </c:pt>
                <c:pt idx="29">
                  <c:v>55.3</c:v>
                </c:pt>
                <c:pt idx="30">
                  <c:v>55.7</c:v>
                </c:pt>
                <c:pt idx="31">
                  <c:v>55.9</c:v>
                </c:pt>
                <c:pt idx="32">
                  <c:v>57.2</c:v>
                </c:pt>
                <c:pt idx="33">
                  <c:v>58.1</c:v>
                </c:pt>
                <c:pt idx="34">
                  <c:v>61.3</c:v>
                </c:pt>
                <c:pt idx="35">
                  <c:v>65.3</c:v>
                </c:pt>
                <c:pt idx="36">
                  <c:v>65.5</c:v>
                </c:pt>
                <c:pt idx="37">
                  <c:v>66.400000000000006</c:v>
                </c:pt>
                <c:pt idx="38">
                  <c:v>71</c:v>
                </c:pt>
                <c:pt idx="39">
                  <c:v>74.5</c:v>
                </c:pt>
              </c:numCache>
            </c:numRef>
          </c:val>
        </c:ser>
        <c:ser>
          <c:idx val="2"/>
          <c:order val="2"/>
          <c:tx>
            <c:strRef>
              <c:f>Лист10!$D$3</c:f>
              <c:strCache>
                <c:ptCount val="1"/>
                <c:pt idx="0">
                  <c:v>АВВЭМ</c:v>
                </c:pt>
              </c:strCache>
            </c:strRef>
          </c:tx>
          <c:dPt>
            <c:idx val="15"/>
            <c:marker>
              <c:symbol val="circle"/>
              <c:size val="11"/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</c:dPt>
          <c:dLbls>
            <c:dLbl>
              <c:idx val="15"/>
              <c:layout>
                <c:manualLayout>
                  <c:x val="-6.4156852929249233E-2"/>
                  <c:y val="-4.817827866303436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 </a:t>
                    </a:r>
                    <a:r>
                      <a:rPr lang="ru-RU"/>
                      <a:t>ВШЭ (1)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val>
            <c:numRef>
              <c:f>Лист10!$D$4:$D$59</c:f>
              <c:numCache>
                <c:formatCode>General</c:formatCode>
                <c:ptCount val="56"/>
                <c:pt idx="0">
                  <c:v>31.8</c:v>
                </c:pt>
                <c:pt idx="1">
                  <c:v>32.1</c:v>
                </c:pt>
                <c:pt idx="2">
                  <c:v>37.300000000000004</c:v>
                </c:pt>
                <c:pt idx="3">
                  <c:v>38.300000000000004</c:v>
                </c:pt>
                <c:pt idx="4">
                  <c:v>44.8</c:v>
                </c:pt>
                <c:pt idx="5">
                  <c:v>45.9</c:v>
                </c:pt>
                <c:pt idx="6">
                  <c:v>46</c:v>
                </c:pt>
                <c:pt idx="7">
                  <c:v>46.2</c:v>
                </c:pt>
                <c:pt idx="8">
                  <c:v>48.6</c:v>
                </c:pt>
                <c:pt idx="9">
                  <c:v>49.9</c:v>
                </c:pt>
                <c:pt idx="10">
                  <c:v>50.7</c:v>
                </c:pt>
                <c:pt idx="11">
                  <c:v>52.7</c:v>
                </c:pt>
                <c:pt idx="12">
                  <c:v>54.9</c:v>
                </c:pt>
                <c:pt idx="13">
                  <c:v>55</c:v>
                </c:pt>
                <c:pt idx="14">
                  <c:v>59.1</c:v>
                </c:pt>
                <c:pt idx="15">
                  <c:v>65.3</c:v>
                </c:pt>
              </c:numCache>
            </c:numRef>
          </c:val>
        </c:ser>
        <c:ser>
          <c:idx val="3"/>
          <c:order val="3"/>
          <c:tx>
            <c:strRef>
              <c:f>Лист10!$E$3</c:f>
              <c:strCache>
                <c:ptCount val="1"/>
                <c:pt idx="0">
                  <c:v>РПСР</c:v>
                </c:pt>
              </c:strCache>
            </c:strRef>
          </c:tx>
          <c:marker>
            <c:symbol val="star"/>
            <c:size val="7"/>
          </c:marker>
          <c:dPt>
            <c:idx val="53"/>
            <c:marker>
              <c:symbol val="circle"/>
              <c:size val="11"/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</c:dPt>
          <c:dLbls>
            <c:dLbl>
              <c:idx val="53"/>
              <c:layout>
                <c:manualLayout>
                  <c:x val="-5.1896825932159454E-2"/>
                  <c:y val="-4.39972136184398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ВШЭ (3)</a:t>
                    </a:r>
                    <a:endParaRPr lang="en-US"/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</c:dLbls>
          <c:val>
            <c:numRef>
              <c:f>Лист10!$E$4:$E$59</c:f>
              <c:numCache>
                <c:formatCode>General</c:formatCode>
                <c:ptCount val="56"/>
                <c:pt idx="0">
                  <c:v>12.2</c:v>
                </c:pt>
                <c:pt idx="1">
                  <c:v>16.3</c:v>
                </c:pt>
                <c:pt idx="2">
                  <c:v>17</c:v>
                </c:pt>
                <c:pt idx="3">
                  <c:v>19.5</c:v>
                </c:pt>
                <c:pt idx="4">
                  <c:v>20.7</c:v>
                </c:pt>
                <c:pt idx="5">
                  <c:v>21</c:v>
                </c:pt>
                <c:pt idx="6">
                  <c:v>21.1</c:v>
                </c:pt>
                <c:pt idx="7">
                  <c:v>21.8</c:v>
                </c:pt>
                <c:pt idx="8">
                  <c:v>21.9</c:v>
                </c:pt>
                <c:pt idx="9">
                  <c:v>22.9</c:v>
                </c:pt>
                <c:pt idx="10">
                  <c:v>22.9</c:v>
                </c:pt>
                <c:pt idx="11">
                  <c:v>23.1</c:v>
                </c:pt>
                <c:pt idx="12">
                  <c:v>23.6</c:v>
                </c:pt>
                <c:pt idx="13">
                  <c:v>23.8</c:v>
                </c:pt>
                <c:pt idx="14">
                  <c:v>23.8</c:v>
                </c:pt>
                <c:pt idx="15">
                  <c:v>24.6</c:v>
                </c:pt>
                <c:pt idx="16">
                  <c:v>25</c:v>
                </c:pt>
                <c:pt idx="17">
                  <c:v>25</c:v>
                </c:pt>
                <c:pt idx="18">
                  <c:v>25</c:v>
                </c:pt>
                <c:pt idx="19">
                  <c:v>25.3</c:v>
                </c:pt>
                <c:pt idx="20">
                  <c:v>27.4</c:v>
                </c:pt>
                <c:pt idx="21">
                  <c:v>27.9</c:v>
                </c:pt>
                <c:pt idx="22">
                  <c:v>28</c:v>
                </c:pt>
                <c:pt idx="23">
                  <c:v>28.8</c:v>
                </c:pt>
                <c:pt idx="24">
                  <c:v>30</c:v>
                </c:pt>
                <c:pt idx="25">
                  <c:v>30.2</c:v>
                </c:pt>
                <c:pt idx="26">
                  <c:v>30.7</c:v>
                </c:pt>
                <c:pt idx="27">
                  <c:v>30.8</c:v>
                </c:pt>
                <c:pt idx="28">
                  <c:v>30.8</c:v>
                </c:pt>
                <c:pt idx="29">
                  <c:v>31.4</c:v>
                </c:pt>
                <c:pt idx="30">
                  <c:v>31.5</c:v>
                </c:pt>
                <c:pt idx="31">
                  <c:v>31.5</c:v>
                </c:pt>
                <c:pt idx="32">
                  <c:v>32.800000000000004</c:v>
                </c:pt>
                <c:pt idx="33">
                  <c:v>33.1</c:v>
                </c:pt>
                <c:pt idx="34">
                  <c:v>34</c:v>
                </c:pt>
                <c:pt idx="35">
                  <c:v>35.700000000000003</c:v>
                </c:pt>
                <c:pt idx="36">
                  <c:v>37.5</c:v>
                </c:pt>
                <c:pt idx="37">
                  <c:v>39.1</c:v>
                </c:pt>
                <c:pt idx="38">
                  <c:v>41</c:v>
                </c:pt>
                <c:pt idx="39">
                  <c:v>41.5</c:v>
                </c:pt>
                <c:pt idx="40">
                  <c:v>42.7</c:v>
                </c:pt>
                <c:pt idx="41">
                  <c:v>43</c:v>
                </c:pt>
                <c:pt idx="42">
                  <c:v>43.5</c:v>
                </c:pt>
                <c:pt idx="43">
                  <c:v>43.9</c:v>
                </c:pt>
                <c:pt idx="44">
                  <c:v>43.9</c:v>
                </c:pt>
                <c:pt idx="45">
                  <c:v>44.3</c:v>
                </c:pt>
                <c:pt idx="46">
                  <c:v>46</c:v>
                </c:pt>
                <c:pt idx="47">
                  <c:v>46.3</c:v>
                </c:pt>
                <c:pt idx="48">
                  <c:v>47.1</c:v>
                </c:pt>
                <c:pt idx="49">
                  <c:v>47.7</c:v>
                </c:pt>
                <c:pt idx="50">
                  <c:v>48.6</c:v>
                </c:pt>
                <c:pt idx="51">
                  <c:v>49.9</c:v>
                </c:pt>
                <c:pt idx="52">
                  <c:v>56.3</c:v>
                </c:pt>
                <c:pt idx="53">
                  <c:v>65.3</c:v>
                </c:pt>
                <c:pt idx="54">
                  <c:v>67.2</c:v>
                </c:pt>
                <c:pt idx="55">
                  <c:v>81.5</c:v>
                </c:pt>
              </c:numCache>
            </c:numRef>
          </c:val>
        </c:ser>
        <c:marker val="1"/>
        <c:axId val="74294784"/>
        <c:axId val="74296704"/>
      </c:lineChart>
      <c:catAx>
        <c:axId val="74294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вузы, ед</a:t>
                </a:r>
              </a:p>
            </c:rich>
          </c:tx>
        </c:title>
        <c:tickLblPos val="nextTo"/>
        <c:crossAx val="74296704"/>
        <c:crosses val="autoZero"/>
        <c:auto val="1"/>
        <c:lblAlgn val="ctr"/>
        <c:lblOffset val="100"/>
        <c:tickLblSkip val="2"/>
      </c:catAx>
      <c:valAx>
        <c:axId val="74296704"/>
        <c:scaling>
          <c:orientation val="minMax"/>
          <c:min val="1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Средняя ЗП ППС, тыс. руб.</a:t>
                </a:r>
              </a:p>
            </c:rich>
          </c:tx>
        </c:title>
        <c:numFmt formatCode="General" sourceLinked="1"/>
        <c:tickLblPos val="nextTo"/>
        <c:crossAx val="7429478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0.14553</cdr:x>
      <cdr:y>0.04739</cdr:y>
    </cdr:from>
    <cdr:to>
      <cdr:x>0.9165</cdr:x>
      <cdr:y>0.109</cdr:y>
    </cdr:to>
    <cdr:grpSp>
      <cdr:nvGrpSpPr>
        <cdr:cNvPr id="7" name="Группа 6"/>
        <cdr:cNvGrpSpPr/>
      </cdr:nvGrpSpPr>
      <cdr:grpSpPr>
        <a:xfrm xmlns:a="http://schemas.openxmlformats.org/drawingml/2006/main">
          <a:off x="895376" y="190486"/>
          <a:ext cx="4743404" cy="247645"/>
          <a:chOff x="895351" y="1104900"/>
          <a:chExt cx="4743449" cy="247650"/>
        </a:xfrm>
      </cdr:grpSpPr>
      <cdr:sp macro="" textlink="">
        <cdr:nvSpPr>
          <cdr:cNvPr id="3" name="TextBox 2"/>
          <cdr:cNvSpPr txBox="1"/>
        </cdr:nvSpPr>
        <cdr:spPr>
          <a:xfrm xmlns:a="http://schemas.openxmlformats.org/drawingml/2006/main">
            <a:off x="895351" y="1104900"/>
            <a:ext cx="676274" cy="247650"/>
          </a:xfrm>
          <a:prstGeom xmlns:a="http://schemas.openxmlformats.org/drawingml/2006/main" prst="rect">
            <a:avLst/>
          </a:prstGeom>
          <a:ln xmlns:a="http://schemas.openxmlformats.org/drawingml/2006/main">
            <a:solidFill>
              <a:schemeClr val="tx1"/>
            </a:solidFill>
          </a:ln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ru-RU" sz="1100" b="1"/>
              <a:t>АВВЭМ</a:t>
            </a:r>
          </a:p>
        </cdr:txBody>
      </cdr:sp>
      <cdr:sp macro="" textlink="">
        <cdr:nvSpPr>
          <cdr:cNvPr id="4" name="TextBox 1"/>
          <cdr:cNvSpPr txBox="1"/>
        </cdr:nvSpPr>
        <cdr:spPr>
          <a:xfrm xmlns:a="http://schemas.openxmlformats.org/drawingml/2006/main">
            <a:off x="2495550" y="1104900"/>
            <a:ext cx="457200" cy="247650"/>
          </a:xfrm>
          <a:prstGeom xmlns:a="http://schemas.openxmlformats.org/drawingml/2006/main" prst="rect">
            <a:avLst/>
          </a:prstGeom>
          <a:ln xmlns:a="http://schemas.openxmlformats.org/drawingml/2006/main">
            <a:solidFill>
              <a:schemeClr val="tx1"/>
            </a:solidFill>
          </a:ln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r>
              <a:rPr lang="ru-RU" sz="1100" b="1"/>
              <a:t>НИУ</a:t>
            </a:r>
          </a:p>
        </cdr:txBody>
      </cdr:sp>
      <cdr:sp macro="" textlink="">
        <cdr:nvSpPr>
          <cdr:cNvPr id="5" name="TextBox 1"/>
          <cdr:cNvSpPr txBox="1"/>
        </cdr:nvSpPr>
        <cdr:spPr>
          <a:xfrm xmlns:a="http://schemas.openxmlformats.org/drawingml/2006/main">
            <a:off x="3771900" y="1104900"/>
            <a:ext cx="352425" cy="247650"/>
          </a:xfrm>
          <a:prstGeom xmlns:a="http://schemas.openxmlformats.org/drawingml/2006/main" prst="rect">
            <a:avLst/>
          </a:prstGeom>
          <a:ln xmlns:a="http://schemas.openxmlformats.org/drawingml/2006/main">
            <a:solidFill>
              <a:schemeClr val="tx1"/>
            </a:solidFill>
          </a:ln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r>
              <a:rPr lang="ru-RU" sz="1100" b="1"/>
              <a:t>ВУ</a:t>
            </a:r>
          </a:p>
        </cdr:txBody>
      </cdr:sp>
      <cdr:sp macro="" textlink="">
        <cdr:nvSpPr>
          <cdr:cNvPr id="6" name="TextBox 1"/>
          <cdr:cNvSpPr txBox="1"/>
        </cdr:nvSpPr>
        <cdr:spPr>
          <a:xfrm xmlns:a="http://schemas.openxmlformats.org/drawingml/2006/main">
            <a:off x="5114925" y="1104900"/>
            <a:ext cx="523875" cy="247650"/>
          </a:xfrm>
          <a:prstGeom xmlns:a="http://schemas.openxmlformats.org/drawingml/2006/main" prst="rect">
            <a:avLst/>
          </a:prstGeom>
          <a:ln xmlns:a="http://schemas.openxmlformats.org/drawingml/2006/main">
            <a:solidFill>
              <a:schemeClr val="tx1"/>
            </a:solidFill>
          </a:ln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Calibri"/>
              </a:defRPr>
            </a:lvl1pPr>
            <a:lvl2pPr marL="457200" indent="0">
              <a:defRPr sz="1100">
                <a:latin typeface="Calibri"/>
              </a:defRPr>
            </a:lvl2pPr>
            <a:lvl3pPr marL="914400" indent="0">
              <a:defRPr sz="1100">
                <a:latin typeface="Calibri"/>
              </a:defRPr>
            </a:lvl3pPr>
            <a:lvl4pPr marL="1371600" indent="0">
              <a:defRPr sz="1100">
                <a:latin typeface="Calibri"/>
              </a:defRPr>
            </a:lvl4pPr>
            <a:lvl5pPr marL="1828800" indent="0">
              <a:defRPr sz="1100">
                <a:latin typeface="Calibri"/>
              </a:defRPr>
            </a:lvl5pPr>
            <a:lvl6pPr marL="2286000" indent="0">
              <a:defRPr sz="1100">
                <a:latin typeface="Calibri"/>
              </a:defRPr>
            </a:lvl6pPr>
            <a:lvl7pPr marL="2743200" indent="0">
              <a:defRPr sz="1100">
                <a:latin typeface="Calibri"/>
              </a:defRPr>
            </a:lvl7pPr>
            <a:lvl8pPr marL="3200400" indent="0">
              <a:defRPr sz="1100">
                <a:latin typeface="Calibri"/>
              </a:defRPr>
            </a:lvl8pPr>
            <a:lvl9pPr marL="3657600" indent="0">
              <a:defRPr sz="1100">
                <a:latin typeface="Calibri"/>
              </a:defRPr>
            </a:lvl9pPr>
          </a:lstStyle>
          <a:p xmlns:a="http://schemas.openxmlformats.org/drawingml/2006/main">
            <a:r>
              <a:rPr lang="ru-RU" sz="1100" b="1"/>
              <a:t>РПСР</a:t>
            </a:r>
          </a:p>
        </cdr:txBody>
      </cdr:sp>
    </cdr:grp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vvasilyev</dc:creator>
  <cp:keywords/>
  <dc:description/>
  <cp:lastModifiedBy>vvasilyev</cp:lastModifiedBy>
  <cp:revision>94</cp:revision>
  <cp:lastPrinted>2013-02-07T13:42:00Z</cp:lastPrinted>
  <dcterms:created xsi:type="dcterms:W3CDTF">2013-02-07T11:39:00Z</dcterms:created>
  <dcterms:modified xsi:type="dcterms:W3CDTF">2013-02-26T13:52:00Z</dcterms:modified>
</cp:coreProperties>
</file>