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DF" w:rsidRPr="00C241DF" w:rsidRDefault="00C241DF" w:rsidP="00C241DF">
      <w:pPr>
        <w:pStyle w:val="FR1"/>
        <w:tabs>
          <w:tab w:val="left" w:pos="5420"/>
        </w:tabs>
        <w:spacing w:before="0"/>
        <w:ind w:left="0" w:right="0"/>
        <w:rPr>
          <w:sz w:val="28"/>
          <w:szCs w:val="28"/>
        </w:rPr>
      </w:pPr>
      <w:r w:rsidRPr="00C241DF">
        <w:rPr>
          <w:sz w:val="28"/>
          <w:szCs w:val="28"/>
        </w:rPr>
        <w:t>Правительство Российской Федерации</w:t>
      </w:r>
    </w:p>
    <w:p w:rsidR="00C241DF" w:rsidRPr="00C241DF" w:rsidRDefault="00C241DF" w:rsidP="00C241DF">
      <w:pPr>
        <w:pStyle w:val="FR1"/>
        <w:tabs>
          <w:tab w:val="left" w:pos="5420"/>
        </w:tabs>
        <w:spacing w:before="0"/>
        <w:ind w:left="0" w:right="0"/>
        <w:rPr>
          <w:sz w:val="28"/>
          <w:szCs w:val="28"/>
        </w:rPr>
      </w:pPr>
    </w:p>
    <w:p w:rsidR="00C241DF" w:rsidRPr="00C241DF" w:rsidRDefault="00C241DF" w:rsidP="00C241DF">
      <w:pPr>
        <w:pStyle w:val="FR1"/>
        <w:tabs>
          <w:tab w:val="left" w:pos="5420"/>
        </w:tabs>
        <w:spacing w:before="0"/>
        <w:ind w:left="0" w:right="0"/>
        <w:rPr>
          <w:color w:val="000000"/>
          <w:sz w:val="28"/>
          <w:szCs w:val="28"/>
        </w:rPr>
      </w:pPr>
      <w:r w:rsidRPr="00C241DF">
        <w:rPr>
          <w:color w:val="000000"/>
          <w:sz w:val="28"/>
          <w:szCs w:val="28"/>
        </w:rPr>
        <w:t xml:space="preserve">Федеральное государственное автономное образовательное учреждение </w:t>
      </w:r>
    </w:p>
    <w:p w:rsidR="00C241DF" w:rsidRPr="00C241DF" w:rsidRDefault="00C241DF" w:rsidP="00C241DF">
      <w:pPr>
        <w:pStyle w:val="FR1"/>
        <w:tabs>
          <w:tab w:val="left" w:pos="5420"/>
        </w:tabs>
        <w:spacing w:before="0"/>
        <w:ind w:left="0" w:right="0"/>
        <w:rPr>
          <w:color w:val="000000"/>
          <w:sz w:val="28"/>
          <w:szCs w:val="28"/>
        </w:rPr>
      </w:pPr>
      <w:r w:rsidRPr="00C241DF">
        <w:rPr>
          <w:color w:val="000000"/>
          <w:sz w:val="28"/>
          <w:szCs w:val="28"/>
        </w:rPr>
        <w:t>высшего профессионального образования</w:t>
      </w:r>
    </w:p>
    <w:p w:rsidR="00C241DF" w:rsidRPr="00C241DF" w:rsidRDefault="00C241DF" w:rsidP="00C241DF">
      <w:pPr>
        <w:pStyle w:val="FR1"/>
        <w:tabs>
          <w:tab w:val="left" w:pos="5420"/>
        </w:tabs>
        <w:spacing w:before="0"/>
        <w:ind w:left="0" w:right="0"/>
        <w:rPr>
          <w:sz w:val="28"/>
          <w:szCs w:val="28"/>
        </w:rPr>
      </w:pPr>
    </w:p>
    <w:p w:rsidR="00C241DF" w:rsidRPr="00C241DF" w:rsidRDefault="00C241DF" w:rsidP="00C241DF">
      <w:pPr>
        <w:pStyle w:val="FR1"/>
        <w:spacing w:before="0"/>
        <w:ind w:left="0" w:right="-6"/>
        <w:rPr>
          <w:sz w:val="28"/>
          <w:szCs w:val="28"/>
        </w:rPr>
      </w:pPr>
      <w:r w:rsidRPr="00C241DF">
        <w:rPr>
          <w:sz w:val="28"/>
          <w:szCs w:val="28"/>
        </w:rPr>
        <w:t xml:space="preserve">«Национальный исследовательский университет </w:t>
      </w:r>
      <w:r w:rsidRPr="00C241DF">
        <w:rPr>
          <w:sz w:val="28"/>
          <w:szCs w:val="28"/>
        </w:rPr>
        <w:br/>
        <w:t>«Высшая школа экономики»</w:t>
      </w:r>
    </w:p>
    <w:p w:rsidR="00C241DF" w:rsidRPr="008B0B0A" w:rsidRDefault="00C241DF" w:rsidP="00C241DF">
      <w:pPr>
        <w:rPr>
          <w:sz w:val="26"/>
          <w:szCs w:val="26"/>
        </w:rPr>
      </w:pPr>
    </w:p>
    <w:p w:rsidR="00C241DF" w:rsidRPr="00C241DF" w:rsidRDefault="00C241DF" w:rsidP="00C241DF">
      <w:pPr>
        <w:pStyle w:val="6"/>
        <w:rPr>
          <w:rFonts w:ascii="Times New Roman" w:hAnsi="Times New Roman" w:cs="Times New Roman"/>
          <w:i w:val="0"/>
          <w:color w:val="auto"/>
          <w:sz w:val="28"/>
          <w:szCs w:val="28"/>
        </w:rPr>
      </w:pPr>
      <w:r w:rsidRPr="00C241DF">
        <w:rPr>
          <w:rFonts w:ascii="Times New Roman" w:hAnsi="Times New Roman" w:cs="Times New Roman"/>
          <w:i w:val="0"/>
          <w:color w:val="auto"/>
          <w:sz w:val="28"/>
          <w:szCs w:val="28"/>
        </w:rPr>
        <w:t xml:space="preserve">Факультет </w:t>
      </w:r>
      <w:r w:rsidR="00947276" w:rsidRPr="00C241DF">
        <w:rPr>
          <w:rFonts w:ascii="Times New Roman" w:hAnsi="Times New Roman" w:cs="Times New Roman"/>
          <w:i w:val="0"/>
          <w:color w:val="auto"/>
          <w:sz w:val="28"/>
          <w:szCs w:val="28"/>
        </w:rPr>
        <w:t>мировой экономики и мировой политики</w:t>
      </w:r>
    </w:p>
    <w:p w:rsidR="00C241DF" w:rsidRPr="00006CBE" w:rsidRDefault="00C241DF" w:rsidP="00C241DF">
      <w:pPr>
        <w:pStyle w:val="6"/>
        <w:rPr>
          <w:rFonts w:ascii="Times New Roman" w:hAnsi="Times New Roman" w:cs="Times New Roman"/>
          <w:i w:val="0"/>
          <w:color w:val="auto"/>
          <w:sz w:val="28"/>
          <w:szCs w:val="28"/>
        </w:rPr>
      </w:pPr>
      <w:r w:rsidRPr="00C241DF">
        <w:rPr>
          <w:rFonts w:ascii="Times New Roman" w:hAnsi="Times New Roman" w:cs="Times New Roman"/>
          <w:i w:val="0"/>
          <w:color w:val="auto"/>
          <w:sz w:val="28"/>
          <w:szCs w:val="28"/>
        </w:rPr>
        <w:t xml:space="preserve">Кафедра </w:t>
      </w:r>
      <w:r w:rsidR="00947276" w:rsidRPr="00C241DF">
        <w:rPr>
          <w:rFonts w:ascii="Times New Roman" w:hAnsi="Times New Roman" w:cs="Times New Roman"/>
          <w:i w:val="0"/>
          <w:color w:val="auto"/>
          <w:sz w:val="28"/>
          <w:szCs w:val="28"/>
        </w:rPr>
        <w:t>международного бизнеса</w:t>
      </w:r>
    </w:p>
    <w:p w:rsidR="00C241DF" w:rsidRPr="00006CBE" w:rsidRDefault="00C241DF" w:rsidP="00C241DF"/>
    <w:p w:rsidR="00EF3CB6" w:rsidRDefault="00EF3CB6" w:rsidP="00947276">
      <w:pPr>
        <w:pStyle w:val="6"/>
        <w:jc w:val="center"/>
        <w:rPr>
          <w:rFonts w:ascii="Times New Roman" w:hAnsi="Times New Roman" w:cs="Times New Roman"/>
          <w:b/>
          <w:i w:val="0"/>
          <w:color w:val="auto"/>
          <w:sz w:val="28"/>
          <w:szCs w:val="28"/>
        </w:rPr>
      </w:pPr>
    </w:p>
    <w:p w:rsidR="00947276" w:rsidRPr="00947276" w:rsidRDefault="00947276" w:rsidP="00947276">
      <w:pPr>
        <w:pStyle w:val="6"/>
        <w:jc w:val="center"/>
        <w:rPr>
          <w:rFonts w:ascii="Times New Roman" w:hAnsi="Times New Roman" w:cs="Times New Roman"/>
          <w:b/>
          <w:i w:val="0"/>
          <w:color w:val="auto"/>
          <w:sz w:val="28"/>
          <w:szCs w:val="28"/>
        </w:rPr>
      </w:pPr>
      <w:r w:rsidRPr="00947276">
        <w:rPr>
          <w:rFonts w:ascii="Times New Roman" w:hAnsi="Times New Roman" w:cs="Times New Roman"/>
          <w:b/>
          <w:i w:val="0"/>
          <w:color w:val="auto"/>
          <w:sz w:val="28"/>
          <w:szCs w:val="28"/>
        </w:rPr>
        <w:t>ВЫПУСКНАЯ КВАЛИФИКАЦИОННАЯ РАБОТА</w:t>
      </w:r>
    </w:p>
    <w:p w:rsidR="00947276" w:rsidRPr="00006CBE" w:rsidRDefault="00947276" w:rsidP="00947276">
      <w:pPr>
        <w:pStyle w:val="6"/>
        <w:jc w:val="center"/>
        <w:rPr>
          <w:rFonts w:ascii="Times New Roman" w:hAnsi="Times New Roman" w:cs="Times New Roman"/>
          <w:i w:val="0"/>
          <w:color w:val="auto"/>
          <w:sz w:val="28"/>
          <w:szCs w:val="28"/>
        </w:rPr>
      </w:pPr>
    </w:p>
    <w:p w:rsidR="00947276" w:rsidRPr="00947276" w:rsidRDefault="00947276" w:rsidP="00947276">
      <w:pPr>
        <w:pStyle w:val="6"/>
        <w:spacing w:line="360" w:lineRule="auto"/>
        <w:jc w:val="center"/>
        <w:rPr>
          <w:rFonts w:ascii="Times New Roman" w:hAnsi="Times New Roman" w:cs="Times New Roman"/>
          <w:i w:val="0"/>
          <w:color w:val="auto"/>
          <w:sz w:val="28"/>
          <w:szCs w:val="28"/>
        </w:rPr>
      </w:pPr>
      <w:r w:rsidRPr="00947276">
        <w:rPr>
          <w:rFonts w:ascii="Times New Roman" w:hAnsi="Times New Roman" w:cs="Times New Roman"/>
          <w:i w:val="0"/>
          <w:color w:val="auto"/>
          <w:sz w:val="28"/>
          <w:szCs w:val="28"/>
        </w:rPr>
        <w:t>На тему:</w:t>
      </w:r>
      <w:r w:rsidRPr="00947276">
        <w:rPr>
          <w:rFonts w:ascii="Times New Roman" w:hAnsi="Times New Roman" w:cs="Times New Roman"/>
          <w:sz w:val="28"/>
          <w:szCs w:val="28"/>
        </w:rPr>
        <w:t xml:space="preserve"> «</w:t>
      </w:r>
      <w:r w:rsidRPr="00947276">
        <w:rPr>
          <w:rFonts w:ascii="Times New Roman" w:hAnsi="Times New Roman" w:cs="Times New Roman"/>
          <w:i w:val="0"/>
          <w:color w:val="auto"/>
          <w:sz w:val="28"/>
          <w:szCs w:val="28"/>
        </w:rPr>
        <w:t>Оценка эффективности трансграничных сделок слияний и поглощений на примере сделки Хейнекен и Эйша Пасифик Брюэриз»</w:t>
      </w:r>
    </w:p>
    <w:p w:rsidR="00947276" w:rsidRPr="00947276" w:rsidRDefault="00947276" w:rsidP="00947276">
      <w:pPr>
        <w:pStyle w:val="6"/>
        <w:rPr>
          <w:rFonts w:ascii="Times New Roman" w:hAnsi="Times New Roman" w:cs="Times New Roman"/>
          <w:i w:val="0"/>
          <w:color w:val="auto"/>
          <w:sz w:val="28"/>
          <w:szCs w:val="28"/>
        </w:rPr>
      </w:pPr>
    </w:p>
    <w:p w:rsidR="00947276" w:rsidRPr="00947276" w:rsidRDefault="00947276" w:rsidP="00947276">
      <w:pPr>
        <w:pStyle w:val="6"/>
        <w:rPr>
          <w:rFonts w:ascii="Times New Roman" w:hAnsi="Times New Roman" w:cs="Times New Roman"/>
          <w:i w:val="0"/>
          <w:color w:val="auto"/>
          <w:sz w:val="28"/>
          <w:szCs w:val="28"/>
        </w:rPr>
      </w:pPr>
    </w:p>
    <w:p w:rsidR="00947276" w:rsidRPr="00947276" w:rsidRDefault="00947276" w:rsidP="00947276">
      <w:pPr>
        <w:pStyle w:val="6"/>
        <w:jc w:val="right"/>
        <w:rPr>
          <w:rFonts w:ascii="Times New Roman" w:hAnsi="Times New Roman" w:cs="Times New Roman"/>
          <w:i w:val="0"/>
          <w:color w:val="auto"/>
          <w:sz w:val="28"/>
          <w:szCs w:val="28"/>
        </w:rPr>
      </w:pPr>
      <w:r w:rsidRPr="00947276">
        <w:rPr>
          <w:rFonts w:ascii="Times New Roman" w:hAnsi="Times New Roman" w:cs="Times New Roman"/>
          <w:i w:val="0"/>
          <w:color w:val="auto"/>
          <w:sz w:val="28"/>
          <w:szCs w:val="28"/>
        </w:rPr>
        <w:t xml:space="preserve">Студент группы № </w:t>
      </w:r>
      <w:r>
        <w:rPr>
          <w:rFonts w:ascii="Times New Roman" w:hAnsi="Times New Roman" w:cs="Times New Roman"/>
          <w:i w:val="0"/>
          <w:color w:val="auto"/>
          <w:sz w:val="28"/>
          <w:szCs w:val="28"/>
        </w:rPr>
        <w:t>561</w:t>
      </w:r>
    </w:p>
    <w:p w:rsidR="00947276" w:rsidRPr="00947276" w:rsidRDefault="00947276" w:rsidP="00947276">
      <w:pPr>
        <w:pStyle w:val="6"/>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Барботко М. В.                     </w:t>
      </w:r>
    </w:p>
    <w:p w:rsidR="00947276" w:rsidRPr="00947276" w:rsidRDefault="00947276" w:rsidP="00947276">
      <w:pPr>
        <w:pStyle w:val="6"/>
        <w:jc w:val="right"/>
        <w:rPr>
          <w:rFonts w:ascii="Times New Roman" w:hAnsi="Times New Roman" w:cs="Times New Roman"/>
          <w:i w:val="0"/>
          <w:color w:val="auto"/>
          <w:sz w:val="28"/>
          <w:szCs w:val="28"/>
        </w:rPr>
      </w:pPr>
    </w:p>
    <w:p w:rsidR="00947276" w:rsidRPr="00947276" w:rsidRDefault="00947276" w:rsidP="00947276">
      <w:pPr>
        <w:pStyle w:val="6"/>
        <w:jc w:val="right"/>
        <w:rPr>
          <w:rFonts w:ascii="Times New Roman" w:hAnsi="Times New Roman" w:cs="Times New Roman"/>
          <w:i w:val="0"/>
          <w:color w:val="auto"/>
          <w:sz w:val="28"/>
          <w:szCs w:val="28"/>
        </w:rPr>
      </w:pPr>
      <w:r w:rsidRPr="00947276">
        <w:rPr>
          <w:rFonts w:ascii="Times New Roman" w:hAnsi="Times New Roman" w:cs="Times New Roman"/>
          <w:i w:val="0"/>
          <w:color w:val="auto"/>
          <w:sz w:val="28"/>
          <w:szCs w:val="28"/>
        </w:rPr>
        <w:t>Руководитель ВКР</w:t>
      </w:r>
    </w:p>
    <w:p w:rsidR="00947276" w:rsidRDefault="00947276" w:rsidP="00947276">
      <w:pPr>
        <w:pStyle w:val="6"/>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Доцент кафедры </w:t>
      </w:r>
    </w:p>
    <w:p w:rsidR="00947276" w:rsidRPr="00947276" w:rsidRDefault="00947276" w:rsidP="00947276">
      <w:pPr>
        <w:pStyle w:val="6"/>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Фондового рынка и рынка инвестиций</w:t>
      </w:r>
    </w:p>
    <w:p w:rsidR="00947276" w:rsidRPr="00947276" w:rsidRDefault="00947276" w:rsidP="00947276">
      <w:pPr>
        <w:pStyle w:val="6"/>
        <w:jc w:val="right"/>
        <w:rPr>
          <w:rFonts w:ascii="Times New Roman" w:hAnsi="Times New Roman" w:cs="Times New Roman"/>
          <w:i w:val="0"/>
          <w:color w:val="auto"/>
          <w:sz w:val="28"/>
          <w:szCs w:val="28"/>
        </w:rPr>
      </w:pPr>
      <w:r w:rsidRPr="00947276">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Столяров А. И.</w:t>
      </w:r>
    </w:p>
    <w:p w:rsidR="00947276" w:rsidRPr="00947276" w:rsidRDefault="00947276" w:rsidP="00C241DF"/>
    <w:p w:rsidR="00C241DF" w:rsidRDefault="00C241DF" w:rsidP="00E84EFE">
      <w:pPr>
        <w:spacing w:after="240" w:line="360" w:lineRule="auto"/>
        <w:ind w:firstLine="360"/>
        <w:jc w:val="center"/>
        <w:rPr>
          <w:rFonts w:ascii="Times New Roman" w:hAnsi="Times New Roman"/>
          <w:b/>
          <w:sz w:val="28"/>
          <w:szCs w:val="28"/>
        </w:rPr>
      </w:pPr>
    </w:p>
    <w:p w:rsidR="00947276" w:rsidRDefault="00947276" w:rsidP="00E84EFE">
      <w:pPr>
        <w:spacing w:after="240" w:line="360" w:lineRule="auto"/>
        <w:ind w:firstLine="360"/>
        <w:jc w:val="center"/>
        <w:rPr>
          <w:rFonts w:ascii="Times New Roman" w:hAnsi="Times New Roman"/>
          <w:b/>
          <w:sz w:val="28"/>
          <w:szCs w:val="28"/>
        </w:rPr>
      </w:pPr>
    </w:p>
    <w:p w:rsidR="00943A9A" w:rsidRPr="00AF10E4" w:rsidRDefault="00947276" w:rsidP="00AF10E4">
      <w:pPr>
        <w:spacing w:after="240" w:line="360" w:lineRule="auto"/>
        <w:ind w:firstLine="360"/>
        <w:jc w:val="center"/>
        <w:rPr>
          <w:rFonts w:ascii="Times New Roman" w:hAnsi="Times New Roman"/>
          <w:b/>
          <w:sz w:val="28"/>
          <w:szCs w:val="28"/>
          <w:lang w:val="en-US"/>
        </w:rPr>
      </w:pPr>
      <w:r>
        <w:rPr>
          <w:rFonts w:ascii="Times New Roman" w:hAnsi="Times New Roman"/>
          <w:b/>
          <w:sz w:val="28"/>
          <w:szCs w:val="28"/>
        </w:rPr>
        <w:t>Москва, 2013</w:t>
      </w:r>
      <w:r w:rsidR="00C241DF">
        <w:rPr>
          <w:rFonts w:ascii="Times New Roman" w:hAnsi="Times New Roman"/>
          <w:b/>
          <w:sz w:val="28"/>
          <w:szCs w:val="28"/>
        </w:rPr>
        <w:br w:type="page"/>
      </w:r>
    </w:p>
    <w:sdt>
      <w:sdtPr>
        <w:rPr>
          <w:rFonts w:ascii="Calibri" w:eastAsia="Calibri" w:hAnsi="Calibri" w:cs="Times New Roman"/>
          <w:b w:val="0"/>
          <w:bCs w:val="0"/>
          <w:color w:val="auto"/>
          <w:sz w:val="22"/>
          <w:szCs w:val="22"/>
          <w:lang w:eastAsia="en-US"/>
        </w:rPr>
        <w:id w:val="528072952"/>
        <w:docPartObj>
          <w:docPartGallery w:val="Table of Contents"/>
          <w:docPartUnique/>
        </w:docPartObj>
      </w:sdtPr>
      <w:sdtEndPr>
        <w:rPr>
          <w:rFonts w:ascii="Times New Roman" w:hAnsi="Times New Roman"/>
          <w:sz w:val="28"/>
          <w:szCs w:val="28"/>
        </w:rPr>
      </w:sdtEndPr>
      <w:sdtContent>
        <w:p w:rsidR="00943A9A" w:rsidRPr="00022ED2" w:rsidRDefault="00AF10E4" w:rsidP="00022ED2">
          <w:pPr>
            <w:pStyle w:val="ae"/>
            <w:spacing w:line="240" w:lineRule="auto"/>
            <w:jc w:val="center"/>
            <w:rPr>
              <w:rFonts w:ascii="Times New Roman" w:hAnsi="Times New Roman" w:cs="Times New Roman"/>
              <w:b w:val="0"/>
              <w:color w:val="auto"/>
            </w:rPr>
          </w:pPr>
          <w:r w:rsidRPr="00022ED2">
            <w:rPr>
              <w:rFonts w:ascii="Times New Roman" w:hAnsi="Times New Roman" w:cs="Times New Roman"/>
              <w:b w:val="0"/>
              <w:color w:val="auto"/>
            </w:rPr>
            <w:t>Содержание</w:t>
          </w:r>
        </w:p>
        <w:p w:rsidR="00412326" w:rsidRPr="00412326" w:rsidRDefault="00943A9A">
          <w:pPr>
            <w:pStyle w:val="11"/>
            <w:rPr>
              <w:rFonts w:ascii="Times New Roman" w:eastAsiaTheme="minorEastAsia" w:hAnsi="Times New Roman"/>
              <w:b w:val="0"/>
              <w:bCs w:val="0"/>
              <w:caps w:val="0"/>
              <w:noProof/>
              <w:sz w:val="28"/>
              <w:szCs w:val="28"/>
              <w:lang w:eastAsia="ru-RU"/>
            </w:rPr>
          </w:pPr>
          <w:r w:rsidRPr="00F86AE5">
            <w:rPr>
              <w:rFonts w:ascii="Times New Roman" w:hAnsi="Times New Roman"/>
              <w:sz w:val="28"/>
              <w:szCs w:val="28"/>
            </w:rPr>
            <w:fldChar w:fldCharType="begin"/>
          </w:r>
          <w:r w:rsidRPr="00F86AE5">
            <w:rPr>
              <w:rFonts w:ascii="Times New Roman" w:hAnsi="Times New Roman"/>
              <w:sz w:val="28"/>
              <w:szCs w:val="28"/>
            </w:rPr>
            <w:instrText xml:space="preserve"> TOC \o "1-3" \h \z \u </w:instrText>
          </w:r>
          <w:r w:rsidRPr="00F86AE5">
            <w:rPr>
              <w:rFonts w:ascii="Times New Roman" w:hAnsi="Times New Roman"/>
              <w:sz w:val="28"/>
              <w:szCs w:val="28"/>
            </w:rPr>
            <w:fldChar w:fldCharType="separate"/>
          </w:r>
          <w:hyperlink w:anchor="_Toc356251985" w:history="1">
            <w:r w:rsidR="00412326" w:rsidRPr="00412326">
              <w:rPr>
                <w:rStyle w:val="ad"/>
                <w:rFonts w:ascii="Times New Roman" w:hAnsi="Times New Roman"/>
                <w:b w:val="0"/>
                <w:noProof/>
                <w:sz w:val="28"/>
                <w:szCs w:val="28"/>
              </w:rPr>
              <w:t>Введение</w:t>
            </w:r>
            <w:r w:rsidR="00412326" w:rsidRPr="00412326">
              <w:rPr>
                <w:rFonts w:ascii="Times New Roman" w:hAnsi="Times New Roman"/>
                <w:b w:val="0"/>
                <w:noProof/>
                <w:webHidden/>
                <w:sz w:val="28"/>
                <w:szCs w:val="28"/>
              </w:rPr>
              <w:tab/>
            </w:r>
            <w:r w:rsidR="00412326" w:rsidRPr="00412326">
              <w:rPr>
                <w:rFonts w:ascii="Times New Roman" w:hAnsi="Times New Roman"/>
                <w:b w:val="0"/>
                <w:noProof/>
                <w:webHidden/>
                <w:sz w:val="28"/>
                <w:szCs w:val="28"/>
              </w:rPr>
              <w:fldChar w:fldCharType="begin"/>
            </w:r>
            <w:r w:rsidR="00412326" w:rsidRPr="00412326">
              <w:rPr>
                <w:rFonts w:ascii="Times New Roman" w:hAnsi="Times New Roman"/>
                <w:b w:val="0"/>
                <w:noProof/>
                <w:webHidden/>
                <w:sz w:val="28"/>
                <w:szCs w:val="28"/>
              </w:rPr>
              <w:instrText xml:space="preserve"> PAGEREF _Toc356251985 \h </w:instrText>
            </w:r>
            <w:r w:rsidR="00412326" w:rsidRPr="00412326">
              <w:rPr>
                <w:rFonts w:ascii="Times New Roman" w:hAnsi="Times New Roman"/>
                <w:b w:val="0"/>
                <w:noProof/>
                <w:webHidden/>
                <w:sz w:val="28"/>
                <w:szCs w:val="28"/>
              </w:rPr>
            </w:r>
            <w:r w:rsidR="00412326" w:rsidRPr="00412326">
              <w:rPr>
                <w:rFonts w:ascii="Times New Roman" w:hAnsi="Times New Roman"/>
                <w:b w:val="0"/>
                <w:noProof/>
                <w:webHidden/>
                <w:sz w:val="28"/>
                <w:szCs w:val="28"/>
              </w:rPr>
              <w:fldChar w:fldCharType="separate"/>
            </w:r>
            <w:r w:rsidR="00412326" w:rsidRPr="00412326">
              <w:rPr>
                <w:rFonts w:ascii="Times New Roman" w:hAnsi="Times New Roman"/>
                <w:b w:val="0"/>
                <w:noProof/>
                <w:webHidden/>
                <w:sz w:val="28"/>
                <w:szCs w:val="28"/>
              </w:rPr>
              <w:t>3</w:t>
            </w:r>
            <w:r w:rsidR="00412326" w:rsidRPr="00412326">
              <w:rPr>
                <w:rFonts w:ascii="Times New Roman" w:hAnsi="Times New Roman"/>
                <w:b w:val="0"/>
                <w:noProof/>
                <w:webHidden/>
                <w:sz w:val="28"/>
                <w:szCs w:val="28"/>
              </w:rPr>
              <w:fldChar w:fldCharType="end"/>
            </w:r>
          </w:hyperlink>
        </w:p>
        <w:p w:rsidR="00412326" w:rsidRPr="00412326" w:rsidRDefault="00412326">
          <w:pPr>
            <w:pStyle w:val="11"/>
            <w:rPr>
              <w:rFonts w:ascii="Times New Roman" w:eastAsiaTheme="minorEastAsia" w:hAnsi="Times New Roman"/>
              <w:b w:val="0"/>
              <w:bCs w:val="0"/>
              <w:caps w:val="0"/>
              <w:noProof/>
              <w:sz w:val="28"/>
              <w:szCs w:val="28"/>
              <w:lang w:eastAsia="ru-RU"/>
            </w:rPr>
          </w:pPr>
          <w:hyperlink w:anchor="_Toc356251986" w:history="1">
            <w:r w:rsidRPr="00412326">
              <w:rPr>
                <w:rStyle w:val="ad"/>
                <w:rFonts w:ascii="Times New Roman" w:hAnsi="Times New Roman"/>
                <w:b w:val="0"/>
                <w:noProof/>
                <w:sz w:val="28"/>
                <w:szCs w:val="28"/>
              </w:rPr>
              <w:t>1. Оценка эффективности сделок слияний и поглощений</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_Toc356251986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6</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87" w:history="1">
            <w:r w:rsidRPr="00412326">
              <w:rPr>
                <w:rStyle w:val="ad"/>
                <w:rFonts w:ascii="Times New Roman" w:hAnsi="Times New Roman"/>
                <w:b w:val="0"/>
                <w:noProof/>
                <w:sz w:val="28"/>
                <w:szCs w:val="28"/>
              </w:rPr>
              <w:t>1.1 Мотивы сделок слияний и поглощений</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_Toc356251987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6</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88" w:history="1">
            <w:r w:rsidRPr="00412326">
              <w:rPr>
                <w:rStyle w:val="ad"/>
                <w:rFonts w:ascii="Times New Roman" w:hAnsi="Times New Roman"/>
                <w:b w:val="0"/>
                <w:noProof/>
                <w:sz w:val="28"/>
                <w:szCs w:val="28"/>
              </w:rPr>
              <w:t>1.1.1 Операционная синергия</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_Toc356251988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6</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89" w:history="1">
            <w:r w:rsidRPr="00412326">
              <w:rPr>
                <w:rStyle w:val="ad"/>
                <w:rFonts w:ascii="Times New Roman" w:hAnsi="Times New Roman"/>
                <w:b w:val="0"/>
                <w:noProof/>
                <w:sz w:val="28"/>
                <w:szCs w:val="28"/>
              </w:rPr>
              <w:t>1.1.2 Финансовая синергия</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_Toc356251989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0" w:history="1">
            <w:r w:rsidRPr="00412326">
              <w:rPr>
                <w:rStyle w:val="ad"/>
                <w:rFonts w:ascii="Times New Roman" w:hAnsi="Times New Roman"/>
                <w:b w:val="0"/>
                <w:noProof/>
                <w:sz w:val="28"/>
                <w:szCs w:val="28"/>
              </w:rPr>
              <w:t>1.2 Особенности трансграничных сделок слияний и поглощений</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_Toc356251990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10</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1" w:history="1">
            <w:r w:rsidRPr="00412326">
              <w:rPr>
                <w:rStyle w:val="ad"/>
                <w:rFonts w:ascii="Times New Roman" w:hAnsi="Times New Roman"/>
                <w:b w:val="0"/>
                <w:noProof/>
                <w:sz w:val="28"/>
                <w:szCs w:val="28"/>
              </w:rPr>
              <w:t>1.3. Методы, используемые для оценки эффективности сделок слияний и поглощений</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_Toc356251991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12</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2" w:history="1">
            <w:r w:rsidRPr="00412326">
              <w:rPr>
                <w:rStyle w:val="ad"/>
                <w:rFonts w:ascii="Times New Roman" w:hAnsi="Times New Roman"/>
                <w:b w:val="0"/>
                <w:noProof/>
                <w:sz w:val="28"/>
                <w:szCs w:val="28"/>
              </w:rPr>
              <w:t>1.3.1 Доходный метод</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_Toc356251992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12</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3" w:history="1">
            <w:r w:rsidRPr="00412326">
              <w:rPr>
                <w:rStyle w:val="ad"/>
                <w:rFonts w:ascii="Times New Roman" w:hAnsi="Times New Roman"/>
                <w:b w:val="0"/>
                <w:noProof/>
                <w:sz w:val="28"/>
                <w:szCs w:val="28"/>
              </w:rPr>
              <w:t>1.3.1.1 Метод дисконтированных денежных потоков</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_Toc356251993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13</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4" w:history="1">
            <w:r w:rsidRPr="00412326">
              <w:rPr>
                <w:rStyle w:val="ad"/>
                <w:rFonts w:ascii="Times New Roman" w:hAnsi="Times New Roman"/>
                <w:b w:val="0"/>
                <w:noProof/>
                <w:sz w:val="28"/>
                <w:szCs w:val="28"/>
              </w:rPr>
              <w:t>1.3.2 Рыночный метод</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_Toc356251994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16</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5" w:history="1">
            <w:r w:rsidRPr="00412326">
              <w:rPr>
                <w:rStyle w:val="ad"/>
                <w:rFonts w:ascii="Times New Roman" w:hAnsi="Times New Roman"/>
                <w:b w:val="0"/>
                <w:noProof/>
                <w:sz w:val="28"/>
                <w:szCs w:val="28"/>
              </w:rPr>
              <w:t>1.</w:t>
            </w:r>
            <w:r w:rsidRPr="00412326">
              <w:rPr>
                <w:rStyle w:val="ad"/>
                <w:rFonts w:ascii="Times New Roman" w:hAnsi="Times New Roman"/>
                <w:b w:val="0"/>
                <w:noProof/>
                <w:sz w:val="28"/>
                <w:szCs w:val="28"/>
                <w:lang w:val="en-US"/>
              </w:rPr>
              <w:t>3.2</w:t>
            </w:r>
            <w:r w:rsidRPr="00412326">
              <w:rPr>
                <w:rStyle w:val="ad"/>
                <w:rFonts w:ascii="Times New Roman" w:hAnsi="Times New Roman"/>
                <w:b w:val="0"/>
                <w:noProof/>
                <w:sz w:val="28"/>
                <w:szCs w:val="28"/>
              </w:rPr>
              <w:t>.1 Метод сопоставимых компаний</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_Toc356251995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16</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6" w:history="1">
            <w:r w:rsidRPr="00412326">
              <w:rPr>
                <w:rStyle w:val="ad"/>
                <w:rFonts w:ascii="Times New Roman" w:hAnsi="Times New Roman"/>
                <w:b w:val="0"/>
                <w:noProof/>
                <w:sz w:val="28"/>
                <w:szCs w:val="28"/>
              </w:rPr>
              <w:t>1.3.2.2 Метод сопоставимых сделок</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_Toc356251996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18</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7" w:history="1">
            <w:r w:rsidRPr="00412326">
              <w:rPr>
                <w:rStyle w:val="ad"/>
                <w:rFonts w:ascii="Times New Roman" w:hAnsi="Times New Roman"/>
                <w:b w:val="0"/>
                <w:noProof/>
                <w:sz w:val="28"/>
                <w:szCs w:val="28"/>
              </w:rPr>
              <w:t>1.3.4 Затратный метод</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_Toc356251997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8" w:history="1">
            <w:r w:rsidRPr="00412326">
              <w:rPr>
                <w:rStyle w:val="ad"/>
                <w:rFonts w:ascii="Times New Roman" w:hAnsi="Times New Roman"/>
                <w:b w:val="0"/>
                <w:noProof/>
                <w:sz w:val="28"/>
                <w:szCs w:val="28"/>
              </w:rPr>
              <w:t>1.3.4.</w:t>
            </w:r>
            <w:r w:rsidRPr="00412326">
              <w:rPr>
                <w:rStyle w:val="ad"/>
                <w:rFonts w:ascii="Times New Roman" w:hAnsi="Times New Roman"/>
                <w:b w:val="0"/>
                <w:noProof/>
                <w:sz w:val="28"/>
                <w:szCs w:val="28"/>
                <w:lang w:val="en-US"/>
              </w:rPr>
              <w:t>1</w:t>
            </w:r>
            <w:r w:rsidRPr="00412326">
              <w:rPr>
                <w:rStyle w:val="ad"/>
                <w:rFonts w:ascii="Times New Roman" w:hAnsi="Times New Roman"/>
                <w:b w:val="0"/>
                <w:noProof/>
                <w:sz w:val="28"/>
                <w:szCs w:val="28"/>
              </w:rPr>
              <w:t xml:space="preserve"> Метод чистых активов</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_Toc356251998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1999" w:history="1">
            <w:r w:rsidRPr="00412326">
              <w:rPr>
                <w:rStyle w:val="ad"/>
                <w:rFonts w:ascii="Times New Roman" w:hAnsi="Times New Roman"/>
                <w:b w:val="0"/>
                <w:noProof/>
                <w:sz w:val="28"/>
                <w:szCs w:val="28"/>
                <w:lang w:val="en-US"/>
              </w:rPr>
              <w:t xml:space="preserve">1.3.4.2 </w:t>
            </w:r>
            <w:r w:rsidRPr="00412326">
              <w:rPr>
                <w:rStyle w:val="ad"/>
                <w:rFonts w:ascii="Times New Roman" w:hAnsi="Times New Roman"/>
                <w:b w:val="0"/>
                <w:noProof/>
                <w:sz w:val="28"/>
                <w:szCs w:val="28"/>
              </w:rPr>
              <w:t>Метод ликвидационной стоимости</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_Toc356251999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19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0" w:history="1">
            <w:r w:rsidRPr="00412326">
              <w:rPr>
                <w:rStyle w:val="ad"/>
                <w:rFonts w:ascii="Times New Roman" w:hAnsi="Times New Roman"/>
                <w:b w:val="0"/>
                <w:noProof/>
                <w:sz w:val="28"/>
                <w:szCs w:val="28"/>
              </w:rPr>
              <w:t>1.3.5 Метод реальных опционов</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_Toc356252000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20</w:t>
            </w:r>
            <w:r w:rsidRPr="00412326">
              <w:rPr>
                <w:rFonts w:ascii="Times New Roman" w:hAnsi="Times New Roman"/>
                <w:b w:val="0"/>
                <w:noProof/>
                <w:webHidden/>
                <w:sz w:val="28"/>
                <w:szCs w:val="28"/>
              </w:rPr>
              <w:fldChar w:fldCharType="end"/>
            </w:r>
          </w:hyperlink>
        </w:p>
        <w:p w:rsidR="00412326" w:rsidRPr="00412326" w:rsidRDefault="00412326">
          <w:pPr>
            <w:pStyle w:val="11"/>
            <w:rPr>
              <w:rFonts w:ascii="Times New Roman" w:eastAsiaTheme="minorEastAsia" w:hAnsi="Times New Roman"/>
              <w:b w:val="0"/>
              <w:bCs w:val="0"/>
              <w:caps w:val="0"/>
              <w:noProof/>
              <w:sz w:val="28"/>
              <w:szCs w:val="28"/>
              <w:lang w:eastAsia="ru-RU"/>
            </w:rPr>
          </w:pPr>
          <w:hyperlink w:anchor="_Toc356252001" w:history="1">
            <w:r w:rsidRPr="00412326">
              <w:rPr>
                <w:rStyle w:val="ad"/>
                <w:rFonts w:ascii="Times New Roman" w:hAnsi="Times New Roman"/>
                <w:b w:val="0"/>
                <w:noProof/>
                <w:sz w:val="28"/>
                <w:szCs w:val="28"/>
              </w:rPr>
              <w:t>2. Обзор рынка пивоваренной промышленности</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_Toc356252001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24</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2" w:history="1">
            <w:r w:rsidRPr="00412326">
              <w:rPr>
                <w:rStyle w:val="ad"/>
                <w:rFonts w:ascii="Times New Roman" w:hAnsi="Times New Roman"/>
                <w:b w:val="0"/>
                <w:noProof/>
                <w:sz w:val="28"/>
                <w:szCs w:val="28"/>
              </w:rPr>
              <w:t>2.1 Основные тенденции и перспективы развития отрасли</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_Toc356252002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24</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3" w:history="1">
            <w:r w:rsidRPr="00412326">
              <w:rPr>
                <w:rStyle w:val="ad"/>
                <w:rFonts w:ascii="Times New Roman" w:hAnsi="Times New Roman"/>
                <w:b w:val="0"/>
                <w:noProof/>
                <w:sz w:val="28"/>
                <w:szCs w:val="28"/>
              </w:rPr>
              <w:t>2.2 Анализ операционной деятельности и финансовых показателей основных игроков отрасли</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_Toc356252003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25</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4" w:history="1">
            <w:r w:rsidRPr="00412326">
              <w:rPr>
                <w:rStyle w:val="ad"/>
                <w:rFonts w:ascii="Times New Roman" w:hAnsi="Times New Roman"/>
                <w:b w:val="0"/>
                <w:noProof/>
                <w:sz w:val="28"/>
                <w:szCs w:val="28"/>
              </w:rPr>
              <w:t>2.2.1 Anheuser Busch In-Bev</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_Toc356252004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25</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5" w:history="1">
            <w:r w:rsidRPr="00412326">
              <w:rPr>
                <w:rStyle w:val="ad"/>
                <w:rFonts w:ascii="Times New Roman" w:hAnsi="Times New Roman"/>
                <w:b w:val="0"/>
                <w:noProof/>
                <w:sz w:val="28"/>
                <w:szCs w:val="28"/>
              </w:rPr>
              <w:t>2.2.2 SABMiller plc.</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_Toc356252005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29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6" w:history="1">
            <w:r w:rsidRPr="00412326">
              <w:rPr>
                <w:rStyle w:val="ad"/>
                <w:rFonts w:ascii="Times New Roman" w:hAnsi="Times New Roman"/>
                <w:b w:val="0"/>
                <w:noProof/>
                <w:sz w:val="28"/>
                <w:szCs w:val="28"/>
              </w:rPr>
              <w:t>2.2.3 Carlsberg AS</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_Toc356252006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31</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7" w:history="1">
            <w:r w:rsidRPr="00412326">
              <w:rPr>
                <w:rStyle w:val="ad"/>
                <w:rFonts w:ascii="Times New Roman" w:hAnsi="Times New Roman"/>
                <w:b w:val="0"/>
                <w:noProof/>
                <w:sz w:val="28"/>
                <w:szCs w:val="28"/>
              </w:rPr>
              <w:t xml:space="preserve">2.3 Анализ конкурентоспособности компании </w:t>
            </w:r>
            <w:r w:rsidRPr="00412326">
              <w:rPr>
                <w:rStyle w:val="ad"/>
                <w:rFonts w:ascii="Times New Roman" w:hAnsi="Times New Roman"/>
                <w:b w:val="0"/>
                <w:noProof/>
                <w:sz w:val="28"/>
                <w:szCs w:val="28"/>
                <w:lang w:val="en-US"/>
              </w:rPr>
              <w:t>Heineken</w:t>
            </w:r>
            <w:r w:rsidRPr="00412326">
              <w:rPr>
                <w:rStyle w:val="ad"/>
                <w:rFonts w:ascii="Times New Roman" w:hAnsi="Times New Roman"/>
                <w:b w:val="0"/>
                <w:noProof/>
                <w:sz w:val="28"/>
                <w:szCs w:val="28"/>
              </w:rPr>
              <w:t xml:space="preserve"> </w:t>
            </w:r>
            <w:r w:rsidRPr="00412326">
              <w:rPr>
                <w:rStyle w:val="ad"/>
                <w:rFonts w:ascii="Times New Roman" w:hAnsi="Times New Roman"/>
                <w:b w:val="0"/>
                <w:noProof/>
                <w:sz w:val="28"/>
                <w:szCs w:val="28"/>
                <w:lang w:val="en-US"/>
              </w:rPr>
              <w:t>N</w:t>
            </w:r>
            <w:r w:rsidRPr="00412326">
              <w:rPr>
                <w:rStyle w:val="ad"/>
                <w:rFonts w:ascii="Times New Roman" w:hAnsi="Times New Roman"/>
                <w:b w:val="0"/>
                <w:noProof/>
                <w:sz w:val="28"/>
                <w:szCs w:val="28"/>
              </w:rPr>
              <w:t>.</w:t>
            </w:r>
            <w:r w:rsidRPr="00412326">
              <w:rPr>
                <w:rStyle w:val="ad"/>
                <w:rFonts w:ascii="Times New Roman" w:hAnsi="Times New Roman"/>
                <w:b w:val="0"/>
                <w:noProof/>
                <w:sz w:val="28"/>
                <w:szCs w:val="28"/>
                <w:lang w:val="en-US"/>
              </w:rPr>
              <w:t>V</w:t>
            </w:r>
            <w:r w:rsidRPr="00412326">
              <w:rPr>
                <w:rStyle w:val="ad"/>
                <w:rFonts w:ascii="Times New Roman" w:hAnsi="Times New Roman"/>
                <w:b w:val="0"/>
                <w:noProof/>
                <w:sz w:val="28"/>
                <w:szCs w:val="28"/>
              </w:rPr>
              <w:t>.</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_Toc356252007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33</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8" w:history="1">
            <w:r w:rsidRPr="00412326">
              <w:rPr>
                <w:rStyle w:val="ad"/>
                <w:rFonts w:ascii="Times New Roman" w:hAnsi="Times New Roman"/>
                <w:b w:val="0"/>
                <w:noProof/>
                <w:sz w:val="28"/>
                <w:szCs w:val="28"/>
              </w:rPr>
              <w:t>2.3.1 Анализ внешнеэкономической деятельности и международный бизнес</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_Toc356252008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34</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09" w:history="1">
            <w:r w:rsidRPr="00412326">
              <w:rPr>
                <w:rStyle w:val="ad"/>
                <w:rFonts w:ascii="Times New Roman" w:hAnsi="Times New Roman"/>
                <w:b w:val="0"/>
                <w:noProof/>
                <w:sz w:val="28"/>
                <w:szCs w:val="28"/>
              </w:rPr>
              <w:t>2.3.2 Анализ основных финансовых показателей компании</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_Toc356252009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36</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0" w:history="1">
            <w:r w:rsidRPr="00412326">
              <w:rPr>
                <w:rStyle w:val="ad"/>
                <w:rFonts w:ascii="Times New Roman" w:hAnsi="Times New Roman"/>
                <w:b w:val="0"/>
                <w:noProof/>
                <w:sz w:val="28"/>
                <w:szCs w:val="28"/>
              </w:rPr>
              <w:t>2.3.3 Анализ структуры активов и инвестиционной деятельности</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_Toc356252010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38</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1" w:history="1">
            <w:r w:rsidRPr="00412326">
              <w:rPr>
                <w:rStyle w:val="ad"/>
                <w:rFonts w:ascii="Times New Roman" w:hAnsi="Times New Roman"/>
                <w:b w:val="0"/>
                <w:noProof/>
                <w:sz w:val="28"/>
                <w:szCs w:val="28"/>
              </w:rPr>
              <w:t>2.3.4 Анализ конкурентных стратегий</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_Toc356252011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39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2" w:history="1">
            <w:r w:rsidRPr="00412326">
              <w:rPr>
                <w:rStyle w:val="ad"/>
                <w:rFonts w:ascii="Times New Roman" w:hAnsi="Times New Roman"/>
                <w:b w:val="0"/>
                <w:noProof/>
                <w:sz w:val="28"/>
                <w:szCs w:val="28"/>
              </w:rPr>
              <w:t>2.3.5 SWOT Анализ</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_Toc356252012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42</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3" w:history="1">
            <w:r w:rsidRPr="00412326">
              <w:rPr>
                <w:rStyle w:val="ad"/>
                <w:rFonts w:ascii="Times New Roman" w:hAnsi="Times New Roman"/>
                <w:b w:val="0"/>
                <w:noProof/>
                <w:sz w:val="28"/>
                <w:szCs w:val="28"/>
                <w:lang w:val="en-US"/>
              </w:rPr>
              <w:t xml:space="preserve">2.3.6. </w:t>
            </w:r>
            <w:r w:rsidRPr="00412326">
              <w:rPr>
                <w:rStyle w:val="ad"/>
                <w:rFonts w:ascii="Times New Roman" w:hAnsi="Times New Roman"/>
                <w:b w:val="0"/>
                <w:noProof/>
                <w:sz w:val="28"/>
                <w:szCs w:val="28"/>
              </w:rPr>
              <w:t>Краткая</w:t>
            </w:r>
            <w:r w:rsidRPr="00412326">
              <w:rPr>
                <w:rStyle w:val="ad"/>
                <w:rFonts w:ascii="Times New Roman" w:hAnsi="Times New Roman"/>
                <w:b w:val="0"/>
                <w:noProof/>
                <w:sz w:val="28"/>
                <w:szCs w:val="28"/>
                <w:lang w:val="en-US"/>
              </w:rPr>
              <w:t xml:space="preserve"> </w:t>
            </w:r>
            <w:r w:rsidRPr="00412326">
              <w:rPr>
                <w:rStyle w:val="ad"/>
                <w:rFonts w:ascii="Times New Roman" w:hAnsi="Times New Roman"/>
                <w:b w:val="0"/>
                <w:noProof/>
                <w:sz w:val="28"/>
                <w:szCs w:val="28"/>
              </w:rPr>
              <w:t>характеристика</w:t>
            </w:r>
            <w:r w:rsidRPr="00412326">
              <w:rPr>
                <w:rStyle w:val="ad"/>
                <w:rFonts w:ascii="Times New Roman" w:hAnsi="Times New Roman"/>
                <w:b w:val="0"/>
                <w:noProof/>
                <w:sz w:val="28"/>
                <w:szCs w:val="28"/>
                <w:lang w:val="en-US"/>
              </w:rPr>
              <w:t xml:space="preserve"> Asia Pacific Breweries Ltd.</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_Toc356252013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43</w:t>
            </w:r>
            <w:r w:rsidRPr="00412326">
              <w:rPr>
                <w:rFonts w:ascii="Times New Roman" w:hAnsi="Times New Roman"/>
                <w:b w:val="0"/>
                <w:noProof/>
                <w:webHidden/>
                <w:sz w:val="28"/>
                <w:szCs w:val="28"/>
              </w:rPr>
              <w:fldChar w:fldCharType="end"/>
            </w:r>
          </w:hyperlink>
        </w:p>
        <w:p w:rsidR="00412326" w:rsidRPr="00412326" w:rsidRDefault="00412326">
          <w:pPr>
            <w:pStyle w:val="11"/>
            <w:rPr>
              <w:rFonts w:ascii="Times New Roman" w:eastAsiaTheme="minorEastAsia" w:hAnsi="Times New Roman"/>
              <w:b w:val="0"/>
              <w:bCs w:val="0"/>
              <w:caps w:val="0"/>
              <w:noProof/>
              <w:sz w:val="28"/>
              <w:szCs w:val="28"/>
              <w:lang w:eastAsia="ru-RU"/>
            </w:rPr>
          </w:pPr>
          <w:hyperlink w:anchor="_Toc356252014" w:history="1">
            <w:r w:rsidRPr="00412326">
              <w:rPr>
                <w:rStyle w:val="ad"/>
                <w:rFonts w:ascii="Times New Roman" w:hAnsi="Times New Roman"/>
                <w:b w:val="0"/>
                <w:noProof/>
                <w:sz w:val="28"/>
                <w:szCs w:val="28"/>
              </w:rPr>
              <w:t xml:space="preserve">3. Оценка эффективности сделки </w:t>
            </w:r>
            <w:r w:rsidRPr="00412326">
              <w:rPr>
                <w:rStyle w:val="ad"/>
                <w:rFonts w:ascii="Times New Roman" w:hAnsi="Times New Roman"/>
                <w:b w:val="0"/>
                <w:noProof/>
                <w:sz w:val="28"/>
                <w:szCs w:val="28"/>
                <w:lang w:val="en-US"/>
              </w:rPr>
              <w:t>Heineken</w:t>
            </w:r>
            <w:r w:rsidRPr="00412326">
              <w:rPr>
                <w:rStyle w:val="ad"/>
                <w:rFonts w:ascii="Times New Roman" w:hAnsi="Times New Roman"/>
                <w:b w:val="0"/>
                <w:noProof/>
                <w:sz w:val="28"/>
                <w:szCs w:val="28"/>
              </w:rPr>
              <w:t xml:space="preserve"> </w:t>
            </w:r>
            <w:r w:rsidRPr="00412326">
              <w:rPr>
                <w:rStyle w:val="ad"/>
                <w:rFonts w:ascii="Times New Roman" w:hAnsi="Times New Roman"/>
                <w:b w:val="0"/>
                <w:noProof/>
                <w:sz w:val="28"/>
                <w:szCs w:val="28"/>
                <w:lang w:val="en-US"/>
              </w:rPr>
              <w:t>N</w:t>
            </w:r>
            <w:r w:rsidRPr="00412326">
              <w:rPr>
                <w:rStyle w:val="ad"/>
                <w:rFonts w:ascii="Times New Roman" w:hAnsi="Times New Roman"/>
                <w:b w:val="0"/>
                <w:noProof/>
                <w:sz w:val="28"/>
                <w:szCs w:val="28"/>
              </w:rPr>
              <w:t>.</w:t>
            </w:r>
            <w:r w:rsidRPr="00412326">
              <w:rPr>
                <w:rStyle w:val="ad"/>
                <w:rFonts w:ascii="Times New Roman" w:hAnsi="Times New Roman"/>
                <w:b w:val="0"/>
                <w:noProof/>
                <w:sz w:val="28"/>
                <w:szCs w:val="28"/>
                <w:lang w:val="en-US"/>
              </w:rPr>
              <w:t>V</w:t>
            </w:r>
            <w:r w:rsidRPr="00412326">
              <w:rPr>
                <w:rStyle w:val="ad"/>
                <w:rFonts w:ascii="Times New Roman" w:hAnsi="Times New Roman"/>
                <w:b w:val="0"/>
                <w:noProof/>
                <w:sz w:val="28"/>
                <w:szCs w:val="28"/>
              </w:rPr>
              <w:t xml:space="preserve">. и </w:t>
            </w:r>
            <w:r w:rsidRPr="00412326">
              <w:rPr>
                <w:rStyle w:val="ad"/>
                <w:rFonts w:ascii="Times New Roman" w:hAnsi="Times New Roman"/>
                <w:b w:val="0"/>
                <w:noProof/>
                <w:sz w:val="28"/>
                <w:szCs w:val="28"/>
                <w:lang w:val="en-US"/>
              </w:rPr>
              <w:t>Asia</w:t>
            </w:r>
            <w:r w:rsidRPr="00412326">
              <w:rPr>
                <w:rStyle w:val="ad"/>
                <w:rFonts w:ascii="Times New Roman" w:hAnsi="Times New Roman"/>
                <w:b w:val="0"/>
                <w:noProof/>
                <w:sz w:val="28"/>
                <w:szCs w:val="28"/>
              </w:rPr>
              <w:t xml:space="preserve"> </w:t>
            </w:r>
            <w:r w:rsidRPr="00412326">
              <w:rPr>
                <w:rStyle w:val="ad"/>
                <w:rFonts w:ascii="Times New Roman" w:hAnsi="Times New Roman"/>
                <w:b w:val="0"/>
                <w:noProof/>
                <w:sz w:val="28"/>
                <w:szCs w:val="28"/>
                <w:lang w:val="en-US"/>
              </w:rPr>
              <w:t>Pacific</w:t>
            </w:r>
            <w:r w:rsidRPr="00412326">
              <w:rPr>
                <w:rStyle w:val="ad"/>
                <w:rFonts w:ascii="Times New Roman" w:hAnsi="Times New Roman"/>
                <w:b w:val="0"/>
                <w:noProof/>
                <w:sz w:val="28"/>
                <w:szCs w:val="28"/>
              </w:rPr>
              <w:t xml:space="preserve"> </w:t>
            </w:r>
            <w:r w:rsidRPr="00412326">
              <w:rPr>
                <w:rStyle w:val="ad"/>
                <w:rFonts w:ascii="Times New Roman" w:hAnsi="Times New Roman"/>
                <w:b w:val="0"/>
                <w:noProof/>
                <w:sz w:val="28"/>
                <w:szCs w:val="28"/>
                <w:lang w:val="en-US"/>
              </w:rPr>
              <w:t>Breweries</w:t>
            </w:r>
            <w:r w:rsidRPr="00412326">
              <w:rPr>
                <w:rStyle w:val="ad"/>
                <w:rFonts w:ascii="Times New Roman" w:hAnsi="Times New Roman"/>
                <w:b w:val="0"/>
                <w:noProof/>
                <w:sz w:val="28"/>
                <w:szCs w:val="28"/>
              </w:rPr>
              <w:t xml:space="preserve"> </w:t>
            </w:r>
            <w:r w:rsidRPr="00412326">
              <w:rPr>
                <w:rStyle w:val="ad"/>
                <w:rFonts w:ascii="Times New Roman" w:hAnsi="Times New Roman"/>
                <w:b w:val="0"/>
                <w:noProof/>
                <w:sz w:val="28"/>
                <w:szCs w:val="28"/>
                <w:lang w:val="en-US"/>
              </w:rPr>
              <w:t>Ltd</w:t>
            </w:r>
            <w:r w:rsidRPr="00412326">
              <w:rPr>
                <w:rStyle w:val="ad"/>
                <w:rFonts w:ascii="Times New Roman" w:hAnsi="Times New Roman"/>
                <w:b w:val="0"/>
                <w:noProof/>
                <w:sz w:val="28"/>
                <w:szCs w:val="28"/>
              </w:rPr>
              <w:t>.</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_Toc356252014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45</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5" w:history="1">
            <w:r w:rsidRPr="00412326">
              <w:rPr>
                <w:rStyle w:val="ad"/>
                <w:rFonts w:ascii="Times New Roman" w:hAnsi="Times New Roman"/>
                <w:b w:val="0"/>
                <w:noProof/>
                <w:sz w:val="28"/>
                <w:szCs w:val="28"/>
              </w:rPr>
              <w:t>3.1 Построение модели Дисконтированных Денежных Потоков (ДДП)</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_Toc356252015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45</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6" w:history="1">
            <w:r w:rsidRPr="00412326">
              <w:rPr>
                <w:rStyle w:val="ad"/>
                <w:rFonts w:ascii="Times New Roman" w:hAnsi="Times New Roman"/>
                <w:b w:val="0"/>
                <w:noProof/>
                <w:sz w:val="28"/>
                <w:szCs w:val="28"/>
              </w:rPr>
              <w:t>3.2. Сравнительный анализ мультипликаторов компаний-аналогов</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_Toc356252016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49</w:t>
            </w:r>
            <w:r w:rsidRPr="00412326">
              <w:rPr>
                <w:rFonts w:ascii="Times New Roman" w:hAnsi="Times New Roman"/>
                <w:b w:val="0"/>
                <w:noProof/>
                <w:webHidden/>
                <w:sz w:val="28"/>
                <w:szCs w:val="28"/>
              </w:rPr>
              <w:fldChar w:fldCharType="end"/>
            </w:r>
          </w:hyperlink>
        </w:p>
        <w:p w:rsidR="00412326" w:rsidRPr="00412326" w:rsidRDefault="00412326">
          <w:pPr>
            <w:pStyle w:val="21"/>
            <w:tabs>
              <w:tab w:val="right" w:leader="dot" w:pos="9627"/>
            </w:tabs>
            <w:rPr>
              <w:rFonts w:ascii="Times New Roman" w:eastAsiaTheme="minorEastAsia" w:hAnsi="Times New Roman"/>
              <w:b w:val="0"/>
              <w:bCs w:val="0"/>
              <w:noProof/>
              <w:sz w:val="28"/>
              <w:szCs w:val="28"/>
              <w:lang w:eastAsia="ru-RU"/>
            </w:rPr>
          </w:pPr>
          <w:hyperlink w:anchor="_Toc356252017" w:history="1">
            <w:r w:rsidRPr="00412326">
              <w:rPr>
                <w:rStyle w:val="ad"/>
                <w:rFonts w:ascii="Times New Roman" w:hAnsi="Times New Roman"/>
                <w:b w:val="0"/>
                <w:noProof/>
                <w:sz w:val="28"/>
                <w:szCs w:val="28"/>
              </w:rPr>
              <w:t>3.3 Футбольное поле оценки и итоговое заключение о стоимости компании Heineken N.V.</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_Toc356252017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50</w:t>
            </w:r>
            <w:r w:rsidRPr="00412326">
              <w:rPr>
                <w:rFonts w:ascii="Times New Roman" w:hAnsi="Times New Roman"/>
                <w:b w:val="0"/>
                <w:noProof/>
                <w:webHidden/>
                <w:sz w:val="28"/>
                <w:szCs w:val="28"/>
              </w:rPr>
              <w:fldChar w:fldCharType="end"/>
            </w:r>
          </w:hyperlink>
        </w:p>
        <w:p w:rsidR="00412326" w:rsidRPr="00412326" w:rsidRDefault="00412326">
          <w:pPr>
            <w:pStyle w:val="11"/>
            <w:rPr>
              <w:rFonts w:ascii="Times New Roman" w:eastAsiaTheme="minorEastAsia" w:hAnsi="Times New Roman"/>
              <w:b w:val="0"/>
              <w:bCs w:val="0"/>
              <w:caps w:val="0"/>
              <w:noProof/>
              <w:sz w:val="28"/>
              <w:szCs w:val="28"/>
              <w:lang w:eastAsia="ru-RU"/>
            </w:rPr>
          </w:pPr>
          <w:hyperlink w:anchor="_Toc356252018" w:history="1">
            <w:r w:rsidRPr="00412326">
              <w:rPr>
                <w:rStyle w:val="ad"/>
                <w:rFonts w:ascii="Times New Roman" w:hAnsi="Times New Roman"/>
                <w:b w:val="0"/>
                <w:noProof/>
                <w:sz w:val="28"/>
                <w:szCs w:val="28"/>
              </w:rPr>
              <w:t>Заключение</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_Toc356252018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52</w:t>
            </w:r>
            <w:r w:rsidRPr="00412326">
              <w:rPr>
                <w:rFonts w:ascii="Times New Roman" w:hAnsi="Times New Roman"/>
                <w:b w:val="0"/>
                <w:noProof/>
                <w:webHidden/>
                <w:sz w:val="28"/>
                <w:szCs w:val="28"/>
              </w:rPr>
              <w:fldChar w:fldCharType="end"/>
            </w:r>
          </w:hyperlink>
        </w:p>
        <w:p w:rsidR="00412326" w:rsidRPr="00412326" w:rsidRDefault="00412326">
          <w:pPr>
            <w:pStyle w:val="11"/>
            <w:rPr>
              <w:rFonts w:ascii="Times New Roman" w:eastAsiaTheme="minorEastAsia" w:hAnsi="Times New Roman"/>
              <w:b w:val="0"/>
              <w:bCs w:val="0"/>
              <w:caps w:val="0"/>
              <w:noProof/>
              <w:sz w:val="28"/>
              <w:szCs w:val="28"/>
              <w:lang w:eastAsia="ru-RU"/>
            </w:rPr>
          </w:pPr>
          <w:hyperlink w:anchor="_Toc356252019" w:history="1">
            <w:r w:rsidRPr="00412326">
              <w:rPr>
                <w:rStyle w:val="ad"/>
                <w:rFonts w:ascii="Times New Roman" w:hAnsi="Times New Roman"/>
                <w:b w:val="0"/>
                <w:noProof/>
                <w:sz w:val="28"/>
                <w:szCs w:val="28"/>
              </w:rPr>
              <w:t>Список</w:t>
            </w:r>
            <w:r w:rsidRPr="00412326">
              <w:rPr>
                <w:rStyle w:val="ad"/>
                <w:rFonts w:ascii="Times New Roman" w:hAnsi="Times New Roman"/>
                <w:b w:val="0"/>
                <w:noProof/>
                <w:sz w:val="28"/>
                <w:szCs w:val="28"/>
                <w:lang w:val="en-US"/>
              </w:rPr>
              <w:t xml:space="preserve"> </w:t>
            </w:r>
            <w:r w:rsidRPr="00412326">
              <w:rPr>
                <w:rStyle w:val="ad"/>
                <w:rFonts w:ascii="Times New Roman" w:hAnsi="Times New Roman"/>
                <w:b w:val="0"/>
                <w:noProof/>
                <w:sz w:val="28"/>
                <w:szCs w:val="28"/>
              </w:rPr>
              <w:t>литературы</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_Toc356252019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55</w:t>
            </w:r>
            <w:r w:rsidRPr="00412326">
              <w:rPr>
                <w:rFonts w:ascii="Times New Roman" w:hAnsi="Times New Roman"/>
                <w:b w:val="0"/>
                <w:noProof/>
                <w:webHidden/>
                <w:sz w:val="28"/>
                <w:szCs w:val="28"/>
              </w:rPr>
              <w:fldChar w:fldCharType="end"/>
            </w:r>
          </w:hyperlink>
        </w:p>
        <w:p w:rsidR="00412326" w:rsidRPr="00412326" w:rsidRDefault="00412326">
          <w:pPr>
            <w:pStyle w:val="11"/>
            <w:rPr>
              <w:rFonts w:ascii="Times New Roman" w:eastAsiaTheme="minorEastAsia" w:hAnsi="Times New Roman"/>
              <w:b w:val="0"/>
              <w:bCs w:val="0"/>
              <w:caps w:val="0"/>
              <w:noProof/>
              <w:sz w:val="28"/>
              <w:szCs w:val="28"/>
              <w:lang w:eastAsia="ru-RU"/>
            </w:rPr>
          </w:pPr>
          <w:hyperlink w:anchor="_Toc356252020" w:history="1">
            <w:r w:rsidRPr="00412326">
              <w:rPr>
                <w:rStyle w:val="ad"/>
                <w:rFonts w:ascii="Times New Roman" w:hAnsi="Times New Roman"/>
                <w:b w:val="0"/>
                <w:noProof/>
                <w:sz w:val="28"/>
                <w:szCs w:val="28"/>
              </w:rPr>
              <w:t>Приложения</w:t>
            </w:r>
            <w:r w:rsidRPr="00412326">
              <w:rPr>
                <w:rFonts w:ascii="Times New Roman" w:hAnsi="Times New Roman"/>
                <w:b w:val="0"/>
                <w:noProof/>
                <w:webHidden/>
                <w:sz w:val="28"/>
                <w:szCs w:val="28"/>
              </w:rPr>
              <w:tab/>
            </w:r>
            <w:r w:rsidRPr="00412326">
              <w:rPr>
                <w:rFonts w:ascii="Times New Roman" w:hAnsi="Times New Roman"/>
                <w:b w:val="0"/>
                <w:noProof/>
                <w:webHidden/>
                <w:sz w:val="28"/>
                <w:szCs w:val="28"/>
              </w:rPr>
              <w:fldChar w:fldCharType="begin"/>
            </w:r>
            <w:r w:rsidRPr="00412326">
              <w:rPr>
                <w:rFonts w:ascii="Times New Roman" w:hAnsi="Times New Roman"/>
                <w:b w:val="0"/>
                <w:noProof/>
                <w:webHidden/>
                <w:sz w:val="28"/>
                <w:szCs w:val="28"/>
              </w:rPr>
              <w:instrText xml:space="preserve"> PAGEREF _Toc356252020 \h </w:instrText>
            </w:r>
            <w:r w:rsidRPr="00412326">
              <w:rPr>
                <w:rFonts w:ascii="Times New Roman" w:hAnsi="Times New Roman"/>
                <w:b w:val="0"/>
                <w:noProof/>
                <w:webHidden/>
                <w:sz w:val="28"/>
                <w:szCs w:val="28"/>
              </w:rPr>
            </w:r>
            <w:r w:rsidRPr="00412326">
              <w:rPr>
                <w:rFonts w:ascii="Times New Roman" w:hAnsi="Times New Roman"/>
                <w:b w:val="0"/>
                <w:noProof/>
                <w:webHidden/>
                <w:sz w:val="28"/>
                <w:szCs w:val="28"/>
              </w:rPr>
              <w:fldChar w:fldCharType="separate"/>
            </w:r>
            <w:r w:rsidRPr="00412326">
              <w:rPr>
                <w:rFonts w:ascii="Times New Roman" w:hAnsi="Times New Roman"/>
                <w:b w:val="0"/>
                <w:noProof/>
                <w:webHidden/>
                <w:sz w:val="28"/>
                <w:szCs w:val="28"/>
              </w:rPr>
              <w:t>58</w:t>
            </w:r>
            <w:r w:rsidRPr="00412326">
              <w:rPr>
                <w:rFonts w:ascii="Times New Roman" w:hAnsi="Times New Roman"/>
                <w:b w:val="0"/>
                <w:noProof/>
                <w:webHidden/>
                <w:sz w:val="28"/>
                <w:szCs w:val="28"/>
              </w:rPr>
              <w:fldChar w:fldCharType="end"/>
            </w:r>
          </w:hyperlink>
        </w:p>
        <w:p w:rsidR="00943A9A" w:rsidRPr="00F86AE5" w:rsidRDefault="00943A9A" w:rsidP="00022ED2">
          <w:pPr>
            <w:spacing w:line="240" w:lineRule="auto"/>
            <w:jc w:val="both"/>
            <w:rPr>
              <w:rFonts w:ascii="Times New Roman" w:hAnsi="Times New Roman"/>
              <w:sz w:val="28"/>
              <w:szCs w:val="28"/>
            </w:rPr>
          </w:pPr>
          <w:r w:rsidRPr="00F86AE5">
            <w:rPr>
              <w:rFonts w:ascii="Times New Roman" w:hAnsi="Times New Roman"/>
              <w:bCs/>
              <w:sz w:val="28"/>
              <w:szCs w:val="28"/>
            </w:rPr>
            <w:fldChar w:fldCharType="end"/>
          </w:r>
        </w:p>
      </w:sdtContent>
    </w:sdt>
    <w:p w:rsidR="00082A0A" w:rsidRPr="00022ED2" w:rsidRDefault="00082A0A" w:rsidP="00747173">
      <w:pPr>
        <w:jc w:val="both"/>
        <w:rPr>
          <w:rFonts w:ascii="Times New Roman" w:hAnsi="Times New Roman"/>
          <w:b/>
          <w:sz w:val="24"/>
          <w:szCs w:val="24"/>
        </w:rPr>
      </w:pPr>
      <w:bookmarkStart w:id="0" w:name="_GoBack"/>
      <w:bookmarkEnd w:id="0"/>
      <w:r w:rsidRPr="00022ED2">
        <w:rPr>
          <w:rFonts w:ascii="Times New Roman" w:hAnsi="Times New Roman"/>
          <w:b/>
          <w:sz w:val="24"/>
          <w:szCs w:val="24"/>
        </w:rPr>
        <w:br w:type="page"/>
      </w:r>
    </w:p>
    <w:p w:rsidR="00E84EFE" w:rsidRPr="00AF10E4" w:rsidRDefault="0097674A" w:rsidP="00AF10E4">
      <w:pPr>
        <w:pStyle w:val="1"/>
        <w:spacing w:line="720" w:lineRule="auto"/>
        <w:jc w:val="center"/>
        <w:rPr>
          <w:rFonts w:ascii="Times New Roman" w:hAnsi="Times New Roman" w:cs="Times New Roman"/>
          <w:color w:val="auto"/>
        </w:rPr>
      </w:pPr>
      <w:bookmarkStart w:id="1" w:name="_Toc356172309"/>
      <w:bookmarkStart w:id="2" w:name="_Toc356251985"/>
      <w:r w:rsidRPr="00AF10E4">
        <w:rPr>
          <w:rFonts w:ascii="Times New Roman" w:hAnsi="Times New Roman" w:cs="Times New Roman"/>
          <w:color w:val="auto"/>
        </w:rPr>
        <w:t>Введение</w:t>
      </w:r>
      <w:bookmarkEnd w:id="1"/>
      <w:bookmarkEnd w:id="2"/>
    </w:p>
    <w:p w:rsidR="00BC5FC9" w:rsidRDefault="000B1EF5" w:rsidP="00947DB8">
      <w:pPr>
        <w:spacing w:after="240" w:line="360" w:lineRule="auto"/>
        <w:ind w:firstLine="360"/>
        <w:jc w:val="both"/>
        <w:rPr>
          <w:rFonts w:ascii="Times New Roman" w:hAnsi="Times New Roman"/>
          <w:sz w:val="28"/>
          <w:szCs w:val="28"/>
        </w:rPr>
      </w:pPr>
      <w:r>
        <w:rPr>
          <w:rFonts w:ascii="Times New Roman" w:hAnsi="Times New Roman"/>
          <w:sz w:val="28"/>
          <w:szCs w:val="28"/>
        </w:rPr>
        <w:t>В условиях глобализации мировых рынков, либерализации экономических отношений и движения капиталов, т</w:t>
      </w:r>
      <w:r w:rsidR="00201D84">
        <w:rPr>
          <w:rFonts w:ascii="Times New Roman" w:hAnsi="Times New Roman"/>
          <w:sz w:val="28"/>
          <w:szCs w:val="28"/>
        </w:rPr>
        <w:t>рансграничные с</w:t>
      </w:r>
      <w:r w:rsidR="0023051E">
        <w:rPr>
          <w:rFonts w:ascii="Times New Roman" w:hAnsi="Times New Roman"/>
          <w:sz w:val="28"/>
          <w:szCs w:val="28"/>
        </w:rPr>
        <w:t xml:space="preserve">делки слияний и поглощений являются </w:t>
      </w:r>
      <w:r w:rsidR="00201D84">
        <w:rPr>
          <w:rFonts w:ascii="Times New Roman" w:hAnsi="Times New Roman"/>
          <w:sz w:val="28"/>
          <w:szCs w:val="28"/>
        </w:rPr>
        <w:t>одним из самых распространенных способов экспансии компании</w:t>
      </w:r>
      <w:r w:rsidR="000102E3">
        <w:rPr>
          <w:rFonts w:ascii="Times New Roman" w:hAnsi="Times New Roman"/>
          <w:sz w:val="28"/>
          <w:szCs w:val="28"/>
        </w:rPr>
        <w:t xml:space="preserve"> на рынки зарубежных стран. Транснациональные слияния и поглощения принимают форму прямых иностранных инвестиций, цель которых состоит в  изменении контроля над активами и операциями поглощаемой компании</w:t>
      </w:r>
      <w:r>
        <w:rPr>
          <w:rFonts w:ascii="Times New Roman" w:hAnsi="Times New Roman"/>
          <w:sz w:val="28"/>
          <w:szCs w:val="28"/>
        </w:rPr>
        <w:t xml:space="preserve">. </w:t>
      </w:r>
    </w:p>
    <w:p w:rsidR="004A72E3" w:rsidRDefault="000B1EF5" w:rsidP="004A72E3">
      <w:pPr>
        <w:spacing w:after="240" w:line="360" w:lineRule="auto"/>
        <w:ind w:firstLine="360"/>
        <w:jc w:val="both"/>
        <w:rPr>
          <w:rFonts w:ascii="Times New Roman" w:hAnsi="Times New Roman"/>
          <w:sz w:val="28"/>
          <w:szCs w:val="28"/>
        </w:rPr>
      </w:pPr>
      <w:r>
        <w:rPr>
          <w:rFonts w:ascii="Times New Roman" w:hAnsi="Times New Roman"/>
          <w:sz w:val="28"/>
          <w:szCs w:val="28"/>
        </w:rPr>
        <w:t xml:space="preserve">Примером такой экспансии является сделка между голландской </w:t>
      </w:r>
      <w:r w:rsidR="001A355E">
        <w:rPr>
          <w:rFonts w:ascii="Times New Roman" w:hAnsi="Times New Roman"/>
          <w:sz w:val="28"/>
          <w:szCs w:val="28"/>
        </w:rPr>
        <w:t xml:space="preserve">и сингапурской компаниями – </w:t>
      </w:r>
      <w:r>
        <w:rPr>
          <w:rFonts w:ascii="Times New Roman" w:hAnsi="Times New Roman"/>
          <w:sz w:val="28"/>
          <w:szCs w:val="28"/>
          <w:lang w:val="en-US"/>
        </w:rPr>
        <w:t>Heineken</w:t>
      </w:r>
      <w:r w:rsidRPr="000B1EF5">
        <w:rPr>
          <w:rFonts w:ascii="Times New Roman" w:hAnsi="Times New Roman"/>
          <w:sz w:val="28"/>
          <w:szCs w:val="28"/>
        </w:rPr>
        <w:t xml:space="preserve"> </w:t>
      </w:r>
      <w:r>
        <w:rPr>
          <w:rFonts w:ascii="Times New Roman" w:hAnsi="Times New Roman"/>
          <w:sz w:val="28"/>
          <w:szCs w:val="28"/>
          <w:lang w:val="en-US"/>
        </w:rPr>
        <w:t>N</w:t>
      </w:r>
      <w:r w:rsidRPr="000B1EF5">
        <w:rPr>
          <w:rFonts w:ascii="Times New Roman" w:hAnsi="Times New Roman"/>
          <w:sz w:val="28"/>
          <w:szCs w:val="28"/>
        </w:rPr>
        <w:t>.</w:t>
      </w:r>
      <w:r>
        <w:rPr>
          <w:rFonts w:ascii="Times New Roman" w:hAnsi="Times New Roman"/>
          <w:sz w:val="28"/>
          <w:szCs w:val="28"/>
          <w:lang w:val="en-US"/>
        </w:rPr>
        <w:t>V</w:t>
      </w:r>
      <w:r w:rsidRPr="000B1EF5">
        <w:rPr>
          <w:rFonts w:ascii="Times New Roman" w:hAnsi="Times New Roman"/>
          <w:sz w:val="28"/>
          <w:szCs w:val="28"/>
        </w:rPr>
        <w:t xml:space="preserve">. </w:t>
      </w:r>
      <w:r w:rsidR="001A355E">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lang w:val="en-US"/>
        </w:rPr>
        <w:t>Asia</w:t>
      </w:r>
      <w:r w:rsidRPr="000B1EF5">
        <w:rPr>
          <w:rFonts w:ascii="Times New Roman" w:hAnsi="Times New Roman"/>
          <w:sz w:val="28"/>
          <w:szCs w:val="28"/>
        </w:rPr>
        <w:t xml:space="preserve"> </w:t>
      </w:r>
      <w:r>
        <w:rPr>
          <w:rFonts w:ascii="Times New Roman" w:hAnsi="Times New Roman"/>
          <w:sz w:val="28"/>
          <w:szCs w:val="28"/>
          <w:lang w:val="en-US"/>
        </w:rPr>
        <w:t>Pacific</w:t>
      </w:r>
      <w:r w:rsidRPr="000B1EF5">
        <w:rPr>
          <w:rFonts w:ascii="Times New Roman" w:hAnsi="Times New Roman"/>
          <w:sz w:val="28"/>
          <w:szCs w:val="28"/>
        </w:rPr>
        <w:t xml:space="preserve"> </w:t>
      </w:r>
      <w:r>
        <w:rPr>
          <w:rFonts w:ascii="Times New Roman" w:hAnsi="Times New Roman"/>
          <w:sz w:val="28"/>
          <w:szCs w:val="28"/>
          <w:lang w:val="en-US"/>
        </w:rPr>
        <w:t>Breweries</w:t>
      </w:r>
      <w:r w:rsidRPr="000B1EF5">
        <w:rPr>
          <w:rFonts w:ascii="Times New Roman" w:hAnsi="Times New Roman"/>
          <w:sz w:val="28"/>
          <w:szCs w:val="28"/>
        </w:rPr>
        <w:t xml:space="preserve"> </w:t>
      </w:r>
      <w:r>
        <w:rPr>
          <w:rFonts w:ascii="Times New Roman" w:hAnsi="Times New Roman"/>
          <w:sz w:val="28"/>
          <w:szCs w:val="28"/>
          <w:lang w:val="en-US"/>
        </w:rPr>
        <w:t>Ltd</w:t>
      </w:r>
      <w:r w:rsidRPr="000B1EF5">
        <w:rPr>
          <w:rFonts w:ascii="Times New Roman" w:hAnsi="Times New Roman"/>
          <w:sz w:val="28"/>
          <w:szCs w:val="28"/>
        </w:rPr>
        <w:t xml:space="preserve">. </w:t>
      </w:r>
      <w:r w:rsidR="001A355E">
        <w:rPr>
          <w:rFonts w:ascii="Times New Roman" w:hAnsi="Times New Roman"/>
          <w:sz w:val="28"/>
          <w:szCs w:val="28"/>
        </w:rPr>
        <w:t xml:space="preserve">В июне 2012 г.  </w:t>
      </w:r>
      <w:r w:rsidR="001A355E">
        <w:rPr>
          <w:rFonts w:ascii="Times New Roman" w:hAnsi="Times New Roman"/>
          <w:sz w:val="28"/>
          <w:szCs w:val="28"/>
          <w:lang w:val="en-US"/>
        </w:rPr>
        <w:t>Heineken</w:t>
      </w:r>
      <w:r w:rsidR="001A355E" w:rsidRPr="001A355E">
        <w:rPr>
          <w:rFonts w:ascii="Times New Roman" w:hAnsi="Times New Roman"/>
          <w:sz w:val="28"/>
          <w:szCs w:val="28"/>
        </w:rPr>
        <w:t xml:space="preserve"> </w:t>
      </w:r>
      <w:r w:rsidR="001A355E">
        <w:rPr>
          <w:rFonts w:ascii="Times New Roman" w:hAnsi="Times New Roman"/>
          <w:sz w:val="28"/>
          <w:szCs w:val="28"/>
          <w:lang w:val="en-US"/>
        </w:rPr>
        <w:t>N</w:t>
      </w:r>
      <w:r w:rsidR="001A355E" w:rsidRPr="001A355E">
        <w:rPr>
          <w:rFonts w:ascii="Times New Roman" w:hAnsi="Times New Roman"/>
          <w:sz w:val="28"/>
          <w:szCs w:val="28"/>
        </w:rPr>
        <w:t>.</w:t>
      </w:r>
      <w:r w:rsidR="001A355E">
        <w:rPr>
          <w:rFonts w:ascii="Times New Roman" w:hAnsi="Times New Roman"/>
          <w:sz w:val="28"/>
          <w:szCs w:val="28"/>
          <w:lang w:val="en-US"/>
        </w:rPr>
        <w:t>V</w:t>
      </w:r>
      <w:r w:rsidR="001A355E" w:rsidRPr="001A355E">
        <w:rPr>
          <w:rFonts w:ascii="Times New Roman" w:hAnsi="Times New Roman"/>
          <w:sz w:val="28"/>
          <w:szCs w:val="28"/>
        </w:rPr>
        <w:t xml:space="preserve">. </w:t>
      </w:r>
      <w:r w:rsidR="001A355E">
        <w:rPr>
          <w:rFonts w:ascii="Times New Roman" w:hAnsi="Times New Roman"/>
          <w:sz w:val="28"/>
          <w:szCs w:val="28"/>
        </w:rPr>
        <w:t xml:space="preserve">заявила о своем намерении выкупить оставшуюся часть акций </w:t>
      </w:r>
      <w:r w:rsidR="004A72E3">
        <w:rPr>
          <w:rFonts w:ascii="Times New Roman" w:hAnsi="Times New Roman"/>
          <w:sz w:val="28"/>
          <w:szCs w:val="28"/>
          <w:lang w:val="en-US"/>
        </w:rPr>
        <w:t>APB</w:t>
      </w:r>
      <w:r w:rsidR="004A72E3" w:rsidRPr="000B1EF5">
        <w:rPr>
          <w:rFonts w:ascii="Times New Roman" w:hAnsi="Times New Roman"/>
          <w:sz w:val="28"/>
          <w:szCs w:val="28"/>
        </w:rPr>
        <w:t xml:space="preserve"> </w:t>
      </w:r>
      <w:r w:rsidR="004A72E3">
        <w:rPr>
          <w:rFonts w:ascii="Times New Roman" w:hAnsi="Times New Roman"/>
          <w:sz w:val="28"/>
          <w:szCs w:val="28"/>
          <w:lang w:val="en-US"/>
        </w:rPr>
        <w:t>Ltd</w:t>
      </w:r>
      <w:r w:rsidR="004A72E3">
        <w:rPr>
          <w:rFonts w:ascii="Times New Roman" w:hAnsi="Times New Roman"/>
          <w:sz w:val="28"/>
          <w:szCs w:val="28"/>
        </w:rPr>
        <w:t xml:space="preserve">. у акционеров компании </w:t>
      </w:r>
      <w:r w:rsidR="004A72E3">
        <w:rPr>
          <w:rFonts w:ascii="Times New Roman" w:hAnsi="Times New Roman"/>
          <w:sz w:val="28"/>
          <w:szCs w:val="28"/>
          <w:lang w:val="en-US"/>
        </w:rPr>
        <w:t>Fraser</w:t>
      </w:r>
      <w:r w:rsidR="004A72E3" w:rsidRPr="004A72E3">
        <w:rPr>
          <w:rFonts w:ascii="Times New Roman" w:hAnsi="Times New Roman"/>
          <w:sz w:val="28"/>
          <w:szCs w:val="28"/>
        </w:rPr>
        <w:t xml:space="preserve"> &amp; </w:t>
      </w:r>
      <w:r w:rsidR="004A72E3">
        <w:rPr>
          <w:rFonts w:ascii="Times New Roman" w:hAnsi="Times New Roman"/>
          <w:sz w:val="28"/>
          <w:szCs w:val="28"/>
          <w:lang w:val="en-US"/>
        </w:rPr>
        <w:t>Neave</w:t>
      </w:r>
      <w:r w:rsidR="004A72E3" w:rsidRPr="004A72E3">
        <w:rPr>
          <w:rFonts w:ascii="Times New Roman" w:hAnsi="Times New Roman"/>
          <w:sz w:val="28"/>
          <w:szCs w:val="28"/>
        </w:rPr>
        <w:t xml:space="preserve">, </w:t>
      </w:r>
      <w:r w:rsidR="004A72E3">
        <w:rPr>
          <w:rFonts w:ascii="Times New Roman" w:hAnsi="Times New Roman"/>
          <w:sz w:val="28"/>
          <w:szCs w:val="28"/>
        </w:rPr>
        <w:t xml:space="preserve">в чей состав входит </w:t>
      </w:r>
      <w:r w:rsidR="004A72E3">
        <w:rPr>
          <w:rFonts w:ascii="Times New Roman" w:hAnsi="Times New Roman"/>
          <w:sz w:val="28"/>
          <w:szCs w:val="28"/>
          <w:lang w:val="en-US"/>
        </w:rPr>
        <w:t>APB</w:t>
      </w:r>
      <w:r w:rsidR="004A72E3" w:rsidRPr="004A72E3">
        <w:rPr>
          <w:rFonts w:ascii="Times New Roman" w:hAnsi="Times New Roman"/>
          <w:sz w:val="28"/>
          <w:szCs w:val="28"/>
        </w:rPr>
        <w:t xml:space="preserve"> </w:t>
      </w:r>
      <w:r w:rsidR="004A72E3">
        <w:rPr>
          <w:rFonts w:ascii="Times New Roman" w:hAnsi="Times New Roman"/>
          <w:sz w:val="28"/>
          <w:szCs w:val="28"/>
          <w:lang w:val="en-US"/>
        </w:rPr>
        <w:t>Ltd</w:t>
      </w:r>
      <w:r w:rsidR="004A72E3">
        <w:rPr>
          <w:rFonts w:ascii="Times New Roman" w:hAnsi="Times New Roman"/>
          <w:sz w:val="28"/>
          <w:szCs w:val="28"/>
        </w:rPr>
        <w:t>.,</w:t>
      </w:r>
      <w:r w:rsidR="004A72E3" w:rsidRPr="004A72E3">
        <w:rPr>
          <w:rFonts w:ascii="Times New Roman" w:hAnsi="Times New Roman"/>
          <w:sz w:val="28"/>
          <w:szCs w:val="28"/>
        </w:rPr>
        <w:t xml:space="preserve"> </w:t>
      </w:r>
      <w:r w:rsidR="004A72E3">
        <w:rPr>
          <w:rFonts w:ascii="Times New Roman" w:hAnsi="Times New Roman"/>
          <w:sz w:val="28"/>
          <w:szCs w:val="28"/>
        </w:rPr>
        <w:t>с целью получения доступа к рынкам стран Юго-Восточной Азии</w:t>
      </w:r>
      <w:r w:rsidR="00424F71">
        <w:rPr>
          <w:rFonts w:ascii="Times New Roman" w:hAnsi="Times New Roman"/>
          <w:sz w:val="28"/>
          <w:szCs w:val="28"/>
        </w:rPr>
        <w:t>,</w:t>
      </w:r>
      <w:r w:rsidR="004A72E3">
        <w:rPr>
          <w:rFonts w:ascii="Times New Roman" w:hAnsi="Times New Roman"/>
          <w:sz w:val="28"/>
          <w:szCs w:val="28"/>
        </w:rPr>
        <w:t xml:space="preserve"> Тихоокеанских островов и  стремительно развивающемуся рынку Китая. </w:t>
      </w:r>
    </w:p>
    <w:p w:rsidR="00C35802" w:rsidRDefault="00424F71" w:rsidP="004A72E3">
      <w:pPr>
        <w:spacing w:after="240" w:line="360" w:lineRule="auto"/>
        <w:ind w:firstLine="360"/>
        <w:jc w:val="both"/>
        <w:rPr>
          <w:rFonts w:ascii="Times New Roman" w:hAnsi="Times New Roman"/>
          <w:sz w:val="28"/>
          <w:szCs w:val="28"/>
        </w:rPr>
      </w:pPr>
      <w:r w:rsidRPr="00B4405A">
        <w:rPr>
          <w:rFonts w:ascii="Times New Roman" w:hAnsi="Times New Roman"/>
          <w:b/>
          <w:sz w:val="28"/>
          <w:szCs w:val="28"/>
        </w:rPr>
        <w:t>Объектом</w:t>
      </w:r>
      <w:r>
        <w:rPr>
          <w:rFonts w:ascii="Times New Roman" w:hAnsi="Times New Roman"/>
          <w:sz w:val="28"/>
          <w:szCs w:val="28"/>
        </w:rPr>
        <w:t xml:space="preserve"> данного исследования являются трансграничные сделки слияний и поглощений. </w:t>
      </w:r>
      <w:r w:rsidRPr="00B4405A">
        <w:rPr>
          <w:rFonts w:ascii="Times New Roman" w:hAnsi="Times New Roman"/>
          <w:b/>
          <w:sz w:val="28"/>
          <w:szCs w:val="28"/>
        </w:rPr>
        <w:t>Предмет</w:t>
      </w:r>
      <w:r>
        <w:rPr>
          <w:rFonts w:ascii="Times New Roman" w:hAnsi="Times New Roman"/>
          <w:sz w:val="28"/>
          <w:szCs w:val="28"/>
        </w:rPr>
        <w:t xml:space="preserve"> работы – методы, используемые для оценки эффективности сделок слияний и поглощений. </w:t>
      </w:r>
      <w:r w:rsidRPr="00424F71">
        <w:rPr>
          <w:rFonts w:ascii="Times New Roman" w:hAnsi="Times New Roman"/>
          <w:sz w:val="28"/>
          <w:szCs w:val="28"/>
        </w:rPr>
        <w:t>Таким образом</w:t>
      </w:r>
      <w:r>
        <w:rPr>
          <w:rFonts w:ascii="Times New Roman" w:hAnsi="Times New Roman"/>
          <w:b/>
          <w:sz w:val="28"/>
          <w:szCs w:val="28"/>
        </w:rPr>
        <w:t>, ц</w:t>
      </w:r>
      <w:r w:rsidRPr="00B4405A">
        <w:rPr>
          <w:rFonts w:ascii="Times New Roman" w:hAnsi="Times New Roman"/>
          <w:b/>
          <w:sz w:val="28"/>
          <w:szCs w:val="28"/>
        </w:rPr>
        <w:t>ель</w:t>
      </w:r>
      <w:r>
        <w:rPr>
          <w:rFonts w:ascii="Times New Roman" w:hAnsi="Times New Roman"/>
          <w:sz w:val="28"/>
          <w:szCs w:val="28"/>
        </w:rPr>
        <w:t xml:space="preserve"> данной дипломной работы заключается в анализе применимости методов, используемых в процессе слияний и поглощений в отношении конкретной сделки между компаниями </w:t>
      </w:r>
      <w:r>
        <w:rPr>
          <w:rFonts w:ascii="Times New Roman" w:hAnsi="Times New Roman"/>
          <w:sz w:val="28"/>
          <w:szCs w:val="28"/>
          <w:lang w:val="en-US"/>
        </w:rPr>
        <w:t>Heineken</w:t>
      </w:r>
      <w:r w:rsidRPr="00B4405A">
        <w:rPr>
          <w:rFonts w:ascii="Times New Roman" w:hAnsi="Times New Roman"/>
          <w:sz w:val="28"/>
          <w:szCs w:val="28"/>
        </w:rPr>
        <w:t xml:space="preserve"> </w:t>
      </w:r>
      <w:r>
        <w:rPr>
          <w:rFonts w:ascii="Times New Roman" w:hAnsi="Times New Roman"/>
          <w:sz w:val="28"/>
          <w:szCs w:val="28"/>
          <w:lang w:val="en-US"/>
        </w:rPr>
        <w:t>N</w:t>
      </w:r>
      <w:r w:rsidRPr="00B4405A">
        <w:rPr>
          <w:rFonts w:ascii="Times New Roman" w:hAnsi="Times New Roman"/>
          <w:sz w:val="28"/>
          <w:szCs w:val="28"/>
        </w:rPr>
        <w:t>.</w:t>
      </w:r>
      <w:r>
        <w:rPr>
          <w:rFonts w:ascii="Times New Roman" w:hAnsi="Times New Roman"/>
          <w:sz w:val="28"/>
          <w:szCs w:val="28"/>
          <w:lang w:val="en-US"/>
        </w:rPr>
        <w:t>V</w:t>
      </w:r>
      <w:r w:rsidRPr="00B4405A">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Asia</w:t>
      </w:r>
      <w:r w:rsidRPr="00B4405A">
        <w:rPr>
          <w:rFonts w:ascii="Times New Roman" w:hAnsi="Times New Roman"/>
          <w:sz w:val="28"/>
          <w:szCs w:val="28"/>
        </w:rPr>
        <w:t xml:space="preserve"> </w:t>
      </w:r>
      <w:r>
        <w:rPr>
          <w:rFonts w:ascii="Times New Roman" w:hAnsi="Times New Roman"/>
          <w:sz w:val="28"/>
          <w:szCs w:val="28"/>
          <w:lang w:val="en-US"/>
        </w:rPr>
        <w:t>Pacific</w:t>
      </w:r>
      <w:r w:rsidRPr="00B4405A">
        <w:rPr>
          <w:rFonts w:ascii="Times New Roman" w:hAnsi="Times New Roman"/>
          <w:sz w:val="28"/>
          <w:szCs w:val="28"/>
        </w:rPr>
        <w:t xml:space="preserve"> </w:t>
      </w:r>
      <w:r>
        <w:rPr>
          <w:rFonts w:ascii="Times New Roman" w:hAnsi="Times New Roman"/>
          <w:sz w:val="28"/>
          <w:szCs w:val="28"/>
          <w:lang w:val="en-US"/>
        </w:rPr>
        <w:t>Breweries</w:t>
      </w:r>
      <w:r>
        <w:rPr>
          <w:rFonts w:ascii="Times New Roman" w:hAnsi="Times New Roman"/>
          <w:sz w:val="28"/>
          <w:szCs w:val="28"/>
        </w:rPr>
        <w:t xml:space="preserve"> </w:t>
      </w:r>
      <w:r>
        <w:rPr>
          <w:rFonts w:ascii="Times New Roman" w:hAnsi="Times New Roman"/>
          <w:sz w:val="28"/>
          <w:szCs w:val="28"/>
          <w:lang w:val="en-US"/>
        </w:rPr>
        <w:t>Ltd</w:t>
      </w:r>
      <w:r w:rsidRPr="00B4405A">
        <w:rPr>
          <w:rFonts w:ascii="Times New Roman" w:hAnsi="Times New Roman"/>
          <w:sz w:val="28"/>
          <w:szCs w:val="28"/>
        </w:rPr>
        <w:t xml:space="preserve">. </w:t>
      </w:r>
      <w:r>
        <w:rPr>
          <w:rFonts w:ascii="Times New Roman" w:hAnsi="Times New Roman"/>
          <w:sz w:val="28"/>
          <w:szCs w:val="28"/>
        </w:rPr>
        <w:t xml:space="preserve">с последующим обоснованием эффективности данной сделки. </w:t>
      </w:r>
    </w:p>
    <w:p w:rsidR="000F5FE1" w:rsidRDefault="00B4405A" w:rsidP="00971623">
      <w:pPr>
        <w:spacing w:after="240" w:line="360" w:lineRule="auto"/>
        <w:ind w:right="140" w:firstLine="360"/>
        <w:jc w:val="both"/>
        <w:rPr>
          <w:rFonts w:ascii="Times New Roman" w:hAnsi="Times New Roman"/>
          <w:sz w:val="28"/>
          <w:szCs w:val="28"/>
        </w:rPr>
      </w:pPr>
      <w:r>
        <w:rPr>
          <w:rFonts w:ascii="Times New Roman" w:hAnsi="Times New Roman"/>
          <w:sz w:val="28"/>
          <w:szCs w:val="28"/>
        </w:rPr>
        <w:t xml:space="preserve">. </w:t>
      </w:r>
      <w:r w:rsidR="00424F71" w:rsidRPr="00424F71">
        <w:rPr>
          <w:rFonts w:ascii="Times New Roman" w:hAnsi="Times New Roman"/>
          <w:b/>
          <w:sz w:val="28"/>
          <w:szCs w:val="28"/>
        </w:rPr>
        <w:t>З</w:t>
      </w:r>
      <w:r w:rsidR="00947DB8" w:rsidRPr="00B4405A">
        <w:rPr>
          <w:rFonts w:ascii="Times New Roman" w:hAnsi="Times New Roman"/>
          <w:b/>
          <w:sz w:val="28"/>
          <w:szCs w:val="28"/>
        </w:rPr>
        <w:t>адачи</w:t>
      </w:r>
      <w:r w:rsidR="00947DB8">
        <w:rPr>
          <w:rFonts w:ascii="Times New Roman" w:hAnsi="Times New Roman"/>
          <w:sz w:val="28"/>
          <w:szCs w:val="28"/>
        </w:rPr>
        <w:t xml:space="preserve"> теоретической части данного исследования состоят в следующем: 1) определить виды операционной и финансовой синергии; 2) описать основные характеристики доходного, рыночного и затратного подходов</w:t>
      </w:r>
      <w:r w:rsidR="00A00ADA" w:rsidRPr="00A00ADA">
        <w:rPr>
          <w:rFonts w:ascii="Times New Roman" w:hAnsi="Times New Roman"/>
          <w:sz w:val="28"/>
          <w:szCs w:val="28"/>
        </w:rPr>
        <w:t xml:space="preserve"> </w:t>
      </w:r>
      <w:r w:rsidR="00534FD6">
        <w:rPr>
          <w:rFonts w:ascii="Times New Roman" w:hAnsi="Times New Roman"/>
          <w:sz w:val="28"/>
          <w:szCs w:val="28"/>
        </w:rPr>
        <w:t>при</w:t>
      </w:r>
      <w:r w:rsidR="00A00ADA">
        <w:rPr>
          <w:rFonts w:ascii="Times New Roman" w:hAnsi="Times New Roman"/>
          <w:sz w:val="28"/>
          <w:szCs w:val="28"/>
        </w:rPr>
        <w:t xml:space="preserve"> оценке эффективности сделок слияний и поглощений</w:t>
      </w:r>
      <w:r w:rsidR="00947DB8">
        <w:rPr>
          <w:rFonts w:ascii="Times New Roman" w:hAnsi="Times New Roman"/>
          <w:sz w:val="28"/>
          <w:szCs w:val="28"/>
        </w:rPr>
        <w:t>, а также метода реальных опционов</w:t>
      </w:r>
      <w:r w:rsidR="00A00ADA">
        <w:rPr>
          <w:rFonts w:ascii="Times New Roman" w:hAnsi="Times New Roman"/>
          <w:sz w:val="28"/>
          <w:szCs w:val="28"/>
        </w:rPr>
        <w:t>.</w:t>
      </w:r>
      <w:r w:rsidR="004231EC">
        <w:rPr>
          <w:rFonts w:ascii="Times New Roman" w:hAnsi="Times New Roman"/>
          <w:sz w:val="28"/>
          <w:szCs w:val="28"/>
        </w:rPr>
        <w:t xml:space="preserve"> </w:t>
      </w:r>
    </w:p>
    <w:p w:rsidR="000F5FE1" w:rsidRDefault="00A00ADA" w:rsidP="00947DB8">
      <w:pPr>
        <w:spacing w:after="240" w:line="360" w:lineRule="auto"/>
        <w:ind w:firstLine="360"/>
        <w:jc w:val="both"/>
        <w:rPr>
          <w:rFonts w:ascii="Times New Roman" w:hAnsi="Times New Roman"/>
          <w:sz w:val="28"/>
          <w:szCs w:val="28"/>
        </w:rPr>
      </w:pPr>
      <w:r>
        <w:rPr>
          <w:rFonts w:ascii="Times New Roman" w:hAnsi="Times New Roman"/>
          <w:sz w:val="28"/>
          <w:szCs w:val="28"/>
        </w:rPr>
        <w:t>Практическая часть данной работы нацелена на</w:t>
      </w:r>
      <w:r w:rsidR="00450F72">
        <w:rPr>
          <w:rFonts w:ascii="Times New Roman" w:hAnsi="Times New Roman"/>
          <w:sz w:val="28"/>
          <w:szCs w:val="28"/>
        </w:rPr>
        <w:t xml:space="preserve"> анализ: 1) </w:t>
      </w:r>
      <w:r>
        <w:rPr>
          <w:rFonts w:ascii="Times New Roman" w:hAnsi="Times New Roman"/>
          <w:sz w:val="28"/>
          <w:szCs w:val="28"/>
        </w:rPr>
        <w:t xml:space="preserve">основных тенденций </w:t>
      </w:r>
      <w:r w:rsidR="00450F72">
        <w:rPr>
          <w:rFonts w:ascii="Times New Roman" w:hAnsi="Times New Roman"/>
          <w:sz w:val="28"/>
          <w:szCs w:val="28"/>
        </w:rPr>
        <w:t xml:space="preserve">и перспектив развития </w:t>
      </w:r>
      <w:r>
        <w:rPr>
          <w:rFonts w:ascii="Times New Roman" w:hAnsi="Times New Roman"/>
          <w:sz w:val="28"/>
          <w:szCs w:val="28"/>
        </w:rPr>
        <w:t xml:space="preserve">рынка пивоваренной </w:t>
      </w:r>
      <w:r w:rsidR="00450F72">
        <w:rPr>
          <w:rFonts w:ascii="Times New Roman" w:hAnsi="Times New Roman"/>
          <w:sz w:val="28"/>
          <w:szCs w:val="28"/>
        </w:rPr>
        <w:t>промышленности</w:t>
      </w:r>
      <w:r>
        <w:rPr>
          <w:rFonts w:ascii="Times New Roman" w:hAnsi="Times New Roman"/>
          <w:sz w:val="28"/>
          <w:szCs w:val="28"/>
        </w:rPr>
        <w:t xml:space="preserve">; 2) </w:t>
      </w:r>
      <w:r w:rsidR="00450F72">
        <w:rPr>
          <w:rFonts w:ascii="Times New Roman" w:hAnsi="Times New Roman"/>
          <w:sz w:val="28"/>
          <w:szCs w:val="28"/>
        </w:rPr>
        <w:t>финансовых показателей</w:t>
      </w:r>
      <w:r w:rsidR="00450F72" w:rsidRPr="00450F72">
        <w:rPr>
          <w:rFonts w:ascii="Times New Roman" w:hAnsi="Times New Roman"/>
          <w:sz w:val="28"/>
          <w:szCs w:val="28"/>
        </w:rPr>
        <w:t xml:space="preserve"> </w:t>
      </w:r>
      <w:r w:rsidR="00450F72">
        <w:rPr>
          <w:rFonts w:ascii="Times New Roman" w:hAnsi="Times New Roman"/>
          <w:sz w:val="28"/>
          <w:szCs w:val="28"/>
        </w:rPr>
        <w:t>и операционной деятельности</w:t>
      </w:r>
      <w:r w:rsidR="00450F72" w:rsidRPr="00450F72">
        <w:rPr>
          <w:rFonts w:ascii="Times New Roman" w:hAnsi="Times New Roman"/>
          <w:sz w:val="28"/>
          <w:szCs w:val="28"/>
        </w:rPr>
        <w:t xml:space="preserve"> </w:t>
      </w:r>
      <w:r w:rsidR="00450F72">
        <w:rPr>
          <w:rFonts w:ascii="Times New Roman" w:hAnsi="Times New Roman"/>
          <w:sz w:val="28"/>
          <w:szCs w:val="28"/>
        </w:rPr>
        <w:t>лидеров рынка; 3) внешнеэкономической деятельности и особенности ведения международного бизнеса компани</w:t>
      </w:r>
      <w:r w:rsidR="004231EC">
        <w:rPr>
          <w:rFonts w:ascii="Times New Roman" w:hAnsi="Times New Roman"/>
          <w:sz w:val="28"/>
          <w:szCs w:val="28"/>
        </w:rPr>
        <w:t>й</w:t>
      </w:r>
      <w:r w:rsidR="00450F72">
        <w:rPr>
          <w:rFonts w:ascii="Times New Roman" w:hAnsi="Times New Roman"/>
          <w:sz w:val="28"/>
          <w:szCs w:val="28"/>
        </w:rPr>
        <w:t xml:space="preserve"> </w:t>
      </w:r>
      <w:r w:rsidR="00450F72">
        <w:rPr>
          <w:rFonts w:ascii="Times New Roman" w:hAnsi="Times New Roman"/>
          <w:sz w:val="28"/>
          <w:szCs w:val="28"/>
          <w:lang w:val="en-US"/>
        </w:rPr>
        <w:t>Heineken</w:t>
      </w:r>
      <w:r w:rsidR="00450F72" w:rsidRPr="00450F72">
        <w:rPr>
          <w:rFonts w:ascii="Times New Roman" w:hAnsi="Times New Roman"/>
          <w:sz w:val="28"/>
          <w:szCs w:val="28"/>
        </w:rPr>
        <w:t xml:space="preserve"> </w:t>
      </w:r>
      <w:r w:rsidR="00450F72">
        <w:rPr>
          <w:rFonts w:ascii="Times New Roman" w:hAnsi="Times New Roman"/>
          <w:sz w:val="28"/>
          <w:szCs w:val="28"/>
          <w:lang w:val="en-US"/>
        </w:rPr>
        <w:t>N</w:t>
      </w:r>
      <w:r w:rsidR="00450F72" w:rsidRPr="00450F72">
        <w:rPr>
          <w:rFonts w:ascii="Times New Roman" w:hAnsi="Times New Roman"/>
          <w:sz w:val="28"/>
          <w:szCs w:val="28"/>
        </w:rPr>
        <w:t>.</w:t>
      </w:r>
      <w:r w:rsidR="00450F72">
        <w:rPr>
          <w:rFonts w:ascii="Times New Roman" w:hAnsi="Times New Roman"/>
          <w:sz w:val="28"/>
          <w:szCs w:val="28"/>
          <w:lang w:val="en-US"/>
        </w:rPr>
        <w:t>V</w:t>
      </w:r>
      <w:r w:rsidR="00450F72" w:rsidRPr="00450F72">
        <w:rPr>
          <w:rFonts w:ascii="Times New Roman" w:hAnsi="Times New Roman"/>
          <w:sz w:val="28"/>
          <w:szCs w:val="28"/>
        </w:rPr>
        <w:t xml:space="preserve">. </w:t>
      </w:r>
      <w:r w:rsidR="004231EC">
        <w:rPr>
          <w:rFonts w:ascii="Times New Roman" w:hAnsi="Times New Roman"/>
          <w:sz w:val="28"/>
          <w:szCs w:val="28"/>
        </w:rPr>
        <w:t xml:space="preserve">и </w:t>
      </w:r>
      <w:r w:rsidR="004231EC">
        <w:rPr>
          <w:rFonts w:ascii="Times New Roman" w:hAnsi="Times New Roman"/>
          <w:sz w:val="28"/>
          <w:szCs w:val="28"/>
          <w:lang w:val="en-US"/>
        </w:rPr>
        <w:t>Asia</w:t>
      </w:r>
      <w:r w:rsidR="004231EC" w:rsidRPr="004231EC">
        <w:rPr>
          <w:rFonts w:ascii="Times New Roman" w:hAnsi="Times New Roman"/>
          <w:sz w:val="28"/>
          <w:szCs w:val="28"/>
        </w:rPr>
        <w:t xml:space="preserve"> </w:t>
      </w:r>
      <w:r w:rsidR="004231EC">
        <w:rPr>
          <w:rFonts w:ascii="Times New Roman" w:hAnsi="Times New Roman"/>
          <w:sz w:val="28"/>
          <w:szCs w:val="28"/>
          <w:lang w:val="en-US"/>
        </w:rPr>
        <w:t>Pacific</w:t>
      </w:r>
      <w:r w:rsidR="004231EC" w:rsidRPr="004231EC">
        <w:rPr>
          <w:rFonts w:ascii="Times New Roman" w:hAnsi="Times New Roman"/>
          <w:sz w:val="28"/>
          <w:szCs w:val="28"/>
        </w:rPr>
        <w:t xml:space="preserve"> </w:t>
      </w:r>
      <w:r w:rsidR="004231EC">
        <w:rPr>
          <w:rFonts w:ascii="Times New Roman" w:hAnsi="Times New Roman"/>
          <w:sz w:val="28"/>
          <w:szCs w:val="28"/>
          <w:lang w:val="en-US"/>
        </w:rPr>
        <w:t>Breweries</w:t>
      </w:r>
      <w:r w:rsidR="004231EC" w:rsidRPr="004231EC">
        <w:rPr>
          <w:rFonts w:ascii="Times New Roman" w:hAnsi="Times New Roman"/>
          <w:sz w:val="28"/>
          <w:szCs w:val="28"/>
        </w:rPr>
        <w:t xml:space="preserve"> </w:t>
      </w:r>
      <w:r w:rsidR="004231EC">
        <w:rPr>
          <w:rFonts w:ascii="Times New Roman" w:hAnsi="Times New Roman"/>
          <w:sz w:val="28"/>
          <w:szCs w:val="28"/>
          <w:lang w:val="en-US"/>
        </w:rPr>
        <w:t>Ltd</w:t>
      </w:r>
      <w:r w:rsidR="004231EC" w:rsidRPr="004231EC">
        <w:rPr>
          <w:rFonts w:ascii="Times New Roman" w:hAnsi="Times New Roman"/>
          <w:sz w:val="28"/>
          <w:szCs w:val="28"/>
        </w:rPr>
        <w:t xml:space="preserve">. </w:t>
      </w:r>
      <w:r w:rsidR="004231EC">
        <w:rPr>
          <w:rFonts w:ascii="Times New Roman" w:hAnsi="Times New Roman"/>
          <w:sz w:val="28"/>
          <w:szCs w:val="28"/>
        </w:rPr>
        <w:t xml:space="preserve">Также к задачам практической части относится проведение </w:t>
      </w:r>
      <w:r w:rsidR="00424F71">
        <w:rPr>
          <w:rFonts w:ascii="Times New Roman" w:hAnsi="Times New Roman"/>
          <w:sz w:val="28"/>
          <w:szCs w:val="28"/>
        </w:rPr>
        <w:t>анализа конкурентоспособности</w:t>
      </w:r>
      <w:r w:rsidR="004231EC">
        <w:rPr>
          <w:rFonts w:ascii="Times New Roman" w:hAnsi="Times New Roman"/>
          <w:sz w:val="28"/>
          <w:szCs w:val="28"/>
        </w:rPr>
        <w:t xml:space="preserve"> компании </w:t>
      </w:r>
      <w:r w:rsidR="004231EC">
        <w:rPr>
          <w:rFonts w:ascii="Times New Roman" w:hAnsi="Times New Roman"/>
          <w:sz w:val="28"/>
          <w:szCs w:val="28"/>
          <w:lang w:val="en-US"/>
        </w:rPr>
        <w:t>Heineken</w:t>
      </w:r>
      <w:r w:rsidR="004231EC" w:rsidRPr="004231EC">
        <w:rPr>
          <w:rFonts w:ascii="Times New Roman" w:hAnsi="Times New Roman"/>
          <w:sz w:val="28"/>
          <w:szCs w:val="28"/>
        </w:rPr>
        <w:t xml:space="preserve"> </w:t>
      </w:r>
      <w:r w:rsidR="004231EC">
        <w:rPr>
          <w:rFonts w:ascii="Times New Roman" w:hAnsi="Times New Roman"/>
          <w:sz w:val="28"/>
          <w:szCs w:val="28"/>
          <w:lang w:val="en-US"/>
        </w:rPr>
        <w:t>N</w:t>
      </w:r>
      <w:r w:rsidR="004231EC" w:rsidRPr="004231EC">
        <w:rPr>
          <w:rFonts w:ascii="Times New Roman" w:hAnsi="Times New Roman"/>
          <w:sz w:val="28"/>
          <w:szCs w:val="28"/>
        </w:rPr>
        <w:t>.</w:t>
      </w:r>
      <w:r w:rsidR="004231EC">
        <w:rPr>
          <w:rFonts w:ascii="Times New Roman" w:hAnsi="Times New Roman"/>
          <w:sz w:val="28"/>
          <w:szCs w:val="28"/>
          <w:lang w:val="en-US"/>
        </w:rPr>
        <w:t>V</w:t>
      </w:r>
      <w:r w:rsidR="004231EC" w:rsidRPr="004231EC">
        <w:rPr>
          <w:rFonts w:ascii="Times New Roman" w:hAnsi="Times New Roman"/>
          <w:sz w:val="28"/>
          <w:szCs w:val="28"/>
        </w:rPr>
        <w:t xml:space="preserve">. </w:t>
      </w:r>
      <w:r w:rsidR="004231EC">
        <w:rPr>
          <w:rFonts w:ascii="Times New Roman" w:hAnsi="Times New Roman"/>
          <w:sz w:val="28"/>
          <w:szCs w:val="28"/>
        </w:rPr>
        <w:t xml:space="preserve">с целью дальнейшего обоснования выбора компании-цели для поглощения. </w:t>
      </w:r>
    </w:p>
    <w:p w:rsidR="00947DB8" w:rsidRDefault="004231EC" w:rsidP="00947DB8">
      <w:pPr>
        <w:spacing w:after="240" w:line="360" w:lineRule="auto"/>
        <w:ind w:firstLine="360"/>
        <w:jc w:val="both"/>
        <w:rPr>
          <w:rFonts w:ascii="Times New Roman" w:hAnsi="Times New Roman"/>
          <w:sz w:val="28"/>
          <w:szCs w:val="28"/>
        </w:rPr>
      </w:pPr>
      <w:r>
        <w:rPr>
          <w:rFonts w:ascii="Times New Roman" w:hAnsi="Times New Roman"/>
          <w:sz w:val="28"/>
          <w:szCs w:val="28"/>
        </w:rPr>
        <w:t xml:space="preserve">Расчетная часть исследования заключается в: 1) построении модели Дисконтированных Денежных Потоков (ДДП); 2) проведении сравнительного анализа мультипликаторов компаний-аналогов; 3) интегрировании полученных результатов в «футбольное поле оценки» и предоставление итогового заключения о стоимости бизнеса компании </w:t>
      </w:r>
      <w:r>
        <w:rPr>
          <w:rFonts w:ascii="Times New Roman" w:hAnsi="Times New Roman"/>
          <w:sz w:val="28"/>
          <w:szCs w:val="28"/>
          <w:lang w:val="en-US"/>
        </w:rPr>
        <w:t>Heineken</w:t>
      </w:r>
      <w:r w:rsidRPr="004231EC">
        <w:rPr>
          <w:rFonts w:ascii="Times New Roman" w:hAnsi="Times New Roman"/>
          <w:sz w:val="28"/>
          <w:szCs w:val="28"/>
        </w:rPr>
        <w:t xml:space="preserve"> </w:t>
      </w:r>
      <w:r>
        <w:rPr>
          <w:rFonts w:ascii="Times New Roman" w:hAnsi="Times New Roman"/>
          <w:sz w:val="28"/>
          <w:szCs w:val="28"/>
          <w:lang w:val="en-US"/>
        </w:rPr>
        <w:t>N</w:t>
      </w:r>
      <w:r w:rsidRPr="004231EC">
        <w:rPr>
          <w:rFonts w:ascii="Times New Roman" w:hAnsi="Times New Roman"/>
          <w:sz w:val="28"/>
          <w:szCs w:val="28"/>
        </w:rPr>
        <w:t>.</w:t>
      </w:r>
      <w:r>
        <w:rPr>
          <w:rFonts w:ascii="Times New Roman" w:hAnsi="Times New Roman"/>
          <w:sz w:val="28"/>
          <w:szCs w:val="28"/>
          <w:lang w:val="en-US"/>
        </w:rPr>
        <w:t>V</w:t>
      </w:r>
      <w:r w:rsidRPr="004231EC">
        <w:rPr>
          <w:rFonts w:ascii="Times New Roman" w:hAnsi="Times New Roman"/>
          <w:sz w:val="28"/>
          <w:szCs w:val="28"/>
        </w:rPr>
        <w:t xml:space="preserve">. </w:t>
      </w:r>
      <w:r>
        <w:rPr>
          <w:rFonts w:ascii="Times New Roman" w:hAnsi="Times New Roman"/>
          <w:sz w:val="28"/>
          <w:szCs w:val="28"/>
        </w:rPr>
        <w:t xml:space="preserve"> </w:t>
      </w:r>
    </w:p>
    <w:p w:rsidR="00C35802" w:rsidRDefault="00C35802" w:rsidP="00947DB8">
      <w:pPr>
        <w:spacing w:after="240" w:line="360" w:lineRule="auto"/>
        <w:ind w:firstLine="360"/>
        <w:jc w:val="both"/>
        <w:rPr>
          <w:rFonts w:ascii="Times New Roman" w:hAnsi="Times New Roman"/>
          <w:sz w:val="28"/>
          <w:szCs w:val="28"/>
        </w:rPr>
      </w:pPr>
      <w:r>
        <w:rPr>
          <w:rFonts w:ascii="Times New Roman" w:hAnsi="Times New Roman"/>
          <w:sz w:val="28"/>
          <w:szCs w:val="28"/>
        </w:rPr>
        <w:t xml:space="preserve">Принимая во внимание цели и задачи данного исследования, </w:t>
      </w:r>
      <w:r w:rsidR="008F4813">
        <w:rPr>
          <w:rFonts w:ascii="Times New Roman" w:hAnsi="Times New Roman"/>
          <w:sz w:val="28"/>
          <w:szCs w:val="28"/>
        </w:rPr>
        <w:t xml:space="preserve">в ходе написания теоретической части дипломного проекта использовались  работы </w:t>
      </w:r>
      <w:r>
        <w:rPr>
          <w:rFonts w:ascii="Times New Roman" w:hAnsi="Times New Roman"/>
          <w:sz w:val="28"/>
          <w:szCs w:val="28"/>
        </w:rPr>
        <w:t>выдающихся ученых-экономистов</w:t>
      </w:r>
      <w:r w:rsidR="008F4813">
        <w:rPr>
          <w:rFonts w:ascii="Times New Roman" w:hAnsi="Times New Roman"/>
          <w:sz w:val="28"/>
          <w:szCs w:val="28"/>
        </w:rPr>
        <w:t xml:space="preserve"> в области инвестиционного анализа и корпоративных финансов</w:t>
      </w:r>
      <w:r w:rsidRPr="00C35802">
        <w:t xml:space="preserve"> </w:t>
      </w:r>
      <w:r w:rsidRPr="00C35802">
        <w:rPr>
          <w:rFonts w:ascii="Times New Roman" w:hAnsi="Times New Roman"/>
          <w:sz w:val="28"/>
          <w:szCs w:val="28"/>
        </w:rPr>
        <w:t xml:space="preserve">А. </w:t>
      </w:r>
      <w:proofErr w:type="spellStart"/>
      <w:r w:rsidRPr="00C35802">
        <w:rPr>
          <w:rFonts w:ascii="Times New Roman" w:hAnsi="Times New Roman"/>
          <w:sz w:val="28"/>
          <w:szCs w:val="28"/>
        </w:rPr>
        <w:t>Дамодаран</w:t>
      </w:r>
      <w:r>
        <w:rPr>
          <w:rFonts w:ascii="Times New Roman" w:hAnsi="Times New Roman"/>
          <w:sz w:val="28"/>
          <w:szCs w:val="28"/>
        </w:rPr>
        <w:t>а</w:t>
      </w:r>
      <w:proofErr w:type="spellEnd"/>
      <w:r w:rsidRPr="00C35802">
        <w:rPr>
          <w:rFonts w:ascii="Times New Roman" w:hAnsi="Times New Roman"/>
          <w:sz w:val="28"/>
          <w:szCs w:val="28"/>
        </w:rPr>
        <w:t xml:space="preserve">, </w:t>
      </w:r>
      <w:r w:rsidR="008F4813">
        <w:rPr>
          <w:rFonts w:ascii="Times New Roman" w:hAnsi="Times New Roman"/>
          <w:sz w:val="28"/>
          <w:szCs w:val="28"/>
        </w:rPr>
        <w:t xml:space="preserve">Р. </w:t>
      </w:r>
      <w:proofErr w:type="spellStart"/>
      <w:r w:rsidR="008F4813">
        <w:rPr>
          <w:rFonts w:ascii="Times New Roman" w:hAnsi="Times New Roman"/>
          <w:sz w:val="28"/>
          <w:szCs w:val="28"/>
        </w:rPr>
        <w:t>Брейли</w:t>
      </w:r>
      <w:proofErr w:type="spellEnd"/>
      <w:r w:rsidR="008F4813">
        <w:rPr>
          <w:rFonts w:ascii="Times New Roman" w:hAnsi="Times New Roman"/>
          <w:sz w:val="28"/>
          <w:szCs w:val="28"/>
        </w:rPr>
        <w:t xml:space="preserve"> и С. Майерса, а также ученого </w:t>
      </w:r>
      <w:r w:rsidRPr="00C35802">
        <w:rPr>
          <w:rFonts w:ascii="Times New Roman" w:hAnsi="Times New Roman"/>
          <w:sz w:val="28"/>
          <w:szCs w:val="28"/>
        </w:rPr>
        <w:t xml:space="preserve">П. </w:t>
      </w:r>
      <w:proofErr w:type="spellStart"/>
      <w:r w:rsidRPr="00C35802">
        <w:rPr>
          <w:rFonts w:ascii="Times New Roman" w:hAnsi="Times New Roman"/>
          <w:sz w:val="28"/>
          <w:szCs w:val="28"/>
        </w:rPr>
        <w:t>Гохан</w:t>
      </w:r>
      <w:r>
        <w:rPr>
          <w:rFonts w:ascii="Times New Roman" w:hAnsi="Times New Roman"/>
          <w:sz w:val="28"/>
          <w:szCs w:val="28"/>
        </w:rPr>
        <w:t>а</w:t>
      </w:r>
      <w:proofErr w:type="spellEnd"/>
      <w:r w:rsidR="008F4813">
        <w:rPr>
          <w:rFonts w:ascii="Times New Roman" w:hAnsi="Times New Roman"/>
          <w:sz w:val="28"/>
          <w:szCs w:val="28"/>
        </w:rPr>
        <w:t xml:space="preserve"> – специалиста в области сделок слияний и поглощений. При написании практической части исследования использовались отраслевые обзоры</w:t>
      </w:r>
      <w:r w:rsidR="00EE765E">
        <w:rPr>
          <w:rFonts w:ascii="Times New Roman" w:hAnsi="Times New Roman"/>
          <w:sz w:val="28"/>
          <w:szCs w:val="28"/>
        </w:rPr>
        <w:t xml:space="preserve"> с 2010 по 2012 гг.</w:t>
      </w:r>
      <w:r w:rsidR="00BF7C9A">
        <w:rPr>
          <w:rFonts w:ascii="Times New Roman" w:hAnsi="Times New Roman"/>
          <w:sz w:val="28"/>
          <w:szCs w:val="28"/>
        </w:rPr>
        <w:t xml:space="preserve"> (объем рынка с прогнозными значениями, доли компаний и продуктов, анализ трендов и конкурентной обстановки)</w:t>
      </w:r>
      <w:r w:rsidR="008F4813">
        <w:rPr>
          <w:rFonts w:ascii="Times New Roman" w:hAnsi="Times New Roman"/>
          <w:sz w:val="28"/>
          <w:szCs w:val="28"/>
        </w:rPr>
        <w:t xml:space="preserve">, </w:t>
      </w:r>
      <w:r w:rsidR="00BF7C9A">
        <w:rPr>
          <w:rFonts w:ascii="Times New Roman" w:hAnsi="Times New Roman"/>
          <w:sz w:val="28"/>
          <w:szCs w:val="28"/>
        </w:rPr>
        <w:t>профили компаний-лидеров (основные финансовые и операционные показатели, географическая сегментация бизнеса</w:t>
      </w:r>
      <w:r w:rsidR="00F7381B">
        <w:rPr>
          <w:rFonts w:ascii="Times New Roman" w:hAnsi="Times New Roman"/>
          <w:sz w:val="28"/>
          <w:szCs w:val="28"/>
        </w:rPr>
        <w:t>, а также детальный разбор продуктового портфеля</w:t>
      </w:r>
      <w:r w:rsidR="00BF7C9A">
        <w:rPr>
          <w:rFonts w:ascii="Times New Roman" w:hAnsi="Times New Roman"/>
          <w:sz w:val="28"/>
          <w:szCs w:val="28"/>
        </w:rPr>
        <w:t xml:space="preserve">). </w:t>
      </w:r>
      <w:r w:rsidR="00A37701">
        <w:rPr>
          <w:rFonts w:ascii="Times New Roman" w:hAnsi="Times New Roman"/>
          <w:sz w:val="28"/>
          <w:szCs w:val="28"/>
        </w:rPr>
        <w:t>Для рас</w:t>
      </w:r>
      <w:r w:rsidR="000F5FE1">
        <w:rPr>
          <w:rFonts w:ascii="Times New Roman" w:hAnsi="Times New Roman"/>
          <w:sz w:val="28"/>
          <w:szCs w:val="28"/>
        </w:rPr>
        <w:t>четной части работы использовали</w:t>
      </w:r>
      <w:r w:rsidR="00A37701">
        <w:rPr>
          <w:rFonts w:ascii="Times New Roman" w:hAnsi="Times New Roman"/>
          <w:sz w:val="28"/>
          <w:szCs w:val="28"/>
        </w:rPr>
        <w:t>сь консолидированная финансовая отчетность с 2008 по 2012 гг.</w:t>
      </w:r>
      <w:r w:rsidR="000F5FE1">
        <w:rPr>
          <w:rFonts w:ascii="Times New Roman" w:hAnsi="Times New Roman"/>
          <w:sz w:val="28"/>
          <w:szCs w:val="28"/>
        </w:rPr>
        <w:t>, пресс-релизы</w:t>
      </w:r>
      <w:r w:rsidR="000F5FE1" w:rsidRPr="000F5FE1">
        <w:rPr>
          <w:rFonts w:ascii="Times New Roman" w:hAnsi="Times New Roman"/>
          <w:sz w:val="28"/>
          <w:szCs w:val="28"/>
        </w:rPr>
        <w:t xml:space="preserve"> </w:t>
      </w:r>
      <w:r w:rsidR="000F5FE1">
        <w:rPr>
          <w:rFonts w:ascii="Times New Roman" w:hAnsi="Times New Roman"/>
          <w:sz w:val="28"/>
          <w:szCs w:val="28"/>
        </w:rPr>
        <w:t xml:space="preserve">компании </w:t>
      </w:r>
      <w:r w:rsidR="000F5FE1">
        <w:rPr>
          <w:rFonts w:ascii="Times New Roman" w:hAnsi="Times New Roman"/>
          <w:sz w:val="28"/>
          <w:szCs w:val="28"/>
          <w:lang w:val="en-US"/>
        </w:rPr>
        <w:t>Heineken</w:t>
      </w:r>
      <w:r w:rsidR="000F5FE1" w:rsidRPr="00A37701">
        <w:rPr>
          <w:rFonts w:ascii="Times New Roman" w:hAnsi="Times New Roman"/>
          <w:sz w:val="28"/>
          <w:szCs w:val="28"/>
        </w:rPr>
        <w:t xml:space="preserve"> </w:t>
      </w:r>
      <w:r w:rsidR="000F5FE1">
        <w:rPr>
          <w:rFonts w:ascii="Times New Roman" w:hAnsi="Times New Roman"/>
          <w:sz w:val="28"/>
          <w:szCs w:val="28"/>
          <w:lang w:val="en-US"/>
        </w:rPr>
        <w:t>N</w:t>
      </w:r>
      <w:r w:rsidR="000F5FE1" w:rsidRPr="00A37701">
        <w:rPr>
          <w:rFonts w:ascii="Times New Roman" w:hAnsi="Times New Roman"/>
          <w:sz w:val="28"/>
          <w:szCs w:val="28"/>
        </w:rPr>
        <w:t>.</w:t>
      </w:r>
      <w:r w:rsidR="000F5FE1">
        <w:rPr>
          <w:rFonts w:ascii="Times New Roman" w:hAnsi="Times New Roman"/>
          <w:sz w:val="28"/>
          <w:szCs w:val="28"/>
          <w:lang w:val="en-US"/>
        </w:rPr>
        <w:t>V</w:t>
      </w:r>
      <w:r w:rsidR="000F5FE1" w:rsidRPr="00A37701">
        <w:rPr>
          <w:rFonts w:ascii="Times New Roman" w:hAnsi="Times New Roman"/>
          <w:sz w:val="28"/>
          <w:szCs w:val="28"/>
        </w:rPr>
        <w:t>.</w:t>
      </w:r>
      <w:r w:rsidR="00846AC4">
        <w:rPr>
          <w:rFonts w:ascii="Times New Roman" w:hAnsi="Times New Roman"/>
          <w:sz w:val="28"/>
          <w:szCs w:val="28"/>
        </w:rPr>
        <w:t xml:space="preserve">, аналитические отчеты и статистические данные электронного ресурса </w:t>
      </w:r>
      <w:r w:rsidR="00846AC4">
        <w:rPr>
          <w:rFonts w:ascii="Times New Roman" w:hAnsi="Times New Roman"/>
          <w:sz w:val="28"/>
          <w:szCs w:val="28"/>
          <w:lang w:val="en-US"/>
        </w:rPr>
        <w:t>Global</w:t>
      </w:r>
      <w:r w:rsidR="00846AC4" w:rsidRPr="00846AC4">
        <w:rPr>
          <w:rFonts w:ascii="Times New Roman" w:hAnsi="Times New Roman"/>
          <w:sz w:val="28"/>
          <w:szCs w:val="28"/>
        </w:rPr>
        <w:t xml:space="preserve"> </w:t>
      </w:r>
      <w:r w:rsidR="00846AC4">
        <w:rPr>
          <w:rFonts w:ascii="Times New Roman" w:hAnsi="Times New Roman"/>
          <w:sz w:val="28"/>
          <w:szCs w:val="28"/>
          <w:lang w:val="en-US"/>
        </w:rPr>
        <w:t>Market</w:t>
      </w:r>
      <w:r w:rsidR="00846AC4" w:rsidRPr="00846AC4">
        <w:rPr>
          <w:rFonts w:ascii="Times New Roman" w:hAnsi="Times New Roman"/>
          <w:sz w:val="28"/>
          <w:szCs w:val="28"/>
        </w:rPr>
        <w:t xml:space="preserve"> </w:t>
      </w:r>
      <w:r w:rsidR="00846AC4">
        <w:rPr>
          <w:rFonts w:ascii="Times New Roman" w:hAnsi="Times New Roman"/>
          <w:sz w:val="28"/>
          <w:szCs w:val="28"/>
          <w:lang w:val="en-US"/>
        </w:rPr>
        <w:t>Information</w:t>
      </w:r>
      <w:r w:rsidR="00846AC4" w:rsidRPr="00846AC4">
        <w:rPr>
          <w:rFonts w:ascii="Times New Roman" w:hAnsi="Times New Roman"/>
          <w:sz w:val="28"/>
          <w:szCs w:val="28"/>
        </w:rPr>
        <w:t xml:space="preserve"> </w:t>
      </w:r>
      <w:r w:rsidR="00846AC4">
        <w:rPr>
          <w:rFonts w:ascii="Times New Roman" w:hAnsi="Times New Roman"/>
          <w:sz w:val="28"/>
          <w:szCs w:val="28"/>
          <w:lang w:val="en-US"/>
        </w:rPr>
        <w:t>Database</w:t>
      </w:r>
      <w:r w:rsidR="008E7EAE">
        <w:rPr>
          <w:rFonts w:ascii="Times New Roman" w:hAnsi="Times New Roman"/>
          <w:sz w:val="28"/>
          <w:szCs w:val="28"/>
        </w:rPr>
        <w:t>.</w:t>
      </w:r>
    </w:p>
    <w:p w:rsidR="00853E6A" w:rsidRPr="00EC721A" w:rsidRDefault="00853E6A" w:rsidP="00947DB8">
      <w:pPr>
        <w:spacing w:after="240" w:line="360" w:lineRule="auto"/>
        <w:ind w:firstLine="360"/>
        <w:jc w:val="both"/>
        <w:rPr>
          <w:rFonts w:ascii="Times New Roman" w:hAnsi="Times New Roman"/>
          <w:sz w:val="28"/>
          <w:szCs w:val="28"/>
        </w:rPr>
      </w:pPr>
      <w:r w:rsidRPr="00B4405A">
        <w:rPr>
          <w:rFonts w:ascii="Times New Roman" w:hAnsi="Times New Roman"/>
          <w:b/>
          <w:sz w:val="28"/>
          <w:szCs w:val="28"/>
        </w:rPr>
        <w:t>Результаты</w:t>
      </w:r>
      <w:r>
        <w:rPr>
          <w:rFonts w:ascii="Times New Roman" w:hAnsi="Times New Roman"/>
          <w:sz w:val="28"/>
          <w:szCs w:val="28"/>
        </w:rPr>
        <w:t xml:space="preserve"> данного исследования освещают отличительные особенности каждого из методов, используемых при оценке эффективности сделок слияний и поглощений, в том числе их преимущества и недостатки. Помимо </w:t>
      </w:r>
      <w:r w:rsidR="00EC721A">
        <w:rPr>
          <w:rFonts w:ascii="Times New Roman" w:hAnsi="Times New Roman"/>
          <w:sz w:val="28"/>
          <w:szCs w:val="28"/>
        </w:rPr>
        <w:t xml:space="preserve">этого, проведенный анализ рынка пивоваренной промышленности, а также сравнительный анализ конкурентов </w:t>
      </w:r>
      <w:r w:rsidR="00EC721A">
        <w:rPr>
          <w:rFonts w:ascii="Times New Roman" w:hAnsi="Times New Roman"/>
          <w:sz w:val="28"/>
          <w:szCs w:val="28"/>
          <w:lang w:val="en-US"/>
        </w:rPr>
        <w:t>Heineken</w:t>
      </w:r>
      <w:r w:rsidR="00EC721A" w:rsidRPr="00EC721A">
        <w:rPr>
          <w:rFonts w:ascii="Times New Roman" w:hAnsi="Times New Roman"/>
          <w:sz w:val="28"/>
          <w:szCs w:val="28"/>
        </w:rPr>
        <w:t xml:space="preserve"> </w:t>
      </w:r>
      <w:r w:rsidR="00EC721A">
        <w:rPr>
          <w:rFonts w:ascii="Times New Roman" w:hAnsi="Times New Roman"/>
          <w:sz w:val="28"/>
          <w:szCs w:val="28"/>
          <w:lang w:val="en-US"/>
        </w:rPr>
        <w:t>N</w:t>
      </w:r>
      <w:r w:rsidR="00EC721A" w:rsidRPr="00EC721A">
        <w:rPr>
          <w:rFonts w:ascii="Times New Roman" w:hAnsi="Times New Roman"/>
          <w:sz w:val="28"/>
          <w:szCs w:val="28"/>
        </w:rPr>
        <w:t>.</w:t>
      </w:r>
      <w:r w:rsidR="00EC721A">
        <w:rPr>
          <w:rFonts w:ascii="Times New Roman" w:hAnsi="Times New Roman"/>
          <w:sz w:val="28"/>
          <w:szCs w:val="28"/>
          <w:lang w:val="en-US"/>
        </w:rPr>
        <w:t>V</w:t>
      </w:r>
      <w:r w:rsidR="00EC721A" w:rsidRPr="00EC721A">
        <w:rPr>
          <w:rFonts w:ascii="Times New Roman" w:hAnsi="Times New Roman"/>
          <w:sz w:val="28"/>
          <w:szCs w:val="28"/>
        </w:rPr>
        <w:t xml:space="preserve">. </w:t>
      </w:r>
      <w:r w:rsidR="00EC721A">
        <w:rPr>
          <w:rFonts w:ascii="Times New Roman" w:hAnsi="Times New Roman"/>
          <w:sz w:val="28"/>
          <w:szCs w:val="28"/>
        </w:rPr>
        <w:t xml:space="preserve">позволяют обосновать выбор </w:t>
      </w:r>
      <w:r w:rsidR="00EC721A">
        <w:rPr>
          <w:rFonts w:ascii="Times New Roman" w:hAnsi="Times New Roman"/>
          <w:sz w:val="28"/>
          <w:szCs w:val="28"/>
          <w:lang w:val="en-US"/>
        </w:rPr>
        <w:t>Asia</w:t>
      </w:r>
      <w:r w:rsidR="00EC721A" w:rsidRPr="00EC721A">
        <w:rPr>
          <w:rFonts w:ascii="Times New Roman" w:hAnsi="Times New Roman"/>
          <w:sz w:val="28"/>
          <w:szCs w:val="28"/>
        </w:rPr>
        <w:t xml:space="preserve"> </w:t>
      </w:r>
      <w:r w:rsidR="00EC721A">
        <w:rPr>
          <w:rFonts w:ascii="Times New Roman" w:hAnsi="Times New Roman"/>
          <w:sz w:val="28"/>
          <w:szCs w:val="28"/>
          <w:lang w:val="en-US"/>
        </w:rPr>
        <w:t>Pacific</w:t>
      </w:r>
      <w:r w:rsidR="00EC721A" w:rsidRPr="00EC721A">
        <w:rPr>
          <w:rFonts w:ascii="Times New Roman" w:hAnsi="Times New Roman"/>
          <w:sz w:val="28"/>
          <w:szCs w:val="28"/>
        </w:rPr>
        <w:t xml:space="preserve"> </w:t>
      </w:r>
      <w:r w:rsidR="00EC721A">
        <w:rPr>
          <w:rFonts w:ascii="Times New Roman" w:hAnsi="Times New Roman"/>
          <w:sz w:val="28"/>
          <w:szCs w:val="28"/>
          <w:lang w:val="en-US"/>
        </w:rPr>
        <w:t>Breweries</w:t>
      </w:r>
      <w:r w:rsidR="00EC721A" w:rsidRPr="00EC721A">
        <w:rPr>
          <w:rFonts w:ascii="Times New Roman" w:hAnsi="Times New Roman"/>
          <w:sz w:val="28"/>
          <w:szCs w:val="28"/>
        </w:rPr>
        <w:t xml:space="preserve"> </w:t>
      </w:r>
      <w:r w:rsidR="00EC721A">
        <w:rPr>
          <w:rFonts w:ascii="Times New Roman" w:hAnsi="Times New Roman"/>
          <w:sz w:val="28"/>
          <w:szCs w:val="28"/>
          <w:lang w:val="en-US"/>
        </w:rPr>
        <w:t>Ltd</w:t>
      </w:r>
      <w:r w:rsidR="00EC721A" w:rsidRPr="00EC721A">
        <w:rPr>
          <w:rFonts w:ascii="Times New Roman" w:hAnsi="Times New Roman"/>
          <w:sz w:val="28"/>
          <w:szCs w:val="28"/>
        </w:rPr>
        <w:t xml:space="preserve">. </w:t>
      </w:r>
      <w:r w:rsidR="00EC721A">
        <w:rPr>
          <w:rFonts w:ascii="Times New Roman" w:hAnsi="Times New Roman"/>
          <w:sz w:val="28"/>
          <w:szCs w:val="28"/>
        </w:rPr>
        <w:t>в качестве компании-цели для поглощения. Более того, расчетная часть данной работы является фундаментом для оценки эффективности сделки в целом.</w:t>
      </w:r>
    </w:p>
    <w:p w:rsidR="0097674A" w:rsidRDefault="0097674A">
      <w:pPr>
        <w:rPr>
          <w:rFonts w:ascii="Times New Roman" w:hAnsi="Times New Roman"/>
          <w:b/>
          <w:sz w:val="28"/>
          <w:szCs w:val="28"/>
        </w:rPr>
      </w:pPr>
      <w:r>
        <w:rPr>
          <w:rFonts w:ascii="Times New Roman" w:hAnsi="Times New Roman"/>
          <w:b/>
          <w:sz w:val="28"/>
          <w:szCs w:val="28"/>
        </w:rPr>
        <w:br w:type="page"/>
      </w:r>
    </w:p>
    <w:p w:rsidR="00A43320" w:rsidRPr="00AF10E4" w:rsidRDefault="002C7537" w:rsidP="00AF10E4">
      <w:pPr>
        <w:pStyle w:val="1"/>
        <w:jc w:val="center"/>
        <w:rPr>
          <w:rFonts w:ascii="Times New Roman" w:hAnsi="Times New Roman" w:cs="Times New Roman"/>
          <w:color w:val="auto"/>
        </w:rPr>
      </w:pPr>
      <w:bookmarkStart w:id="3" w:name="_Toc356251986"/>
      <w:r w:rsidRPr="002C7537">
        <w:rPr>
          <w:rFonts w:ascii="Times New Roman" w:hAnsi="Times New Roman" w:cs="Times New Roman"/>
          <w:color w:val="auto"/>
        </w:rPr>
        <w:t xml:space="preserve">1. </w:t>
      </w:r>
      <w:r w:rsidR="00A43320" w:rsidRPr="00AF10E4">
        <w:rPr>
          <w:rFonts w:ascii="Times New Roman" w:hAnsi="Times New Roman" w:cs="Times New Roman"/>
          <w:color w:val="auto"/>
        </w:rPr>
        <w:t>Оценка эффективности сделок слияний и поглощений</w:t>
      </w:r>
      <w:bookmarkEnd w:id="3"/>
    </w:p>
    <w:p w:rsidR="000872B3" w:rsidRPr="00AF10E4" w:rsidRDefault="00AF10E4" w:rsidP="00AF10E4">
      <w:pPr>
        <w:pStyle w:val="2"/>
        <w:spacing w:line="720" w:lineRule="auto"/>
        <w:jc w:val="center"/>
        <w:rPr>
          <w:rFonts w:ascii="Times New Roman" w:hAnsi="Times New Roman" w:cs="Times New Roman"/>
          <w:color w:val="auto"/>
          <w:sz w:val="28"/>
          <w:szCs w:val="28"/>
        </w:rPr>
      </w:pPr>
      <w:bookmarkStart w:id="4" w:name="_Toc356251987"/>
      <w:r w:rsidRPr="00006CBE">
        <w:rPr>
          <w:rFonts w:ascii="Times New Roman" w:hAnsi="Times New Roman" w:cs="Times New Roman"/>
          <w:color w:val="auto"/>
          <w:sz w:val="28"/>
          <w:szCs w:val="28"/>
        </w:rPr>
        <w:t xml:space="preserve">1.1 </w:t>
      </w:r>
      <w:r w:rsidR="000872B3" w:rsidRPr="00AF10E4">
        <w:rPr>
          <w:rFonts w:ascii="Times New Roman" w:hAnsi="Times New Roman" w:cs="Times New Roman"/>
          <w:color w:val="auto"/>
          <w:sz w:val="28"/>
          <w:szCs w:val="28"/>
        </w:rPr>
        <w:t>Мотивы сделок слияний и поглощений</w:t>
      </w:r>
      <w:bookmarkEnd w:id="4"/>
    </w:p>
    <w:p w:rsidR="000872B3" w:rsidRPr="003F3BF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Возможность достижения синергетического эффекта оказывает значительное влияние при принятии решения о слиянии или поглощении. Она создает дополнительную стоимость новому бизнесу, так как появляются определенные преимущества, которые не были доступны прежде отдельно функционирующим компаниям. Варианты синергетических эффектов наиболее широко представлены в работах выдающегося ученого А. </w:t>
      </w:r>
      <w:proofErr w:type="spellStart"/>
      <w:r>
        <w:rPr>
          <w:rFonts w:ascii="Times New Roman" w:hAnsi="Times New Roman"/>
          <w:sz w:val="28"/>
          <w:szCs w:val="28"/>
        </w:rPr>
        <w:t>Дамодарана</w:t>
      </w:r>
      <w:proofErr w:type="spellEnd"/>
      <w:r>
        <w:rPr>
          <w:rFonts w:ascii="Times New Roman" w:hAnsi="Times New Roman"/>
          <w:sz w:val="28"/>
          <w:szCs w:val="28"/>
        </w:rPr>
        <w:t>. Согласно его классификации синергия подразделяется на два вида – операционную и финансовую</w:t>
      </w:r>
      <w:r>
        <w:rPr>
          <w:rStyle w:val="a5"/>
          <w:rFonts w:ascii="Times New Roman" w:hAnsi="Times New Roman"/>
          <w:sz w:val="28"/>
          <w:szCs w:val="28"/>
        </w:rPr>
        <w:footnoteReference w:id="1"/>
      </w:r>
      <w:r>
        <w:rPr>
          <w:rFonts w:ascii="Times New Roman" w:hAnsi="Times New Roman"/>
          <w:sz w:val="28"/>
          <w:szCs w:val="28"/>
        </w:rPr>
        <w:t>.</w:t>
      </w:r>
      <w:r w:rsidR="000102E3">
        <w:rPr>
          <w:rFonts w:ascii="Times New Roman" w:hAnsi="Times New Roman"/>
          <w:sz w:val="28"/>
          <w:szCs w:val="28"/>
        </w:rPr>
        <w:t xml:space="preserve"> </w:t>
      </w:r>
    </w:p>
    <w:p w:rsidR="000872B3" w:rsidRPr="00AF10E4" w:rsidRDefault="00AF10E4" w:rsidP="00AF10E4">
      <w:pPr>
        <w:pStyle w:val="2"/>
        <w:spacing w:line="720" w:lineRule="auto"/>
        <w:jc w:val="center"/>
        <w:rPr>
          <w:rFonts w:ascii="Times New Roman" w:hAnsi="Times New Roman" w:cs="Times New Roman"/>
          <w:color w:val="auto"/>
          <w:sz w:val="28"/>
          <w:szCs w:val="28"/>
        </w:rPr>
      </w:pPr>
      <w:bookmarkStart w:id="5" w:name="_Toc356251988"/>
      <w:r w:rsidRPr="00006CBE">
        <w:rPr>
          <w:rFonts w:ascii="Times New Roman" w:hAnsi="Times New Roman" w:cs="Times New Roman"/>
          <w:color w:val="auto"/>
          <w:sz w:val="28"/>
          <w:szCs w:val="28"/>
        </w:rPr>
        <w:t xml:space="preserve">1.1.1 </w:t>
      </w:r>
      <w:r w:rsidR="000872B3" w:rsidRPr="00AF10E4">
        <w:rPr>
          <w:rFonts w:ascii="Times New Roman" w:hAnsi="Times New Roman" w:cs="Times New Roman"/>
          <w:color w:val="auto"/>
          <w:sz w:val="28"/>
          <w:szCs w:val="28"/>
        </w:rPr>
        <w:t>Операционная синергия</w:t>
      </w:r>
      <w:bookmarkEnd w:id="5"/>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Операционная синергия, в соответствии с определением А. </w:t>
      </w:r>
      <w:proofErr w:type="spellStart"/>
      <w:r>
        <w:rPr>
          <w:rFonts w:ascii="Times New Roman" w:hAnsi="Times New Roman"/>
          <w:sz w:val="28"/>
          <w:szCs w:val="28"/>
        </w:rPr>
        <w:t>Дамодарана</w:t>
      </w:r>
      <w:proofErr w:type="spellEnd"/>
      <w:r>
        <w:rPr>
          <w:rFonts w:ascii="Times New Roman" w:hAnsi="Times New Roman"/>
          <w:sz w:val="28"/>
          <w:szCs w:val="28"/>
        </w:rPr>
        <w:t>, позволяет увеличить чистую прибыль от существующих активов и ускорить темпы роста предприятия. Этот вид синергии подразделяется на следующие 4 категории:</w:t>
      </w:r>
    </w:p>
    <w:p w:rsidR="000872B3" w:rsidRPr="00272877" w:rsidRDefault="000872B3" w:rsidP="000872B3">
      <w:pPr>
        <w:numPr>
          <w:ilvl w:val="0"/>
          <w:numId w:val="1"/>
        </w:numPr>
        <w:spacing w:line="360" w:lineRule="auto"/>
        <w:jc w:val="both"/>
        <w:rPr>
          <w:rFonts w:ascii="Times New Roman" w:hAnsi="Times New Roman"/>
          <w:b/>
          <w:sz w:val="28"/>
          <w:szCs w:val="28"/>
        </w:rPr>
      </w:pPr>
      <w:r>
        <w:rPr>
          <w:rFonts w:ascii="Times New Roman" w:hAnsi="Times New Roman"/>
          <w:sz w:val="28"/>
          <w:szCs w:val="28"/>
        </w:rPr>
        <w:t xml:space="preserve">Новообразовавшаяся компания может выиграть на </w:t>
      </w:r>
      <w:r w:rsidRPr="00165C79">
        <w:rPr>
          <w:rFonts w:ascii="Times New Roman" w:hAnsi="Times New Roman"/>
          <w:i/>
          <w:sz w:val="28"/>
          <w:szCs w:val="28"/>
        </w:rPr>
        <w:t>экономии от масштаба</w:t>
      </w:r>
      <w:r>
        <w:rPr>
          <w:rFonts w:ascii="Times New Roman" w:hAnsi="Times New Roman"/>
          <w:sz w:val="28"/>
          <w:szCs w:val="28"/>
        </w:rPr>
        <w:t xml:space="preserve">, когда средняя величина издержек на единицу продукции снижается по мере роста объема производства. Таким образом, сокращаются операционные издержки компании, и ожидается увеличение выручки. Экономия, обусловленная масштабом, в основном, характерна для горизонтальных слияний. </w:t>
      </w:r>
    </w:p>
    <w:p w:rsidR="000872B3" w:rsidRPr="00F84398" w:rsidRDefault="000872B3" w:rsidP="000872B3">
      <w:pPr>
        <w:numPr>
          <w:ilvl w:val="0"/>
          <w:numId w:val="1"/>
        </w:numPr>
        <w:spacing w:line="360" w:lineRule="auto"/>
        <w:jc w:val="both"/>
        <w:rPr>
          <w:rFonts w:ascii="Times New Roman" w:hAnsi="Times New Roman"/>
          <w:b/>
          <w:sz w:val="28"/>
          <w:szCs w:val="28"/>
        </w:rPr>
      </w:pPr>
      <w:r>
        <w:rPr>
          <w:rFonts w:ascii="Times New Roman" w:hAnsi="Times New Roman"/>
          <w:sz w:val="28"/>
          <w:szCs w:val="28"/>
        </w:rPr>
        <w:t xml:space="preserve">Объединенная компания, как правило, получает большую рыночную долю и сокращает влияние конкурентов на том или ином рынке. В этом случае речь идет об </w:t>
      </w:r>
      <w:r w:rsidRPr="009A3CFF">
        <w:rPr>
          <w:rFonts w:ascii="Times New Roman" w:hAnsi="Times New Roman"/>
          <w:i/>
          <w:sz w:val="28"/>
          <w:szCs w:val="28"/>
        </w:rPr>
        <w:t>увеличении ценовой власти компании</w:t>
      </w:r>
      <w:r>
        <w:rPr>
          <w:rFonts w:ascii="Times New Roman" w:hAnsi="Times New Roman"/>
          <w:sz w:val="28"/>
          <w:szCs w:val="28"/>
        </w:rPr>
        <w:t>.</w:t>
      </w:r>
    </w:p>
    <w:p w:rsidR="000872B3" w:rsidRPr="00F84398" w:rsidRDefault="000872B3" w:rsidP="000872B3">
      <w:pPr>
        <w:numPr>
          <w:ilvl w:val="0"/>
          <w:numId w:val="1"/>
        </w:numPr>
        <w:spacing w:line="360" w:lineRule="auto"/>
        <w:jc w:val="both"/>
        <w:rPr>
          <w:rFonts w:ascii="Times New Roman" w:hAnsi="Times New Roman"/>
          <w:b/>
          <w:sz w:val="28"/>
          <w:szCs w:val="28"/>
        </w:rPr>
      </w:pPr>
      <w:r>
        <w:rPr>
          <w:rFonts w:ascii="Times New Roman" w:hAnsi="Times New Roman"/>
          <w:sz w:val="28"/>
          <w:szCs w:val="28"/>
        </w:rPr>
        <w:t xml:space="preserve">Помимо этого, </w:t>
      </w:r>
      <w:r w:rsidRPr="009A3CFF">
        <w:rPr>
          <w:rFonts w:ascii="Times New Roman" w:hAnsi="Times New Roman"/>
          <w:i/>
          <w:sz w:val="28"/>
          <w:szCs w:val="28"/>
        </w:rPr>
        <w:t>комбинирование различных функциональных преимуществ</w:t>
      </w:r>
      <w:r>
        <w:rPr>
          <w:rFonts w:ascii="Times New Roman" w:hAnsi="Times New Roman"/>
          <w:sz w:val="28"/>
          <w:szCs w:val="28"/>
        </w:rPr>
        <w:t xml:space="preserve"> (или взаимодополняющих ресурсов) может рассматриваться как вид операционной синергии. Наиболее ярким примером, служит поглощение компанией с сильными маркетинговыми инструментами компании, которая обладает хорошими продуктовыми линейками. </w:t>
      </w:r>
    </w:p>
    <w:p w:rsidR="000872B3" w:rsidRPr="003C2089" w:rsidRDefault="000872B3" w:rsidP="000872B3">
      <w:pPr>
        <w:numPr>
          <w:ilvl w:val="0"/>
          <w:numId w:val="1"/>
        </w:numPr>
        <w:spacing w:line="360" w:lineRule="auto"/>
        <w:jc w:val="both"/>
        <w:rPr>
          <w:rFonts w:ascii="Times New Roman" w:hAnsi="Times New Roman"/>
          <w:b/>
          <w:sz w:val="28"/>
          <w:szCs w:val="28"/>
        </w:rPr>
      </w:pPr>
      <w:r w:rsidRPr="00E84788">
        <w:rPr>
          <w:rFonts w:ascii="Times New Roman" w:hAnsi="Times New Roman"/>
          <w:i/>
          <w:sz w:val="28"/>
          <w:szCs w:val="28"/>
        </w:rPr>
        <w:t>Ускорение темпов роста компании</w:t>
      </w:r>
      <w:r w:rsidRPr="00E84788">
        <w:rPr>
          <w:rFonts w:ascii="Times New Roman" w:hAnsi="Times New Roman"/>
          <w:sz w:val="28"/>
          <w:szCs w:val="28"/>
        </w:rPr>
        <w:t xml:space="preserve"> на новых или уже существующих рынках в результате слияния двух предприятий. К примеру, компания, торгующая потребительскими товарами, приобретает фирму на развивающемся рынке со сложившейся системой дистрибуции и узнаваемым брендом. Покупающая компания в данном случае использует конкурентные преимущества компании-цели и в результате увеличивает свои продажи. Сюда также можно отнести </w:t>
      </w:r>
      <w:r w:rsidRPr="00E84788">
        <w:rPr>
          <w:rFonts w:ascii="Times New Roman" w:hAnsi="Times New Roman"/>
          <w:i/>
          <w:sz w:val="28"/>
          <w:szCs w:val="28"/>
        </w:rPr>
        <w:t>экономию на маркетинге</w:t>
      </w:r>
      <w:r w:rsidRPr="00E84788">
        <w:rPr>
          <w:rFonts w:ascii="Times New Roman" w:hAnsi="Times New Roman"/>
          <w:sz w:val="28"/>
          <w:szCs w:val="28"/>
        </w:rPr>
        <w:t xml:space="preserve">, которая выражается </w:t>
      </w:r>
      <w:r>
        <w:rPr>
          <w:rFonts w:ascii="Times New Roman" w:hAnsi="Times New Roman"/>
          <w:sz w:val="28"/>
          <w:szCs w:val="28"/>
        </w:rPr>
        <w:t>в использовании рекламы, сетей, клиентской базы приобретаемой компании.</w:t>
      </w:r>
    </w:p>
    <w:p w:rsidR="004203A6" w:rsidRDefault="00865431" w:rsidP="000872B3">
      <w:pPr>
        <w:spacing w:line="360" w:lineRule="auto"/>
        <w:ind w:firstLine="360"/>
        <w:jc w:val="both"/>
        <w:rPr>
          <w:rFonts w:ascii="Times New Roman" w:hAnsi="Times New Roman"/>
          <w:sz w:val="28"/>
          <w:szCs w:val="28"/>
        </w:rPr>
      </w:pPr>
      <w:proofErr w:type="gramStart"/>
      <w:r>
        <w:rPr>
          <w:rFonts w:ascii="Times New Roman" w:hAnsi="Times New Roman"/>
          <w:sz w:val="28"/>
          <w:szCs w:val="28"/>
        </w:rPr>
        <w:t xml:space="preserve">К операционной синергии также можно отнести </w:t>
      </w:r>
      <w:r w:rsidRPr="00865431">
        <w:rPr>
          <w:rFonts w:ascii="Times New Roman" w:hAnsi="Times New Roman"/>
          <w:i/>
          <w:sz w:val="28"/>
          <w:szCs w:val="28"/>
        </w:rPr>
        <w:t>экономи</w:t>
      </w:r>
      <w:r w:rsidR="00C717A8">
        <w:rPr>
          <w:rFonts w:ascii="Times New Roman" w:hAnsi="Times New Roman"/>
          <w:i/>
          <w:sz w:val="28"/>
          <w:szCs w:val="28"/>
        </w:rPr>
        <w:t xml:space="preserve">ю за счет вертикальной интеграции – </w:t>
      </w:r>
      <w:r w:rsidR="00C717A8">
        <w:rPr>
          <w:rFonts w:ascii="Times New Roman" w:hAnsi="Times New Roman"/>
          <w:sz w:val="28"/>
          <w:szCs w:val="28"/>
        </w:rPr>
        <w:t>понятие,</w:t>
      </w:r>
      <w:r>
        <w:rPr>
          <w:rFonts w:ascii="Times New Roman" w:hAnsi="Times New Roman"/>
          <w:sz w:val="28"/>
          <w:szCs w:val="28"/>
        </w:rPr>
        <w:t xml:space="preserve"> рассмотренное в работе </w:t>
      </w:r>
      <w:r w:rsidR="00C717A8">
        <w:rPr>
          <w:rFonts w:ascii="Times New Roman" w:hAnsi="Times New Roman"/>
          <w:sz w:val="28"/>
          <w:szCs w:val="28"/>
        </w:rPr>
        <w:t>профессоров в области финансового анализа</w:t>
      </w:r>
      <w:r>
        <w:rPr>
          <w:rFonts w:ascii="Times New Roman" w:hAnsi="Times New Roman"/>
          <w:sz w:val="28"/>
          <w:szCs w:val="28"/>
        </w:rPr>
        <w:t xml:space="preserve"> Р. </w:t>
      </w:r>
      <w:proofErr w:type="spellStart"/>
      <w:r>
        <w:rPr>
          <w:rFonts w:ascii="Times New Roman" w:hAnsi="Times New Roman"/>
          <w:sz w:val="28"/>
          <w:szCs w:val="28"/>
        </w:rPr>
        <w:t>Брейли</w:t>
      </w:r>
      <w:proofErr w:type="spellEnd"/>
      <w:r>
        <w:rPr>
          <w:rFonts w:ascii="Times New Roman" w:hAnsi="Times New Roman"/>
          <w:sz w:val="28"/>
          <w:szCs w:val="28"/>
        </w:rPr>
        <w:t xml:space="preserve"> и С. Майерса «Принципы корпоративных финансов»</w:t>
      </w:r>
      <w:r>
        <w:rPr>
          <w:rStyle w:val="a5"/>
          <w:rFonts w:ascii="Times New Roman" w:hAnsi="Times New Roman"/>
          <w:sz w:val="28"/>
          <w:szCs w:val="28"/>
        </w:rPr>
        <w:footnoteReference w:id="2"/>
      </w:r>
      <w:r>
        <w:rPr>
          <w:rFonts w:ascii="Times New Roman" w:hAnsi="Times New Roman"/>
          <w:sz w:val="28"/>
          <w:szCs w:val="28"/>
        </w:rPr>
        <w:t xml:space="preserve">. </w:t>
      </w:r>
      <w:r w:rsidR="00C717A8">
        <w:rPr>
          <w:rFonts w:ascii="Times New Roman" w:hAnsi="Times New Roman"/>
          <w:sz w:val="28"/>
          <w:szCs w:val="28"/>
        </w:rPr>
        <w:t>В соответствии с данным термином о</w:t>
      </w:r>
      <w:r>
        <w:rPr>
          <w:rFonts w:ascii="Times New Roman" w:hAnsi="Times New Roman"/>
          <w:sz w:val="28"/>
          <w:szCs w:val="28"/>
        </w:rPr>
        <w:t xml:space="preserve">сновной целью компании-покупателя является увеличение контроля над </w:t>
      </w:r>
      <w:r w:rsidR="00C717A8">
        <w:rPr>
          <w:rFonts w:ascii="Times New Roman" w:hAnsi="Times New Roman"/>
          <w:sz w:val="28"/>
          <w:szCs w:val="28"/>
        </w:rPr>
        <w:t>звеньями всего производственного процесса, начиная от источников сырья, и заканчивая конечным потребителем.</w:t>
      </w:r>
      <w:r w:rsidR="004203A6">
        <w:rPr>
          <w:rFonts w:ascii="Times New Roman" w:hAnsi="Times New Roman"/>
          <w:sz w:val="28"/>
          <w:szCs w:val="28"/>
        </w:rPr>
        <w:t xml:space="preserve"> </w:t>
      </w:r>
      <w:proofErr w:type="gramEnd"/>
    </w:p>
    <w:p w:rsidR="00654428" w:rsidRPr="004203A6" w:rsidRDefault="00C717A8"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00190DEE">
        <w:rPr>
          <w:rFonts w:ascii="Times New Roman" w:hAnsi="Times New Roman"/>
          <w:sz w:val="28"/>
          <w:szCs w:val="28"/>
        </w:rPr>
        <w:t>Еще одним мотивом сделок слияний и поглощений</w:t>
      </w:r>
      <w:r w:rsidR="00654428">
        <w:rPr>
          <w:rFonts w:ascii="Times New Roman" w:hAnsi="Times New Roman"/>
          <w:sz w:val="28"/>
          <w:szCs w:val="28"/>
        </w:rPr>
        <w:t xml:space="preserve">, описанным Р. </w:t>
      </w:r>
      <w:proofErr w:type="spellStart"/>
      <w:r w:rsidR="00654428">
        <w:rPr>
          <w:rFonts w:ascii="Times New Roman" w:hAnsi="Times New Roman"/>
          <w:sz w:val="28"/>
          <w:szCs w:val="28"/>
        </w:rPr>
        <w:t>Брейли</w:t>
      </w:r>
      <w:proofErr w:type="spellEnd"/>
      <w:r w:rsidR="00654428">
        <w:rPr>
          <w:rFonts w:ascii="Times New Roman" w:hAnsi="Times New Roman"/>
          <w:sz w:val="28"/>
          <w:szCs w:val="28"/>
        </w:rPr>
        <w:t xml:space="preserve"> и С. Майерсом,</w:t>
      </w:r>
      <w:r w:rsidR="00190DEE">
        <w:rPr>
          <w:rFonts w:ascii="Times New Roman" w:hAnsi="Times New Roman"/>
          <w:sz w:val="28"/>
          <w:szCs w:val="28"/>
        </w:rPr>
        <w:t xml:space="preserve"> является </w:t>
      </w:r>
      <w:r w:rsidR="00190DEE" w:rsidRPr="00654428">
        <w:rPr>
          <w:rFonts w:ascii="Times New Roman" w:hAnsi="Times New Roman"/>
          <w:i/>
          <w:sz w:val="28"/>
          <w:szCs w:val="28"/>
        </w:rPr>
        <w:t>устранение неэффективности</w:t>
      </w:r>
      <w:r w:rsidR="00654428">
        <w:rPr>
          <w:rFonts w:ascii="Times New Roman" w:hAnsi="Times New Roman"/>
          <w:sz w:val="28"/>
          <w:szCs w:val="28"/>
        </w:rPr>
        <w:t xml:space="preserve">. В случае, если менеджмент компании не до конца использует возможности снижения затрат и увеличения показателей прибыли, а также объемов выручки,  то компания находится под угрозой поглощения со стороны других экономически более эффективных компаний. </w:t>
      </w:r>
      <w:r w:rsidR="0036536A">
        <w:rPr>
          <w:rFonts w:ascii="Times New Roman" w:hAnsi="Times New Roman"/>
          <w:sz w:val="28"/>
          <w:szCs w:val="28"/>
        </w:rPr>
        <w:t xml:space="preserve">«По данным исследованиям К. </w:t>
      </w:r>
      <w:proofErr w:type="spellStart"/>
      <w:r w:rsidR="0036536A">
        <w:rPr>
          <w:rFonts w:ascii="Times New Roman" w:hAnsi="Times New Roman"/>
          <w:sz w:val="28"/>
          <w:szCs w:val="28"/>
        </w:rPr>
        <w:t>Палепу</w:t>
      </w:r>
      <w:proofErr w:type="spellEnd"/>
      <w:r w:rsidR="0036536A">
        <w:rPr>
          <w:rFonts w:ascii="Times New Roman" w:hAnsi="Times New Roman"/>
          <w:sz w:val="28"/>
          <w:szCs w:val="28"/>
        </w:rPr>
        <w:t>, занимавшегося принципами прогнозирования потенциальных слияний, в поглощенных компаниях фактические нормы доходности были относительно низкими в течение нескольких лет до их присоединения к другим фирмам»</w:t>
      </w:r>
      <w:r w:rsidR="0036536A">
        <w:rPr>
          <w:rStyle w:val="a5"/>
          <w:rFonts w:ascii="Times New Roman" w:hAnsi="Times New Roman"/>
          <w:sz w:val="28"/>
          <w:szCs w:val="28"/>
        </w:rPr>
        <w:footnoteReference w:id="3"/>
      </w:r>
      <w:r w:rsidR="0036536A">
        <w:rPr>
          <w:rFonts w:ascii="Times New Roman" w:hAnsi="Times New Roman"/>
          <w:sz w:val="28"/>
          <w:szCs w:val="28"/>
        </w:rPr>
        <w:t>.</w:t>
      </w:r>
      <w:r w:rsidR="002E3BA7" w:rsidRPr="002E3BA7">
        <w:rPr>
          <w:rFonts w:ascii="Times New Roman" w:hAnsi="Times New Roman"/>
          <w:sz w:val="28"/>
          <w:szCs w:val="28"/>
        </w:rPr>
        <w:t xml:space="preserve"> </w:t>
      </w:r>
      <w:r w:rsidR="002E3BA7">
        <w:rPr>
          <w:rFonts w:ascii="Times New Roman" w:hAnsi="Times New Roman"/>
          <w:sz w:val="28"/>
          <w:szCs w:val="28"/>
        </w:rPr>
        <w:t xml:space="preserve">Таким образом, </w:t>
      </w:r>
      <w:r w:rsidR="004203A6">
        <w:rPr>
          <w:rFonts w:ascii="Times New Roman" w:hAnsi="Times New Roman"/>
          <w:sz w:val="28"/>
          <w:szCs w:val="28"/>
        </w:rPr>
        <w:t xml:space="preserve">слияние можно рассмотреть в качестве одного из более простых и рациональных факторов повышения эффективности и качества управления компанией. </w:t>
      </w:r>
    </w:p>
    <w:p w:rsidR="000872B3" w:rsidRDefault="000872B3" w:rsidP="000872B3">
      <w:pPr>
        <w:spacing w:line="360" w:lineRule="auto"/>
        <w:ind w:firstLine="360"/>
        <w:jc w:val="both"/>
        <w:rPr>
          <w:rFonts w:ascii="Times New Roman" w:hAnsi="Times New Roman"/>
          <w:sz w:val="28"/>
          <w:szCs w:val="28"/>
        </w:rPr>
      </w:pPr>
      <w:r w:rsidRPr="003C2089">
        <w:rPr>
          <w:rFonts w:ascii="Times New Roman" w:hAnsi="Times New Roman"/>
          <w:sz w:val="28"/>
          <w:szCs w:val="28"/>
        </w:rPr>
        <w:t>Другой не менее известный ученый П</w:t>
      </w:r>
      <w:r w:rsidR="00865431">
        <w:rPr>
          <w:rFonts w:ascii="Times New Roman" w:hAnsi="Times New Roman"/>
          <w:sz w:val="28"/>
          <w:szCs w:val="28"/>
        </w:rPr>
        <w:t>.</w:t>
      </w:r>
      <w:r w:rsidRPr="003C2089">
        <w:rPr>
          <w:rFonts w:ascii="Times New Roman" w:hAnsi="Times New Roman"/>
          <w:sz w:val="28"/>
          <w:szCs w:val="28"/>
        </w:rPr>
        <w:t xml:space="preserve"> </w:t>
      </w:r>
      <w:proofErr w:type="spellStart"/>
      <w:r w:rsidRPr="003C2089">
        <w:rPr>
          <w:rFonts w:ascii="Times New Roman" w:hAnsi="Times New Roman"/>
          <w:sz w:val="28"/>
          <w:szCs w:val="28"/>
        </w:rPr>
        <w:t>Гохан</w:t>
      </w:r>
      <w:proofErr w:type="spellEnd"/>
      <w:r w:rsidRPr="003C2089">
        <w:rPr>
          <w:rFonts w:ascii="Times New Roman" w:hAnsi="Times New Roman"/>
          <w:sz w:val="28"/>
          <w:szCs w:val="28"/>
        </w:rPr>
        <w:t xml:space="preserve"> подразделяет операционную синергию только на 2 вида – </w:t>
      </w:r>
      <w:r w:rsidR="00865431">
        <w:rPr>
          <w:rFonts w:ascii="Times New Roman" w:hAnsi="Times New Roman"/>
          <w:i/>
          <w:sz w:val="28"/>
          <w:szCs w:val="28"/>
        </w:rPr>
        <w:t>увеличение</w:t>
      </w:r>
      <w:r w:rsidRPr="00255D9E">
        <w:rPr>
          <w:rFonts w:ascii="Times New Roman" w:hAnsi="Times New Roman"/>
          <w:i/>
          <w:sz w:val="28"/>
          <w:szCs w:val="28"/>
        </w:rPr>
        <w:t xml:space="preserve"> прибыли</w:t>
      </w:r>
      <w:r w:rsidRPr="003C2089">
        <w:rPr>
          <w:rFonts w:ascii="Times New Roman" w:hAnsi="Times New Roman"/>
          <w:sz w:val="28"/>
          <w:szCs w:val="28"/>
        </w:rPr>
        <w:t xml:space="preserve"> и </w:t>
      </w:r>
      <w:r w:rsidRPr="00255D9E">
        <w:rPr>
          <w:rFonts w:ascii="Times New Roman" w:hAnsi="Times New Roman"/>
          <w:i/>
          <w:sz w:val="28"/>
          <w:szCs w:val="28"/>
        </w:rPr>
        <w:t>сокращение издержек</w:t>
      </w:r>
      <w:r>
        <w:rPr>
          <w:rStyle w:val="a5"/>
          <w:rFonts w:ascii="Times New Roman" w:hAnsi="Times New Roman"/>
          <w:i/>
          <w:sz w:val="28"/>
          <w:szCs w:val="28"/>
        </w:rPr>
        <w:footnoteReference w:id="4"/>
      </w:r>
      <w:r w:rsidRPr="003C2089">
        <w:rPr>
          <w:rFonts w:ascii="Times New Roman" w:hAnsi="Times New Roman"/>
          <w:sz w:val="28"/>
          <w:szCs w:val="28"/>
        </w:rPr>
        <w:t>.</w:t>
      </w:r>
      <w:r>
        <w:rPr>
          <w:rFonts w:ascii="Times New Roman" w:hAnsi="Times New Roman"/>
          <w:sz w:val="28"/>
          <w:szCs w:val="28"/>
        </w:rPr>
        <w:t xml:space="preserve"> С этой точки зрения улучшение показателей прибыли рассматривается как применение инструментов </w:t>
      </w:r>
      <w:proofErr w:type="gramStart"/>
      <w:r>
        <w:rPr>
          <w:rFonts w:ascii="Times New Roman" w:hAnsi="Times New Roman"/>
          <w:sz w:val="28"/>
          <w:szCs w:val="28"/>
        </w:rPr>
        <w:t>кросс-культурного</w:t>
      </w:r>
      <w:proofErr w:type="gramEnd"/>
      <w:r>
        <w:rPr>
          <w:rFonts w:ascii="Times New Roman" w:hAnsi="Times New Roman"/>
          <w:sz w:val="28"/>
          <w:szCs w:val="28"/>
        </w:rPr>
        <w:t xml:space="preserve"> маркетинга. С одной стороны, поглощающая компания с высокой степенью узнаваемости бренда предоставляет в пользование свое конкурентное преимущество, тем самым позволяя поглощаемой компании сбывать свою продукцию. С другой стороны, операционная синергия возникает, когда компания с развитой системой дистрибуции поглощает предприятие с высоким потенциалом производимых товаров, но спорной способностью продавать их на рынке.</w:t>
      </w:r>
    </w:p>
    <w:p w:rsidR="00992BA6" w:rsidRPr="00A84079" w:rsidRDefault="000872B3" w:rsidP="00A84079">
      <w:pPr>
        <w:spacing w:line="360" w:lineRule="auto"/>
        <w:ind w:firstLine="360"/>
        <w:jc w:val="both"/>
        <w:rPr>
          <w:rFonts w:ascii="Times New Roman" w:hAnsi="Times New Roman"/>
          <w:sz w:val="28"/>
          <w:szCs w:val="28"/>
        </w:rPr>
      </w:pPr>
      <w:r>
        <w:rPr>
          <w:rFonts w:ascii="Times New Roman" w:hAnsi="Times New Roman"/>
          <w:sz w:val="28"/>
          <w:szCs w:val="28"/>
        </w:rPr>
        <w:t xml:space="preserve">Что </w:t>
      </w:r>
      <w:r w:rsidR="004203A6">
        <w:rPr>
          <w:rFonts w:ascii="Times New Roman" w:hAnsi="Times New Roman"/>
          <w:sz w:val="28"/>
          <w:szCs w:val="28"/>
        </w:rPr>
        <w:t xml:space="preserve">же </w:t>
      </w:r>
      <w:r>
        <w:rPr>
          <w:rFonts w:ascii="Times New Roman" w:hAnsi="Times New Roman"/>
          <w:sz w:val="28"/>
          <w:szCs w:val="28"/>
        </w:rPr>
        <w:t xml:space="preserve">касается сокращения издержек, то они ассоциируются с экономией от масштаба, которая выражается в уменьшении средних издержек. Помимо этого, </w:t>
      </w:r>
      <w:r w:rsidR="00C717A8">
        <w:rPr>
          <w:rFonts w:ascii="Times New Roman" w:hAnsi="Times New Roman"/>
          <w:sz w:val="28"/>
          <w:szCs w:val="28"/>
        </w:rPr>
        <w:t xml:space="preserve">П. </w:t>
      </w:r>
      <w:proofErr w:type="spellStart"/>
      <w:r>
        <w:rPr>
          <w:rFonts w:ascii="Times New Roman" w:hAnsi="Times New Roman"/>
          <w:sz w:val="28"/>
          <w:szCs w:val="28"/>
        </w:rPr>
        <w:t>Гохан</w:t>
      </w:r>
      <w:proofErr w:type="spellEnd"/>
      <w:r>
        <w:rPr>
          <w:rFonts w:ascii="Times New Roman" w:hAnsi="Times New Roman"/>
          <w:sz w:val="28"/>
          <w:szCs w:val="28"/>
        </w:rPr>
        <w:t xml:space="preserve"> связывает сокращение средних издержек с распределением накладных расходов, которое связано с усилившейся специализацией труда, более эффективным использован</w:t>
      </w:r>
      <w:r w:rsidR="00A84079">
        <w:rPr>
          <w:rFonts w:ascii="Times New Roman" w:hAnsi="Times New Roman"/>
          <w:sz w:val="28"/>
          <w:szCs w:val="28"/>
        </w:rPr>
        <w:t xml:space="preserve">ием капитального оборудования. </w:t>
      </w:r>
    </w:p>
    <w:p w:rsidR="000872B3" w:rsidRPr="00AF10E4" w:rsidRDefault="00AF10E4" w:rsidP="00AF10E4">
      <w:pPr>
        <w:pStyle w:val="2"/>
        <w:spacing w:line="720" w:lineRule="auto"/>
        <w:jc w:val="center"/>
        <w:rPr>
          <w:rFonts w:ascii="Times New Roman" w:hAnsi="Times New Roman" w:cs="Times New Roman"/>
          <w:color w:val="auto"/>
          <w:sz w:val="28"/>
          <w:szCs w:val="28"/>
        </w:rPr>
      </w:pPr>
      <w:bookmarkStart w:id="6" w:name="_Toc356251989"/>
      <w:r w:rsidRPr="00006CBE">
        <w:rPr>
          <w:rFonts w:ascii="Times New Roman" w:hAnsi="Times New Roman" w:cs="Times New Roman"/>
          <w:color w:val="auto"/>
          <w:sz w:val="28"/>
          <w:szCs w:val="28"/>
        </w:rPr>
        <w:t xml:space="preserve">1.1.2 </w:t>
      </w:r>
      <w:r w:rsidR="000872B3" w:rsidRPr="00AF10E4">
        <w:rPr>
          <w:rFonts w:ascii="Times New Roman" w:hAnsi="Times New Roman" w:cs="Times New Roman"/>
          <w:color w:val="auto"/>
          <w:sz w:val="28"/>
          <w:szCs w:val="28"/>
        </w:rPr>
        <w:t>Финансовая синергия</w:t>
      </w:r>
      <w:bookmarkEnd w:id="6"/>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По мнению А</w:t>
      </w:r>
      <w:r w:rsidR="00A84079">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Дамодарана</w:t>
      </w:r>
      <w:proofErr w:type="spellEnd"/>
      <w:r>
        <w:rPr>
          <w:rFonts w:ascii="Times New Roman" w:hAnsi="Times New Roman"/>
          <w:sz w:val="28"/>
          <w:szCs w:val="28"/>
        </w:rPr>
        <w:t>, финансовая синергия может проявляться в виде увеличения денежных потоков фирмы и снижения стоимости капитала (или ставки дисконтирования). В финансовую синергию включаются следующие понятия:</w:t>
      </w:r>
    </w:p>
    <w:p w:rsidR="001C15B3" w:rsidRDefault="000872B3" w:rsidP="000872B3">
      <w:pPr>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Ситуация, когда компания с избыточными денежными средствами на счетах (и ограниченными возможностями для осуществления различных проектов)  объединяется с компанией, которая характеризуется проектами с высокой отдачей (но ограничена в денежных средствах). В результате, увеличивается стоимость нового предприятия ввиду того, что используются возможности осуществления новых проектов за счет </w:t>
      </w:r>
      <w:r w:rsidRPr="00993B77">
        <w:rPr>
          <w:rFonts w:ascii="Times New Roman" w:hAnsi="Times New Roman"/>
          <w:i/>
          <w:sz w:val="28"/>
          <w:szCs w:val="28"/>
        </w:rPr>
        <w:t>доступа к новым денежным ресурсам</w:t>
      </w:r>
      <w:r>
        <w:rPr>
          <w:rFonts w:ascii="Times New Roman" w:hAnsi="Times New Roman"/>
          <w:sz w:val="28"/>
          <w:szCs w:val="28"/>
        </w:rPr>
        <w:t>.</w:t>
      </w:r>
      <w:r w:rsidR="001C15B3">
        <w:rPr>
          <w:rFonts w:ascii="Times New Roman" w:hAnsi="Times New Roman"/>
          <w:sz w:val="28"/>
          <w:szCs w:val="28"/>
        </w:rPr>
        <w:t xml:space="preserve"> </w:t>
      </w:r>
    </w:p>
    <w:p w:rsidR="000872B3" w:rsidRDefault="004260AD" w:rsidP="001C15B3">
      <w:pPr>
        <w:spacing w:line="360" w:lineRule="auto"/>
        <w:ind w:firstLine="360"/>
        <w:jc w:val="both"/>
        <w:rPr>
          <w:rFonts w:ascii="Times New Roman" w:hAnsi="Times New Roman"/>
          <w:sz w:val="28"/>
          <w:szCs w:val="28"/>
        </w:rPr>
      </w:pPr>
      <w:r>
        <w:rPr>
          <w:rFonts w:ascii="Times New Roman" w:hAnsi="Times New Roman"/>
          <w:sz w:val="28"/>
          <w:szCs w:val="28"/>
        </w:rPr>
        <w:t>С</w:t>
      </w:r>
      <w:r w:rsidR="001C15B3">
        <w:rPr>
          <w:rFonts w:ascii="Times New Roman" w:hAnsi="Times New Roman"/>
          <w:sz w:val="28"/>
          <w:szCs w:val="28"/>
        </w:rPr>
        <w:t xml:space="preserve">тоит также рассмотреть обстоятельства, когда компания функционирует в отрасли, находящейся на стадии зрелости. </w:t>
      </w:r>
      <w:r>
        <w:rPr>
          <w:rFonts w:ascii="Times New Roman" w:hAnsi="Times New Roman"/>
          <w:sz w:val="28"/>
          <w:szCs w:val="28"/>
        </w:rPr>
        <w:t>Фирма</w:t>
      </w:r>
      <w:r w:rsidR="001C15B3">
        <w:rPr>
          <w:rFonts w:ascii="Times New Roman" w:hAnsi="Times New Roman"/>
          <w:sz w:val="28"/>
          <w:szCs w:val="28"/>
        </w:rPr>
        <w:t xml:space="preserve"> генерирует круп</w:t>
      </w:r>
      <w:r>
        <w:rPr>
          <w:rFonts w:ascii="Times New Roman" w:hAnsi="Times New Roman"/>
          <w:sz w:val="28"/>
          <w:szCs w:val="28"/>
        </w:rPr>
        <w:t xml:space="preserve">ные потоки денежных средств, </w:t>
      </w:r>
      <w:r w:rsidR="001D634F">
        <w:rPr>
          <w:rFonts w:ascii="Times New Roman" w:hAnsi="Times New Roman"/>
          <w:sz w:val="28"/>
          <w:szCs w:val="28"/>
        </w:rPr>
        <w:t>но</w:t>
      </w:r>
      <w:r>
        <w:rPr>
          <w:rFonts w:ascii="Times New Roman" w:hAnsi="Times New Roman"/>
          <w:sz w:val="28"/>
          <w:szCs w:val="28"/>
        </w:rPr>
        <w:t xml:space="preserve"> у нее отсутствуют привлекательные инвестиционные возможности. С теоретической точки зрения, в этом случае избыточные денежные средства должны быть использованы для выплаты дивидендов акционер</w:t>
      </w:r>
      <w:r w:rsidR="009C54F2">
        <w:rPr>
          <w:rFonts w:ascii="Times New Roman" w:hAnsi="Times New Roman"/>
          <w:sz w:val="28"/>
          <w:szCs w:val="28"/>
        </w:rPr>
        <w:t>а</w:t>
      </w:r>
      <w:r>
        <w:rPr>
          <w:rFonts w:ascii="Times New Roman" w:hAnsi="Times New Roman"/>
          <w:sz w:val="28"/>
          <w:szCs w:val="28"/>
        </w:rPr>
        <w:t xml:space="preserve">м компании или выкупа части собственных акций. Однако </w:t>
      </w:r>
      <w:r w:rsidR="009C54F2">
        <w:rPr>
          <w:rFonts w:ascii="Times New Roman" w:hAnsi="Times New Roman"/>
          <w:sz w:val="28"/>
          <w:szCs w:val="28"/>
        </w:rPr>
        <w:t xml:space="preserve">в такой ситуации </w:t>
      </w:r>
      <w:r>
        <w:rPr>
          <w:rFonts w:ascii="Times New Roman" w:hAnsi="Times New Roman"/>
          <w:sz w:val="28"/>
          <w:szCs w:val="28"/>
        </w:rPr>
        <w:t>менеджмен</w:t>
      </w:r>
      <w:r w:rsidR="009C54F2">
        <w:rPr>
          <w:rFonts w:ascii="Times New Roman" w:hAnsi="Times New Roman"/>
          <w:sz w:val="28"/>
          <w:szCs w:val="28"/>
        </w:rPr>
        <w:t>т компании может принять решение о вложении сре</w:t>
      </w:r>
      <w:proofErr w:type="gramStart"/>
      <w:r w:rsidR="009C54F2">
        <w:rPr>
          <w:rFonts w:ascii="Times New Roman" w:hAnsi="Times New Roman"/>
          <w:sz w:val="28"/>
          <w:szCs w:val="28"/>
        </w:rPr>
        <w:t>дств дл</w:t>
      </w:r>
      <w:proofErr w:type="gramEnd"/>
      <w:r w:rsidR="009C54F2">
        <w:rPr>
          <w:rFonts w:ascii="Times New Roman" w:hAnsi="Times New Roman"/>
          <w:sz w:val="28"/>
          <w:szCs w:val="28"/>
        </w:rPr>
        <w:t xml:space="preserve">я финансирования </w:t>
      </w:r>
      <w:r w:rsidR="001D634F">
        <w:rPr>
          <w:rFonts w:ascii="Times New Roman" w:hAnsi="Times New Roman"/>
          <w:sz w:val="28"/>
          <w:szCs w:val="28"/>
        </w:rPr>
        <w:t xml:space="preserve">сделки </w:t>
      </w:r>
      <w:r w:rsidR="009C54F2">
        <w:rPr>
          <w:rFonts w:ascii="Times New Roman" w:hAnsi="Times New Roman"/>
          <w:sz w:val="28"/>
          <w:szCs w:val="28"/>
        </w:rPr>
        <w:t xml:space="preserve">слияния или поглощения. </w:t>
      </w:r>
    </w:p>
    <w:p w:rsidR="000872B3" w:rsidRDefault="000872B3" w:rsidP="000872B3">
      <w:pPr>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Денежные потоки новой фирмы, нового юридического лица, считаются более стабильными и предсказуемыми. Это в свою очередь увеличивает </w:t>
      </w:r>
      <w:r w:rsidRPr="002D0BE5">
        <w:rPr>
          <w:rFonts w:ascii="Times New Roman" w:hAnsi="Times New Roman"/>
          <w:i/>
          <w:sz w:val="28"/>
          <w:szCs w:val="28"/>
        </w:rPr>
        <w:t>кредитоспособность</w:t>
      </w:r>
      <w:r>
        <w:rPr>
          <w:rFonts w:ascii="Times New Roman" w:hAnsi="Times New Roman"/>
          <w:sz w:val="28"/>
          <w:szCs w:val="28"/>
        </w:rPr>
        <w:t xml:space="preserve"> нового предприятия, а именно позволяет брать займы и кредиты под более низкий процент. Таким образом, возникают налоговые льготы, которые снижают стоимость капитала. </w:t>
      </w:r>
    </w:p>
    <w:p w:rsidR="000872B3" w:rsidRDefault="000872B3" w:rsidP="000872B3">
      <w:pPr>
        <w:numPr>
          <w:ilvl w:val="0"/>
          <w:numId w:val="2"/>
        </w:numPr>
        <w:spacing w:line="360" w:lineRule="auto"/>
        <w:jc w:val="both"/>
        <w:rPr>
          <w:rFonts w:ascii="Times New Roman" w:hAnsi="Times New Roman"/>
          <w:sz w:val="28"/>
          <w:szCs w:val="28"/>
        </w:rPr>
      </w:pPr>
      <w:r w:rsidRPr="00BA215B">
        <w:rPr>
          <w:rFonts w:ascii="Times New Roman" w:hAnsi="Times New Roman"/>
          <w:i/>
          <w:sz w:val="28"/>
          <w:szCs w:val="28"/>
        </w:rPr>
        <w:t>Налоговые льготы</w:t>
      </w:r>
      <w:r>
        <w:rPr>
          <w:rFonts w:ascii="Times New Roman" w:hAnsi="Times New Roman"/>
          <w:sz w:val="28"/>
          <w:szCs w:val="28"/>
        </w:rPr>
        <w:t xml:space="preserve"> возникают в ситуации, либо когда приобретающая компания повышает балансовую стоимость активов компании-цели до рыночного уровня, используя для этого налоговое законодательство, либо посредством использования чистых операционных убытков для укрытия доходов. В результате, прибыльная компания, которая приобретает убыточное предприятие, может использовать чистые операционные убытки последнего, для того чтобы уменьшить свое налоговое бремя. </w:t>
      </w:r>
    </w:p>
    <w:p w:rsidR="000872B3" w:rsidRDefault="000872B3" w:rsidP="000872B3">
      <w:pPr>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Еще одним, однако, противоречивым мотивом сделок слияний и поглощений, называют </w:t>
      </w:r>
      <w:r w:rsidRPr="00B17653">
        <w:rPr>
          <w:rFonts w:ascii="Times New Roman" w:hAnsi="Times New Roman"/>
          <w:i/>
          <w:sz w:val="28"/>
          <w:szCs w:val="28"/>
        </w:rPr>
        <w:t>финансовую диверсификацию</w:t>
      </w:r>
      <w:r>
        <w:rPr>
          <w:rFonts w:ascii="Times New Roman" w:hAnsi="Times New Roman"/>
          <w:sz w:val="28"/>
          <w:szCs w:val="28"/>
        </w:rPr>
        <w:t xml:space="preserve">, при помощи которой компании снижают риск и подверженность волатильности  в некоторых отраслях промышленности. </w:t>
      </w:r>
    </w:p>
    <w:p w:rsidR="000872B3" w:rsidRPr="00A84079" w:rsidRDefault="000872B3" w:rsidP="00587118">
      <w:pPr>
        <w:spacing w:line="360" w:lineRule="auto"/>
        <w:ind w:firstLine="360"/>
        <w:jc w:val="both"/>
        <w:rPr>
          <w:rFonts w:ascii="Times New Roman" w:hAnsi="Times New Roman"/>
          <w:i/>
          <w:sz w:val="28"/>
          <w:szCs w:val="28"/>
        </w:rPr>
      </w:pPr>
      <w:r w:rsidRPr="00A84079">
        <w:rPr>
          <w:rFonts w:ascii="Times New Roman" w:hAnsi="Times New Roman"/>
          <w:i/>
          <w:sz w:val="28"/>
          <w:szCs w:val="28"/>
        </w:rPr>
        <w:t>Подводя итог, потенциальная синергия может оказывать влияние на стоимость компании по нескольким причинам.  Во-первых,  увеличиваются денежные потоки в результате сокращения издержек и увеличения прибыли (достигаемые за счет экономии от масштаба). Во-вторых, ускоряются темпы роста предприятия за счет увеличения рыночной доли на рынке, рыночной власти. В-третьих, новые конкурентные преимущества способствуют более длительному доминированию на рынке. И наконец, повышение кредитоспособности снижает стоимость капитала компании.</w:t>
      </w:r>
    </w:p>
    <w:p w:rsidR="00587118" w:rsidRPr="00AF10E4" w:rsidRDefault="00AF10E4" w:rsidP="00AF10E4">
      <w:pPr>
        <w:pStyle w:val="2"/>
        <w:spacing w:line="720" w:lineRule="auto"/>
        <w:jc w:val="center"/>
        <w:rPr>
          <w:rFonts w:ascii="Times New Roman" w:hAnsi="Times New Roman" w:cs="Times New Roman"/>
          <w:color w:val="auto"/>
          <w:sz w:val="28"/>
          <w:szCs w:val="28"/>
        </w:rPr>
      </w:pPr>
      <w:bookmarkStart w:id="7" w:name="_Toc356251990"/>
      <w:r w:rsidRPr="00AF10E4">
        <w:rPr>
          <w:rFonts w:ascii="Times New Roman" w:hAnsi="Times New Roman" w:cs="Times New Roman"/>
          <w:color w:val="auto"/>
          <w:sz w:val="28"/>
          <w:szCs w:val="28"/>
        </w:rPr>
        <w:t xml:space="preserve">1.2 </w:t>
      </w:r>
      <w:r w:rsidR="00587118" w:rsidRPr="00AF10E4">
        <w:rPr>
          <w:rFonts w:ascii="Times New Roman" w:hAnsi="Times New Roman" w:cs="Times New Roman"/>
          <w:color w:val="auto"/>
          <w:sz w:val="28"/>
          <w:szCs w:val="28"/>
        </w:rPr>
        <w:t>Особенности трансграничных сделок слияний и поглощений</w:t>
      </w:r>
      <w:bookmarkEnd w:id="7"/>
    </w:p>
    <w:p w:rsidR="00587118" w:rsidRPr="00587118" w:rsidRDefault="00587118" w:rsidP="00587118">
      <w:pPr>
        <w:spacing w:line="360" w:lineRule="auto"/>
        <w:ind w:firstLine="708"/>
        <w:jc w:val="both"/>
        <w:rPr>
          <w:rFonts w:ascii="Times New Roman" w:hAnsi="Times New Roman"/>
          <w:sz w:val="28"/>
          <w:szCs w:val="28"/>
        </w:rPr>
      </w:pPr>
      <w:r w:rsidRPr="00587118">
        <w:rPr>
          <w:rFonts w:ascii="Times New Roman" w:hAnsi="Times New Roman"/>
          <w:sz w:val="28"/>
          <w:szCs w:val="28"/>
        </w:rPr>
        <w:t xml:space="preserve">Трансграничные сделки слияний и поглощений обладают большим потенциалом по сравнению с </w:t>
      </w:r>
      <w:proofErr w:type="gramStart"/>
      <w:r w:rsidRPr="00587118">
        <w:rPr>
          <w:rFonts w:ascii="Times New Roman" w:hAnsi="Times New Roman"/>
          <w:sz w:val="28"/>
          <w:szCs w:val="28"/>
        </w:rPr>
        <w:t>национальными</w:t>
      </w:r>
      <w:proofErr w:type="gramEnd"/>
      <w:r w:rsidRPr="00587118">
        <w:rPr>
          <w:rFonts w:ascii="Times New Roman" w:hAnsi="Times New Roman"/>
          <w:sz w:val="28"/>
          <w:szCs w:val="28"/>
        </w:rPr>
        <w:t xml:space="preserve">, так как компании, вовлеченные в подобные сделки, приобретают возможность доступа к новым рынкам, к широкому спектру новых ресурсов и получают дополнительные синергетические эффекты. </w:t>
      </w:r>
    </w:p>
    <w:p w:rsidR="00587118" w:rsidRPr="00587118" w:rsidRDefault="00587118" w:rsidP="00587118">
      <w:pPr>
        <w:spacing w:line="360" w:lineRule="auto"/>
        <w:ind w:firstLine="708"/>
        <w:jc w:val="both"/>
        <w:rPr>
          <w:rFonts w:ascii="Times New Roman" w:hAnsi="Times New Roman"/>
          <w:sz w:val="28"/>
          <w:szCs w:val="28"/>
        </w:rPr>
      </w:pPr>
      <w:r w:rsidRPr="00587118">
        <w:rPr>
          <w:rFonts w:ascii="Times New Roman" w:hAnsi="Times New Roman"/>
          <w:sz w:val="28"/>
          <w:szCs w:val="28"/>
        </w:rPr>
        <w:t>Оценка эффективности трансграничных слияний и поглощений, на первый взгляд не представляет собой ничего сложного, однако, существуют определенные трудности, сопряженные с данным процессом.</w:t>
      </w:r>
    </w:p>
    <w:p w:rsidR="00587118" w:rsidRPr="00587118" w:rsidRDefault="00587118" w:rsidP="00587118">
      <w:pPr>
        <w:spacing w:line="360" w:lineRule="auto"/>
        <w:ind w:firstLine="708"/>
        <w:jc w:val="both"/>
        <w:rPr>
          <w:rFonts w:ascii="Times New Roman" w:hAnsi="Times New Roman"/>
          <w:sz w:val="28"/>
          <w:szCs w:val="28"/>
        </w:rPr>
      </w:pPr>
      <w:r w:rsidRPr="00587118">
        <w:rPr>
          <w:rFonts w:ascii="Times New Roman" w:hAnsi="Times New Roman"/>
          <w:sz w:val="28"/>
          <w:szCs w:val="28"/>
        </w:rPr>
        <w:t>В общем и целом, слияние будет эффективным, если:</w:t>
      </w:r>
    </w:p>
    <w:p w:rsidR="00587118" w:rsidRPr="00587118" w:rsidRDefault="00587118" w:rsidP="00587118">
      <w:pPr>
        <w:spacing w:line="360" w:lineRule="auto"/>
        <w:jc w:val="both"/>
        <w:rPr>
          <w:rFonts w:ascii="Times New Roman" w:hAnsi="Times New Roman"/>
          <w:sz w:val="28"/>
          <w:szCs w:val="28"/>
        </w:rPr>
      </w:pPr>
      <w:r w:rsidRPr="00587118">
        <w:rPr>
          <w:rFonts w:ascii="Times New Roman" w:hAnsi="Times New Roman"/>
          <w:sz w:val="28"/>
          <w:szCs w:val="28"/>
        </w:rPr>
        <w:t>V (AB) &gt; V (A) + V (B),</w:t>
      </w:r>
    </w:p>
    <w:p w:rsidR="00587118" w:rsidRPr="00587118" w:rsidRDefault="00587118" w:rsidP="00587118">
      <w:pPr>
        <w:spacing w:line="360" w:lineRule="auto"/>
        <w:jc w:val="both"/>
        <w:rPr>
          <w:rFonts w:ascii="Times New Roman" w:hAnsi="Times New Roman"/>
          <w:sz w:val="28"/>
          <w:szCs w:val="28"/>
        </w:rPr>
      </w:pPr>
      <w:r w:rsidRPr="00587118">
        <w:rPr>
          <w:rFonts w:ascii="Times New Roman" w:hAnsi="Times New Roman"/>
          <w:sz w:val="28"/>
          <w:szCs w:val="28"/>
        </w:rPr>
        <w:t>где V (AB) – это стоимость объединенной компании,</w:t>
      </w:r>
    </w:p>
    <w:p w:rsidR="00587118" w:rsidRPr="00587118" w:rsidRDefault="00587118" w:rsidP="00587118">
      <w:pPr>
        <w:spacing w:line="360" w:lineRule="auto"/>
        <w:jc w:val="both"/>
        <w:rPr>
          <w:rFonts w:ascii="Times New Roman" w:hAnsi="Times New Roman"/>
          <w:sz w:val="28"/>
          <w:szCs w:val="28"/>
        </w:rPr>
      </w:pPr>
      <w:r w:rsidRPr="00587118">
        <w:rPr>
          <w:rFonts w:ascii="Times New Roman" w:hAnsi="Times New Roman"/>
          <w:sz w:val="28"/>
          <w:szCs w:val="28"/>
        </w:rPr>
        <w:t>V (A) и V (B) – стоимость компании</w:t>
      </w:r>
      <w:proofErr w:type="gramStart"/>
      <w:r w:rsidRPr="00587118">
        <w:rPr>
          <w:rFonts w:ascii="Times New Roman" w:hAnsi="Times New Roman"/>
          <w:sz w:val="28"/>
          <w:szCs w:val="28"/>
        </w:rPr>
        <w:t xml:space="preserve"> А</w:t>
      </w:r>
      <w:proofErr w:type="gramEnd"/>
      <w:r w:rsidRPr="00587118">
        <w:rPr>
          <w:rFonts w:ascii="Times New Roman" w:hAnsi="Times New Roman"/>
          <w:sz w:val="28"/>
          <w:szCs w:val="28"/>
        </w:rPr>
        <w:t xml:space="preserve"> и В соответственно.</w:t>
      </w:r>
    </w:p>
    <w:p w:rsidR="00587118" w:rsidRPr="00587118" w:rsidRDefault="00587118" w:rsidP="00587118">
      <w:pPr>
        <w:spacing w:line="360" w:lineRule="auto"/>
        <w:ind w:firstLine="708"/>
        <w:jc w:val="both"/>
        <w:rPr>
          <w:rFonts w:ascii="Times New Roman" w:hAnsi="Times New Roman"/>
          <w:sz w:val="28"/>
          <w:szCs w:val="28"/>
        </w:rPr>
      </w:pPr>
      <w:r w:rsidRPr="00587118">
        <w:rPr>
          <w:rFonts w:ascii="Times New Roman" w:hAnsi="Times New Roman"/>
          <w:sz w:val="28"/>
          <w:szCs w:val="28"/>
        </w:rPr>
        <w:t>При этом необходимо учитывать издержки, связанные с приобретением:</w:t>
      </w:r>
    </w:p>
    <w:p w:rsidR="00587118" w:rsidRPr="00587118" w:rsidRDefault="00587118" w:rsidP="00587118">
      <w:pPr>
        <w:spacing w:line="360" w:lineRule="auto"/>
        <w:jc w:val="both"/>
        <w:rPr>
          <w:rFonts w:ascii="Times New Roman" w:hAnsi="Times New Roman"/>
          <w:sz w:val="28"/>
          <w:szCs w:val="28"/>
        </w:rPr>
      </w:pPr>
      <w:r w:rsidRPr="00587118">
        <w:rPr>
          <w:rFonts w:ascii="Times New Roman" w:hAnsi="Times New Roman"/>
          <w:sz w:val="28"/>
          <w:szCs w:val="28"/>
        </w:rPr>
        <w:t>NPV = Превышение стоимости новой компании – затраты фирмы</w:t>
      </w:r>
      <w:proofErr w:type="gramStart"/>
      <w:r w:rsidRPr="00587118">
        <w:rPr>
          <w:rFonts w:ascii="Times New Roman" w:hAnsi="Times New Roman"/>
          <w:sz w:val="28"/>
          <w:szCs w:val="28"/>
        </w:rPr>
        <w:t xml:space="preserve"> А</w:t>
      </w:r>
      <w:proofErr w:type="gramEnd"/>
      <w:r w:rsidRPr="00587118">
        <w:rPr>
          <w:rFonts w:ascii="Times New Roman" w:hAnsi="Times New Roman"/>
          <w:sz w:val="28"/>
          <w:szCs w:val="28"/>
        </w:rPr>
        <w:t xml:space="preserve"> на поглощение</w:t>
      </w:r>
    </w:p>
    <w:p w:rsidR="00167884" w:rsidRDefault="00587118" w:rsidP="00167884">
      <w:pPr>
        <w:spacing w:line="360" w:lineRule="auto"/>
        <w:ind w:firstLine="708"/>
        <w:jc w:val="both"/>
        <w:rPr>
          <w:rFonts w:ascii="Times New Roman" w:hAnsi="Times New Roman"/>
          <w:sz w:val="28"/>
          <w:szCs w:val="28"/>
        </w:rPr>
      </w:pPr>
      <w:r w:rsidRPr="00167884">
        <w:rPr>
          <w:rFonts w:ascii="Times New Roman" w:hAnsi="Times New Roman"/>
          <w:sz w:val="28"/>
          <w:szCs w:val="28"/>
        </w:rPr>
        <w:t xml:space="preserve">Однако существует множество скрытых факторов, неочевидных при предварительном анализе, которые могут оказать влияние на стоимость приобретаемой компании. </w:t>
      </w:r>
      <w:r w:rsidR="00F11F47" w:rsidRPr="00167884">
        <w:rPr>
          <w:rFonts w:ascii="Times New Roman" w:hAnsi="Times New Roman"/>
          <w:sz w:val="28"/>
          <w:szCs w:val="28"/>
        </w:rPr>
        <w:t>К таким факторам в первую очередь относ</w:t>
      </w:r>
      <w:r w:rsidR="00167884">
        <w:rPr>
          <w:rFonts w:ascii="Times New Roman" w:hAnsi="Times New Roman"/>
          <w:sz w:val="28"/>
          <w:szCs w:val="28"/>
        </w:rPr>
        <w:t>ятся</w:t>
      </w:r>
      <w:r w:rsidR="00E867DE">
        <w:rPr>
          <w:rStyle w:val="a5"/>
          <w:rFonts w:ascii="Times New Roman" w:hAnsi="Times New Roman"/>
          <w:sz w:val="28"/>
          <w:szCs w:val="28"/>
        </w:rPr>
        <w:footnoteReference w:id="5"/>
      </w:r>
      <w:r w:rsidR="00167884">
        <w:rPr>
          <w:rFonts w:ascii="Times New Roman" w:hAnsi="Times New Roman"/>
          <w:sz w:val="28"/>
          <w:szCs w:val="28"/>
        </w:rPr>
        <w:t>:</w:t>
      </w:r>
    </w:p>
    <w:p w:rsidR="00167884" w:rsidRPr="00167884" w:rsidRDefault="00167884" w:rsidP="00167884">
      <w:pPr>
        <w:pStyle w:val="a6"/>
        <w:numPr>
          <w:ilvl w:val="0"/>
          <w:numId w:val="31"/>
        </w:numPr>
        <w:spacing w:line="360" w:lineRule="auto"/>
        <w:jc w:val="both"/>
        <w:rPr>
          <w:rFonts w:ascii="Times New Roman" w:hAnsi="Times New Roman"/>
          <w:sz w:val="28"/>
          <w:szCs w:val="28"/>
        </w:rPr>
      </w:pPr>
      <w:r>
        <w:rPr>
          <w:rFonts w:ascii="Times New Roman" w:hAnsi="Times New Roman"/>
          <w:i/>
          <w:sz w:val="28"/>
          <w:szCs w:val="28"/>
        </w:rPr>
        <w:t>О</w:t>
      </w:r>
      <w:r w:rsidR="00F11F47" w:rsidRPr="00167884">
        <w:rPr>
          <w:rFonts w:ascii="Times New Roman" w:hAnsi="Times New Roman"/>
          <w:i/>
          <w:sz w:val="28"/>
          <w:szCs w:val="28"/>
        </w:rPr>
        <w:t>собенности ведения бухгалтерского учета</w:t>
      </w:r>
      <w:r w:rsidR="00F11F47" w:rsidRPr="00167884">
        <w:rPr>
          <w:rFonts w:ascii="Times New Roman" w:hAnsi="Times New Roman"/>
          <w:sz w:val="28"/>
          <w:szCs w:val="28"/>
        </w:rPr>
        <w:t xml:space="preserve"> (к примеру, финансовые показатели, рассчитанные в соответствии со стандартами МСФО или </w:t>
      </w:r>
      <w:r w:rsidR="00F11F47" w:rsidRPr="00167884">
        <w:rPr>
          <w:rFonts w:ascii="Times New Roman" w:hAnsi="Times New Roman"/>
          <w:sz w:val="28"/>
          <w:szCs w:val="28"/>
          <w:lang w:val="en-US"/>
        </w:rPr>
        <w:t>US</w:t>
      </w:r>
      <w:r w:rsidR="00F11F47" w:rsidRPr="00167884">
        <w:rPr>
          <w:rFonts w:ascii="Times New Roman" w:hAnsi="Times New Roman"/>
          <w:sz w:val="28"/>
          <w:szCs w:val="28"/>
        </w:rPr>
        <w:t xml:space="preserve"> </w:t>
      </w:r>
      <w:r w:rsidR="00F11F47" w:rsidRPr="00167884">
        <w:rPr>
          <w:rFonts w:ascii="Times New Roman" w:hAnsi="Times New Roman"/>
          <w:sz w:val="28"/>
          <w:szCs w:val="28"/>
          <w:lang w:val="en-US"/>
        </w:rPr>
        <w:t>GAAP</w:t>
      </w:r>
      <w:r w:rsidR="00F11F47" w:rsidRPr="00167884">
        <w:rPr>
          <w:rFonts w:ascii="Times New Roman" w:hAnsi="Times New Roman"/>
          <w:sz w:val="28"/>
          <w:szCs w:val="28"/>
        </w:rPr>
        <w:t xml:space="preserve">), </w:t>
      </w:r>
      <w:r w:rsidRPr="00167884">
        <w:rPr>
          <w:rFonts w:ascii="Times New Roman" w:hAnsi="Times New Roman"/>
          <w:sz w:val="28"/>
          <w:szCs w:val="28"/>
        </w:rPr>
        <w:t xml:space="preserve">могут в значительной степени отличаться от показателей, рассчитанных в соответствии со стандартами </w:t>
      </w:r>
      <w:r w:rsidR="00E867DE">
        <w:rPr>
          <w:rFonts w:ascii="Times New Roman" w:hAnsi="Times New Roman"/>
          <w:sz w:val="28"/>
          <w:szCs w:val="28"/>
        </w:rPr>
        <w:t>страны-резиденции компании-цели;</w:t>
      </w:r>
    </w:p>
    <w:p w:rsidR="00167884" w:rsidRDefault="00167884" w:rsidP="00167884">
      <w:pPr>
        <w:pStyle w:val="a6"/>
        <w:numPr>
          <w:ilvl w:val="0"/>
          <w:numId w:val="31"/>
        </w:numPr>
        <w:spacing w:line="360" w:lineRule="auto"/>
        <w:jc w:val="both"/>
        <w:rPr>
          <w:rFonts w:ascii="Times New Roman" w:hAnsi="Times New Roman"/>
          <w:sz w:val="28"/>
          <w:szCs w:val="28"/>
        </w:rPr>
      </w:pPr>
      <w:r w:rsidRPr="00167884">
        <w:rPr>
          <w:rFonts w:ascii="Times New Roman" w:hAnsi="Times New Roman"/>
          <w:sz w:val="28"/>
          <w:szCs w:val="28"/>
        </w:rPr>
        <w:t xml:space="preserve">Во-вторых, это </w:t>
      </w:r>
      <w:r w:rsidRPr="00167884">
        <w:rPr>
          <w:rFonts w:ascii="Times New Roman" w:hAnsi="Times New Roman"/>
          <w:i/>
          <w:sz w:val="28"/>
          <w:szCs w:val="28"/>
        </w:rPr>
        <w:t>уровень налогообложения</w:t>
      </w:r>
      <w:r>
        <w:rPr>
          <w:rFonts w:ascii="Times New Roman" w:hAnsi="Times New Roman"/>
          <w:sz w:val="28"/>
          <w:szCs w:val="28"/>
        </w:rPr>
        <w:t xml:space="preserve"> в стране, в которой базируется поглощаемая компания. Здесь необходимо учитывать </w:t>
      </w:r>
      <w:r w:rsidR="00E867DE">
        <w:rPr>
          <w:rFonts w:ascii="Times New Roman" w:hAnsi="Times New Roman"/>
          <w:sz w:val="28"/>
          <w:szCs w:val="28"/>
        </w:rPr>
        <w:t>ставку налога на прибыль, налог на имущество  и его эквиваленты, а также другие виды налогов (к примеру, ЕСН и НДФЛ в России)</w:t>
      </w:r>
    </w:p>
    <w:p w:rsidR="00E867DE" w:rsidRDefault="00E867DE" w:rsidP="00167884">
      <w:pPr>
        <w:pStyle w:val="a6"/>
        <w:numPr>
          <w:ilvl w:val="0"/>
          <w:numId w:val="31"/>
        </w:numPr>
        <w:spacing w:line="360" w:lineRule="auto"/>
        <w:jc w:val="both"/>
        <w:rPr>
          <w:rFonts w:ascii="Times New Roman" w:hAnsi="Times New Roman"/>
          <w:sz w:val="28"/>
          <w:szCs w:val="28"/>
        </w:rPr>
      </w:pPr>
      <w:r>
        <w:rPr>
          <w:rFonts w:ascii="Times New Roman" w:hAnsi="Times New Roman"/>
          <w:sz w:val="28"/>
          <w:szCs w:val="28"/>
        </w:rPr>
        <w:t xml:space="preserve">В-третьих, это </w:t>
      </w:r>
      <w:r w:rsidRPr="00E867DE">
        <w:rPr>
          <w:rFonts w:ascii="Times New Roman" w:hAnsi="Times New Roman"/>
          <w:i/>
          <w:sz w:val="28"/>
          <w:szCs w:val="28"/>
        </w:rPr>
        <w:t>ставки по краткосрочным и долгосрочным видам заимствований</w:t>
      </w:r>
      <w:r>
        <w:rPr>
          <w:rFonts w:ascii="Times New Roman" w:hAnsi="Times New Roman"/>
          <w:sz w:val="28"/>
          <w:szCs w:val="28"/>
        </w:rPr>
        <w:t>.</w:t>
      </w:r>
    </w:p>
    <w:p w:rsidR="00587118" w:rsidRPr="00167884" w:rsidRDefault="00E867DE" w:rsidP="00167884">
      <w:pPr>
        <w:spacing w:line="360" w:lineRule="auto"/>
        <w:ind w:firstLine="708"/>
        <w:jc w:val="both"/>
        <w:rPr>
          <w:rFonts w:ascii="Times New Roman" w:hAnsi="Times New Roman"/>
          <w:sz w:val="28"/>
          <w:szCs w:val="28"/>
        </w:rPr>
      </w:pPr>
      <w:r>
        <w:rPr>
          <w:rFonts w:ascii="Times New Roman" w:hAnsi="Times New Roman"/>
          <w:sz w:val="28"/>
          <w:szCs w:val="28"/>
        </w:rPr>
        <w:t>Эти</w:t>
      </w:r>
      <w:r w:rsidR="00167884">
        <w:rPr>
          <w:rFonts w:ascii="Times New Roman" w:hAnsi="Times New Roman"/>
          <w:sz w:val="28"/>
          <w:szCs w:val="28"/>
        </w:rPr>
        <w:t xml:space="preserve"> факторы </w:t>
      </w:r>
      <w:r w:rsidR="00587118" w:rsidRPr="00167884">
        <w:rPr>
          <w:rFonts w:ascii="Times New Roman" w:hAnsi="Times New Roman"/>
          <w:sz w:val="28"/>
          <w:szCs w:val="28"/>
        </w:rPr>
        <w:t>необходимо выявлять уже непосредственно в процессе построения модели оценки. При этом есть и другие составляющие, которые невозможно измерить в количественном эквиваленте, но которые также воздействуют на проведение трансгр</w:t>
      </w:r>
      <w:r w:rsidR="00167884">
        <w:rPr>
          <w:rFonts w:ascii="Times New Roman" w:hAnsi="Times New Roman"/>
          <w:sz w:val="28"/>
          <w:szCs w:val="28"/>
        </w:rPr>
        <w:t>аничных сделок, такие как</w:t>
      </w:r>
      <w:r w:rsidR="00587118" w:rsidRPr="00167884">
        <w:rPr>
          <w:rFonts w:ascii="Times New Roman" w:hAnsi="Times New Roman"/>
          <w:sz w:val="28"/>
          <w:szCs w:val="28"/>
        </w:rPr>
        <w:t xml:space="preserve"> традиции проведения </w:t>
      </w:r>
      <w:r w:rsidR="00167884">
        <w:rPr>
          <w:rFonts w:ascii="Times New Roman" w:hAnsi="Times New Roman"/>
          <w:sz w:val="28"/>
          <w:szCs w:val="28"/>
        </w:rPr>
        <w:t>сделок, языковые барьеры и другие</w:t>
      </w:r>
      <w:r w:rsidR="00587118" w:rsidRPr="00167884">
        <w:rPr>
          <w:rFonts w:ascii="Times New Roman" w:hAnsi="Times New Roman"/>
          <w:sz w:val="28"/>
          <w:szCs w:val="28"/>
        </w:rPr>
        <w:t xml:space="preserve">. В таком случае, предполагается, что, если невозможно определить с точной вероятностью влияние какого-либо из факторов на денежный поток фирмы, ставка дисконтирования корректируется экспертным путем. </w:t>
      </w:r>
    </w:p>
    <w:p w:rsidR="00587118" w:rsidRPr="00587118" w:rsidRDefault="00587118" w:rsidP="00587118">
      <w:pPr>
        <w:spacing w:line="360" w:lineRule="auto"/>
        <w:ind w:firstLine="708"/>
        <w:jc w:val="both"/>
        <w:rPr>
          <w:rFonts w:ascii="Times New Roman" w:hAnsi="Times New Roman"/>
          <w:sz w:val="28"/>
          <w:szCs w:val="28"/>
        </w:rPr>
      </w:pPr>
      <w:r>
        <w:rPr>
          <w:rFonts w:ascii="Times New Roman" w:hAnsi="Times New Roman"/>
          <w:sz w:val="28"/>
          <w:szCs w:val="28"/>
        </w:rPr>
        <w:t>Таким образом</w:t>
      </w:r>
      <w:r w:rsidRPr="00587118">
        <w:rPr>
          <w:rFonts w:ascii="Times New Roman" w:hAnsi="Times New Roman"/>
          <w:sz w:val="28"/>
          <w:szCs w:val="28"/>
        </w:rPr>
        <w:t>, первостепенное значение при оценке эффективности трансграничных сделок слияний и поглощений играют определенные факторы, которые, однако, с первого взгляда могут быть неочевидными, но которые необходимо учесть при оценке стоимости бизнеса приобретаемой компании.</w:t>
      </w:r>
    </w:p>
    <w:p w:rsidR="000872B3" w:rsidRPr="00AF10E4" w:rsidRDefault="002C7537" w:rsidP="00AF10E4">
      <w:pPr>
        <w:pStyle w:val="2"/>
        <w:jc w:val="center"/>
        <w:rPr>
          <w:rFonts w:ascii="Times New Roman" w:hAnsi="Times New Roman" w:cs="Times New Roman"/>
          <w:color w:val="auto"/>
          <w:sz w:val="28"/>
          <w:szCs w:val="28"/>
        </w:rPr>
      </w:pPr>
      <w:bookmarkStart w:id="8" w:name="_Toc356251991"/>
      <w:r w:rsidRPr="002C7537">
        <w:rPr>
          <w:rFonts w:ascii="Times New Roman" w:hAnsi="Times New Roman" w:cs="Times New Roman"/>
          <w:color w:val="auto"/>
          <w:sz w:val="28"/>
          <w:szCs w:val="28"/>
        </w:rPr>
        <w:t xml:space="preserve">1.3. </w:t>
      </w:r>
      <w:r w:rsidR="000872B3" w:rsidRPr="00AF10E4">
        <w:rPr>
          <w:rFonts w:ascii="Times New Roman" w:hAnsi="Times New Roman" w:cs="Times New Roman"/>
          <w:color w:val="auto"/>
          <w:sz w:val="28"/>
          <w:szCs w:val="28"/>
        </w:rPr>
        <w:t>Методы, используемые для оценки эффективности сделок слияний и поглощений</w:t>
      </w:r>
      <w:bookmarkEnd w:id="8"/>
    </w:p>
    <w:p w:rsidR="00A84079" w:rsidRPr="0038152B" w:rsidRDefault="00A84079" w:rsidP="0042040D">
      <w:pPr>
        <w:jc w:val="center"/>
        <w:rPr>
          <w:rFonts w:ascii="Times New Roman" w:hAnsi="Times New Roman"/>
          <w:b/>
          <w:sz w:val="28"/>
          <w:szCs w:val="28"/>
        </w:rPr>
      </w:pPr>
    </w:p>
    <w:p w:rsidR="000872B3" w:rsidRPr="00052880" w:rsidRDefault="000872B3" w:rsidP="000872B3">
      <w:pPr>
        <w:spacing w:line="360" w:lineRule="auto"/>
        <w:ind w:firstLine="708"/>
        <w:jc w:val="both"/>
        <w:rPr>
          <w:rFonts w:ascii="Times New Roman" w:hAnsi="Times New Roman"/>
          <w:b/>
          <w:sz w:val="32"/>
          <w:szCs w:val="32"/>
        </w:rPr>
      </w:pPr>
      <w:r>
        <w:rPr>
          <w:rFonts w:ascii="Times New Roman" w:hAnsi="Times New Roman"/>
          <w:sz w:val="28"/>
          <w:szCs w:val="28"/>
        </w:rPr>
        <w:t>Для того чтобы определить, насколько эффективна и прибыльна будет предстоящая сделка, применяются несколько методов для оценки стоимости бизнеса приобретаемой компании.</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9" w:name="_Toc356251992"/>
      <w:r w:rsidRPr="002C7537">
        <w:rPr>
          <w:rFonts w:ascii="Times New Roman" w:hAnsi="Times New Roman" w:cs="Times New Roman"/>
          <w:color w:val="auto"/>
          <w:sz w:val="28"/>
          <w:szCs w:val="28"/>
        </w:rPr>
        <w:t>1.</w:t>
      </w:r>
      <w:r w:rsidRPr="00006CBE">
        <w:rPr>
          <w:rFonts w:ascii="Times New Roman" w:hAnsi="Times New Roman" w:cs="Times New Roman"/>
          <w:color w:val="auto"/>
          <w:sz w:val="28"/>
          <w:szCs w:val="28"/>
        </w:rPr>
        <w:t>3</w:t>
      </w:r>
      <w:r w:rsidRPr="002C7537">
        <w:rPr>
          <w:rFonts w:ascii="Times New Roman" w:hAnsi="Times New Roman" w:cs="Times New Roman"/>
          <w:color w:val="auto"/>
          <w:sz w:val="28"/>
          <w:szCs w:val="28"/>
        </w:rPr>
        <w:t xml:space="preserve">.1 </w:t>
      </w:r>
      <w:r w:rsidR="000872B3" w:rsidRPr="002C7537">
        <w:rPr>
          <w:rFonts w:ascii="Times New Roman" w:hAnsi="Times New Roman" w:cs="Times New Roman"/>
          <w:color w:val="auto"/>
          <w:sz w:val="28"/>
          <w:szCs w:val="28"/>
        </w:rPr>
        <w:t>Доходный метод</w:t>
      </w:r>
      <w:bookmarkEnd w:id="9"/>
    </w:p>
    <w:p w:rsidR="000872B3" w:rsidRDefault="000872B3" w:rsidP="000872B3">
      <w:pPr>
        <w:spacing w:line="360" w:lineRule="auto"/>
        <w:ind w:firstLine="360"/>
        <w:jc w:val="both"/>
        <w:rPr>
          <w:rFonts w:ascii="Times New Roman" w:hAnsi="Times New Roman"/>
          <w:sz w:val="28"/>
          <w:szCs w:val="28"/>
        </w:rPr>
      </w:pPr>
      <w:r w:rsidRPr="008B7127">
        <w:rPr>
          <w:rFonts w:ascii="Times New Roman" w:hAnsi="Times New Roman"/>
          <w:sz w:val="28"/>
          <w:szCs w:val="28"/>
        </w:rPr>
        <w:t>Согласно ФСО №1 доходный подход - совокупность методов оценки стоимости объекта оценки, основанных на определении ожидаемых доходов от</w:t>
      </w:r>
      <w:r>
        <w:rPr>
          <w:rFonts w:ascii="Times New Roman" w:hAnsi="Times New Roman"/>
          <w:sz w:val="28"/>
          <w:szCs w:val="28"/>
        </w:rPr>
        <w:t xml:space="preserve"> использования объекта оценки</w:t>
      </w:r>
      <w:r>
        <w:rPr>
          <w:rStyle w:val="a5"/>
          <w:rFonts w:ascii="Times New Roman" w:hAnsi="Times New Roman"/>
          <w:sz w:val="28"/>
          <w:szCs w:val="28"/>
        </w:rPr>
        <w:footnoteReference w:id="6"/>
      </w:r>
      <w:r>
        <w:rPr>
          <w:rFonts w:ascii="Times New Roman" w:hAnsi="Times New Roman"/>
          <w:sz w:val="28"/>
          <w:szCs w:val="28"/>
        </w:rPr>
        <w:t>, то есть</w:t>
      </w:r>
      <w:r w:rsidRPr="008B7127">
        <w:rPr>
          <w:rFonts w:ascii="Times New Roman" w:hAnsi="Times New Roman"/>
          <w:sz w:val="28"/>
          <w:szCs w:val="28"/>
        </w:rPr>
        <w:t xml:space="preserve"> данный подход позволяет определить текущую стоимость будущих доходов (денежных потоков), которые, как ожидается, компания будет генерировать.</w:t>
      </w:r>
    </w:p>
    <w:p w:rsidR="000872B3" w:rsidRDefault="000872B3" w:rsidP="000872B3">
      <w:pPr>
        <w:spacing w:line="360" w:lineRule="auto"/>
        <w:ind w:firstLine="360"/>
        <w:jc w:val="both"/>
        <w:rPr>
          <w:rFonts w:ascii="Times New Roman" w:hAnsi="Times New Roman"/>
          <w:sz w:val="28"/>
          <w:szCs w:val="28"/>
        </w:rPr>
      </w:pPr>
      <w:r w:rsidRPr="005C770B">
        <w:rPr>
          <w:rFonts w:ascii="Times New Roman" w:hAnsi="Times New Roman"/>
          <w:sz w:val="28"/>
          <w:szCs w:val="28"/>
        </w:rPr>
        <w:t xml:space="preserve">При использовании доходного подхода учитывается не только величина дохода, но и период за который он может быть получен, а также вид и уровень риска, сопряженный с процессом получения прибыли. Также рассчитывается ставка дисконтирования для приведения будущих потоков доходов к дате оценки. Она отражает доходность вложений в сопоставимые по уровню риска объекты. </w:t>
      </w:r>
    </w:p>
    <w:p w:rsidR="000872B3" w:rsidRDefault="000872B3" w:rsidP="000872B3">
      <w:pPr>
        <w:spacing w:line="360" w:lineRule="auto"/>
        <w:ind w:firstLine="360"/>
        <w:jc w:val="both"/>
        <w:rPr>
          <w:rFonts w:ascii="Times New Roman" w:hAnsi="Times New Roman"/>
          <w:sz w:val="28"/>
          <w:szCs w:val="28"/>
        </w:rPr>
      </w:pPr>
      <w:r w:rsidRPr="005C770B">
        <w:rPr>
          <w:rFonts w:ascii="Times New Roman" w:hAnsi="Times New Roman"/>
          <w:sz w:val="28"/>
          <w:szCs w:val="28"/>
        </w:rPr>
        <w:t>В рамках доходного подхо</w:t>
      </w:r>
      <w:r>
        <w:rPr>
          <w:rFonts w:ascii="Times New Roman" w:hAnsi="Times New Roman"/>
          <w:sz w:val="28"/>
          <w:szCs w:val="28"/>
        </w:rPr>
        <w:t>да существуют несколько методов.</w:t>
      </w:r>
      <w:r w:rsidRPr="005C770B">
        <w:rPr>
          <w:rFonts w:ascii="Times New Roman" w:hAnsi="Times New Roman"/>
          <w:sz w:val="28"/>
          <w:szCs w:val="28"/>
        </w:rPr>
        <w:t xml:space="preserve"> Во-первых, </w:t>
      </w:r>
      <w:r w:rsidRPr="00DF1555">
        <w:rPr>
          <w:rFonts w:ascii="Times New Roman" w:hAnsi="Times New Roman"/>
          <w:i/>
          <w:sz w:val="28"/>
          <w:szCs w:val="28"/>
        </w:rPr>
        <w:t>метод дисконтирования денежных потоков</w:t>
      </w:r>
      <w:r w:rsidRPr="005C770B">
        <w:rPr>
          <w:rFonts w:ascii="Times New Roman" w:hAnsi="Times New Roman"/>
          <w:sz w:val="28"/>
          <w:szCs w:val="28"/>
        </w:rPr>
        <w:t xml:space="preserve"> (</w:t>
      </w:r>
      <w:r>
        <w:rPr>
          <w:rFonts w:ascii="Times New Roman" w:hAnsi="Times New Roman"/>
          <w:sz w:val="28"/>
          <w:szCs w:val="28"/>
        </w:rPr>
        <w:t>ДДП</w:t>
      </w:r>
      <w:r w:rsidRPr="005C770B">
        <w:rPr>
          <w:rFonts w:ascii="Times New Roman" w:hAnsi="Times New Roman"/>
          <w:sz w:val="28"/>
          <w:szCs w:val="28"/>
        </w:rPr>
        <w:t xml:space="preserve">), который позволяет оценить фундаментальную стоимость бизнеса, а также проанализировать способность компании приносить потоки доходов в течение периода прогнозирования, а также после него. </w:t>
      </w:r>
      <w:r w:rsidRPr="007F67AC">
        <w:rPr>
          <w:rFonts w:ascii="Times New Roman" w:hAnsi="Times New Roman"/>
          <w:sz w:val="28"/>
          <w:szCs w:val="28"/>
        </w:rPr>
        <w:t xml:space="preserve">Прогнозируемые свободные денежные потоки дисконтируются по ставке процента или средневзвешенной стоимости капитала (WACC). </w:t>
      </w:r>
    </w:p>
    <w:p w:rsidR="000872B3" w:rsidRPr="007F67AC" w:rsidRDefault="000872B3" w:rsidP="000872B3">
      <w:pPr>
        <w:spacing w:line="360" w:lineRule="auto"/>
        <w:ind w:firstLine="360"/>
        <w:jc w:val="both"/>
        <w:rPr>
          <w:rFonts w:ascii="Times New Roman" w:hAnsi="Times New Roman"/>
          <w:sz w:val="28"/>
          <w:szCs w:val="28"/>
        </w:rPr>
      </w:pPr>
      <w:r w:rsidRPr="005C770B">
        <w:rPr>
          <w:rFonts w:ascii="Times New Roman" w:hAnsi="Times New Roman"/>
          <w:sz w:val="28"/>
          <w:szCs w:val="28"/>
        </w:rPr>
        <w:t xml:space="preserve">Во-вторых, </w:t>
      </w:r>
      <w:r w:rsidRPr="00DF1555">
        <w:rPr>
          <w:rFonts w:ascii="Times New Roman" w:hAnsi="Times New Roman"/>
          <w:i/>
          <w:sz w:val="28"/>
          <w:szCs w:val="28"/>
        </w:rPr>
        <w:t>метод капитализации</w:t>
      </w:r>
      <w:r w:rsidRPr="005C770B">
        <w:rPr>
          <w:rFonts w:ascii="Times New Roman" w:hAnsi="Times New Roman"/>
          <w:sz w:val="28"/>
          <w:szCs w:val="28"/>
        </w:rPr>
        <w:t>, который обычно используется для оценки бизнеса, приносящего стабильную прибыль, например, в сфере оценки недвижимости. Метод капитализации основывается на применении формулы V=D/R, где D</w:t>
      </w:r>
      <w:r>
        <w:rPr>
          <w:rFonts w:ascii="Times New Roman" w:hAnsi="Times New Roman"/>
          <w:sz w:val="28"/>
          <w:szCs w:val="28"/>
        </w:rPr>
        <w:t xml:space="preserve"> - </w:t>
      </w:r>
      <w:r w:rsidRPr="005C770B">
        <w:rPr>
          <w:rFonts w:ascii="Times New Roman" w:hAnsi="Times New Roman"/>
          <w:sz w:val="28"/>
          <w:szCs w:val="28"/>
        </w:rPr>
        <w:t>чистый доход компании за 1 год, R</w:t>
      </w:r>
      <w:r>
        <w:rPr>
          <w:rFonts w:ascii="Times New Roman" w:hAnsi="Times New Roman"/>
          <w:sz w:val="28"/>
          <w:szCs w:val="28"/>
        </w:rPr>
        <w:t xml:space="preserve"> </w:t>
      </w:r>
      <w:r w:rsidRPr="005C770B">
        <w:rPr>
          <w:rFonts w:ascii="Times New Roman" w:hAnsi="Times New Roman"/>
          <w:sz w:val="28"/>
          <w:szCs w:val="28"/>
        </w:rPr>
        <w:t xml:space="preserve">- коэффициент капитализации. Основное преимущество данного метода состоит в простоте расчетов, но он применим только в случае, когда компания имеет относительно постоянный уровень денежных потоков или они растут с постоянным темпом. </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10" w:name="_Toc356251993"/>
      <w:r w:rsidRPr="002C7537">
        <w:rPr>
          <w:rFonts w:ascii="Times New Roman" w:hAnsi="Times New Roman" w:cs="Times New Roman"/>
          <w:color w:val="auto"/>
          <w:sz w:val="28"/>
          <w:szCs w:val="28"/>
        </w:rPr>
        <w:t>1.</w:t>
      </w:r>
      <w:r w:rsidRPr="00006CBE">
        <w:rPr>
          <w:rFonts w:ascii="Times New Roman" w:hAnsi="Times New Roman" w:cs="Times New Roman"/>
          <w:color w:val="auto"/>
          <w:sz w:val="28"/>
          <w:szCs w:val="28"/>
        </w:rPr>
        <w:t>3</w:t>
      </w:r>
      <w:r w:rsidRPr="002C7537">
        <w:rPr>
          <w:rFonts w:ascii="Times New Roman" w:hAnsi="Times New Roman" w:cs="Times New Roman"/>
          <w:color w:val="auto"/>
          <w:sz w:val="28"/>
          <w:szCs w:val="28"/>
        </w:rPr>
        <w:t xml:space="preserve">.1.1 </w:t>
      </w:r>
      <w:r w:rsidR="000872B3" w:rsidRPr="002C7537">
        <w:rPr>
          <w:rFonts w:ascii="Times New Roman" w:hAnsi="Times New Roman" w:cs="Times New Roman"/>
          <w:color w:val="auto"/>
          <w:sz w:val="28"/>
          <w:szCs w:val="28"/>
        </w:rPr>
        <w:t>Метод дисконтированных денежных потоков</w:t>
      </w:r>
      <w:bookmarkEnd w:id="10"/>
    </w:p>
    <w:p w:rsidR="000872B3" w:rsidRPr="007F67AC" w:rsidRDefault="000872B3" w:rsidP="000872B3">
      <w:pPr>
        <w:spacing w:line="360" w:lineRule="auto"/>
        <w:ind w:firstLine="360"/>
        <w:jc w:val="both"/>
        <w:rPr>
          <w:rFonts w:ascii="Times New Roman" w:hAnsi="Times New Roman"/>
          <w:sz w:val="28"/>
          <w:szCs w:val="28"/>
        </w:rPr>
      </w:pPr>
      <w:r w:rsidRPr="005C770B">
        <w:rPr>
          <w:rFonts w:ascii="Times New Roman" w:hAnsi="Times New Roman"/>
          <w:sz w:val="28"/>
          <w:szCs w:val="28"/>
        </w:rPr>
        <w:t>Основным принципом в подходе на основе дисконтированных денежных потоков является принцип важности денежных потоков в определении и прогнозировании финансовых потоков компании (</w:t>
      </w:r>
      <w:proofErr w:type="spellStart"/>
      <w:r w:rsidRPr="005D4940">
        <w:rPr>
          <w:rFonts w:ascii="Times New Roman" w:hAnsi="Times New Roman"/>
          <w:i/>
          <w:sz w:val="28"/>
          <w:szCs w:val="28"/>
        </w:rPr>
        <w:t>Cash</w:t>
      </w:r>
      <w:proofErr w:type="spellEnd"/>
      <w:r w:rsidRPr="005D4940">
        <w:rPr>
          <w:rFonts w:ascii="Times New Roman" w:hAnsi="Times New Roman"/>
          <w:i/>
          <w:sz w:val="28"/>
          <w:szCs w:val="28"/>
        </w:rPr>
        <w:t xml:space="preserve"> </w:t>
      </w:r>
      <w:proofErr w:type="spellStart"/>
      <w:r w:rsidRPr="005D4940">
        <w:rPr>
          <w:rFonts w:ascii="Times New Roman" w:hAnsi="Times New Roman"/>
          <w:i/>
          <w:sz w:val="28"/>
          <w:szCs w:val="28"/>
        </w:rPr>
        <w:t>is</w:t>
      </w:r>
      <w:proofErr w:type="spellEnd"/>
      <w:r w:rsidRPr="005D4940">
        <w:rPr>
          <w:rFonts w:ascii="Times New Roman" w:hAnsi="Times New Roman"/>
          <w:i/>
          <w:sz w:val="28"/>
          <w:szCs w:val="28"/>
        </w:rPr>
        <w:t xml:space="preserve"> </w:t>
      </w:r>
      <w:proofErr w:type="spellStart"/>
      <w:r w:rsidRPr="005D4940">
        <w:rPr>
          <w:rFonts w:ascii="Times New Roman" w:hAnsi="Times New Roman"/>
          <w:i/>
          <w:sz w:val="28"/>
          <w:szCs w:val="28"/>
        </w:rPr>
        <w:t>king</w:t>
      </w:r>
      <w:proofErr w:type="spellEnd"/>
      <w:r w:rsidRPr="005C770B">
        <w:rPr>
          <w:rFonts w:ascii="Times New Roman" w:hAnsi="Times New Roman"/>
          <w:sz w:val="28"/>
          <w:szCs w:val="28"/>
        </w:rPr>
        <w:t>).</w:t>
      </w:r>
      <w:r>
        <w:rPr>
          <w:rFonts w:ascii="Times New Roman" w:hAnsi="Times New Roman"/>
          <w:sz w:val="28"/>
          <w:szCs w:val="28"/>
        </w:rPr>
        <w:t xml:space="preserve"> </w:t>
      </w:r>
      <w:r w:rsidRPr="005C770B">
        <w:rPr>
          <w:rFonts w:ascii="Times New Roman" w:hAnsi="Times New Roman"/>
          <w:sz w:val="28"/>
          <w:szCs w:val="28"/>
        </w:rPr>
        <w:t xml:space="preserve">Для применения метода ДДП </w:t>
      </w:r>
      <w:r>
        <w:rPr>
          <w:rFonts w:ascii="Times New Roman" w:hAnsi="Times New Roman"/>
          <w:sz w:val="28"/>
          <w:szCs w:val="28"/>
        </w:rPr>
        <w:t>строится</w:t>
      </w:r>
      <w:r w:rsidRPr="005C770B">
        <w:rPr>
          <w:rFonts w:ascii="Times New Roman" w:hAnsi="Times New Roman"/>
          <w:sz w:val="28"/>
          <w:szCs w:val="28"/>
        </w:rPr>
        <w:t xml:space="preserve"> операционная модель компании с прогнозированием будущих показателей отчета о прибылях и убытках, баланса и отчета о движении денежных средств.</w:t>
      </w:r>
      <w:r w:rsidRPr="007F67AC">
        <w:rPr>
          <w:rFonts w:ascii="Times New Roman" w:hAnsi="Times New Roman"/>
          <w:sz w:val="28"/>
          <w:szCs w:val="28"/>
        </w:rPr>
        <w:t xml:space="preserve"> </w:t>
      </w:r>
    </w:p>
    <w:p w:rsidR="000872B3" w:rsidRPr="007F67AC"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При построении операционной модели необходимо руководствоваться определенными принципами. Во-первых, прогноз продаж компании должен учитывать различные макроэкономические факторы, такие как уровень инфляции и рост той или иной отрасли, где функционирует компания, в целом и по регионам. В зависимости от значения этих индикаторов, разрабатываются прогнозные сценарии, которые могут характеризоваться как положительным, так и отрицательным трендом. Во-вторых, должны быть спрогнозированы основные издержки компании и валовая прибыль. Как правило, эти показатели прогнозируются как фиксированный процент от выручки. Что касается к</w:t>
      </w:r>
      <w:r w:rsidRPr="007F67AC">
        <w:rPr>
          <w:rFonts w:ascii="Times New Roman" w:hAnsi="Times New Roman"/>
          <w:sz w:val="28"/>
          <w:szCs w:val="28"/>
        </w:rPr>
        <w:t>редиторск</w:t>
      </w:r>
      <w:r>
        <w:rPr>
          <w:rFonts w:ascii="Times New Roman" w:hAnsi="Times New Roman"/>
          <w:sz w:val="28"/>
          <w:szCs w:val="28"/>
        </w:rPr>
        <w:t>ой</w:t>
      </w:r>
      <w:r w:rsidRPr="007F67AC">
        <w:rPr>
          <w:rFonts w:ascii="Times New Roman" w:hAnsi="Times New Roman"/>
          <w:sz w:val="28"/>
          <w:szCs w:val="28"/>
        </w:rPr>
        <w:t xml:space="preserve"> задолженност</w:t>
      </w:r>
      <w:r>
        <w:rPr>
          <w:rFonts w:ascii="Times New Roman" w:hAnsi="Times New Roman"/>
          <w:sz w:val="28"/>
          <w:szCs w:val="28"/>
        </w:rPr>
        <w:t>и</w:t>
      </w:r>
      <w:r w:rsidRPr="007F67AC">
        <w:rPr>
          <w:rFonts w:ascii="Times New Roman" w:hAnsi="Times New Roman"/>
          <w:sz w:val="28"/>
          <w:szCs w:val="28"/>
        </w:rPr>
        <w:t xml:space="preserve"> и запас</w:t>
      </w:r>
      <w:r>
        <w:rPr>
          <w:rFonts w:ascii="Times New Roman" w:hAnsi="Times New Roman"/>
          <w:sz w:val="28"/>
          <w:szCs w:val="28"/>
        </w:rPr>
        <w:t>ов, то они</w:t>
      </w:r>
      <w:r w:rsidRPr="007F67AC">
        <w:rPr>
          <w:rFonts w:ascii="Times New Roman" w:hAnsi="Times New Roman"/>
          <w:sz w:val="28"/>
          <w:szCs w:val="28"/>
        </w:rPr>
        <w:t xml:space="preserve"> прогнозируются как исторический процент издержек себестоимости. Дебиторская задолженность, прочие оборотные и внеоборотные активы, за исключением денежных средств, прогнозируются как исторический процент от продаж.  </w:t>
      </w:r>
    </w:p>
    <w:p w:rsidR="000872B3"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 xml:space="preserve">Особое место отводится прогнозу долгосрочной и краткосрочной задолженности. </w:t>
      </w:r>
      <w:r>
        <w:rPr>
          <w:rFonts w:ascii="Times New Roman" w:hAnsi="Times New Roman"/>
          <w:sz w:val="28"/>
          <w:szCs w:val="28"/>
        </w:rPr>
        <w:t xml:space="preserve">Для простоты расчетов, предполагается, что краткосрочная задолженность погашается в течение следующего финансового года, а долгосрочный долг выплачивается равными долями в течение прогнозного периода. </w:t>
      </w:r>
      <w:r w:rsidRPr="007F67AC">
        <w:rPr>
          <w:rFonts w:ascii="Times New Roman" w:hAnsi="Times New Roman"/>
          <w:sz w:val="28"/>
          <w:szCs w:val="28"/>
        </w:rPr>
        <w:t>Далее рассчитыва</w:t>
      </w:r>
      <w:r>
        <w:rPr>
          <w:rFonts w:ascii="Times New Roman" w:hAnsi="Times New Roman"/>
          <w:sz w:val="28"/>
          <w:szCs w:val="28"/>
        </w:rPr>
        <w:t>ется</w:t>
      </w:r>
      <w:r w:rsidRPr="007F67AC">
        <w:rPr>
          <w:rFonts w:ascii="Times New Roman" w:hAnsi="Times New Roman"/>
          <w:sz w:val="28"/>
          <w:szCs w:val="28"/>
        </w:rPr>
        <w:t xml:space="preserve"> ставка процента, по которой выплачивается кредит, основываясь на </w:t>
      </w:r>
      <w:r>
        <w:rPr>
          <w:rFonts w:ascii="Times New Roman" w:hAnsi="Times New Roman"/>
          <w:sz w:val="28"/>
          <w:szCs w:val="28"/>
        </w:rPr>
        <w:t>условиях выплат по кредитам и займам</w:t>
      </w:r>
      <w:r w:rsidRPr="007F67AC">
        <w:rPr>
          <w:rFonts w:ascii="Times New Roman" w:hAnsi="Times New Roman"/>
          <w:sz w:val="28"/>
          <w:szCs w:val="28"/>
        </w:rPr>
        <w:t xml:space="preserve"> компании. </w:t>
      </w:r>
      <w:r>
        <w:rPr>
          <w:rFonts w:ascii="Times New Roman" w:hAnsi="Times New Roman"/>
          <w:sz w:val="28"/>
          <w:szCs w:val="28"/>
        </w:rPr>
        <w:t>Если компания брала достаточно много сре</w:t>
      </w:r>
      <w:proofErr w:type="gramStart"/>
      <w:r>
        <w:rPr>
          <w:rFonts w:ascii="Times New Roman" w:hAnsi="Times New Roman"/>
          <w:sz w:val="28"/>
          <w:szCs w:val="28"/>
        </w:rPr>
        <w:t>дств в д</w:t>
      </w:r>
      <w:proofErr w:type="gramEnd"/>
      <w:r>
        <w:rPr>
          <w:rFonts w:ascii="Times New Roman" w:hAnsi="Times New Roman"/>
          <w:sz w:val="28"/>
          <w:szCs w:val="28"/>
        </w:rPr>
        <w:t>олг, то необходимо рассчитать средневзвешенную ставку процента по всем имеющимся кредитам.</w:t>
      </w:r>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З</w:t>
      </w:r>
      <w:r w:rsidRPr="007F67AC">
        <w:rPr>
          <w:rFonts w:ascii="Times New Roman" w:hAnsi="Times New Roman"/>
          <w:sz w:val="28"/>
          <w:szCs w:val="28"/>
        </w:rPr>
        <w:t xml:space="preserve">начение рабочего капитала рассчитывается как разность суммы </w:t>
      </w:r>
      <w:r>
        <w:rPr>
          <w:rFonts w:ascii="Times New Roman" w:hAnsi="Times New Roman"/>
          <w:sz w:val="28"/>
          <w:szCs w:val="28"/>
        </w:rPr>
        <w:t>текущих запасов и суммы текущих обязательств (за исключением денежных средств и краткосрочного долга с револьвером)</w:t>
      </w:r>
      <w:r w:rsidRPr="007F67AC">
        <w:rPr>
          <w:rFonts w:ascii="Times New Roman" w:hAnsi="Times New Roman"/>
          <w:sz w:val="28"/>
          <w:szCs w:val="28"/>
        </w:rPr>
        <w:t xml:space="preserve">. </w:t>
      </w:r>
      <w:r>
        <w:rPr>
          <w:rFonts w:ascii="Times New Roman" w:hAnsi="Times New Roman"/>
          <w:sz w:val="28"/>
          <w:szCs w:val="28"/>
        </w:rPr>
        <w:t xml:space="preserve">Далее рассчитываются операционный, инвестиционный и финансовый денежные потоки. </w:t>
      </w:r>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Свободный денежный поток рассчитывается как сумма чистой прибыли и амортизационных отчислений за вычетом изменений в рабочем капитале и капитальных затрат. </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 xml:space="preserve">Стоимость компании (Enterprise Value) определяется по формуле чистой приведенной стоимости </w:t>
      </w:r>
      <w:r>
        <w:rPr>
          <w:rFonts w:ascii="Times New Roman" w:hAnsi="Times New Roman"/>
          <w:sz w:val="28"/>
          <w:szCs w:val="28"/>
        </w:rPr>
        <w:t xml:space="preserve">свободных </w:t>
      </w:r>
      <w:r w:rsidRPr="007F67AC">
        <w:rPr>
          <w:rFonts w:ascii="Times New Roman" w:hAnsi="Times New Roman"/>
          <w:sz w:val="28"/>
          <w:szCs w:val="28"/>
        </w:rPr>
        <w:t>денежных потоков и приведенной терминальной стоимости компании.</w:t>
      </w:r>
    </w:p>
    <w:p w:rsidR="000872B3" w:rsidRPr="000872B3" w:rsidRDefault="000872B3" w:rsidP="000872B3">
      <w:pPr>
        <w:spacing w:line="360" w:lineRule="auto"/>
        <w:ind w:firstLine="360"/>
        <w:jc w:val="both"/>
        <w:rPr>
          <w:rFonts w:ascii="Times New Roman" w:hAnsi="Times New Roman"/>
          <w:sz w:val="28"/>
          <w:szCs w:val="28"/>
          <w:lang w:val="en-US"/>
        </w:rPr>
      </w:pPr>
      <w:r w:rsidRPr="000872B3">
        <w:rPr>
          <w:rFonts w:ascii="Times New Roman" w:hAnsi="Times New Roman"/>
          <w:sz w:val="28"/>
          <w:szCs w:val="28"/>
          <w:lang w:val="en-US"/>
        </w:rPr>
        <w:t>NPV of FCFF =</w:t>
      </w:r>
      <w:r>
        <w:rPr>
          <w:rFonts w:ascii="Times New Roman" w:hAnsi="Times New Roman"/>
          <w:sz w:val="24"/>
          <w:szCs w:val="24"/>
          <w:lang w:val="en-US"/>
        </w:rPr>
        <w:t>=</w:t>
      </w:r>
      <w:r w:rsidRPr="00B8306E">
        <w:rPr>
          <w:rFonts w:ascii="Times New Roman" w:hAnsi="Times New Roman"/>
          <w:sz w:val="24"/>
          <w:szCs w:val="24"/>
          <w:lang w:val="en-US"/>
        </w:rPr>
        <w:t xml:space="preserve"> </w:t>
      </w:r>
      <w:r>
        <w:rPr>
          <w:rFonts w:ascii="Times New Roman" w:hAnsi="Times New Roman"/>
          <w:sz w:val="24"/>
          <w:szCs w:val="24"/>
          <w:lang w:val="en-US"/>
        </w:rPr>
        <w:t xml:space="preserve"> </w:t>
      </w:r>
      <m:oMath>
        <m:nary>
          <m:naryPr>
            <m:chr m:val="∑"/>
            <m:limLoc m:val="undOvr"/>
            <m:ctrlPr>
              <w:rPr>
                <w:rFonts w:ascii="Cambria Math" w:hAnsi="Cambria Math"/>
                <w:i/>
                <w:sz w:val="36"/>
                <w:szCs w:val="36"/>
                <w:lang w:val="en-US"/>
              </w:rPr>
            </m:ctrlPr>
          </m:naryPr>
          <m:sub>
            <m:r>
              <w:rPr>
                <w:rFonts w:ascii="Cambria Math" w:hAnsi="Cambria Math"/>
                <w:sz w:val="36"/>
                <w:szCs w:val="36"/>
                <w:lang w:val="en-US"/>
              </w:rPr>
              <m:t>t=0</m:t>
            </m:r>
          </m:sub>
          <m:sup>
            <m:r>
              <w:rPr>
                <w:rFonts w:ascii="Cambria Math" w:hAnsi="Cambria Math"/>
                <w:sz w:val="36"/>
                <w:szCs w:val="36"/>
                <w:lang w:val="en-US"/>
              </w:rPr>
              <m:t>5</m:t>
            </m:r>
          </m:sup>
          <m:e>
            <m:f>
              <m:fPr>
                <m:ctrlPr>
                  <w:rPr>
                    <w:rFonts w:ascii="Cambria Math" w:hAnsi="Cambria Math"/>
                    <w:i/>
                    <w:sz w:val="36"/>
                    <w:szCs w:val="36"/>
                    <w:lang w:val="en-US"/>
                  </w:rPr>
                </m:ctrlPr>
              </m:fPr>
              <m:num>
                <m:sSub>
                  <m:sSubPr>
                    <m:ctrlPr>
                      <w:rPr>
                        <w:rFonts w:ascii="Cambria Math" w:hAnsi="Cambria Math"/>
                        <w:i/>
                        <w:sz w:val="36"/>
                        <w:szCs w:val="36"/>
                        <w:lang w:val="en-US"/>
                      </w:rPr>
                    </m:ctrlPr>
                  </m:sSubPr>
                  <m:e>
                    <m:r>
                      <w:rPr>
                        <w:rFonts w:ascii="Cambria Math" w:hAnsi="Cambria Math"/>
                        <w:sz w:val="36"/>
                        <w:szCs w:val="36"/>
                        <w:lang w:val="en-US"/>
                      </w:rPr>
                      <m:t>CF</m:t>
                    </m:r>
                  </m:e>
                  <m:sub>
                    <m:r>
                      <w:rPr>
                        <w:rFonts w:ascii="Cambria Math" w:hAnsi="Cambria Math"/>
                        <w:sz w:val="36"/>
                        <w:szCs w:val="36"/>
                        <w:lang w:val="en-US"/>
                      </w:rPr>
                      <m:t>t</m:t>
                    </m:r>
                  </m:sub>
                </m:sSub>
              </m:num>
              <m:den>
                <m:sSup>
                  <m:sSupPr>
                    <m:ctrlPr>
                      <w:rPr>
                        <w:rFonts w:ascii="Cambria Math" w:hAnsi="Cambria Math"/>
                        <w:i/>
                        <w:sz w:val="36"/>
                        <w:szCs w:val="36"/>
                        <w:lang w:val="en-US"/>
                      </w:rPr>
                    </m:ctrlPr>
                  </m:sSupPr>
                  <m:e>
                    <m:r>
                      <w:rPr>
                        <w:rFonts w:ascii="Cambria Math" w:hAnsi="Cambria Math"/>
                        <w:sz w:val="36"/>
                        <w:szCs w:val="36"/>
                        <w:lang w:val="en-US"/>
                      </w:rPr>
                      <m:t>(1+r)</m:t>
                    </m:r>
                  </m:e>
                  <m:sup>
                    <m:r>
                      <w:rPr>
                        <w:rFonts w:ascii="Cambria Math" w:hAnsi="Cambria Math"/>
                        <w:sz w:val="36"/>
                        <w:szCs w:val="36"/>
                        <w:lang w:val="en-US"/>
                      </w:rPr>
                      <m:t>t</m:t>
                    </m:r>
                  </m:sup>
                </m:sSup>
              </m:den>
            </m:f>
          </m:e>
        </m:nary>
      </m:oMath>
      <w:r w:rsidRPr="000872B3">
        <w:rPr>
          <w:rFonts w:ascii="Times New Roman" w:hAnsi="Times New Roman"/>
          <w:sz w:val="28"/>
          <w:szCs w:val="28"/>
          <w:lang w:val="en-US"/>
        </w:rPr>
        <w:t xml:space="preserve"> , </w:t>
      </w:r>
      <w:r w:rsidRPr="007F67AC">
        <w:rPr>
          <w:rFonts w:ascii="Times New Roman" w:hAnsi="Times New Roman"/>
          <w:sz w:val="28"/>
          <w:szCs w:val="28"/>
        </w:rPr>
        <w:t>где</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CF – это денежный поток в периоде t, r – ставка дисконтирования</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Расчет терминальной стоимости основывается на формуле:</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TV</w:t>
      </w:r>
      <w:r>
        <w:rPr>
          <w:rFonts w:ascii="Times New Roman" w:hAnsi="Times New Roman"/>
          <w:sz w:val="28"/>
          <w:szCs w:val="28"/>
        </w:rPr>
        <w:t xml:space="preserve"> = </w:t>
      </w:r>
      <m:oMath>
        <m:f>
          <m:fPr>
            <m:ctrlPr>
              <w:rPr>
                <w:rFonts w:ascii="Cambria Math" w:hAnsi="Cambria Math"/>
                <w:i/>
                <w:noProof/>
                <w:sz w:val="40"/>
                <w:szCs w:val="40"/>
                <w:lang w:val="en-US" w:eastAsia="ru-RU"/>
              </w:rPr>
            </m:ctrlPr>
          </m:fPr>
          <m:num>
            <m:sSub>
              <m:sSubPr>
                <m:ctrlPr>
                  <w:rPr>
                    <w:rFonts w:ascii="Cambria Math" w:hAnsi="Cambria Math"/>
                    <w:i/>
                    <w:noProof/>
                    <w:sz w:val="40"/>
                    <w:szCs w:val="40"/>
                    <w:lang w:val="en-US" w:eastAsia="ru-RU"/>
                  </w:rPr>
                </m:ctrlPr>
              </m:sSubPr>
              <m:e>
                <m:r>
                  <w:rPr>
                    <w:rFonts w:ascii="Cambria Math" w:hAnsi="Cambria Math"/>
                    <w:noProof/>
                    <w:sz w:val="40"/>
                    <w:szCs w:val="40"/>
                    <w:lang w:val="en-US" w:eastAsia="ru-RU"/>
                  </w:rPr>
                  <m:t>D</m:t>
                </m:r>
              </m:e>
              <m:sub>
                <m:r>
                  <w:rPr>
                    <w:rFonts w:ascii="Cambria Math" w:hAnsi="Cambria Math"/>
                    <w:noProof/>
                    <w:sz w:val="40"/>
                    <w:szCs w:val="40"/>
                    <w:lang w:eastAsia="ru-RU"/>
                  </w:rPr>
                  <m:t>5*(1+</m:t>
                </m:r>
                <m:r>
                  <w:rPr>
                    <w:rFonts w:ascii="Cambria Math" w:hAnsi="Cambria Math"/>
                    <w:noProof/>
                    <w:sz w:val="40"/>
                    <w:szCs w:val="40"/>
                    <w:lang w:val="en-US" w:eastAsia="ru-RU"/>
                  </w:rPr>
                  <m:t>g</m:t>
                </m:r>
                <m:r>
                  <w:rPr>
                    <w:rFonts w:ascii="Cambria Math" w:hAnsi="Cambria Math"/>
                    <w:noProof/>
                    <w:sz w:val="40"/>
                    <w:szCs w:val="40"/>
                    <w:lang w:eastAsia="ru-RU"/>
                  </w:rPr>
                  <m:t>)</m:t>
                </m:r>
              </m:sub>
            </m:sSub>
          </m:num>
          <m:den>
            <m:r>
              <w:rPr>
                <w:rFonts w:ascii="Cambria Math" w:hAnsi="Cambria Math"/>
                <w:noProof/>
                <w:sz w:val="40"/>
                <w:szCs w:val="40"/>
                <w:lang w:eastAsia="ru-RU"/>
              </w:rPr>
              <m:t>(</m:t>
            </m:r>
            <m:r>
              <w:rPr>
                <w:rFonts w:ascii="Cambria Math" w:hAnsi="Cambria Math"/>
                <w:noProof/>
                <w:sz w:val="40"/>
                <w:szCs w:val="40"/>
                <w:lang w:val="en-US" w:eastAsia="ru-RU"/>
              </w:rPr>
              <m:t>r</m:t>
            </m:r>
            <m:r>
              <w:rPr>
                <w:rFonts w:ascii="Cambria Math" w:hAnsi="Cambria Math"/>
                <w:noProof/>
                <w:sz w:val="40"/>
                <w:szCs w:val="40"/>
                <w:lang w:eastAsia="ru-RU"/>
              </w:rPr>
              <m:t>-</m:t>
            </m:r>
            <m:r>
              <w:rPr>
                <w:rFonts w:ascii="Cambria Math" w:hAnsi="Cambria Math"/>
                <w:noProof/>
                <w:sz w:val="40"/>
                <w:szCs w:val="40"/>
                <w:lang w:val="en-US" w:eastAsia="ru-RU"/>
              </w:rPr>
              <m:t>g</m:t>
            </m:r>
            <m:r>
              <w:rPr>
                <w:rFonts w:ascii="Cambria Math" w:hAnsi="Cambria Math"/>
                <w:noProof/>
                <w:sz w:val="40"/>
                <w:szCs w:val="40"/>
                <w:lang w:eastAsia="ru-RU"/>
              </w:rPr>
              <m:t>)</m:t>
            </m:r>
          </m:den>
        </m:f>
      </m:oMath>
      <w:r>
        <w:rPr>
          <w:rFonts w:ascii="Times New Roman" w:hAnsi="Times New Roman"/>
          <w:sz w:val="28"/>
          <w:szCs w:val="28"/>
        </w:rPr>
        <w:t xml:space="preserve"> </w:t>
      </w:r>
      <w:r w:rsidRPr="007F67AC">
        <w:rPr>
          <w:rFonts w:ascii="Times New Roman" w:hAnsi="Times New Roman"/>
          <w:sz w:val="28"/>
          <w:szCs w:val="28"/>
        </w:rPr>
        <w:t>, где</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g – темп роста в постпрогнозном периоде</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Ставка дисконтирования или средневзвешенная стоимость капитала (WACC) определяется по следующей формуле:</w:t>
      </w:r>
    </w:p>
    <w:p w:rsidR="000872B3" w:rsidRPr="007F67AC" w:rsidRDefault="000872B3" w:rsidP="000872B3">
      <w:pPr>
        <w:spacing w:line="360" w:lineRule="auto"/>
        <w:ind w:firstLine="360"/>
        <w:jc w:val="both"/>
        <w:rPr>
          <w:rFonts w:ascii="Times New Roman" w:hAnsi="Times New Roman"/>
          <w:sz w:val="28"/>
          <w:szCs w:val="28"/>
          <w:lang w:val="en-US"/>
        </w:rPr>
      </w:pPr>
      <w:r w:rsidRPr="007F67AC">
        <w:rPr>
          <w:rFonts w:ascii="Times New Roman" w:hAnsi="Times New Roman"/>
          <w:sz w:val="28"/>
          <w:szCs w:val="28"/>
          <w:lang w:val="en-US"/>
        </w:rPr>
        <w:t>WACC = Re*</w:t>
      </w:r>
      <w:proofErr w:type="gramStart"/>
      <w:r w:rsidRPr="007F67AC">
        <w:rPr>
          <w:rFonts w:ascii="Times New Roman" w:hAnsi="Times New Roman"/>
          <w:sz w:val="28"/>
          <w:szCs w:val="28"/>
          <w:lang w:val="en-US"/>
        </w:rPr>
        <w:t>We</w:t>
      </w:r>
      <w:proofErr w:type="gramEnd"/>
      <w:r w:rsidRPr="007F67AC">
        <w:rPr>
          <w:rFonts w:ascii="Times New Roman" w:hAnsi="Times New Roman"/>
          <w:sz w:val="28"/>
          <w:szCs w:val="28"/>
          <w:lang w:val="en-US"/>
        </w:rPr>
        <w:t xml:space="preserve"> + Rd* Wd*(1-t), </w:t>
      </w:r>
      <w:r w:rsidRPr="007F67AC">
        <w:rPr>
          <w:rFonts w:ascii="Times New Roman" w:hAnsi="Times New Roman"/>
          <w:sz w:val="28"/>
          <w:szCs w:val="28"/>
        </w:rPr>
        <w:t>где</w:t>
      </w:r>
    </w:p>
    <w:p w:rsidR="000872B3" w:rsidRPr="009B25C8" w:rsidRDefault="000872B3" w:rsidP="00854993">
      <w:pPr>
        <w:spacing w:after="0" w:line="360" w:lineRule="auto"/>
        <w:ind w:firstLine="360"/>
        <w:jc w:val="both"/>
        <w:rPr>
          <w:rFonts w:ascii="Times New Roman" w:hAnsi="Times New Roman"/>
          <w:sz w:val="28"/>
          <w:szCs w:val="28"/>
        </w:rPr>
      </w:pPr>
      <w:r>
        <w:rPr>
          <w:rFonts w:ascii="Times New Roman" w:hAnsi="Times New Roman"/>
          <w:sz w:val="28"/>
          <w:szCs w:val="28"/>
          <w:lang w:val="de-DE"/>
        </w:rPr>
        <w:t>T</w:t>
      </w:r>
      <w:r w:rsidRPr="009B25C8">
        <w:rPr>
          <w:rFonts w:ascii="Times New Roman" w:hAnsi="Times New Roman"/>
          <w:sz w:val="28"/>
          <w:szCs w:val="28"/>
        </w:rPr>
        <w:t xml:space="preserve"> – </w:t>
      </w:r>
      <w:r>
        <w:rPr>
          <w:rFonts w:ascii="Times New Roman" w:hAnsi="Times New Roman"/>
          <w:sz w:val="28"/>
          <w:szCs w:val="28"/>
        </w:rPr>
        <w:t>ставка налога;</w:t>
      </w:r>
    </w:p>
    <w:p w:rsidR="000872B3" w:rsidRDefault="000872B3" w:rsidP="00854993">
      <w:pPr>
        <w:spacing w:after="0" w:line="360" w:lineRule="auto"/>
        <w:ind w:firstLine="360"/>
        <w:jc w:val="both"/>
        <w:rPr>
          <w:rFonts w:ascii="Times New Roman" w:hAnsi="Times New Roman"/>
          <w:sz w:val="28"/>
          <w:szCs w:val="28"/>
        </w:rPr>
      </w:pPr>
      <w:proofErr w:type="spellStart"/>
      <w:r w:rsidRPr="007F67AC">
        <w:rPr>
          <w:rFonts w:ascii="Times New Roman" w:hAnsi="Times New Roman"/>
          <w:sz w:val="28"/>
          <w:szCs w:val="28"/>
        </w:rPr>
        <w:t>We</w:t>
      </w:r>
      <w:proofErr w:type="spellEnd"/>
      <w:r w:rsidRPr="007F67AC">
        <w:rPr>
          <w:rFonts w:ascii="Times New Roman" w:hAnsi="Times New Roman"/>
          <w:sz w:val="28"/>
          <w:szCs w:val="28"/>
        </w:rPr>
        <w:t xml:space="preserve"> – это отношение собственного капитала к сумме со</w:t>
      </w:r>
      <w:r>
        <w:rPr>
          <w:rFonts w:ascii="Times New Roman" w:hAnsi="Times New Roman"/>
          <w:sz w:val="28"/>
          <w:szCs w:val="28"/>
        </w:rPr>
        <w:t>бственного и заемного капитала;</w:t>
      </w:r>
    </w:p>
    <w:p w:rsidR="000872B3" w:rsidRPr="007F67AC" w:rsidRDefault="000872B3" w:rsidP="00854993">
      <w:pPr>
        <w:spacing w:after="0" w:line="360" w:lineRule="auto"/>
        <w:ind w:firstLine="360"/>
        <w:jc w:val="both"/>
        <w:rPr>
          <w:rFonts w:ascii="Times New Roman" w:hAnsi="Times New Roman"/>
          <w:sz w:val="28"/>
          <w:szCs w:val="28"/>
        </w:rPr>
      </w:pPr>
      <w:r w:rsidRPr="007F67AC">
        <w:rPr>
          <w:rFonts w:ascii="Times New Roman" w:hAnsi="Times New Roman"/>
          <w:sz w:val="28"/>
          <w:szCs w:val="28"/>
        </w:rPr>
        <w:t>Wd – это отношение заемного капитала к сумме собственного и заемного капитала</w:t>
      </w:r>
      <w:r>
        <w:rPr>
          <w:rFonts w:ascii="Times New Roman" w:hAnsi="Times New Roman"/>
          <w:sz w:val="28"/>
          <w:szCs w:val="28"/>
        </w:rPr>
        <w:t>;</w:t>
      </w:r>
    </w:p>
    <w:p w:rsidR="00C676FC" w:rsidRDefault="000872B3" w:rsidP="00C676FC">
      <w:pPr>
        <w:spacing w:after="0" w:line="360" w:lineRule="auto"/>
        <w:ind w:firstLine="360"/>
        <w:jc w:val="both"/>
        <w:rPr>
          <w:rFonts w:ascii="Times New Roman" w:hAnsi="Times New Roman"/>
          <w:sz w:val="28"/>
          <w:szCs w:val="28"/>
        </w:rPr>
      </w:pPr>
      <w:proofErr w:type="spellStart"/>
      <w:r w:rsidRPr="007F67AC">
        <w:rPr>
          <w:rFonts w:ascii="Times New Roman" w:hAnsi="Times New Roman"/>
          <w:sz w:val="28"/>
          <w:szCs w:val="28"/>
        </w:rPr>
        <w:t>Rd</w:t>
      </w:r>
      <w:proofErr w:type="spellEnd"/>
      <w:r w:rsidRPr="007F67AC">
        <w:rPr>
          <w:rFonts w:ascii="Times New Roman" w:hAnsi="Times New Roman"/>
          <w:sz w:val="28"/>
          <w:szCs w:val="28"/>
        </w:rPr>
        <w:t xml:space="preserve"> – это стоимость заемного капитала, которая </w:t>
      </w:r>
      <w:r w:rsidR="00C676FC">
        <w:rPr>
          <w:rFonts w:ascii="Times New Roman" w:hAnsi="Times New Roman"/>
          <w:sz w:val="28"/>
          <w:szCs w:val="28"/>
        </w:rPr>
        <w:t>рассчитывается как средняя ставка по займам, предоставленным компании или как доходность к рыночной доходности к погашению ее котируемых облигаций</w:t>
      </w:r>
      <w:r>
        <w:rPr>
          <w:rFonts w:ascii="Times New Roman" w:hAnsi="Times New Roman"/>
          <w:sz w:val="28"/>
          <w:szCs w:val="28"/>
        </w:rPr>
        <w:t>;</w:t>
      </w:r>
    </w:p>
    <w:p w:rsidR="00C676FC" w:rsidRPr="007F67AC" w:rsidRDefault="00C676FC" w:rsidP="00C676FC">
      <w:pPr>
        <w:spacing w:after="0" w:line="360" w:lineRule="auto"/>
        <w:ind w:firstLine="360"/>
        <w:jc w:val="both"/>
        <w:rPr>
          <w:rFonts w:ascii="Times New Roman" w:hAnsi="Times New Roman"/>
          <w:sz w:val="28"/>
          <w:szCs w:val="28"/>
        </w:rPr>
      </w:pPr>
      <w:r w:rsidRPr="00C676FC">
        <w:rPr>
          <w:rFonts w:ascii="Times New Roman" w:hAnsi="Times New Roman"/>
          <w:sz w:val="28"/>
          <w:szCs w:val="28"/>
        </w:rPr>
        <w:t xml:space="preserve"> </w:t>
      </w:r>
      <w:r w:rsidRPr="007F67AC">
        <w:rPr>
          <w:rFonts w:ascii="Times New Roman" w:hAnsi="Times New Roman"/>
          <w:sz w:val="28"/>
          <w:szCs w:val="28"/>
        </w:rPr>
        <w:t>Re – это стоимость собственного капитала, которая опре</w:t>
      </w:r>
      <w:r>
        <w:rPr>
          <w:rFonts w:ascii="Times New Roman" w:hAnsi="Times New Roman"/>
          <w:sz w:val="28"/>
          <w:szCs w:val="28"/>
        </w:rPr>
        <w:t>деляется, исходя из модели CAPM.</w:t>
      </w:r>
    </w:p>
    <w:p w:rsidR="000872B3" w:rsidRPr="007F67AC" w:rsidRDefault="000872B3" w:rsidP="000872B3">
      <w:pPr>
        <w:spacing w:line="360" w:lineRule="auto"/>
        <w:ind w:firstLine="360"/>
        <w:jc w:val="both"/>
        <w:rPr>
          <w:rFonts w:ascii="Times New Roman" w:hAnsi="Times New Roman"/>
          <w:sz w:val="28"/>
          <w:szCs w:val="28"/>
        </w:rPr>
      </w:pPr>
      <w:r w:rsidRPr="003009EE">
        <w:rPr>
          <w:rFonts w:ascii="Times New Roman" w:hAnsi="Times New Roman"/>
          <w:sz w:val="28"/>
          <w:szCs w:val="28"/>
        </w:rPr>
        <w:t>Модель</w:t>
      </w:r>
      <w:r w:rsidRPr="007F67AC">
        <w:rPr>
          <w:rFonts w:ascii="Times New Roman" w:hAnsi="Times New Roman"/>
          <w:sz w:val="28"/>
          <w:szCs w:val="28"/>
        </w:rPr>
        <w:t xml:space="preserve"> CAPM, на основании которой рассчитывается стоимость собственного капитала, опирается на формулу:</w:t>
      </w:r>
    </w:p>
    <w:p w:rsidR="000872B3" w:rsidRPr="007F67AC"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 xml:space="preserve">Re = Rf + β*Rmp +α, где </w:t>
      </w:r>
    </w:p>
    <w:p w:rsidR="000872B3" w:rsidRPr="00685615" w:rsidRDefault="000872B3" w:rsidP="00854993">
      <w:pPr>
        <w:spacing w:after="0" w:line="360" w:lineRule="auto"/>
        <w:ind w:firstLine="360"/>
        <w:jc w:val="both"/>
        <w:rPr>
          <w:rFonts w:ascii="Times New Roman" w:hAnsi="Times New Roman"/>
          <w:sz w:val="28"/>
          <w:szCs w:val="28"/>
        </w:rPr>
      </w:pPr>
      <w:r w:rsidRPr="007F67AC">
        <w:rPr>
          <w:rFonts w:ascii="Times New Roman" w:hAnsi="Times New Roman"/>
          <w:sz w:val="28"/>
          <w:szCs w:val="28"/>
        </w:rPr>
        <w:t>Rf - это безрисковая ставка</w:t>
      </w:r>
      <w:r>
        <w:rPr>
          <w:rFonts w:ascii="Times New Roman" w:hAnsi="Times New Roman"/>
          <w:sz w:val="28"/>
          <w:szCs w:val="28"/>
        </w:rPr>
        <w:t>;</w:t>
      </w:r>
    </w:p>
    <w:p w:rsidR="000872B3" w:rsidRDefault="000872B3" w:rsidP="00854993">
      <w:pPr>
        <w:spacing w:after="0" w:line="360" w:lineRule="auto"/>
        <w:ind w:firstLine="360"/>
        <w:jc w:val="both"/>
        <w:rPr>
          <w:rFonts w:ascii="Times New Roman" w:hAnsi="Times New Roman"/>
          <w:sz w:val="28"/>
          <w:szCs w:val="28"/>
        </w:rPr>
      </w:pPr>
      <w:r w:rsidRPr="007F67AC">
        <w:rPr>
          <w:rFonts w:ascii="Times New Roman" w:hAnsi="Times New Roman" w:hint="eastAsia"/>
          <w:sz w:val="28"/>
          <w:szCs w:val="28"/>
        </w:rPr>
        <w:t>β</w:t>
      </w:r>
      <w:r w:rsidRPr="007F67AC">
        <w:rPr>
          <w:rFonts w:ascii="Times New Roman" w:hAnsi="Times New Roman"/>
          <w:sz w:val="28"/>
          <w:szCs w:val="28"/>
        </w:rPr>
        <w:t xml:space="preserve"> – </w:t>
      </w:r>
      <w:proofErr w:type="gramStart"/>
      <w:r w:rsidRPr="007F67AC">
        <w:rPr>
          <w:rFonts w:ascii="Times New Roman" w:hAnsi="Times New Roman"/>
          <w:sz w:val="28"/>
          <w:szCs w:val="28"/>
        </w:rPr>
        <w:t>чувствительность</w:t>
      </w:r>
      <w:proofErr w:type="gramEnd"/>
      <w:r w:rsidRPr="007F67AC">
        <w:rPr>
          <w:rFonts w:ascii="Times New Roman" w:hAnsi="Times New Roman"/>
          <w:sz w:val="28"/>
          <w:szCs w:val="28"/>
        </w:rPr>
        <w:t xml:space="preserve"> отрас</w:t>
      </w:r>
      <w:r>
        <w:rPr>
          <w:rFonts w:ascii="Times New Roman" w:hAnsi="Times New Roman"/>
          <w:sz w:val="28"/>
          <w:szCs w:val="28"/>
        </w:rPr>
        <w:t>ли к любым изменениям на рынке;</w:t>
      </w:r>
    </w:p>
    <w:p w:rsidR="000872B3" w:rsidRDefault="000872B3" w:rsidP="00854993">
      <w:pPr>
        <w:spacing w:after="0" w:line="360" w:lineRule="auto"/>
        <w:ind w:firstLine="360"/>
        <w:jc w:val="both"/>
        <w:rPr>
          <w:rFonts w:ascii="Times New Roman" w:hAnsi="Times New Roman"/>
          <w:sz w:val="28"/>
          <w:szCs w:val="28"/>
        </w:rPr>
      </w:pPr>
      <w:r w:rsidRPr="007F67AC">
        <w:rPr>
          <w:rFonts w:ascii="Times New Roman" w:hAnsi="Times New Roman"/>
          <w:sz w:val="28"/>
          <w:szCs w:val="28"/>
        </w:rPr>
        <w:t>Rmp – рыночная премия за риск</w:t>
      </w:r>
      <w:r>
        <w:rPr>
          <w:rFonts w:ascii="Times New Roman" w:hAnsi="Times New Roman"/>
          <w:sz w:val="28"/>
          <w:szCs w:val="28"/>
        </w:rPr>
        <w:t>;</w:t>
      </w:r>
    </w:p>
    <w:p w:rsidR="000872B3" w:rsidRDefault="000872B3" w:rsidP="000872B3">
      <w:pPr>
        <w:spacing w:line="360" w:lineRule="auto"/>
        <w:ind w:firstLine="360"/>
        <w:jc w:val="both"/>
        <w:rPr>
          <w:rFonts w:ascii="Times New Roman" w:hAnsi="Times New Roman"/>
          <w:sz w:val="28"/>
          <w:szCs w:val="28"/>
        </w:rPr>
      </w:pPr>
      <w:proofErr w:type="gramStart"/>
      <w:r w:rsidRPr="007F67AC">
        <w:rPr>
          <w:rFonts w:ascii="Times New Roman" w:hAnsi="Times New Roman" w:hint="eastAsia"/>
          <w:sz w:val="28"/>
          <w:szCs w:val="28"/>
        </w:rPr>
        <w:t>α</w:t>
      </w:r>
      <w:r w:rsidRPr="007F67AC">
        <w:rPr>
          <w:rFonts w:ascii="Times New Roman" w:hAnsi="Times New Roman"/>
          <w:sz w:val="28"/>
          <w:szCs w:val="28"/>
        </w:rPr>
        <w:t xml:space="preserve"> – специфический риск</w:t>
      </w:r>
      <w:r>
        <w:rPr>
          <w:rFonts w:ascii="Times New Roman" w:hAnsi="Times New Roman"/>
          <w:sz w:val="28"/>
          <w:szCs w:val="28"/>
        </w:rPr>
        <w:t>,</w:t>
      </w:r>
      <w:r w:rsidRPr="007F67AC">
        <w:rPr>
          <w:rFonts w:ascii="Times New Roman" w:hAnsi="Times New Roman"/>
          <w:sz w:val="28"/>
          <w:szCs w:val="28"/>
        </w:rPr>
        <w:t xml:space="preserve"> характерный для данной </w:t>
      </w:r>
      <w:r>
        <w:rPr>
          <w:rFonts w:ascii="Times New Roman" w:hAnsi="Times New Roman"/>
          <w:sz w:val="28"/>
          <w:szCs w:val="28"/>
        </w:rPr>
        <w:t>компании.</w:t>
      </w:r>
      <w:proofErr w:type="gramEnd"/>
    </w:p>
    <w:p w:rsidR="000872B3" w:rsidRDefault="000872B3" w:rsidP="000872B3">
      <w:pPr>
        <w:spacing w:line="360" w:lineRule="auto"/>
        <w:ind w:firstLine="360"/>
        <w:jc w:val="both"/>
        <w:rPr>
          <w:rFonts w:ascii="Times New Roman" w:hAnsi="Times New Roman"/>
          <w:i/>
          <w:sz w:val="28"/>
          <w:szCs w:val="28"/>
        </w:rPr>
      </w:pPr>
      <w:r w:rsidRPr="002A538C">
        <w:rPr>
          <w:rFonts w:ascii="Times New Roman" w:hAnsi="Times New Roman"/>
          <w:i/>
          <w:sz w:val="28"/>
          <w:szCs w:val="28"/>
        </w:rPr>
        <w:t xml:space="preserve">При построении модели Дисконтированных Денежных Потоков, прежде всего, необходимо принимать во внимание те факторы, которые оказывают существенное влияние на формирование денежного потока компании. Во-первых, это прогноз будущих продаж, основных издержек, валовой прибыли. </w:t>
      </w:r>
      <w:r>
        <w:rPr>
          <w:rFonts w:ascii="Times New Roman" w:hAnsi="Times New Roman"/>
          <w:i/>
          <w:sz w:val="28"/>
          <w:szCs w:val="28"/>
        </w:rPr>
        <w:t>Во-вторых, сценарий развития кредиторской и дебиторской задолженности, сроки погашения кратко- и долгосрочного долгов. Также отдельное внимание стоит уделить прогнозу капитальных затрат и изменению рабочего капитала. Единственным недостатком данного подхода считается полученный на выходе широкий диапазон стоимости бизнеса, который зависит от сделанных оценщиком предположений.</w:t>
      </w:r>
    </w:p>
    <w:p w:rsidR="0038152B" w:rsidRPr="002C7537" w:rsidRDefault="002C7537" w:rsidP="002C7537">
      <w:pPr>
        <w:pStyle w:val="2"/>
        <w:spacing w:line="720" w:lineRule="auto"/>
        <w:jc w:val="center"/>
        <w:rPr>
          <w:rFonts w:ascii="Times New Roman" w:hAnsi="Times New Roman" w:cs="Times New Roman"/>
          <w:color w:val="auto"/>
          <w:sz w:val="28"/>
          <w:szCs w:val="28"/>
        </w:rPr>
      </w:pPr>
      <w:bookmarkStart w:id="11" w:name="_Toc356251994"/>
      <w:r w:rsidRPr="00006CBE">
        <w:rPr>
          <w:rFonts w:ascii="Times New Roman" w:hAnsi="Times New Roman" w:cs="Times New Roman"/>
          <w:color w:val="auto"/>
          <w:sz w:val="28"/>
          <w:szCs w:val="28"/>
        </w:rPr>
        <w:t>1</w:t>
      </w:r>
      <w:r w:rsidRPr="002C7537">
        <w:rPr>
          <w:rFonts w:ascii="Times New Roman" w:hAnsi="Times New Roman" w:cs="Times New Roman"/>
          <w:color w:val="auto"/>
          <w:sz w:val="28"/>
          <w:szCs w:val="28"/>
        </w:rPr>
        <w:t>.</w:t>
      </w:r>
      <w:r w:rsidRPr="00006CBE">
        <w:rPr>
          <w:rFonts w:ascii="Times New Roman" w:hAnsi="Times New Roman" w:cs="Times New Roman"/>
          <w:color w:val="auto"/>
          <w:sz w:val="28"/>
          <w:szCs w:val="28"/>
        </w:rPr>
        <w:t>3</w:t>
      </w:r>
      <w:r w:rsidRPr="002C7537">
        <w:rPr>
          <w:rFonts w:ascii="Times New Roman" w:hAnsi="Times New Roman" w:cs="Times New Roman"/>
          <w:color w:val="auto"/>
          <w:sz w:val="28"/>
          <w:szCs w:val="28"/>
        </w:rPr>
        <w:t xml:space="preserve">.2 </w:t>
      </w:r>
      <w:r w:rsidR="000872B3" w:rsidRPr="002C7537">
        <w:rPr>
          <w:rFonts w:ascii="Times New Roman" w:hAnsi="Times New Roman" w:cs="Times New Roman"/>
          <w:color w:val="auto"/>
          <w:sz w:val="28"/>
          <w:szCs w:val="28"/>
        </w:rPr>
        <w:t>Рыночный метод</w:t>
      </w:r>
      <w:bookmarkEnd w:id="11"/>
    </w:p>
    <w:p w:rsidR="000872B3" w:rsidRPr="000871C4" w:rsidRDefault="000872B3" w:rsidP="000872B3">
      <w:pPr>
        <w:spacing w:line="360" w:lineRule="auto"/>
        <w:ind w:firstLine="360"/>
        <w:jc w:val="both"/>
        <w:rPr>
          <w:rFonts w:ascii="Times New Roman" w:hAnsi="Times New Roman"/>
          <w:sz w:val="28"/>
          <w:szCs w:val="28"/>
        </w:rPr>
      </w:pPr>
      <w:r w:rsidRPr="000871C4">
        <w:rPr>
          <w:rFonts w:ascii="Times New Roman" w:hAnsi="Times New Roman"/>
          <w:sz w:val="28"/>
          <w:szCs w:val="28"/>
        </w:rPr>
        <w:t>Сравнительный подход</w:t>
      </w:r>
      <w:r w:rsidR="00DF2B8A">
        <w:rPr>
          <w:rFonts w:ascii="Times New Roman" w:hAnsi="Times New Roman"/>
          <w:sz w:val="28"/>
          <w:szCs w:val="28"/>
        </w:rPr>
        <w:t xml:space="preserve"> – это совокупность</w:t>
      </w:r>
      <w:r w:rsidRPr="000871C4">
        <w:rPr>
          <w:rFonts w:ascii="Times New Roman" w:hAnsi="Times New Roman"/>
          <w:sz w:val="28"/>
          <w:szCs w:val="28"/>
        </w:rPr>
        <w:t xml:space="preserve"> методов оценки стоимости объекта оценки,</w:t>
      </w:r>
      <w:r>
        <w:rPr>
          <w:rFonts w:ascii="Times New Roman" w:hAnsi="Times New Roman"/>
          <w:sz w:val="28"/>
          <w:szCs w:val="28"/>
        </w:rPr>
        <w:t xml:space="preserve"> </w:t>
      </w:r>
      <w:r w:rsidRPr="000871C4">
        <w:rPr>
          <w:rFonts w:ascii="Times New Roman" w:hAnsi="Times New Roman"/>
          <w:sz w:val="28"/>
          <w:szCs w:val="28"/>
        </w:rPr>
        <w:t>основанных на сравнении объекта оценки с объектами - аналогами объекта оценки, в</w:t>
      </w:r>
      <w:r>
        <w:rPr>
          <w:rFonts w:ascii="Times New Roman" w:hAnsi="Times New Roman"/>
          <w:sz w:val="28"/>
          <w:szCs w:val="28"/>
        </w:rPr>
        <w:t xml:space="preserve"> </w:t>
      </w:r>
      <w:r w:rsidRPr="000871C4">
        <w:rPr>
          <w:rFonts w:ascii="Times New Roman" w:hAnsi="Times New Roman"/>
          <w:sz w:val="28"/>
          <w:szCs w:val="28"/>
        </w:rPr>
        <w:t>отношении которых имеется информация о ценах. Объектом - аналогом объекта оценки для</w:t>
      </w:r>
      <w:r>
        <w:rPr>
          <w:rFonts w:ascii="Times New Roman" w:hAnsi="Times New Roman"/>
          <w:sz w:val="28"/>
          <w:szCs w:val="28"/>
        </w:rPr>
        <w:t xml:space="preserve"> </w:t>
      </w:r>
      <w:r w:rsidRPr="000871C4">
        <w:rPr>
          <w:rFonts w:ascii="Times New Roman" w:hAnsi="Times New Roman"/>
          <w:sz w:val="28"/>
          <w:szCs w:val="28"/>
        </w:rPr>
        <w:t>целей оценки признается объект, сходный объекту оценки по основным экономическим,</w:t>
      </w:r>
      <w:r>
        <w:rPr>
          <w:rFonts w:ascii="Times New Roman" w:hAnsi="Times New Roman"/>
          <w:sz w:val="28"/>
          <w:szCs w:val="28"/>
        </w:rPr>
        <w:t xml:space="preserve"> </w:t>
      </w:r>
      <w:r w:rsidRPr="000871C4">
        <w:rPr>
          <w:rFonts w:ascii="Times New Roman" w:hAnsi="Times New Roman"/>
          <w:sz w:val="28"/>
          <w:szCs w:val="28"/>
        </w:rPr>
        <w:t>материальным, техническим и другим характеристика</w:t>
      </w:r>
      <w:r>
        <w:rPr>
          <w:rFonts w:ascii="Times New Roman" w:hAnsi="Times New Roman"/>
          <w:sz w:val="28"/>
          <w:szCs w:val="28"/>
        </w:rPr>
        <w:t>м, определяющим его стоимость</w:t>
      </w:r>
      <w:r>
        <w:rPr>
          <w:rStyle w:val="a5"/>
          <w:rFonts w:ascii="Times New Roman" w:hAnsi="Times New Roman"/>
          <w:sz w:val="28"/>
          <w:szCs w:val="28"/>
        </w:rPr>
        <w:footnoteReference w:id="7"/>
      </w:r>
      <w:r>
        <w:rPr>
          <w:rFonts w:ascii="Times New Roman" w:hAnsi="Times New Roman"/>
          <w:sz w:val="28"/>
          <w:szCs w:val="28"/>
        </w:rPr>
        <w:t>.</w:t>
      </w:r>
    </w:p>
    <w:p w:rsidR="0038152B" w:rsidRPr="00865431" w:rsidRDefault="000872B3" w:rsidP="0038152B">
      <w:pPr>
        <w:spacing w:line="360" w:lineRule="auto"/>
        <w:ind w:firstLine="360"/>
        <w:jc w:val="both"/>
        <w:rPr>
          <w:rFonts w:ascii="Times New Roman" w:hAnsi="Times New Roman"/>
          <w:sz w:val="28"/>
          <w:szCs w:val="28"/>
        </w:rPr>
      </w:pPr>
      <w:r w:rsidRPr="000871C4">
        <w:rPr>
          <w:rFonts w:ascii="Times New Roman" w:hAnsi="Times New Roman"/>
          <w:sz w:val="28"/>
          <w:szCs w:val="28"/>
        </w:rPr>
        <w:t>В рамках сравнительного подхода выделяют метод коэффициентов публично</w:t>
      </w:r>
      <w:r>
        <w:rPr>
          <w:rFonts w:ascii="Times New Roman" w:hAnsi="Times New Roman"/>
          <w:sz w:val="28"/>
          <w:szCs w:val="28"/>
        </w:rPr>
        <w:t xml:space="preserve"> </w:t>
      </w:r>
      <w:r w:rsidRPr="000871C4">
        <w:rPr>
          <w:rFonts w:ascii="Times New Roman" w:hAnsi="Times New Roman"/>
          <w:sz w:val="28"/>
          <w:szCs w:val="28"/>
        </w:rPr>
        <w:t>торгующихся компаний, а также метод мультипликаторов сопоставимых сделок.</w:t>
      </w:r>
    </w:p>
    <w:p w:rsidR="0038152B" w:rsidRPr="002C7537" w:rsidRDefault="002C7537" w:rsidP="002C7537">
      <w:pPr>
        <w:pStyle w:val="2"/>
        <w:spacing w:line="720" w:lineRule="auto"/>
        <w:jc w:val="center"/>
        <w:rPr>
          <w:rFonts w:ascii="Times New Roman" w:hAnsi="Times New Roman" w:cs="Times New Roman"/>
          <w:color w:val="auto"/>
          <w:sz w:val="28"/>
          <w:szCs w:val="28"/>
        </w:rPr>
      </w:pPr>
      <w:bookmarkStart w:id="12" w:name="_Toc356251995"/>
      <w:r w:rsidRPr="002C7537">
        <w:rPr>
          <w:rFonts w:ascii="Times New Roman" w:hAnsi="Times New Roman" w:cs="Times New Roman"/>
          <w:color w:val="auto"/>
          <w:sz w:val="28"/>
          <w:szCs w:val="28"/>
        </w:rPr>
        <w:t>1.</w:t>
      </w:r>
      <w:r>
        <w:rPr>
          <w:rFonts w:ascii="Times New Roman" w:hAnsi="Times New Roman" w:cs="Times New Roman"/>
          <w:color w:val="auto"/>
          <w:sz w:val="28"/>
          <w:szCs w:val="28"/>
          <w:lang w:val="en-US"/>
        </w:rPr>
        <w:t>3.2</w:t>
      </w:r>
      <w:r w:rsidRPr="002C7537">
        <w:rPr>
          <w:rFonts w:ascii="Times New Roman" w:hAnsi="Times New Roman" w:cs="Times New Roman"/>
          <w:color w:val="auto"/>
          <w:sz w:val="28"/>
          <w:szCs w:val="28"/>
        </w:rPr>
        <w:t xml:space="preserve">.1 </w:t>
      </w:r>
      <w:r w:rsidR="000872B3" w:rsidRPr="002C7537">
        <w:rPr>
          <w:rFonts w:ascii="Times New Roman" w:hAnsi="Times New Roman" w:cs="Times New Roman"/>
          <w:color w:val="auto"/>
          <w:sz w:val="28"/>
          <w:szCs w:val="28"/>
        </w:rPr>
        <w:t>Метод сопоставимых компаний</w:t>
      </w:r>
      <w:bookmarkEnd w:id="12"/>
    </w:p>
    <w:p w:rsidR="000872B3" w:rsidRDefault="000872B3" w:rsidP="0038152B">
      <w:pPr>
        <w:spacing w:line="360" w:lineRule="auto"/>
        <w:ind w:firstLine="357"/>
        <w:jc w:val="both"/>
        <w:rPr>
          <w:rFonts w:ascii="Times New Roman" w:hAnsi="Times New Roman"/>
          <w:sz w:val="28"/>
          <w:szCs w:val="28"/>
        </w:rPr>
      </w:pPr>
      <w:r w:rsidRPr="007F67AC">
        <w:rPr>
          <w:rFonts w:ascii="Times New Roman" w:hAnsi="Times New Roman"/>
          <w:sz w:val="28"/>
          <w:szCs w:val="28"/>
        </w:rPr>
        <w:t>Стоимость компании может быть определена на основе стоимости аналогичных публично торгуемых компаний на рынке, при этом необходимым условием является достаточное количество аналогов и достоверных источников информации о них. Суть метода заключается в определении специальных коэффициентов оценки или рыночных мультипликаторов, которые рассчитываются на основе отчетности каждой компании. Основными критериями в поиске компаний-аналогов на рынке являются сопоставимые финансовые показатели, которые позволяют оценить, какое количество времени потребуется для того чтобы покрыть издержки потенциального инвестора на покупку бизнеса, операционные показатели, отражающие эффективность деятельности предприятия по сравнению с другими компаниями,  и размер материальных активов. Также необходимо принимать во внимание некоторые специфические особенности, характерные для той или иной отрасли. Чтобы найти стоимость бизнеса оцениваемой компании, необходимо составить финансовые профили компаний-аналогов. Для этой цели рассчитываются прогнозные показатели, включая объем продаж, прибыль до вычета расходов по процентам, налогам и начисленной амортизации</w:t>
      </w:r>
      <w:r>
        <w:rPr>
          <w:rFonts w:ascii="Times New Roman" w:hAnsi="Times New Roman"/>
          <w:sz w:val="28"/>
          <w:szCs w:val="28"/>
        </w:rPr>
        <w:t xml:space="preserve"> (</w:t>
      </w:r>
      <w:r>
        <w:rPr>
          <w:rFonts w:ascii="Times New Roman" w:hAnsi="Times New Roman"/>
          <w:sz w:val="28"/>
          <w:szCs w:val="28"/>
          <w:lang w:val="en-US"/>
        </w:rPr>
        <w:t>EBITDA</w:t>
      </w:r>
      <w:r w:rsidRPr="00361E66">
        <w:rPr>
          <w:rFonts w:ascii="Times New Roman" w:hAnsi="Times New Roman"/>
          <w:sz w:val="28"/>
          <w:szCs w:val="28"/>
        </w:rPr>
        <w:t>)</w:t>
      </w:r>
      <w:r w:rsidRPr="007F67AC">
        <w:rPr>
          <w:rFonts w:ascii="Times New Roman" w:hAnsi="Times New Roman"/>
          <w:sz w:val="28"/>
          <w:szCs w:val="28"/>
        </w:rPr>
        <w:t>, чистую прибыль</w:t>
      </w:r>
      <w:r w:rsidRPr="00361E66">
        <w:rPr>
          <w:rFonts w:ascii="Times New Roman" w:hAnsi="Times New Roman"/>
          <w:sz w:val="28"/>
          <w:szCs w:val="28"/>
        </w:rPr>
        <w:t xml:space="preserve"> (</w:t>
      </w:r>
      <w:r>
        <w:rPr>
          <w:rFonts w:ascii="Times New Roman" w:hAnsi="Times New Roman"/>
          <w:sz w:val="28"/>
          <w:szCs w:val="28"/>
          <w:lang w:val="en-US"/>
        </w:rPr>
        <w:t>Net</w:t>
      </w:r>
      <w:r w:rsidRPr="00361E66">
        <w:rPr>
          <w:rFonts w:ascii="Times New Roman" w:hAnsi="Times New Roman"/>
          <w:sz w:val="28"/>
          <w:szCs w:val="28"/>
        </w:rPr>
        <w:t xml:space="preserve"> </w:t>
      </w:r>
      <w:r>
        <w:rPr>
          <w:rFonts w:ascii="Times New Roman" w:hAnsi="Times New Roman"/>
          <w:sz w:val="28"/>
          <w:szCs w:val="28"/>
          <w:lang w:val="en-US"/>
        </w:rPr>
        <w:t>Income</w:t>
      </w:r>
      <w:r w:rsidRPr="00361E66">
        <w:rPr>
          <w:rFonts w:ascii="Times New Roman" w:hAnsi="Times New Roman"/>
          <w:sz w:val="28"/>
          <w:szCs w:val="28"/>
        </w:rPr>
        <w:t>)</w:t>
      </w:r>
      <w:r w:rsidRPr="007F67AC">
        <w:rPr>
          <w:rFonts w:ascii="Times New Roman" w:hAnsi="Times New Roman"/>
          <w:sz w:val="28"/>
          <w:szCs w:val="28"/>
        </w:rPr>
        <w:t xml:space="preserve"> и другие показатели, которые в случае необходимости должны быть скорректированы. Далее производится расчет торговых мультипликаторов (EV/Sales, EV/EBITDA, P/E</w:t>
      </w:r>
      <w:r>
        <w:rPr>
          <w:rFonts w:ascii="Times New Roman" w:hAnsi="Times New Roman"/>
          <w:sz w:val="28"/>
          <w:szCs w:val="28"/>
        </w:rPr>
        <w:t xml:space="preserve"> – наиболее часто </w:t>
      </w:r>
      <w:proofErr w:type="gramStart"/>
      <w:r>
        <w:rPr>
          <w:rFonts w:ascii="Times New Roman" w:hAnsi="Times New Roman"/>
          <w:sz w:val="28"/>
          <w:szCs w:val="28"/>
        </w:rPr>
        <w:t>используемые</w:t>
      </w:r>
      <w:proofErr w:type="gramEnd"/>
      <w:r w:rsidRPr="007F67AC">
        <w:rPr>
          <w:rFonts w:ascii="Times New Roman" w:hAnsi="Times New Roman"/>
          <w:sz w:val="28"/>
          <w:szCs w:val="28"/>
        </w:rPr>
        <w:t>) по каждой из компаний и выводится среднее и медианное значение по всей выборке. Наконец, полученные значения применяются к показателям компании (Sales, EBITDA) и находится стоимость бизнеса.</w:t>
      </w:r>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lang w:val="de-DE"/>
        </w:rPr>
        <w:t>P</w:t>
      </w:r>
      <w:r w:rsidRPr="00710C00">
        <w:rPr>
          <w:rFonts w:ascii="Times New Roman" w:hAnsi="Times New Roman"/>
          <w:sz w:val="28"/>
          <w:szCs w:val="28"/>
        </w:rPr>
        <w:t>/</w:t>
      </w:r>
      <w:r>
        <w:rPr>
          <w:rFonts w:ascii="Times New Roman" w:hAnsi="Times New Roman"/>
          <w:sz w:val="28"/>
          <w:szCs w:val="28"/>
          <w:lang w:val="en-US"/>
        </w:rPr>
        <w:t>E</w:t>
      </w:r>
      <w:r w:rsidRPr="00710C00">
        <w:rPr>
          <w:rFonts w:ascii="Times New Roman" w:hAnsi="Times New Roman"/>
          <w:sz w:val="28"/>
          <w:szCs w:val="28"/>
        </w:rPr>
        <w:t xml:space="preserve">  - </w:t>
      </w:r>
      <w:r>
        <w:rPr>
          <w:rFonts w:ascii="Times New Roman" w:hAnsi="Times New Roman"/>
          <w:sz w:val="28"/>
          <w:szCs w:val="28"/>
        </w:rPr>
        <w:t>это финансовый показатель, который равен отношению рыночной капитализации компании к ее годовой прибыли. Данный коэффициент достаточно быстро считается и широко распространен в финансовом сообществе, однако н</w:t>
      </w:r>
      <w:r w:rsidRPr="00710C00">
        <w:rPr>
          <w:rFonts w:ascii="Times New Roman" w:hAnsi="Times New Roman"/>
          <w:sz w:val="28"/>
          <w:szCs w:val="28"/>
        </w:rPr>
        <w:t>е учитывает разницу в налогообложении компаний из разных стран</w:t>
      </w:r>
      <w:r>
        <w:rPr>
          <w:rFonts w:ascii="Times New Roman" w:hAnsi="Times New Roman"/>
          <w:sz w:val="28"/>
          <w:szCs w:val="28"/>
        </w:rPr>
        <w:t>. Кроме того, на этот показатель влияет уровень задолженности компании, хотя это не является драйвером роста продаж.</w:t>
      </w:r>
    </w:p>
    <w:p w:rsidR="000872B3" w:rsidRDefault="000872B3" w:rsidP="000872B3">
      <w:pPr>
        <w:spacing w:line="360" w:lineRule="auto"/>
        <w:ind w:firstLine="360"/>
        <w:jc w:val="both"/>
        <w:rPr>
          <w:rFonts w:ascii="Times New Roman" w:hAnsi="Times New Roman"/>
          <w:sz w:val="28"/>
          <w:szCs w:val="28"/>
        </w:rPr>
      </w:pPr>
      <w:proofErr w:type="gramStart"/>
      <w:r>
        <w:rPr>
          <w:rFonts w:ascii="Times New Roman" w:hAnsi="Times New Roman"/>
          <w:sz w:val="28"/>
          <w:szCs w:val="28"/>
          <w:lang w:val="en-US"/>
        </w:rPr>
        <w:t>EV</w:t>
      </w:r>
      <w:r w:rsidRPr="00D808FC">
        <w:rPr>
          <w:rFonts w:ascii="Times New Roman" w:hAnsi="Times New Roman"/>
          <w:sz w:val="28"/>
          <w:szCs w:val="28"/>
        </w:rPr>
        <w:t>/</w:t>
      </w:r>
      <w:r>
        <w:rPr>
          <w:rFonts w:ascii="Times New Roman" w:hAnsi="Times New Roman"/>
          <w:sz w:val="28"/>
          <w:szCs w:val="28"/>
          <w:lang w:val="en-US"/>
        </w:rPr>
        <w:t>EBITDA</w:t>
      </w:r>
      <w:r>
        <w:rPr>
          <w:rFonts w:ascii="Times New Roman" w:hAnsi="Times New Roman"/>
          <w:sz w:val="28"/>
          <w:szCs w:val="28"/>
        </w:rPr>
        <w:t xml:space="preserve"> – это показатель, равный отношению стоимости предприятия к ее прибыли до вычета расходов по процентам, налогам и начисленной амортизации.</w:t>
      </w:r>
      <w:proofErr w:type="gramEnd"/>
      <w:r>
        <w:rPr>
          <w:rFonts w:ascii="Times New Roman" w:hAnsi="Times New Roman"/>
          <w:sz w:val="28"/>
          <w:szCs w:val="28"/>
        </w:rPr>
        <w:t xml:space="preserve"> Преимущество данного мультипликатора заключается в том, что он нивелирует различия в учете амортизации, политики налогообложения и бухучета. Однако, этот показатель неприменим к компаниям с </w:t>
      </w:r>
      <w:proofErr w:type="gramStart"/>
      <w:r>
        <w:rPr>
          <w:rFonts w:ascii="Times New Roman" w:hAnsi="Times New Roman"/>
          <w:sz w:val="28"/>
          <w:szCs w:val="28"/>
        </w:rPr>
        <w:t>отрицательной</w:t>
      </w:r>
      <w:proofErr w:type="gramEnd"/>
      <w:r>
        <w:rPr>
          <w:rFonts w:ascii="Times New Roman" w:hAnsi="Times New Roman"/>
          <w:sz w:val="28"/>
          <w:szCs w:val="28"/>
        </w:rPr>
        <w:t xml:space="preserve"> </w:t>
      </w:r>
      <w:r>
        <w:rPr>
          <w:rFonts w:ascii="Times New Roman" w:hAnsi="Times New Roman"/>
          <w:sz w:val="28"/>
          <w:szCs w:val="28"/>
          <w:lang w:val="en-US"/>
        </w:rPr>
        <w:t>EBITDA</w:t>
      </w:r>
      <w:r w:rsidRPr="00D808FC">
        <w:rPr>
          <w:rFonts w:ascii="Times New Roman" w:hAnsi="Times New Roman"/>
          <w:sz w:val="28"/>
          <w:szCs w:val="28"/>
        </w:rPr>
        <w:t xml:space="preserve">. </w:t>
      </w:r>
      <w:r>
        <w:rPr>
          <w:rFonts w:ascii="Times New Roman" w:hAnsi="Times New Roman"/>
          <w:sz w:val="28"/>
          <w:szCs w:val="28"/>
        </w:rPr>
        <w:t xml:space="preserve"> </w:t>
      </w:r>
    </w:p>
    <w:p w:rsidR="00DE7762" w:rsidRPr="00DE7762" w:rsidRDefault="00DE7762" w:rsidP="000872B3">
      <w:pPr>
        <w:spacing w:line="360" w:lineRule="auto"/>
        <w:ind w:firstLine="360"/>
        <w:jc w:val="both"/>
        <w:rPr>
          <w:rFonts w:ascii="Times New Roman" w:hAnsi="Times New Roman"/>
          <w:sz w:val="28"/>
          <w:szCs w:val="28"/>
        </w:rPr>
      </w:pPr>
      <w:r>
        <w:rPr>
          <w:rFonts w:ascii="Times New Roman" w:hAnsi="Times New Roman"/>
          <w:sz w:val="28"/>
          <w:szCs w:val="28"/>
          <w:lang w:val="en-US"/>
        </w:rPr>
        <w:t>P</w:t>
      </w:r>
      <w:r w:rsidRPr="00DE7762">
        <w:rPr>
          <w:rFonts w:ascii="Times New Roman" w:hAnsi="Times New Roman"/>
          <w:sz w:val="28"/>
          <w:szCs w:val="28"/>
        </w:rPr>
        <w:t>/</w:t>
      </w:r>
      <w:r>
        <w:rPr>
          <w:rFonts w:ascii="Times New Roman" w:hAnsi="Times New Roman"/>
          <w:sz w:val="28"/>
          <w:szCs w:val="28"/>
          <w:lang w:val="en-US"/>
        </w:rPr>
        <w:t>Sales</w:t>
      </w:r>
      <w:r w:rsidRPr="00DE7762">
        <w:rPr>
          <w:rFonts w:ascii="Times New Roman" w:hAnsi="Times New Roman"/>
          <w:sz w:val="28"/>
          <w:szCs w:val="28"/>
        </w:rPr>
        <w:t xml:space="preserve"> – </w:t>
      </w:r>
      <w:r>
        <w:rPr>
          <w:rFonts w:ascii="Times New Roman" w:hAnsi="Times New Roman"/>
          <w:sz w:val="28"/>
          <w:szCs w:val="28"/>
        </w:rPr>
        <w:t xml:space="preserve">мультипликатор, отражающий стоимость компании в сравнении с ее выручкой за рассматриваемый период. Данный мультипликатор зачастую используется для сравнения, так как показатель выручки сложно исказить. Однако он не учитывает структуру издержек предприятия и итоговую рентабельность бизнеса. Особенностью </w:t>
      </w:r>
      <w:r>
        <w:rPr>
          <w:rFonts w:ascii="Times New Roman" w:hAnsi="Times New Roman"/>
          <w:sz w:val="28"/>
          <w:szCs w:val="28"/>
          <w:lang w:val="en-US"/>
        </w:rPr>
        <w:t>P</w:t>
      </w:r>
      <w:r w:rsidRPr="00DE7762">
        <w:rPr>
          <w:rFonts w:ascii="Times New Roman" w:hAnsi="Times New Roman"/>
          <w:sz w:val="28"/>
          <w:szCs w:val="28"/>
        </w:rPr>
        <w:t>/</w:t>
      </w:r>
      <w:r>
        <w:rPr>
          <w:rFonts w:ascii="Times New Roman" w:hAnsi="Times New Roman"/>
          <w:sz w:val="28"/>
          <w:szCs w:val="28"/>
          <w:lang w:val="en-US"/>
        </w:rPr>
        <w:t>Sales</w:t>
      </w:r>
      <w:r>
        <w:rPr>
          <w:rFonts w:ascii="Times New Roman" w:hAnsi="Times New Roman"/>
          <w:sz w:val="28"/>
          <w:szCs w:val="28"/>
        </w:rPr>
        <w:t xml:space="preserve"> является яркая отраслевая выраженность, и прямая взаимосвязь с рентабельностью продаж компании по чистой прибыли.</w:t>
      </w:r>
      <w:r w:rsidR="00C120CA">
        <w:rPr>
          <w:rFonts w:ascii="Times New Roman" w:hAnsi="Times New Roman"/>
          <w:sz w:val="28"/>
          <w:szCs w:val="28"/>
        </w:rPr>
        <w:t xml:space="preserve"> В случае если </w:t>
      </w:r>
      <w:r w:rsidR="00C120CA">
        <w:rPr>
          <w:rFonts w:ascii="Times New Roman" w:hAnsi="Times New Roman"/>
          <w:sz w:val="28"/>
          <w:szCs w:val="28"/>
          <w:lang w:val="en-US"/>
        </w:rPr>
        <w:t>P</w:t>
      </w:r>
      <w:r w:rsidR="00C120CA" w:rsidRPr="00DE7762">
        <w:rPr>
          <w:rFonts w:ascii="Times New Roman" w:hAnsi="Times New Roman"/>
          <w:sz w:val="28"/>
          <w:szCs w:val="28"/>
        </w:rPr>
        <w:t>/</w:t>
      </w:r>
      <w:r w:rsidR="00C120CA">
        <w:rPr>
          <w:rFonts w:ascii="Times New Roman" w:hAnsi="Times New Roman"/>
          <w:sz w:val="28"/>
          <w:szCs w:val="28"/>
          <w:lang w:val="en-US"/>
        </w:rPr>
        <w:t>Sales</w:t>
      </w:r>
      <w:r w:rsidR="00C120CA" w:rsidRPr="00C120CA">
        <w:rPr>
          <w:rFonts w:ascii="Times New Roman" w:hAnsi="Times New Roman"/>
          <w:sz w:val="28"/>
          <w:szCs w:val="28"/>
        </w:rPr>
        <w:t>&gt;</w:t>
      </w:r>
      <w:r w:rsidR="00C120CA">
        <w:rPr>
          <w:rFonts w:ascii="Times New Roman" w:hAnsi="Times New Roman"/>
          <w:sz w:val="28"/>
          <w:szCs w:val="28"/>
        </w:rPr>
        <w:t xml:space="preserve">1, то это свидетельствует об устойчивом положении компании в бизнесе (также стоит иметь в виду, что в отрасли, где функционирует компания, возможны ограниченная конкуренция и существенные барьеры для входа в нее). </w:t>
      </w:r>
      <w:proofErr w:type="gramStart"/>
      <w:r w:rsidR="00C120CA">
        <w:rPr>
          <w:rFonts w:ascii="Times New Roman" w:hAnsi="Times New Roman"/>
          <w:sz w:val="28"/>
          <w:szCs w:val="28"/>
          <w:lang w:val="en-US"/>
        </w:rPr>
        <w:t>P</w:t>
      </w:r>
      <w:r w:rsidR="00C120CA" w:rsidRPr="00DE7762">
        <w:rPr>
          <w:rFonts w:ascii="Times New Roman" w:hAnsi="Times New Roman"/>
          <w:sz w:val="28"/>
          <w:szCs w:val="28"/>
        </w:rPr>
        <w:t>/</w:t>
      </w:r>
      <w:r w:rsidR="00C120CA">
        <w:rPr>
          <w:rFonts w:ascii="Times New Roman" w:hAnsi="Times New Roman"/>
          <w:sz w:val="28"/>
          <w:szCs w:val="28"/>
          <w:lang w:val="en-US"/>
        </w:rPr>
        <w:t>Sales</w:t>
      </w:r>
      <w:r w:rsidR="00C120CA" w:rsidRPr="00C120CA">
        <w:rPr>
          <w:rFonts w:ascii="Times New Roman" w:hAnsi="Times New Roman"/>
          <w:sz w:val="28"/>
          <w:szCs w:val="28"/>
        </w:rPr>
        <w:t>&lt;</w:t>
      </w:r>
      <w:r w:rsidR="00C120CA">
        <w:rPr>
          <w:rFonts w:ascii="Times New Roman" w:hAnsi="Times New Roman"/>
          <w:sz w:val="28"/>
          <w:szCs w:val="28"/>
        </w:rPr>
        <w:t xml:space="preserve">1 – такая ситуация характерна для </w:t>
      </w:r>
      <w:proofErr w:type="spellStart"/>
      <w:r w:rsidR="00C120CA">
        <w:rPr>
          <w:rFonts w:ascii="Times New Roman" w:hAnsi="Times New Roman"/>
          <w:sz w:val="28"/>
          <w:szCs w:val="28"/>
        </w:rPr>
        <w:t>стагнирующих</w:t>
      </w:r>
      <w:proofErr w:type="spellEnd"/>
      <w:r w:rsidR="00C120CA">
        <w:rPr>
          <w:rFonts w:ascii="Times New Roman" w:hAnsi="Times New Roman"/>
          <w:sz w:val="28"/>
          <w:szCs w:val="28"/>
        </w:rPr>
        <w:t xml:space="preserve"> отраслей.</w:t>
      </w:r>
      <w:proofErr w:type="gramEnd"/>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lang w:val="en-US"/>
        </w:rPr>
        <w:t>EV</w:t>
      </w:r>
      <w:r w:rsidRPr="00D808FC">
        <w:rPr>
          <w:rFonts w:ascii="Times New Roman" w:hAnsi="Times New Roman"/>
          <w:sz w:val="28"/>
          <w:szCs w:val="28"/>
        </w:rPr>
        <w:t>/</w:t>
      </w:r>
      <w:r>
        <w:rPr>
          <w:rFonts w:ascii="Times New Roman" w:hAnsi="Times New Roman"/>
          <w:sz w:val="28"/>
          <w:szCs w:val="28"/>
          <w:lang w:val="en-US"/>
        </w:rPr>
        <w:t>Sales</w:t>
      </w:r>
      <w:r>
        <w:rPr>
          <w:rFonts w:ascii="Times New Roman" w:hAnsi="Times New Roman"/>
          <w:sz w:val="28"/>
          <w:szCs w:val="28"/>
        </w:rPr>
        <w:t xml:space="preserve"> – мультипликатор, </w:t>
      </w:r>
      <w:r w:rsidR="00DE7762">
        <w:rPr>
          <w:rFonts w:ascii="Times New Roman" w:hAnsi="Times New Roman"/>
          <w:sz w:val="28"/>
          <w:szCs w:val="28"/>
        </w:rPr>
        <w:t>отражающий стоимость компании с учетом долга в сравнении с ее выручкой</w:t>
      </w:r>
      <w:r>
        <w:rPr>
          <w:rFonts w:ascii="Times New Roman" w:hAnsi="Times New Roman"/>
          <w:sz w:val="28"/>
          <w:szCs w:val="28"/>
        </w:rPr>
        <w:t xml:space="preserve">. Этот показатель полезен в случае, когда у компании </w:t>
      </w:r>
      <w:proofErr w:type="gramStart"/>
      <w:r>
        <w:rPr>
          <w:rFonts w:ascii="Times New Roman" w:hAnsi="Times New Roman"/>
          <w:sz w:val="28"/>
          <w:szCs w:val="28"/>
        </w:rPr>
        <w:t>отрицательная</w:t>
      </w:r>
      <w:proofErr w:type="gramEnd"/>
      <w:r>
        <w:rPr>
          <w:rFonts w:ascii="Times New Roman" w:hAnsi="Times New Roman"/>
          <w:sz w:val="28"/>
          <w:szCs w:val="28"/>
        </w:rPr>
        <w:t xml:space="preserve"> </w:t>
      </w:r>
      <w:r>
        <w:rPr>
          <w:rFonts w:ascii="Times New Roman" w:hAnsi="Times New Roman"/>
          <w:sz w:val="28"/>
          <w:szCs w:val="28"/>
          <w:lang w:val="en-US"/>
        </w:rPr>
        <w:t>EBITDA</w:t>
      </w:r>
      <w:r w:rsidRPr="00F22FAC">
        <w:rPr>
          <w:rFonts w:ascii="Times New Roman" w:hAnsi="Times New Roman"/>
          <w:sz w:val="28"/>
          <w:szCs w:val="28"/>
        </w:rPr>
        <w:t xml:space="preserve"> </w:t>
      </w:r>
      <w:r>
        <w:rPr>
          <w:rFonts w:ascii="Times New Roman" w:hAnsi="Times New Roman"/>
          <w:sz w:val="28"/>
          <w:szCs w:val="28"/>
        </w:rPr>
        <w:t xml:space="preserve">(например, старт-ап) и для оценки сопоставимых сделок, когда зачастую </w:t>
      </w:r>
      <w:r>
        <w:rPr>
          <w:rFonts w:ascii="Times New Roman" w:hAnsi="Times New Roman"/>
          <w:sz w:val="28"/>
          <w:szCs w:val="28"/>
          <w:lang w:val="en-US"/>
        </w:rPr>
        <w:t>EBITDA</w:t>
      </w:r>
      <w:r w:rsidRPr="00F22FAC">
        <w:rPr>
          <w:rFonts w:ascii="Times New Roman" w:hAnsi="Times New Roman"/>
          <w:sz w:val="28"/>
          <w:szCs w:val="28"/>
        </w:rPr>
        <w:t xml:space="preserve"> </w:t>
      </w:r>
      <w:r>
        <w:rPr>
          <w:rFonts w:ascii="Times New Roman" w:hAnsi="Times New Roman"/>
          <w:sz w:val="28"/>
          <w:szCs w:val="28"/>
        </w:rPr>
        <w:t>неизвестна. Недостаток этого мультипликатора состоит в том, что выручка не отражает прибыльности компании.</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13" w:name="_Toc356251996"/>
      <w:r w:rsidRPr="002C7537">
        <w:rPr>
          <w:rFonts w:ascii="Times New Roman" w:hAnsi="Times New Roman" w:cs="Times New Roman"/>
          <w:color w:val="auto"/>
          <w:sz w:val="28"/>
          <w:szCs w:val="28"/>
        </w:rPr>
        <w:t>1.</w:t>
      </w:r>
      <w:r w:rsidRPr="00006CBE">
        <w:rPr>
          <w:rFonts w:ascii="Times New Roman" w:hAnsi="Times New Roman" w:cs="Times New Roman"/>
          <w:color w:val="auto"/>
          <w:sz w:val="28"/>
          <w:szCs w:val="28"/>
        </w:rPr>
        <w:t>3</w:t>
      </w:r>
      <w:r w:rsidRPr="002C7537">
        <w:rPr>
          <w:rFonts w:ascii="Times New Roman" w:hAnsi="Times New Roman" w:cs="Times New Roman"/>
          <w:color w:val="auto"/>
          <w:sz w:val="28"/>
          <w:szCs w:val="28"/>
        </w:rPr>
        <w:t xml:space="preserve">.2.2 </w:t>
      </w:r>
      <w:r w:rsidR="000872B3" w:rsidRPr="002C7537">
        <w:rPr>
          <w:rFonts w:ascii="Times New Roman" w:hAnsi="Times New Roman" w:cs="Times New Roman"/>
          <w:color w:val="auto"/>
          <w:sz w:val="28"/>
          <w:szCs w:val="28"/>
        </w:rPr>
        <w:t>Метод сопоставимых сделок</w:t>
      </w:r>
      <w:bookmarkEnd w:id="13"/>
    </w:p>
    <w:p w:rsidR="000872B3" w:rsidRDefault="000872B3" w:rsidP="000872B3">
      <w:pPr>
        <w:spacing w:line="360" w:lineRule="auto"/>
        <w:ind w:firstLine="360"/>
        <w:jc w:val="both"/>
        <w:rPr>
          <w:rFonts w:ascii="Times New Roman" w:hAnsi="Times New Roman"/>
          <w:sz w:val="28"/>
          <w:szCs w:val="28"/>
        </w:rPr>
      </w:pPr>
      <w:r w:rsidRPr="00355620">
        <w:rPr>
          <w:rFonts w:ascii="Times New Roman" w:hAnsi="Times New Roman"/>
          <w:sz w:val="28"/>
          <w:szCs w:val="28"/>
        </w:rPr>
        <w:t xml:space="preserve">Метод сопоставимых сделок применятся, если в последнее </w:t>
      </w:r>
      <w:r>
        <w:rPr>
          <w:rFonts w:ascii="Times New Roman" w:hAnsi="Times New Roman"/>
          <w:sz w:val="28"/>
          <w:szCs w:val="28"/>
        </w:rPr>
        <w:t>время произошло достаточное количест</w:t>
      </w:r>
      <w:r w:rsidRPr="00355620">
        <w:rPr>
          <w:rFonts w:ascii="Times New Roman" w:hAnsi="Times New Roman"/>
          <w:sz w:val="28"/>
          <w:szCs w:val="28"/>
        </w:rPr>
        <w:t>во сделок с аналогами рассматриваемой компании в отрасли.</w:t>
      </w:r>
    </w:p>
    <w:p w:rsidR="0038152B" w:rsidRPr="00865431" w:rsidRDefault="000872B3" w:rsidP="00854993">
      <w:pPr>
        <w:spacing w:line="360" w:lineRule="auto"/>
        <w:ind w:firstLine="360"/>
        <w:jc w:val="both"/>
        <w:rPr>
          <w:rFonts w:ascii="Times New Roman" w:hAnsi="Times New Roman"/>
          <w:b/>
          <w:sz w:val="28"/>
          <w:szCs w:val="28"/>
        </w:rPr>
      </w:pPr>
      <w:r w:rsidRPr="007F67AC">
        <w:rPr>
          <w:rFonts w:ascii="Times New Roman" w:hAnsi="Times New Roman"/>
          <w:sz w:val="28"/>
          <w:szCs w:val="28"/>
        </w:rPr>
        <w:t>Стоимость компании оценивается, исходя из того, на каких условиях происходили сделки в отрасли. Для того чтобы оценить компанию данным способом, необходимо проанализировать рынок, на котором функционирует оцениваемая компания, и количество заключенных сделок как с публичными, так и с частными компаниями, при условии, чт</w:t>
      </w:r>
      <w:r>
        <w:rPr>
          <w:rFonts w:ascii="Times New Roman" w:hAnsi="Times New Roman"/>
          <w:sz w:val="28"/>
          <w:szCs w:val="28"/>
        </w:rPr>
        <w:t>о продавалось больше 50 % акций.</w:t>
      </w:r>
      <w:r w:rsidRPr="007F67AC">
        <w:rPr>
          <w:rFonts w:ascii="Times New Roman" w:hAnsi="Times New Roman"/>
          <w:sz w:val="28"/>
          <w:szCs w:val="28"/>
        </w:rPr>
        <w:t xml:space="preserve"> При этом, должна быть раскрыта такая информация как цена сделки, показатели продаж и EBITDA за последний год. После этого рассчитываются торговые мультипликаторы на основе имеющихся данных по сделке, которые, в конечном счете, применяются к оцениваемой компании для получения стоимости ее бизнеса.</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14" w:name="_Toc356251997"/>
      <w:r w:rsidRPr="002C7537">
        <w:rPr>
          <w:rFonts w:ascii="Times New Roman" w:hAnsi="Times New Roman" w:cs="Times New Roman"/>
          <w:color w:val="auto"/>
          <w:sz w:val="28"/>
          <w:szCs w:val="28"/>
        </w:rPr>
        <w:t>1.</w:t>
      </w:r>
      <w:r w:rsidRPr="00006CBE">
        <w:rPr>
          <w:rFonts w:ascii="Times New Roman" w:hAnsi="Times New Roman" w:cs="Times New Roman"/>
          <w:color w:val="auto"/>
          <w:sz w:val="28"/>
          <w:szCs w:val="28"/>
        </w:rPr>
        <w:t>3.4</w:t>
      </w:r>
      <w:r w:rsidRPr="002C7537">
        <w:rPr>
          <w:rFonts w:ascii="Times New Roman" w:hAnsi="Times New Roman" w:cs="Times New Roman"/>
          <w:color w:val="auto"/>
          <w:sz w:val="28"/>
          <w:szCs w:val="28"/>
        </w:rPr>
        <w:t xml:space="preserve"> </w:t>
      </w:r>
      <w:r w:rsidR="000872B3" w:rsidRPr="002C7537">
        <w:rPr>
          <w:rFonts w:ascii="Times New Roman" w:hAnsi="Times New Roman" w:cs="Times New Roman"/>
          <w:color w:val="auto"/>
          <w:sz w:val="28"/>
          <w:szCs w:val="28"/>
        </w:rPr>
        <w:t>Затратный метод</w:t>
      </w:r>
      <w:bookmarkEnd w:id="14"/>
    </w:p>
    <w:p w:rsidR="000872B3" w:rsidRPr="00865431"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 xml:space="preserve"> </w:t>
      </w:r>
      <w:r w:rsidRPr="007054E5">
        <w:rPr>
          <w:rFonts w:ascii="Times New Roman" w:hAnsi="Times New Roman"/>
          <w:sz w:val="28"/>
          <w:szCs w:val="28"/>
        </w:rPr>
        <w:t>Данный подход основан на принципе определения затрат, необходимых для воспроизводства либо на принципе замещения оцениваемой компании с учетом износа и устаревания. Оценка компании производится на основе финансовой отчетности компании и последующей ее корректировке путем оценки каждого актива баланса в отдельности, а также оценивается текущая стоимость обязательств компании.</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15" w:name="_Toc356251998"/>
      <w:r w:rsidRPr="002C7537">
        <w:rPr>
          <w:rFonts w:ascii="Times New Roman" w:hAnsi="Times New Roman" w:cs="Times New Roman"/>
          <w:color w:val="auto"/>
          <w:sz w:val="28"/>
          <w:szCs w:val="28"/>
        </w:rPr>
        <w:t>1.3.4.</w:t>
      </w:r>
      <w:r>
        <w:rPr>
          <w:rFonts w:ascii="Times New Roman" w:hAnsi="Times New Roman" w:cs="Times New Roman"/>
          <w:color w:val="auto"/>
          <w:sz w:val="28"/>
          <w:szCs w:val="28"/>
          <w:lang w:val="en-US"/>
        </w:rPr>
        <w:t>1</w:t>
      </w:r>
      <w:r w:rsidRPr="002C7537">
        <w:rPr>
          <w:rFonts w:ascii="Times New Roman" w:hAnsi="Times New Roman" w:cs="Times New Roman"/>
          <w:color w:val="auto"/>
          <w:sz w:val="28"/>
          <w:szCs w:val="28"/>
        </w:rPr>
        <w:t xml:space="preserve"> </w:t>
      </w:r>
      <w:r w:rsidR="000872B3" w:rsidRPr="002C7537">
        <w:rPr>
          <w:rFonts w:ascii="Times New Roman" w:hAnsi="Times New Roman" w:cs="Times New Roman"/>
          <w:color w:val="auto"/>
          <w:sz w:val="28"/>
          <w:szCs w:val="28"/>
        </w:rPr>
        <w:t>Метод чистых активов</w:t>
      </w:r>
      <w:bookmarkEnd w:id="15"/>
    </w:p>
    <w:p w:rsidR="000872B3"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 xml:space="preserve">Метод чистых активов используется в том случае, когда компания обладает достаточным количеством специфических активов, в том числе нематериальными активами, такими как деловая репутация или </w:t>
      </w:r>
      <w:proofErr w:type="spellStart"/>
      <w:r w:rsidRPr="007F67AC">
        <w:rPr>
          <w:rFonts w:ascii="Times New Roman" w:hAnsi="Times New Roman"/>
          <w:sz w:val="28"/>
          <w:szCs w:val="28"/>
        </w:rPr>
        <w:t>гудвилл</w:t>
      </w:r>
      <w:proofErr w:type="spellEnd"/>
      <w:r w:rsidRPr="007054E5">
        <w:rPr>
          <w:rFonts w:ascii="Times New Roman" w:hAnsi="Times New Roman"/>
          <w:sz w:val="28"/>
          <w:szCs w:val="28"/>
        </w:rPr>
        <w:t>, а также соблюдается принцип продолжающейся деятельности (</w:t>
      </w:r>
      <w:proofErr w:type="spellStart"/>
      <w:r w:rsidRPr="007054E5">
        <w:rPr>
          <w:rFonts w:ascii="Times New Roman" w:hAnsi="Times New Roman"/>
          <w:i/>
          <w:sz w:val="28"/>
          <w:szCs w:val="28"/>
        </w:rPr>
        <w:t>going</w:t>
      </w:r>
      <w:proofErr w:type="spellEnd"/>
      <w:r w:rsidRPr="007054E5">
        <w:rPr>
          <w:rFonts w:ascii="Times New Roman" w:hAnsi="Times New Roman"/>
          <w:i/>
          <w:sz w:val="28"/>
          <w:szCs w:val="28"/>
        </w:rPr>
        <w:t xml:space="preserve"> </w:t>
      </w:r>
      <w:proofErr w:type="spellStart"/>
      <w:r w:rsidRPr="007054E5">
        <w:rPr>
          <w:rFonts w:ascii="Times New Roman" w:hAnsi="Times New Roman"/>
          <w:i/>
          <w:sz w:val="28"/>
          <w:szCs w:val="28"/>
        </w:rPr>
        <w:t>concern</w:t>
      </w:r>
      <w:proofErr w:type="spellEnd"/>
      <w:r w:rsidRPr="007054E5">
        <w:rPr>
          <w:rFonts w:ascii="Times New Roman" w:hAnsi="Times New Roman"/>
          <w:sz w:val="28"/>
          <w:szCs w:val="28"/>
        </w:rPr>
        <w:t>)</w:t>
      </w:r>
      <w:r w:rsidRPr="007F67AC">
        <w:rPr>
          <w:rFonts w:ascii="Times New Roman" w:hAnsi="Times New Roman"/>
          <w:sz w:val="28"/>
          <w:szCs w:val="28"/>
        </w:rPr>
        <w:t xml:space="preserve">. Стоимость компании рассчитывается по формуле </w:t>
      </w:r>
      <w:proofErr w:type="spellStart"/>
      <w:r w:rsidRPr="007F67AC">
        <w:rPr>
          <w:rFonts w:ascii="Times New Roman" w:hAnsi="Times New Roman"/>
          <w:sz w:val="28"/>
          <w:szCs w:val="28"/>
        </w:rPr>
        <w:t>Сп</w:t>
      </w:r>
      <w:proofErr w:type="spellEnd"/>
      <w:r w:rsidRPr="007F67AC">
        <w:rPr>
          <w:rFonts w:ascii="Times New Roman" w:hAnsi="Times New Roman"/>
          <w:sz w:val="28"/>
          <w:szCs w:val="28"/>
        </w:rPr>
        <w:t xml:space="preserve"> = Ар – </w:t>
      </w:r>
      <w:proofErr w:type="gramStart"/>
      <w:r w:rsidRPr="007F67AC">
        <w:rPr>
          <w:rFonts w:ascii="Times New Roman" w:hAnsi="Times New Roman"/>
          <w:sz w:val="28"/>
          <w:szCs w:val="28"/>
        </w:rPr>
        <w:t>От</w:t>
      </w:r>
      <w:proofErr w:type="gramEnd"/>
      <w:r w:rsidRPr="007F67AC">
        <w:rPr>
          <w:rFonts w:ascii="Times New Roman" w:hAnsi="Times New Roman"/>
          <w:sz w:val="28"/>
          <w:szCs w:val="28"/>
        </w:rPr>
        <w:t xml:space="preserve">, где </w:t>
      </w:r>
      <w:proofErr w:type="spellStart"/>
      <w:r w:rsidRPr="007F67AC">
        <w:rPr>
          <w:rFonts w:ascii="Times New Roman" w:hAnsi="Times New Roman"/>
          <w:sz w:val="28"/>
          <w:szCs w:val="28"/>
        </w:rPr>
        <w:t>Сп</w:t>
      </w:r>
      <w:proofErr w:type="spellEnd"/>
      <w:r w:rsidRPr="007F67AC">
        <w:rPr>
          <w:rFonts w:ascii="Times New Roman" w:hAnsi="Times New Roman"/>
          <w:sz w:val="28"/>
          <w:szCs w:val="28"/>
        </w:rPr>
        <w:t xml:space="preserve"> – </w:t>
      </w:r>
      <w:proofErr w:type="gramStart"/>
      <w:r w:rsidRPr="007F67AC">
        <w:rPr>
          <w:rFonts w:ascii="Times New Roman" w:hAnsi="Times New Roman"/>
          <w:sz w:val="28"/>
          <w:szCs w:val="28"/>
        </w:rPr>
        <w:t>это</w:t>
      </w:r>
      <w:proofErr w:type="gramEnd"/>
      <w:r w:rsidRPr="007F67AC">
        <w:rPr>
          <w:rFonts w:ascii="Times New Roman" w:hAnsi="Times New Roman"/>
          <w:sz w:val="28"/>
          <w:szCs w:val="28"/>
        </w:rPr>
        <w:t xml:space="preserve"> стоимость предприятия или собственного капитала компании, Ар – рыночная стоимость активов, От – текущая стоимость долговых обязательств. </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16" w:name="_Toc356251999"/>
      <w:r>
        <w:rPr>
          <w:rFonts w:ascii="Times New Roman" w:hAnsi="Times New Roman" w:cs="Times New Roman"/>
          <w:color w:val="auto"/>
          <w:sz w:val="28"/>
          <w:szCs w:val="28"/>
          <w:lang w:val="en-US"/>
        </w:rPr>
        <w:t xml:space="preserve">1.3.4.2 </w:t>
      </w:r>
      <w:r w:rsidR="000872B3" w:rsidRPr="002C7537">
        <w:rPr>
          <w:rFonts w:ascii="Times New Roman" w:hAnsi="Times New Roman" w:cs="Times New Roman"/>
          <w:color w:val="auto"/>
          <w:sz w:val="28"/>
          <w:szCs w:val="28"/>
        </w:rPr>
        <w:t>Метод ликвидационной стоимости</w:t>
      </w:r>
      <w:bookmarkEnd w:id="16"/>
    </w:p>
    <w:p w:rsidR="000872B3" w:rsidRDefault="000872B3" w:rsidP="000872B3">
      <w:pPr>
        <w:spacing w:line="360" w:lineRule="auto"/>
        <w:ind w:firstLine="360"/>
        <w:jc w:val="both"/>
        <w:rPr>
          <w:rFonts w:ascii="Times New Roman" w:hAnsi="Times New Roman"/>
          <w:sz w:val="28"/>
          <w:szCs w:val="28"/>
        </w:rPr>
      </w:pPr>
      <w:r w:rsidRPr="007F67AC">
        <w:rPr>
          <w:rFonts w:ascii="Times New Roman" w:hAnsi="Times New Roman"/>
          <w:sz w:val="28"/>
          <w:szCs w:val="28"/>
        </w:rPr>
        <w:t>Метод ликвидационной стоимости применяется в основном, если компания находится в стадии ликвидации или банкротства, не приносит удовлетворительного дохода и не имеет положительных перспектив развития; если ее ликвидационная оценка находится на уровне стоимости действующего предприятия. В соответствии с данным методом, стоимость собственного капитала предприятия будет определяться рыночной стоимостью активов, текущей стоимостью долгов, прибылью или убытком от ликвидации и издержками на ликвидацию компании. Для того чтобы оценить компанию по данному методу необходимо изучить финансовую отчетность компании за последний год, скорректировать балансовую стоимость активов и обязатель</w:t>
      </w:r>
      <w:proofErr w:type="gramStart"/>
      <w:r w:rsidRPr="007F67AC">
        <w:rPr>
          <w:rFonts w:ascii="Times New Roman" w:hAnsi="Times New Roman"/>
          <w:sz w:val="28"/>
          <w:szCs w:val="28"/>
        </w:rPr>
        <w:t>ств вс</w:t>
      </w:r>
      <w:proofErr w:type="gramEnd"/>
      <w:r w:rsidRPr="007F67AC">
        <w:rPr>
          <w:rFonts w:ascii="Times New Roman" w:hAnsi="Times New Roman"/>
          <w:sz w:val="28"/>
          <w:szCs w:val="28"/>
        </w:rPr>
        <w:t>ех видов до уровня их рыночной стоимости, вычесть из стоимости активов стоимость долгов и все расходы, непосредственно связанные с ликвидацией.</w:t>
      </w:r>
    </w:p>
    <w:p w:rsidR="000872B3" w:rsidRDefault="000872B3" w:rsidP="000872B3">
      <w:pPr>
        <w:spacing w:line="360" w:lineRule="auto"/>
        <w:ind w:firstLine="360"/>
        <w:jc w:val="both"/>
        <w:rPr>
          <w:rFonts w:ascii="Times New Roman" w:hAnsi="Times New Roman"/>
          <w:sz w:val="28"/>
          <w:szCs w:val="28"/>
        </w:rPr>
      </w:pPr>
      <w:r w:rsidRPr="00402099">
        <w:rPr>
          <w:rFonts w:ascii="Times New Roman" w:hAnsi="Times New Roman"/>
          <w:i/>
          <w:sz w:val="28"/>
          <w:szCs w:val="28"/>
        </w:rPr>
        <w:t xml:space="preserve">Таким образом, затратный подход учитывает влияние производственно-хозяйственных факторов на изменение стоимости активов, дает оценку уровня развития технологии с учётом степени износа активов.  Результаты оценки более обоснованы (так как расчёты ведутся на основе финансовых и учётных документов). Кроме этого данный метод отражает прошлую стоимость предприятия. Что касается недостатков данного подхода, то он не учитывает рыночную ситуацию на дату оценки, перспективы развития предприятия, а также возможные риски и не рассматривает уровни прибылей. Помимо этого затратный метод статичен и не отражает связь текущих результатов деятельности </w:t>
      </w:r>
      <w:proofErr w:type="gramStart"/>
      <w:r w:rsidRPr="00402099">
        <w:rPr>
          <w:rFonts w:ascii="Times New Roman" w:hAnsi="Times New Roman"/>
          <w:i/>
          <w:sz w:val="28"/>
          <w:szCs w:val="28"/>
        </w:rPr>
        <w:t>с</w:t>
      </w:r>
      <w:proofErr w:type="gramEnd"/>
      <w:r w:rsidRPr="00402099">
        <w:rPr>
          <w:rFonts w:ascii="Times New Roman" w:hAnsi="Times New Roman"/>
          <w:i/>
          <w:sz w:val="28"/>
          <w:szCs w:val="28"/>
        </w:rPr>
        <w:t xml:space="preserve"> будущими</w:t>
      </w:r>
      <w:r>
        <w:rPr>
          <w:rFonts w:ascii="Times New Roman" w:hAnsi="Times New Roman"/>
          <w:sz w:val="28"/>
          <w:szCs w:val="28"/>
        </w:rPr>
        <w:t xml:space="preserve">. </w:t>
      </w:r>
    </w:p>
    <w:p w:rsidR="000872B3" w:rsidRPr="002C7537" w:rsidRDefault="002C7537" w:rsidP="002C7537">
      <w:pPr>
        <w:pStyle w:val="2"/>
        <w:spacing w:line="720" w:lineRule="auto"/>
        <w:jc w:val="center"/>
        <w:rPr>
          <w:rFonts w:ascii="Times New Roman" w:hAnsi="Times New Roman" w:cs="Times New Roman"/>
          <w:color w:val="auto"/>
          <w:sz w:val="28"/>
          <w:szCs w:val="28"/>
        </w:rPr>
      </w:pPr>
      <w:bookmarkStart w:id="17" w:name="_Toc356252000"/>
      <w:r w:rsidRPr="002C7537">
        <w:rPr>
          <w:rFonts w:ascii="Times New Roman" w:hAnsi="Times New Roman" w:cs="Times New Roman"/>
          <w:color w:val="auto"/>
          <w:sz w:val="28"/>
          <w:szCs w:val="28"/>
        </w:rPr>
        <w:t>1.</w:t>
      </w:r>
      <w:r w:rsidRPr="00006CBE">
        <w:rPr>
          <w:rFonts w:ascii="Times New Roman" w:hAnsi="Times New Roman" w:cs="Times New Roman"/>
          <w:color w:val="auto"/>
          <w:sz w:val="28"/>
          <w:szCs w:val="28"/>
        </w:rPr>
        <w:t>3.5</w:t>
      </w:r>
      <w:r w:rsidRPr="002C7537">
        <w:rPr>
          <w:rFonts w:ascii="Times New Roman" w:hAnsi="Times New Roman" w:cs="Times New Roman"/>
          <w:color w:val="auto"/>
          <w:sz w:val="28"/>
          <w:szCs w:val="28"/>
        </w:rPr>
        <w:t xml:space="preserve"> </w:t>
      </w:r>
      <w:r w:rsidR="000872B3" w:rsidRPr="002C7537">
        <w:rPr>
          <w:rFonts w:ascii="Times New Roman" w:hAnsi="Times New Roman" w:cs="Times New Roman"/>
          <w:color w:val="auto"/>
          <w:sz w:val="28"/>
          <w:szCs w:val="28"/>
        </w:rPr>
        <w:t>Метод реальных опционов</w:t>
      </w:r>
      <w:bookmarkEnd w:id="17"/>
    </w:p>
    <w:p w:rsidR="000872B3" w:rsidRDefault="000872B3" w:rsidP="000872B3">
      <w:pPr>
        <w:spacing w:line="360" w:lineRule="auto"/>
        <w:ind w:firstLine="360"/>
        <w:jc w:val="both"/>
        <w:rPr>
          <w:rFonts w:ascii="Times New Roman" w:hAnsi="Times New Roman"/>
          <w:sz w:val="28"/>
          <w:szCs w:val="28"/>
        </w:rPr>
      </w:pPr>
      <w:r w:rsidRPr="00BA6483">
        <w:rPr>
          <w:rFonts w:ascii="Times New Roman" w:hAnsi="Times New Roman"/>
          <w:sz w:val="28"/>
          <w:szCs w:val="28"/>
        </w:rPr>
        <w:t xml:space="preserve">Реальный опцион – право, но не обязанность принять какое-либо управленческое решение, в рамках функционирования компанией. Отличие от финансовых опционов состоит в том, что реальный опционы относятся к действительным предметам (от лат. </w:t>
      </w:r>
      <w:proofErr w:type="spellStart"/>
      <w:r w:rsidRPr="00BA6483">
        <w:rPr>
          <w:rFonts w:ascii="Times New Roman" w:hAnsi="Times New Roman"/>
          <w:sz w:val="28"/>
          <w:szCs w:val="28"/>
        </w:rPr>
        <w:t>realis</w:t>
      </w:r>
      <w:proofErr w:type="spellEnd"/>
      <w:r w:rsidRPr="00BA6483">
        <w:rPr>
          <w:rFonts w:ascii="Times New Roman" w:hAnsi="Times New Roman"/>
          <w:sz w:val="28"/>
          <w:szCs w:val="28"/>
        </w:rPr>
        <w:t>).</w:t>
      </w:r>
    </w:p>
    <w:p w:rsidR="00C717A8" w:rsidRDefault="000872B3" w:rsidP="000872B3">
      <w:pPr>
        <w:spacing w:line="360" w:lineRule="auto"/>
        <w:ind w:firstLine="360"/>
        <w:jc w:val="both"/>
        <w:rPr>
          <w:rFonts w:ascii="Times New Roman" w:hAnsi="Times New Roman"/>
          <w:sz w:val="28"/>
          <w:szCs w:val="28"/>
        </w:rPr>
      </w:pPr>
      <w:r w:rsidRPr="00BA6483">
        <w:rPr>
          <w:rFonts w:ascii="Times New Roman" w:hAnsi="Times New Roman"/>
          <w:sz w:val="28"/>
          <w:szCs w:val="28"/>
        </w:rPr>
        <w:t xml:space="preserve">Итак, различные управленческие решения могут создать опционы </w:t>
      </w:r>
      <w:proofErr w:type="spellStart"/>
      <w:r w:rsidRPr="00BA6483">
        <w:rPr>
          <w:rFonts w:ascii="Times New Roman" w:hAnsi="Times New Roman"/>
          <w:sz w:val="28"/>
          <w:szCs w:val="28"/>
        </w:rPr>
        <w:t>call</w:t>
      </w:r>
      <w:proofErr w:type="spellEnd"/>
      <w:r w:rsidRPr="00BA6483">
        <w:rPr>
          <w:rFonts w:ascii="Times New Roman" w:hAnsi="Times New Roman"/>
          <w:sz w:val="28"/>
          <w:szCs w:val="28"/>
        </w:rPr>
        <w:t xml:space="preserve"> или </w:t>
      </w:r>
      <w:proofErr w:type="spellStart"/>
      <w:r w:rsidRPr="00BA6483">
        <w:rPr>
          <w:rFonts w:ascii="Times New Roman" w:hAnsi="Times New Roman"/>
          <w:sz w:val="28"/>
          <w:szCs w:val="28"/>
        </w:rPr>
        <w:t>put</w:t>
      </w:r>
      <w:proofErr w:type="spellEnd"/>
      <w:r w:rsidRPr="00BA6483">
        <w:rPr>
          <w:rFonts w:ascii="Times New Roman" w:hAnsi="Times New Roman"/>
          <w:sz w:val="28"/>
          <w:szCs w:val="28"/>
        </w:rPr>
        <w:t xml:space="preserve"> , которые дают право, но не обязанность использовать базисные активы с целью достижения стратегических целей и, в итоге, максимизирования стоимости компании.</w:t>
      </w:r>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Существует множество видов реальных опционов, которые используются на практике. Примеры таких опционов представлены в книге Т. </w:t>
      </w:r>
      <w:proofErr w:type="spellStart"/>
      <w:r>
        <w:rPr>
          <w:rFonts w:ascii="Times New Roman" w:hAnsi="Times New Roman"/>
          <w:sz w:val="28"/>
          <w:szCs w:val="28"/>
        </w:rPr>
        <w:t>Коупленда</w:t>
      </w:r>
      <w:proofErr w:type="spellEnd"/>
      <w:r>
        <w:rPr>
          <w:rFonts w:ascii="Times New Roman" w:hAnsi="Times New Roman"/>
          <w:sz w:val="28"/>
          <w:szCs w:val="28"/>
        </w:rPr>
        <w:t xml:space="preserve">, Т. </w:t>
      </w:r>
      <w:proofErr w:type="spellStart"/>
      <w:r>
        <w:rPr>
          <w:rFonts w:ascii="Times New Roman" w:hAnsi="Times New Roman"/>
          <w:sz w:val="28"/>
          <w:szCs w:val="28"/>
        </w:rPr>
        <w:t>Коллера</w:t>
      </w:r>
      <w:proofErr w:type="spellEnd"/>
      <w:r>
        <w:rPr>
          <w:rFonts w:ascii="Times New Roman" w:hAnsi="Times New Roman"/>
          <w:sz w:val="28"/>
          <w:szCs w:val="28"/>
        </w:rPr>
        <w:t xml:space="preserve"> и Дж. </w:t>
      </w:r>
      <w:proofErr w:type="spellStart"/>
      <w:r>
        <w:rPr>
          <w:rFonts w:ascii="Times New Roman" w:hAnsi="Times New Roman"/>
          <w:sz w:val="28"/>
          <w:szCs w:val="28"/>
        </w:rPr>
        <w:t>Муррина</w:t>
      </w:r>
      <w:proofErr w:type="spellEnd"/>
      <w:r>
        <w:rPr>
          <w:rFonts w:ascii="Times New Roman" w:hAnsi="Times New Roman"/>
          <w:sz w:val="28"/>
          <w:szCs w:val="28"/>
        </w:rPr>
        <w:t xml:space="preserve"> «Стоимость компаний: оценка и управление»</w:t>
      </w:r>
      <w:r>
        <w:rPr>
          <w:rStyle w:val="a5"/>
          <w:rFonts w:ascii="Times New Roman" w:hAnsi="Times New Roman"/>
          <w:sz w:val="28"/>
          <w:szCs w:val="28"/>
        </w:rPr>
        <w:footnoteReference w:id="8"/>
      </w:r>
      <w:r>
        <w:rPr>
          <w:rFonts w:ascii="Times New Roman" w:hAnsi="Times New Roman"/>
          <w:sz w:val="28"/>
          <w:szCs w:val="28"/>
        </w:rPr>
        <w:t>:</w:t>
      </w:r>
    </w:p>
    <w:p w:rsidR="000872B3" w:rsidRDefault="000872B3" w:rsidP="000872B3">
      <w:pPr>
        <w:numPr>
          <w:ilvl w:val="0"/>
          <w:numId w:val="8"/>
        </w:numPr>
        <w:spacing w:line="360" w:lineRule="auto"/>
        <w:jc w:val="both"/>
        <w:rPr>
          <w:rFonts w:ascii="Times New Roman" w:hAnsi="Times New Roman"/>
          <w:sz w:val="28"/>
          <w:szCs w:val="28"/>
        </w:rPr>
      </w:pPr>
      <w:r w:rsidRPr="009F6A9F">
        <w:rPr>
          <w:rFonts w:ascii="Times New Roman" w:hAnsi="Times New Roman"/>
          <w:i/>
          <w:sz w:val="28"/>
          <w:szCs w:val="28"/>
        </w:rPr>
        <w:t>Опцион на отсрочку инвестиций.</w:t>
      </w:r>
      <w:r>
        <w:rPr>
          <w:rFonts w:ascii="Times New Roman" w:hAnsi="Times New Roman"/>
          <w:sz w:val="28"/>
          <w:szCs w:val="28"/>
        </w:rPr>
        <w:t xml:space="preserve"> Например, человек, обладающий лицензией на разработку неосвоенного нефтяного месторождения, может отсрочить вложение инвестиций, путем использования уже освоенного месторождения, предварительно оплатив арендные и лицензионные расходы. Такое решение, связанное с отсрочкой разработки, объясняется  ожиданием повышения цен на нефть. В результате возникает так называемый управленческий опцион на отсрочку, который сопряжен с владением неосвоенным месторождением. В силу того, что опцион на отсрочку инвестиций формально является американским опционом «</w:t>
      </w:r>
      <w:proofErr w:type="spellStart"/>
      <w:r>
        <w:rPr>
          <w:rFonts w:ascii="Times New Roman" w:hAnsi="Times New Roman"/>
          <w:sz w:val="28"/>
          <w:szCs w:val="28"/>
        </w:rPr>
        <w:t>колл</w:t>
      </w:r>
      <w:proofErr w:type="spellEnd"/>
      <w:r>
        <w:rPr>
          <w:rFonts w:ascii="Times New Roman" w:hAnsi="Times New Roman"/>
          <w:sz w:val="28"/>
          <w:szCs w:val="28"/>
        </w:rPr>
        <w:t>», то цена его исполнения будет равноценна затратам на освоение месторождения. Альтернативные издержки в данном случае будут равны чистому доходу от производства за вычетом расходов, связанных с истощением запасов в ходе разработки. Владелец лицензии может начать освоение месторождения, то есть исполнить опцион, не дожидаясь истечения его срока, если альтернативные издержки слишком велики.</w:t>
      </w:r>
    </w:p>
    <w:p w:rsidR="000872B3" w:rsidRDefault="000872B3" w:rsidP="000872B3">
      <w:pPr>
        <w:numPr>
          <w:ilvl w:val="0"/>
          <w:numId w:val="8"/>
        </w:numPr>
        <w:spacing w:line="360" w:lineRule="auto"/>
        <w:jc w:val="both"/>
        <w:rPr>
          <w:rFonts w:ascii="Times New Roman" w:hAnsi="Times New Roman"/>
          <w:sz w:val="28"/>
          <w:szCs w:val="28"/>
        </w:rPr>
      </w:pPr>
      <w:r w:rsidRPr="00F7492E">
        <w:rPr>
          <w:rFonts w:ascii="Times New Roman" w:hAnsi="Times New Roman"/>
          <w:i/>
          <w:sz w:val="28"/>
          <w:szCs w:val="28"/>
        </w:rPr>
        <w:t>Опцион на продление или досрочное завершение проекта</w:t>
      </w:r>
      <w:r w:rsidRPr="00F7492E">
        <w:rPr>
          <w:rFonts w:ascii="Times New Roman" w:hAnsi="Times New Roman"/>
          <w:sz w:val="28"/>
          <w:szCs w:val="28"/>
        </w:rPr>
        <w:t xml:space="preserve">. </w:t>
      </w:r>
      <w:r>
        <w:rPr>
          <w:rFonts w:ascii="Times New Roman" w:hAnsi="Times New Roman"/>
          <w:sz w:val="28"/>
          <w:szCs w:val="28"/>
        </w:rPr>
        <w:t>Часто бывают ситуации, когда есть возможность  продлить срок полезной службы актива или действие договора за определенную сумму денег, которая является ценой исполнения американского опциона «</w:t>
      </w:r>
      <w:proofErr w:type="spellStart"/>
      <w:r>
        <w:rPr>
          <w:rFonts w:ascii="Times New Roman" w:hAnsi="Times New Roman"/>
          <w:sz w:val="28"/>
          <w:szCs w:val="28"/>
        </w:rPr>
        <w:t>колл</w:t>
      </w:r>
      <w:proofErr w:type="spellEnd"/>
      <w:r>
        <w:rPr>
          <w:rFonts w:ascii="Times New Roman" w:hAnsi="Times New Roman"/>
          <w:sz w:val="28"/>
          <w:szCs w:val="28"/>
        </w:rPr>
        <w:t>». Также возможна и обратная ситуация, когда необходимо расторгнуть договор или</w:t>
      </w:r>
      <w:r w:rsidRPr="00F7492E">
        <w:rPr>
          <w:rFonts w:ascii="Times New Roman" w:hAnsi="Times New Roman"/>
          <w:sz w:val="28"/>
          <w:szCs w:val="28"/>
        </w:rPr>
        <w:t xml:space="preserve"> </w:t>
      </w:r>
      <w:r>
        <w:rPr>
          <w:rFonts w:ascii="Times New Roman" w:hAnsi="Times New Roman"/>
          <w:sz w:val="28"/>
          <w:szCs w:val="28"/>
        </w:rPr>
        <w:t xml:space="preserve">досрочно вывести актив из эксплуатации – цена исполнения американского опциона «пут». Ярким примером такого опциона является соглашение об аренде недвижимости, в котором прописаны оговорки, за которыми, по сути, кроется опцион на продление или досрочное завершение лизинга. </w:t>
      </w:r>
    </w:p>
    <w:p w:rsidR="000872B3" w:rsidRPr="00F7492E" w:rsidRDefault="000872B3" w:rsidP="000872B3">
      <w:pPr>
        <w:numPr>
          <w:ilvl w:val="0"/>
          <w:numId w:val="8"/>
        </w:numPr>
        <w:spacing w:line="360" w:lineRule="auto"/>
        <w:jc w:val="both"/>
        <w:rPr>
          <w:rFonts w:ascii="Times New Roman" w:hAnsi="Times New Roman"/>
          <w:sz w:val="28"/>
          <w:szCs w:val="28"/>
        </w:rPr>
      </w:pPr>
      <w:r w:rsidRPr="00F7492E">
        <w:rPr>
          <w:rFonts w:ascii="Times New Roman" w:hAnsi="Times New Roman"/>
          <w:i/>
          <w:sz w:val="28"/>
          <w:szCs w:val="28"/>
        </w:rPr>
        <w:t xml:space="preserve">Опцион на расширение или сокращение. </w:t>
      </w:r>
      <w:r w:rsidRPr="00F7492E">
        <w:rPr>
          <w:rFonts w:ascii="Times New Roman" w:hAnsi="Times New Roman"/>
          <w:sz w:val="28"/>
          <w:szCs w:val="28"/>
        </w:rPr>
        <w:t>Ситуацию с опционом на расширение производства лучше всего иллюстрирует пример, когда руководство принимает решение построить предприятие с избыточной производственной мощностью, на случай если производимая продукция будет успешно реализовываться на рынке. Таким образом, управленческий опцион, который формально эквивалентен американскому опциону «</w:t>
      </w:r>
      <w:proofErr w:type="spellStart"/>
      <w:r w:rsidRPr="00F7492E">
        <w:rPr>
          <w:rFonts w:ascii="Times New Roman" w:hAnsi="Times New Roman"/>
          <w:sz w:val="28"/>
          <w:szCs w:val="28"/>
        </w:rPr>
        <w:t>колл</w:t>
      </w:r>
      <w:proofErr w:type="spellEnd"/>
      <w:r w:rsidRPr="00F7492E">
        <w:rPr>
          <w:rFonts w:ascii="Times New Roman" w:hAnsi="Times New Roman"/>
          <w:sz w:val="28"/>
          <w:szCs w:val="28"/>
        </w:rPr>
        <w:t>», связан непосредственно с дополнительным инвестированием в производство при благоприятных обстоятельствах.  Также существуют ситуации, когда менеджеры принимают решение, свернуть объемы производства, не прикладывая особых усилий. В этом случае потенциальные расходы, связанные со сворачиванием проекта, будут равноценны цене исполнения американского опциона «пут».</w:t>
      </w:r>
    </w:p>
    <w:p w:rsidR="000872B3" w:rsidRDefault="000872B3" w:rsidP="000872B3">
      <w:pPr>
        <w:numPr>
          <w:ilvl w:val="0"/>
          <w:numId w:val="8"/>
        </w:numPr>
        <w:spacing w:line="360" w:lineRule="auto"/>
        <w:ind w:firstLine="708"/>
        <w:jc w:val="both"/>
        <w:rPr>
          <w:rFonts w:ascii="Times New Roman" w:hAnsi="Times New Roman"/>
          <w:sz w:val="28"/>
          <w:szCs w:val="28"/>
        </w:rPr>
      </w:pPr>
      <w:r w:rsidRPr="00C54E36">
        <w:rPr>
          <w:rFonts w:ascii="Times New Roman" w:hAnsi="Times New Roman"/>
          <w:i/>
          <w:sz w:val="28"/>
          <w:szCs w:val="28"/>
        </w:rPr>
        <w:t>Опцион на выход из бизнеса (</w:t>
      </w:r>
      <w:r w:rsidRPr="00C54E36">
        <w:rPr>
          <w:rFonts w:ascii="Times New Roman" w:hAnsi="Times New Roman"/>
          <w:i/>
          <w:sz w:val="28"/>
          <w:szCs w:val="28"/>
          <w:lang w:val="en-US"/>
        </w:rPr>
        <w:t>exit</w:t>
      </w:r>
      <w:r w:rsidRPr="00C54E36">
        <w:rPr>
          <w:rFonts w:ascii="Times New Roman" w:hAnsi="Times New Roman"/>
          <w:i/>
          <w:sz w:val="28"/>
          <w:szCs w:val="28"/>
        </w:rPr>
        <w:t xml:space="preserve"> </w:t>
      </w:r>
      <w:r w:rsidRPr="00C54E36">
        <w:rPr>
          <w:rFonts w:ascii="Times New Roman" w:hAnsi="Times New Roman"/>
          <w:i/>
          <w:sz w:val="28"/>
          <w:szCs w:val="28"/>
          <w:lang w:val="en-US"/>
        </w:rPr>
        <w:t>strategy</w:t>
      </w:r>
      <w:r w:rsidRPr="00C54E36">
        <w:rPr>
          <w:rFonts w:ascii="Times New Roman" w:hAnsi="Times New Roman"/>
          <w:i/>
          <w:sz w:val="28"/>
          <w:szCs w:val="28"/>
        </w:rPr>
        <w:t xml:space="preserve">). </w:t>
      </w:r>
      <w:r w:rsidRPr="00C54E36">
        <w:rPr>
          <w:rFonts w:ascii="Times New Roman" w:hAnsi="Times New Roman"/>
          <w:sz w:val="28"/>
          <w:szCs w:val="28"/>
        </w:rPr>
        <w:t>Данный опцион дает право прекратить реализацию проекта и выйти из него. В таком случае цена исполнения американского опциона «пут» - опциона на продажу, будет равняться ликвидационной стоимости активов, которая составляет нижний предел стоимости. При неблагоприятных условиях менеджер может отказаться от данного проекта и исполнить опцион. Именно в случае, когда приведенная стоимость активов оказывается ниже их ликвидационной стоимости, данный опцион обладает ценностью. В</w:t>
      </w:r>
      <w:r>
        <w:rPr>
          <w:rFonts w:ascii="Times New Roman" w:hAnsi="Times New Roman"/>
          <w:sz w:val="28"/>
          <w:szCs w:val="28"/>
        </w:rPr>
        <w:t xml:space="preserve"> результате, проект, который можно при необходимости прекратить, стоит дороже равнозначного проекта, не дающего такой возможности. </w:t>
      </w:r>
    </w:p>
    <w:p w:rsidR="000872B3" w:rsidRPr="00A84079" w:rsidRDefault="000872B3" w:rsidP="00534FD6">
      <w:pPr>
        <w:spacing w:line="360" w:lineRule="auto"/>
        <w:ind w:firstLine="708"/>
        <w:jc w:val="both"/>
        <w:rPr>
          <w:rFonts w:ascii="Times New Roman" w:hAnsi="Times New Roman"/>
          <w:i/>
          <w:sz w:val="28"/>
          <w:szCs w:val="28"/>
        </w:rPr>
      </w:pPr>
      <w:r w:rsidRPr="00A84079">
        <w:rPr>
          <w:rFonts w:ascii="Times New Roman" w:hAnsi="Times New Roman"/>
          <w:i/>
          <w:sz w:val="28"/>
          <w:szCs w:val="28"/>
        </w:rPr>
        <w:t>С помощью метода реальных опционов можно оценить стоимость активов, предполагающих высокую степень неопределенности будущих доходов. Преимущество данного метода состоит в привлечении гибкости управленческого подхода к процессу оценки компании и помощи в принятии наиболее эффективных решений. Однако существует ограничение: реальные опционы могут существенно повлиять на стоимость компании, если существуют реальные ограничения на конкуренцию в случае исполнения опциона, то есть важно эксклюзивен ли опцион или нет. Кроме того, можно использовать данный метод, когда стоимость компании существенно зависит от успеха конкретного проекта, либо компания существует в быстро меняющихся экономических условиях.</w:t>
      </w:r>
    </w:p>
    <w:p w:rsidR="000872B3" w:rsidRDefault="000872B3"/>
    <w:p w:rsidR="000872B3" w:rsidRDefault="000872B3">
      <w:r>
        <w:br w:type="page"/>
      </w:r>
    </w:p>
    <w:p w:rsidR="00A43320" w:rsidRPr="002C7537" w:rsidRDefault="002C7537" w:rsidP="002C7537">
      <w:pPr>
        <w:pStyle w:val="1"/>
        <w:spacing w:line="720" w:lineRule="auto"/>
        <w:jc w:val="center"/>
        <w:rPr>
          <w:rFonts w:ascii="Times New Roman" w:hAnsi="Times New Roman" w:cs="Times New Roman"/>
          <w:color w:val="auto"/>
        </w:rPr>
      </w:pPr>
      <w:bookmarkStart w:id="18" w:name="_Toc356252001"/>
      <w:r w:rsidRPr="002C7537">
        <w:rPr>
          <w:rFonts w:ascii="Times New Roman" w:hAnsi="Times New Roman" w:cs="Times New Roman"/>
          <w:color w:val="auto"/>
        </w:rPr>
        <w:t xml:space="preserve">2. </w:t>
      </w:r>
      <w:r w:rsidR="00A84079" w:rsidRPr="002C7537">
        <w:rPr>
          <w:rFonts w:ascii="Times New Roman" w:hAnsi="Times New Roman" w:cs="Times New Roman"/>
          <w:color w:val="auto"/>
        </w:rPr>
        <w:t>Обзор</w:t>
      </w:r>
      <w:r w:rsidR="004D596B" w:rsidRPr="002C7537">
        <w:rPr>
          <w:rFonts w:ascii="Times New Roman" w:hAnsi="Times New Roman" w:cs="Times New Roman"/>
          <w:color w:val="auto"/>
        </w:rPr>
        <w:t xml:space="preserve"> рынка пивоваренной промышленности</w:t>
      </w:r>
      <w:bookmarkEnd w:id="18"/>
    </w:p>
    <w:p w:rsidR="00A84079" w:rsidRPr="002C7537" w:rsidRDefault="002C7537" w:rsidP="002C7537">
      <w:pPr>
        <w:pStyle w:val="2"/>
        <w:spacing w:line="720" w:lineRule="auto"/>
        <w:jc w:val="center"/>
        <w:rPr>
          <w:rFonts w:ascii="Times New Roman" w:hAnsi="Times New Roman" w:cs="Times New Roman"/>
          <w:color w:val="auto"/>
          <w:sz w:val="28"/>
          <w:szCs w:val="28"/>
        </w:rPr>
      </w:pPr>
      <w:bookmarkStart w:id="19" w:name="_Toc356252002"/>
      <w:r w:rsidRPr="002C7537">
        <w:rPr>
          <w:rFonts w:ascii="Times New Roman" w:hAnsi="Times New Roman" w:cs="Times New Roman"/>
          <w:color w:val="auto"/>
          <w:sz w:val="28"/>
          <w:szCs w:val="28"/>
        </w:rPr>
        <w:t xml:space="preserve">2.1 </w:t>
      </w:r>
      <w:r w:rsidR="00A84079" w:rsidRPr="002C7537">
        <w:rPr>
          <w:rFonts w:ascii="Times New Roman" w:hAnsi="Times New Roman" w:cs="Times New Roman"/>
          <w:color w:val="auto"/>
          <w:sz w:val="28"/>
          <w:szCs w:val="28"/>
        </w:rPr>
        <w:t>Основные тенденции и перспективы развития отрасли</w:t>
      </w:r>
      <w:bookmarkEnd w:id="19"/>
    </w:p>
    <w:p w:rsidR="00D16939" w:rsidRDefault="00D16939" w:rsidP="00D16939">
      <w:pPr>
        <w:spacing w:line="360" w:lineRule="auto"/>
        <w:ind w:firstLine="360"/>
        <w:jc w:val="both"/>
        <w:rPr>
          <w:rFonts w:ascii="Times New Roman" w:hAnsi="Times New Roman"/>
          <w:sz w:val="28"/>
          <w:szCs w:val="28"/>
        </w:rPr>
      </w:pPr>
      <w:proofErr w:type="gramStart"/>
      <w:r>
        <w:rPr>
          <w:rFonts w:ascii="Times New Roman" w:hAnsi="Times New Roman"/>
          <w:sz w:val="28"/>
          <w:szCs w:val="28"/>
          <w:lang w:val="en-US"/>
        </w:rPr>
        <w:t>Heineken</w:t>
      </w:r>
      <w:r w:rsidRPr="00251414">
        <w:rPr>
          <w:rFonts w:ascii="Times New Roman" w:hAnsi="Times New Roman"/>
          <w:sz w:val="28"/>
          <w:szCs w:val="28"/>
        </w:rPr>
        <w:t xml:space="preserve"> </w:t>
      </w:r>
      <w:r>
        <w:rPr>
          <w:rFonts w:ascii="Times New Roman" w:hAnsi="Times New Roman"/>
          <w:sz w:val="28"/>
          <w:szCs w:val="28"/>
          <w:lang w:val="en-US"/>
        </w:rPr>
        <w:t>N</w:t>
      </w:r>
      <w:r w:rsidRPr="00251414">
        <w:rPr>
          <w:rFonts w:ascii="Times New Roman" w:hAnsi="Times New Roman"/>
          <w:sz w:val="28"/>
          <w:szCs w:val="28"/>
        </w:rPr>
        <w:t>.</w:t>
      </w:r>
      <w:r>
        <w:rPr>
          <w:rFonts w:ascii="Times New Roman" w:hAnsi="Times New Roman"/>
          <w:sz w:val="28"/>
          <w:szCs w:val="28"/>
          <w:lang w:val="en-US"/>
        </w:rPr>
        <w:t>V</w:t>
      </w:r>
      <w:r w:rsidRPr="00251414">
        <w:rPr>
          <w:rFonts w:ascii="Times New Roman" w:hAnsi="Times New Roman"/>
          <w:sz w:val="28"/>
          <w:szCs w:val="28"/>
        </w:rPr>
        <w:t xml:space="preserve">. </w:t>
      </w:r>
      <w:r>
        <w:rPr>
          <w:rFonts w:ascii="Times New Roman" w:hAnsi="Times New Roman"/>
          <w:sz w:val="28"/>
          <w:szCs w:val="28"/>
        </w:rPr>
        <w:t>характеризуется ограниченным присутствием в Азиатско-Тихоокеанском регионе.</w:t>
      </w:r>
      <w:proofErr w:type="gramEnd"/>
      <w:r>
        <w:rPr>
          <w:rFonts w:ascii="Times New Roman" w:hAnsi="Times New Roman"/>
          <w:sz w:val="28"/>
          <w:szCs w:val="28"/>
        </w:rPr>
        <w:t xml:space="preserve"> В 2011 г. на регион пришлось только 3% от общего производства пива в компании. Однако, как ожидается, данный географический сегмент будет расти со среднегодовым темпом в 5% в период с 2012 по 2016 гг., что составит прирост в 17,5 млрд. литров пива</w:t>
      </w:r>
      <w:r>
        <w:rPr>
          <w:rStyle w:val="a5"/>
          <w:rFonts w:ascii="Times New Roman" w:hAnsi="Times New Roman"/>
          <w:sz w:val="28"/>
          <w:szCs w:val="28"/>
        </w:rPr>
        <w:footnoteReference w:id="9"/>
      </w:r>
      <w:r>
        <w:rPr>
          <w:rFonts w:ascii="Times New Roman" w:hAnsi="Times New Roman"/>
          <w:sz w:val="28"/>
          <w:szCs w:val="28"/>
        </w:rPr>
        <w:t>. Именно поэтому, компания должна использовать любую возможность для укрепления своих рыночных позиций в данном регионе. Вьетнам, доля которого составляет приблизительно 40%, является крупнейшим рынком компании в Азии. Китай же составляет только 1% от общемирового производства. При этом Китай является лидером по производству и потреблению пива во всем мире. В 2010 г. китайские компании произвели 45 млрд. литров пива, а объем потребления составил 24% от общемирового уровня. В 2011 г. объем производства увеличился на 5% и составил 47,5 млрд. литров</w:t>
      </w:r>
      <w:r>
        <w:rPr>
          <w:rStyle w:val="a5"/>
          <w:rFonts w:ascii="Times New Roman" w:hAnsi="Times New Roman"/>
          <w:sz w:val="28"/>
          <w:szCs w:val="28"/>
        </w:rPr>
        <w:footnoteReference w:id="10"/>
      </w:r>
      <w:r>
        <w:rPr>
          <w:rFonts w:ascii="Times New Roman" w:hAnsi="Times New Roman"/>
          <w:sz w:val="28"/>
          <w:szCs w:val="28"/>
        </w:rPr>
        <w:t xml:space="preserve">. </w:t>
      </w:r>
    </w:p>
    <w:p w:rsidR="00D16939" w:rsidRDefault="00D16939" w:rsidP="00D16939">
      <w:pPr>
        <w:spacing w:line="360" w:lineRule="auto"/>
        <w:ind w:firstLine="360"/>
        <w:jc w:val="both"/>
        <w:rPr>
          <w:rFonts w:ascii="Times New Roman" w:hAnsi="Times New Roman"/>
          <w:sz w:val="28"/>
          <w:szCs w:val="28"/>
        </w:rPr>
      </w:pPr>
      <w:r>
        <w:rPr>
          <w:rFonts w:ascii="Times New Roman" w:hAnsi="Times New Roman"/>
          <w:sz w:val="28"/>
          <w:szCs w:val="28"/>
        </w:rPr>
        <w:t xml:space="preserve">В Китае также наблюдается тренд премиализации отрасли. В 2011 г. потребление лагера в классе премиум увеличилось на 15%. В том числе, увеличилось потребление импортированного пива в этом же классе на 18%. Тем не менее, самая крупная доля приходится на долю лагера эконом класса – в 2011 г. она составила 84% от общих продаж пива на китайском рынке. Типичным представителем данной категории является бренд </w:t>
      </w:r>
      <w:r>
        <w:rPr>
          <w:rFonts w:ascii="Times New Roman" w:hAnsi="Times New Roman"/>
          <w:sz w:val="28"/>
          <w:szCs w:val="28"/>
          <w:lang w:val="en-US"/>
        </w:rPr>
        <w:t>Snow</w:t>
      </w:r>
      <w:r>
        <w:rPr>
          <w:rFonts w:ascii="Times New Roman" w:hAnsi="Times New Roman"/>
          <w:sz w:val="28"/>
          <w:szCs w:val="28"/>
        </w:rPr>
        <w:t>, который составил 21% всех продаж в этой категории. Вторым по значимости классом является стандартный лагер. Доля этой категории в общем объеме производства светлого пива в 2011 г. составила 12%. Таким образом, несмотря на рост потребления премиального пива, его доля остается наименьшей (4%) на китайском рынке</w:t>
      </w:r>
      <w:r>
        <w:rPr>
          <w:rStyle w:val="a5"/>
          <w:rFonts w:ascii="Times New Roman" w:hAnsi="Times New Roman"/>
          <w:sz w:val="28"/>
          <w:szCs w:val="28"/>
        </w:rPr>
        <w:footnoteReference w:id="11"/>
      </w:r>
      <w:r>
        <w:rPr>
          <w:rFonts w:ascii="Times New Roman" w:hAnsi="Times New Roman"/>
          <w:sz w:val="28"/>
          <w:szCs w:val="28"/>
        </w:rPr>
        <w:t xml:space="preserve">. Продажи темного пива и стаута, по-прежнему, остаются незначительными, несмотря на то, что данная категория обширно представлена на рынке. Молодое поколение готово пробовать новые вкусы, но доля таких людей невелика в силу того, что китайцы до сих пор не привыкли к горькому и терпкому вкусу стаута и темного пива. Основным каналом потребления этих категорий являются пабы, бары и западные рестораны. </w:t>
      </w:r>
    </w:p>
    <w:p w:rsidR="004D596B" w:rsidRDefault="004D596B" w:rsidP="00D16939">
      <w:pPr>
        <w:spacing w:line="360" w:lineRule="auto"/>
        <w:ind w:firstLine="360"/>
        <w:jc w:val="both"/>
        <w:rPr>
          <w:rFonts w:ascii="Times New Roman" w:hAnsi="Times New Roman"/>
          <w:sz w:val="28"/>
          <w:szCs w:val="28"/>
        </w:rPr>
      </w:pPr>
    </w:p>
    <w:p w:rsidR="00A43320" w:rsidRPr="002C7537" w:rsidRDefault="002C7537" w:rsidP="002C7537">
      <w:pPr>
        <w:pStyle w:val="2"/>
        <w:jc w:val="center"/>
        <w:rPr>
          <w:rFonts w:ascii="Times New Roman" w:hAnsi="Times New Roman" w:cs="Times New Roman"/>
          <w:color w:val="auto"/>
          <w:sz w:val="28"/>
          <w:szCs w:val="28"/>
        </w:rPr>
      </w:pPr>
      <w:bookmarkStart w:id="20" w:name="_Toc356252003"/>
      <w:r w:rsidRPr="002C7537">
        <w:rPr>
          <w:rFonts w:ascii="Times New Roman" w:hAnsi="Times New Roman" w:cs="Times New Roman"/>
          <w:color w:val="auto"/>
          <w:sz w:val="28"/>
          <w:szCs w:val="28"/>
        </w:rPr>
        <w:t xml:space="preserve">2.2 </w:t>
      </w:r>
      <w:r w:rsidR="00A43320" w:rsidRPr="002C7537">
        <w:rPr>
          <w:rFonts w:ascii="Times New Roman" w:hAnsi="Times New Roman" w:cs="Times New Roman"/>
          <w:color w:val="auto"/>
          <w:sz w:val="28"/>
          <w:szCs w:val="28"/>
        </w:rPr>
        <w:t>Анализ операционной деятельности и финансовых показателей основных игроков отрасли</w:t>
      </w:r>
      <w:bookmarkEnd w:id="20"/>
    </w:p>
    <w:p w:rsidR="00A43320" w:rsidRDefault="00A43320" w:rsidP="00A43320">
      <w:pPr>
        <w:spacing w:line="360" w:lineRule="auto"/>
        <w:ind w:firstLine="360"/>
        <w:jc w:val="center"/>
        <w:rPr>
          <w:rFonts w:ascii="Times New Roman" w:hAnsi="Times New Roman"/>
          <w:sz w:val="28"/>
          <w:szCs w:val="28"/>
        </w:rPr>
      </w:pPr>
    </w:p>
    <w:p w:rsidR="00A43320" w:rsidRDefault="00A43320" w:rsidP="00A43320">
      <w:pPr>
        <w:spacing w:line="360" w:lineRule="auto"/>
        <w:ind w:firstLine="360"/>
        <w:jc w:val="both"/>
        <w:rPr>
          <w:rFonts w:ascii="Times New Roman" w:hAnsi="Times New Roman"/>
          <w:sz w:val="28"/>
          <w:szCs w:val="28"/>
        </w:rPr>
      </w:pPr>
      <w:r>
        <w:rPr>
          <w:rFonts w:ascii="Times New Roman" w:hAnsi="Times New Roman"/>
          <w:sz w:val="28"/>
          <w:szCs w:val="28"/>
        </w:rPr>
        <w:t>Пивоваренная промышленность является сильно консолидированной отраслью. Общая</w:t>
      </w:r>
      <w:r w:rsidRPr="00D05BCD">
        <w:rPr>
          <w:rFonts w:ascii="Times New Roman" w:hAnsi="Times New Roman"/>
          <w:sz w:val="28"/>
          <w:szCs w:val="28"/>
        </w:rPr>
        <w:t xml:space="preserve"> </w:t>
      </w:r>
      <w:r>
        <w:rPr>
          <w:rFonts w:ascii="Times New Roman" w:hAnsi="Times New Roman"/>
          <w:sz w:val="28"/>
          <w:szCs w:val="28"/>
        </w:rPr>
        <w:t>доля</w:t>
      </w:r>
      <w:r w:rsidRPr="00D05BCD">
        <w:rPr>
          <w:rFonts w:ascii="Times New Roman" w:hAnsi="Times New Roman"/>
          <w:sz w:val="28"/>
          <w:szCs w:val="28"/>
        </w:rPr>
        <w:t xml:space="preserve"> 4-</w:t>
      </w:r>
      <w:r>
        <w:rPr>
          <w:rFonts w:ascii="Times New Roman" w:hAnsi="Times New Roman"/>
          <w:sz w:val="28"/>
          <w:szCs w:val="28"/>
        </w:rPr>
        <w:t>х</w:t>
      </w:r>
      <w:r w:rsidRPr="00D05BCD">
        <w:rPr>
          <w:rFonts w:ascii="Times New Roman" w:hAnsi="Times New Roman"/>
          <w:sz w:val="28"/>
          <w:szCs w:val="28"/>
        </w:rPr>
        <w:t xml:space="preserve"> </w:t>
      </w:r>
      <w:r>
        <w:rPr>
          <w:rFonts w:ascii="Times New Roman" w:hAnsi="Times New Roman"/>
          <w:sz w:val="28"/>
          <w:szCs w:val="28"/>
        </w:rPr>
        <w:t>лидеров</w:t>
      </w:r>
      <w:r w:rsidRPr="00D05BCD">
        <w:rPr>
          <w:rFonts w:ascii="Times New Roman" w:hAnsi="Times New Roman"/>
          <w:sz w:val="28"/>
          <w:szCs w:val="28"/>
        </w:rPr>
        <w:t xml:space="preserve"> – </w:t>
      </w:r>
      <w:r>
        <w:rPr>
          <w:rFonts w:ascii="Times New Roman" w:hAnsi="Times New Roman"/>
          <w:sz w:val="28"/>
          <w:szCs w:val="28"/>
          <w:lang w:val="en-US"/>
        </w:rPr>
        <w:t>Anheuser</w:t>
      </w:r>
      <w:r w:rsidRPr="00D05BCD">
        <w:rPr>
          <w:rFonts w:ascii="Times New Roman" w:hAnsi="Times New Roman"/>
          <w:sz w:val="28"/>
          <w:szCs w:val="28"/>
        </w:rPr>
        <w:t xml:space="preserve"> </w:t>
      </w:r>
      <w:r>
        <w:rPr>
          <w:rFonts w:ascii="Times New Roman" w:hAnsi="Times New Roman"/>
          <w:sz w:val="28"/>
          <w:szCs w:val="28"/>
          <w:lang w:val="en-US"/>
        </w:rPr>
        <w:t>Busch</w:t>
      </w:r>
      <w:r w:rsidRPr="00D05BCD">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w:t>
      </w:r>
      <w:r>
        <w:rPr>
          <w:rFonts w:ascii="Times New Roman" w:hAnsi="Times New Roman"/>
          <w:sz w:val="28"/>
          <w:szCs w:val="28"/>
          <w:lang w:val="en-US"/>
        </w:rPr>
        <w:t>Bev</w:t>
      </w:r>
      <w:r w:rsidRPr="00D05BCD">
        <w:rPr>
          <w:rFonts w:ascii="Times New Roman" w:hAnsi="Times New Roman"/>
          <w:sz w:val="28"/>
          <w:szCs w:val="28"/>
        </w:rPr>
        <w:t xml:space="preserve">, </w:t>
      </w:r>
      <w:r>
        <w:rPr>
          <w:rFonts w:ascii="Times New Roman" w:hAnsi="Times New Roman"/>
          <w:sz w:val="28"/>
          <w:szCs w:val="28"/>
          <w:lang w:val="en-US"/>
        </w:rPr>
        <w:t>SABMiller</w:t>
      </w:r>
      <w:r w:rsidRPr="00D05BCD">
        <w:rPr>
          <w:rFonts w:ascii="Times New Roman" w:hAnsi="Times New Roman"/>
          <w:sz w:val="28"/>
          <w:szCs w:val="28"/>
        </w:rPr>
        <w:t xml:space="preserve">, </w:t>
      </w:r>
      <w:r>
        <w:rPr>
          <w:rFonts w:ascii="Times New Roman" w:hAnsi="Times New Roman"/>
          <w:sz w:val="28"/>
          <w:szCs w:val="28"/>
          <w:lang w:val="en-US"/>
        </w:rPr>
        <w:t>Heineken</w:t>
      </w:r>
      <w:r w:rsidRPr="00D05BCD">
        <w:rPr>
          <w:rFonts w:ascii="Times New Roman" w:hAnsi="Times New Roman"/>
          <w:sz w:val="28"/>
          <w:szCs w:val="28"/>
        </w:rPr>
        <w:t xml:space="preserve"> </w:t>
      </w:r>
      <w:r>
        <w:rPr>
          <w:rFonts w:ascii="Times New Roman" w:hAnsi="Times New Roman"/>
          <w:sz w:val="28"/>
          <w:szCs w:val="28"/>
          <w:lang w:val="en-US"/>
        </w:rPr>
        <w:t>N</w:t>
      </w:r>
      <w:r w:rsidRPr="00D05BCD">
        <w:rPr>
          <w:rFonts w:ascii="Times New Roman" w:hAnsi="Times New Roman"/>
          <w:sz w:val="28"/>
          <w:szCs w:val="28"/>
        </w:rPr>
        <w:t>.</w:t>
      </w:r>
      <w:r>
        <w:rPr>
          <w:rFonts w:ascii="Times New Roman" w:hAnsi="Times New Roman"/>
          <w:sz w:val="28"/>
          <w:szCs w:val="28"/>
          <w:lang w:val="en-US"/>
        </w:rPr>
        <w:t>V</w:t>
      </w:r>
      <w:r w:rsidRPr="00D05BCD">
        <w:rPr>
          <w:rFonts w:ascii="Times New Roman" w:hAnsi="Times New Roman"/>
          <w:sz w:val="28"/>
          <w:szCs w:val="28"/>
        </w:rPr>
        <w:t xml:space="preserve">. </w:t>
      </w:r>
      <w:r>
        <w:rPr>
          <w:rFonts w:ascii="Times New Roman" w:hAnsi="Times New Roman"/>
          <w:sz w:val="28"/>
          <w:szCs w:val="28"/>
        </w:rPr>
        <w:t>и</w:t>
      </w:r>
      <w:r w:rsidRPr="00D05BCD">
        <w:rPr>
          <w:rFonts w:ascii="Times New Roman" w:hAnsi="Times New Roman"/>
          <w:sz w:val="28"/>
          <w:szCs w:val="28"/>
        </w:rPr>
        <w:t xml:space="preserve"> </w:t>
      </w:r>
      <w:r>
        <w:rPr>
          <w:rFonts w:ascii="Times New Roman" w:hAnsi="Times New Roman"/>
          <w:sz w:val="28"/>
          <w:szCs w:val="28"/>
          <w:lang w:val="en-US"/>
        </w:rPr>
        <w:t>Carlsberg</w:t>
      </w:r>
      <w:r w:rsidRPr="00D05BCD">
        <w:rPr>
          <w:rFonts w:ascii="Times New Roman" w:hAnsi="Times New Roman"/>
          <w:sz w:val="28"/>
          <w:szCs w:val="28"/>
        </w:rPr>
        <w:t xml:space="preserve"> </w:t>
      </w:r>
      <w:r>
        <w:rPr>
          <w:rFonts w:ascii="Times New Roman" w:hAnsi="Times New Roman"/>
          <w:sz w:val="28"/>
          <w:szCs w:val="28"/>
          <w:lang w:val="en-US"/>
        </w:rPr>
        <w:t>A</w:t>
      </w:r>
      <w:r w:rsidRPr="00D05BCD">
        <w:rPr>
          <w:rFonts w:ascii="Times New Roman" w:hAnsi="Times New Roman"/>
          <w:sz w:val="28"/>
          <w:szCs w:val="28"/>
        </w:rPr>
        <w:t>/</w:t>
      </w:r>
      <w:r>
        <w:rPr>
          <w:rFonts w:ascii="Times New Roman" w:hAnsi="Times New Roman"/>
          <w:sz w:val="28"/>
          <w:szCs w:val="28"/>
          <w:lang w:val="en-US"/>
        </w:rPr>
        <w:t>S</w:t>
      </w:r>
      <w:r w:rsidRPr="00D05BCD">
        <w:rPr>
          <w:rFonts w:ascii="Times New Roman" w:hAnsi="Times New Roman"/>
          <w:sz w:val="28"/>
          <w:szCs w:val="28"/>
        </w:rPr>
        <w:t xml:space="preserve"> </w:t>
      </w:r>
      <w:r>
        <w:rPr>
          <w:rFonts w:ascii="Times New Roman" w:hAnsi="Times New Roman"/>
          <w:sz w:val="28"/>
          <w:szCs w:val="28"/>
        </w:rPr>
        <w:t>составила в 2011 г.</w:t>
      </w:r>
      <w:r w:rsidRPr="00D05BCD">
        <w:rPr>
          <w:rFonts w:ascii="Times New Roman" w:hAnsi="Times New Roman"/>
          <w:sz w:val="28"/>
          <w:szCs w:val="28"/>
        </w:rPr>
        <w:t xml:space="preserve"> 42,5%. </w:t>
      </w:r>
      <w:r>
        <w:rPr>
          <w:rFonts w:ascii="Times New Roman" w:hAnsi="Times New Roman"/>
          <w:sz w:val="28"/>
          <w:szCs w:val="28"/>
        </w:rPr>
        <w:t>При этом тенденция к росту уровня консолидации наблюдается с 2001 г. В 2001 г. 4-ре лидера отрасли занимали 21,7% рынка, в 2005 г. 35,6%, в 2009 г . 41,8%</w:t>
      </w:r>
      <w:r>
        <w:rPr>
          <w:rStyle w:val="a5"/>
          <w:rFonts w:ascii="Times New Roman" w:hAnsi="Times New Roman"/>
          <w:sz w:val="28"/>
          <w:szCs w:val="28"/>
        </w:rPr>
        <w:footnoteReference w:id="12"/>
      </w:r>
      <w:r>
        <w:rPr>
          <w:rFonts w:ascii="Times New Roman" w:hAnsi="Times New Roman"/>
          <w:sz w:val="28"/>
          <w:szCs w:val="28"/>
        </w:rPr>
        <w:t>.</w:t>
      </w:r>
    </w:p>
    <w:p w:rsidR="00D16939" w:rsidRPr="002C7537" w:rsidRDefault="00D16939" w:rsidP="002C7537">
      <w:pPr>
        <w:pStyle w:val="2"/>
        <w:jc w:val="center"/>
        <w:rPr>
          <w:rFonts w:ascii="Times New Roman" w:hAnsi="Times New Roman" w:cs="Times New Roman"/>
          <w:color w:val="auto"/>
          <w:sz w:val="28"/>
          <w:szCs w:val="28"/>
        </w:rPr>
      </w:pPr>
    </w:p>
    <w:p w:rsidR="00516EE0" w:rsidRPr="002C7537" w:rsidRDefault="002C7537" w:rsidP="002C7537">
      <w:pPr>
        <w:pStyle w:val="2"/>
        <w:spacing w:line="720" w:lineRule="auto"/>
        <w:jc w:val="center"/>
        <w:rPr>
          <w:rFonts w:ascii="Times New Roman" w:hAnsi="Times New Roman" w:cs="Times New Roman"/>
          <w:color w:val="auto"/>
          <w:sz w:val="28"/>
          <w:szCs w:val="28"/>
        </w:rPr>
      </w:pPr>
      <w:bookmarkStart w:id="21" w:name="_Toc356252004"/>
      <w:r w:rsidRPr="00F86AE5">
        <w:rPr>
          <w:rFonts w:ascii="Times New Roman" w:hAnsi="Times New Roman" w:cs="Times New Roman"/>
          <w:color w:val="auto"/>
          <w:sz w:val="28"/>
          <w:szCs w:val="28"/>
        </w:rPr>
        <w:t xml:space="preserve">2.2.1 </w:t>
      </w:r>
      <w:proofErr w:type="spellStart"/>
      <w:r w:rsidR="00516EE0" w:rsidRPr="002C7537">
        <w:rPr>
          <w:rFonts w:ascii="Times New Roman" w:hAnsi="Times New Roman" w:cs="Times New Roman"/>
          <w:color w:val="auto"/>
          <w:sz w:val="28"/>
          <w:szCs w:val="28"/>
        </w:rPr>
        <w:t>Anheuser</w:t>
      </w:r>
      <w:proofErr w:type="spellEnd"/>
      <w:r w:rsidR="00516EE0" w:rsidRPr="002C7537">
        <w:rPr>
          <w:rFonts w:ascii="Times New Roman" w:hAnsi="Times New Roman" w:cs="Times New Roman"/>
          <w:color w:val="auto"/>
          <w:sz w:val="28"/>
          <w:szCs w:val="28"/>
        </w:rPr>
        <w:t xml:space="preserve"> </w:t>
      </w:r>
      <w:proofErr w:type="spellStart"/>
      <w:r w:rsidR="00516EE0" w:rsidRPr="002C7537">
        <w:rPr>
          <w:rFonts w:ascii="Times New Roman" w:hAnsi="Times New Roman" w:cs="Times New Roman"/>
          <w:color w:val="auto"/>
          <w:sz w:val="28"/>
          <w:szCs w:val="28"/>
        </w:rPr>
        <w:t>Busch</w:t>
      </w:r>
      <w:proofErr w:type="spellEnd"/>
      <w:r w:rsidR="00516EE0" w:rsidRPr="002C7537">
        <w:rPr>
          <w:rFonts w:ascii="Times New Roman" w:hAnsi="Times New Roman" w:cs="Times New Roman"/>
          <w:color w:val="auto"/>
          <w:sz w:val="28"/>
          <w:szCs w:val="28"/>
        </w:rPr>
        <w:t xml:space="preserve"> </w:t>
      </w:r>
      <w:proofErr w:type="spellStart"/>
      <w:r w:rsidR="00516EE0" w:rsidRPr="002C7537">
        <w:rPr>
          <w:rFonts w:ascii="Times New Roman" w:hAnsi="Times New Roman" w:cs="Times New Roman"/>
          <w:color w:val="auto"/>
          <w:sz w:val="28"/>
          <w:szCs w:val="28"/>
        </w:rPr>
        <w:t>In-Bev</w:t>
      </w:r>
      <w:bookmarkEnd w:id="21"/>
      <w:proofErr w:type="spellEnd"/>
    </w:p>
    <w:p w:rsidR="00516EE0"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Бельгийская компания </w:t>
      </w:r>
      <w:r>
        <w:rPr>
          <w:rFonts w:ascii="Times New Roman" w:hAnsi="Times New Roman"/>
          <w:sz w:val="28"/>
          <w:szCs w:val="28"/>
          <w:lang w:val="en-US"/>
        </w:rPr>
        <w:t>Anheuser</w:t>
      </w:r>
      <w:r w:rsidRPr="00D07FD8">
        <w:rPr>
          <w:rFonts w:ascii="Times New Roman" w:hAnsi="Times New Roman"/>
          <w:sz w:val="28"/>
          <w:szCs w:val="28"/>
        </w:rPr>
        <w:t xml:space="preserve"> </w:t>
      </w:r>
      <w:r>
        <w:rPr>
          <w:rFonts w:ascii="Times New Roman" w:hAnsi="Times New Roman"/>
          <w:sz w:val="28"/>
          <w:szCs w:val="28"/>
          <w:lang w:val="en-US"/>
        </w:rPr>
        <w:t>Busch</w:t>
      </w:r>
      <w:r w:rsidRPr="00D07FD8">
        <w:rPr>
          <w:rFonts w:ascii="Times New Roman" w:hAnsi="Times New Roman"/>
          <w:sz w:val="28"/>
          <w:szCs w:val="28"/>
        </w:rPr>
        <w:t xml:space="preserve"> </w:t>
      </w:r>
      <w:r>
        <w:rPr>
          <w:rFonts w:ascii="Times New Roman" w:hAnsi="Times New Roman"/>
          <w:sz w:val="28"/>
          <w:szCs w:val="28"/>
          <w:lang w:val="en-US"/>
        </w:rPr>
        <w:t>In</w:t>
      </w:r>
      <w:r w:rsidRPr="00D07FD8">
        <w:rPr>
          <w:rFonts w:ascii="Times New Roman" w:hAnsi="Times New Roman"/>
          <w:sz w:val="28"/>
          <w:szCs w:val="28"/>
        </w:rPr>
        <w:t>-</w:t>
      </w:r>
      <w:r>
        <w:rPr>
          <w:rFonts w:ascii="Times New Roman" w:hAnsi="Times New Roman"/>
          <w:sz w:val="28"/>
          <w:szCs w:val="28"/>
          <w:lang w:val="en-US"/>
        </w:rPr>
        <w:t>Bev</w:t>
      </w:r>
      <w:r w:rsidRPr="00D07FD8">
        <w:rPr>
          <w:rFonts w:ascii="Times New Roman" w:hAnsi="Times New Roman"/>
          <w:sz w:val="28"/>
          <w:szCs w:val="28"/>
        </w:rPr>
        <w:t xml:space="preserve"> </w:t>
      </w:r>
      <w:r>
        <w:rPr>
          <w:rFonts w:ascii="Times New Roman" w:hAnsi="Times New Roman"/>
          <w:sz w:val="28"/>
          <w:szCs w:val="28"/>
        </w:rPr>
        <w:t xml:space="preserve">является лидером рынка пивоваренной продукции. Портфолио компании включает такие известные бренды как </w:t>
      </w:r>
      <w:r w:rsidRPr="00D07FD8">
        <w:rPr>
          <w:rFonts w:ascii="Times New Roman" w:hAnsi="Times New Roman"/>
          <w:sz w:val="28"/>
          <w:szCs w:val="28"/>
        </w:rPr>
        <w:t>Budweiser, Stella</w:t>
      </w:r>
      <w:r>
        <w:rPr>
          <w:rFonts w:ascii="Times New Roman" w:hAnsi="Times New Roman"/>
          <w:sz w:val="28"/>
          <w:szCs w:val="28"/>
        </w:rPr>
        <w:t xml:space="preserve"> Artois, Beck’s и</w:t>
      </w:r>
      <w:r w:rsidRPr="00D07FD8">
        <w:rPr>
          <w:rFonts w:ascii="Times New Roman" w:hAnsi="Times New Roman"/>
          <w:sz w:val="28"/>
          <w:szCs w:val="28"/>
        </w:rPr>
        <w:t xml:space="preserve"> Leffe</w:t>
      </w:r>
      <w:r>
        <w:rPr>
          <w:rFonts w:ascii="Times New Roman" w:hAnsi="Times New Roman"/>
          <w:sz w:val="28"/>
          <w:szCs w:val="28"/>
        </w:rPr>
        <w:t xml:space="preserve">. </w:t>
      </w:r>
      <w:r>
        <w:rPr>
          <w:rFonts w:ascii="Times New Roman" w:hAnsi="Times New Roman"/>
          <w:sz w:val="28"/>
          <w:szCs w:val="28"/>
          <w:lang w:val="en-US"/>
        </w:rPr>
        <w:t>Anheuser</w:t>
      </w:r>
      <w:r w:rsidRPr="00D07FD8">
        <w:rPr>
          <w:rFonts w:ascii="Times New Roman" w:hAnsi="Times New Roman"/>
          <w:sz w:val="28"/>
          <w:szCs w:val="28"/>
        </w:rPr>
        <w:t xml:space="preserve"> </w:t>
      </w:r>
      <w:r>
        <w:rPr>
          <w:rFonts w:ascii="Times New Roman" w:hAnsi="Times New Roman"/>
          <w:sz w:val="28"/>
          <w:szCs w:val="28"/>
          <w:lang w:val="en-US"/>
        </w:rPr>
        <w:t>Busch</w:t>
      </w:r>
      <w:r w:rsidRPr="00D07FD8">
        <w:rPr>
          <w:rFonts w:ascii="Times New Roman" w:hAnsi="Times New Roman"/>
          <w:sz w:val="28"/>
          <w:szCs w:val="28"/>
        </w:rPr>
        <w:t xml:space="preserve"> </w:t>
      </w:r>
      <w:r>
        <w:rPr>
          <w:rFonts w:ascii="Times New Roman" w:hAnsi="Times New Roman"/>
          <w:sz w:val="28"/>
          <w:szCs w:val="28"/>
          <w:lang w:val="en-US"/>
        </w:rPr>
        <w:t>In</w:t>
      </w:r>
      <w:r w:rsidRPr="00D07FD8">
        <w:rPr>
          <w:rFonts w:ascii="Times New Roman" w:hAnsi="Times New Roman"/>
          <w:sz w:val="28"/>
          <w:szCs w:val="28"/>
        </w:rPr>
        <w:t>-</w:t>
      </w:r>
      <w:r>
        <w:rPr>
          <w:rFonts w:ascii="Times New Roman" w:hAnsi="Times New Roman"/>
          <w:sz w:val="28"/>
          <w:szCs w:val="28"/>
          <w:lang w:val="en-US"/>
        </w:rPr>
        <w:t>Bev</w:t>
      </w:r>
      <w:r w:rsidRPr="00D07FD8">
        <w:rPr>
          <w:rFonts w:ascii="Times New Roman" w:hAnsi="Times New Roman"/>
          <w:sz w:val="28"/>
          <w:szCs w:val="28"/>
        </w:rPr>
        <w:t xml:space="preserve"> </w:t>
      </w:r>
      <w:r>
        <w:rPr>
          <w:rFonts w:ascii="Times New Roman" w:hAnsi="Times New Roman"/>
          <w:sz w:val="28"/>
          <w:szCs w:val="28"/>
        </w:rPr>
        <w:t>осуществляет свою операционную деятельность в странах Северной и Южной Америки, Европы, а также Азиатско-тихоокеанского региона. По состоянию на начало 2012 г. в компании работает 116 278 сотрудников</w:t>
      </w:r>
      <w:r>
        <w:rPr>
          <w:rStyle w:val="a5"/>
          <w:rFonts w:ascii="Times New Roman" w:hAnsi="Times New Roman"/>
          <w:sz w:val="28"/>
          <w:szCs w:val="28"/>
        </w:rPr>
        <w:footnoteReference w:id="13"/>
      </w:r>
      <w:r>
        <w:rPr>
          <w:rFonts w:ascii="Times New Roman" w:hAnsi="Times New Roman"/>
          <w:sz w:val="28"/>
          <w:szCs w:val="28"/>
        </w:rPr>
        <w:t xml:space="preserve">. </w:t>
      </w:r>
    </w:p>
    <w:p w:rsidR="00516EE0"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В 2011 финансовом году выручка компании составила 39 046 млн. долл., что на 7,6% превысило уровень 2010 г. Рост выручки происходил в основном за счет увеличения продаж в Китае, Бразилии и Аргентине, а также за счет глобальной управленческой стратегии, направленной на улучшение показателей прибылей. Операционная прибыль (</w:t>
      </w:r>
      <w:r>
        <w:rPr>
          <w:rFonts w:ascii="Times New Roman" w:hAnsi="Times New Roman"/>
          <w:sz w:val="28"/>
          <w:szCs w:val="28"/>
          <w:lang w:val="en-US"/>
        </w:rPr>
        <w:t>EBIT</w:t>
      </w:r>
      <w:r w:rsidRPr="001E5E30">
        <w:rPr>
          <w:rFonts w:ascii="Times New Roman" w:hAnsi="Times New Roman"/>
          <w:sz w:val="28"/>
          <w:szCs w:val="28"/>
        </w:rPr>
        <w:t xml:space="preserve">) </w:t>
      </w:r>
      <w:r>
        <w:rPr>
          <w:rFonts w:ascii="Times New Roman" w:hAnsi="Times New Roman"/>
          <w:sz w:val="28"/>
          <w:szCs w:val="28"/>
        </w:rPr>
        <w:t xml:space="preserve">в 2011 г. составила 12 329 млн. долл. – рост на 13,1% по сравнению с предыдущим годом. Чистая прибыль компании составила 5 855 млн. долл. – увеличение показателя на </w:t>
      </w:r>
      <w:r w:rsidRPr="00516EE0">
        <w:rPr>
          <w:rFonts w:ascii="Times New Roman" w:hAnsi="Times New Roman"/>
          <w:sz w:val="28"/>
          <w:szCs w:val="28"/>
        </w:rPr>
        <w:t>45,4%</w:t>
      </w:r>
      <w:r>
        <w:rPr>
          <w:rFonts w:ascii="Times New Roman" w:hAnsi="Times New Roman"/>
          <w:sz w:val="28"/>
          <w:szCs w:val="28"/>
        </w:rPr>
        <w:t xml:space="preserve"> в сравнении с 2010 г. </w:t>
      </w:r>
    </w:p>
    <w:p w:rsidR="00516EE0"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Компания </w:t>
      </w:r>
      <w:r>
        <w:rPr>
          <w:rFonts w:ascii="Times New Roman" w:hAnsi="Times New Roman"/>
          <w:sz w:val="28"/>
          <w:szCs w:val="28"/>
          <w:lang w:val="en-US"/>
        </w:rPr>
        <w:t>Anheuser</w:t>
      </w:r>
      <w:r w:rsidRPr="00990985">
        <w:rPr>
          <w:rFonts w:ascii="Times New Roman" w:hAnsi="Times New Roman"/>
          <w:sz w:val="28"/>
          <w:szCs w:val="28"/>
        </w:rPr>
        <w:t xml:space="preserve"> </w:t>
      </w:r>
      <w:r>
        <w:rPr>
          <w:rFonts w:ascii="Times New Roman" w:hAnsi="Times New Roman"/>
          <w:sz w:val="28"/>
          <w:szCs w:val="28"/>
          <w:lang w:val="en-US"/>
        </w:rPr>
        <w:t>Busch</w:t>
      </w:r>
      <w:r w:rsidRPr="00990985">
        <w:rPr>
          <w:rFonts w:ascii="Times New Roman" w:hAnsi="Times New Roman"/>
          <w:sz w:val="28"/>
          <w:szCs w:val="28"/>
        </w:rPr>
        <w:t xml:space="preserve"> </w:t>
      </w:r>
      <w:r>
        <w:rPr>
          <w:rFonts w:ascii="Times New Roman" w:hAnsi="Times New Roman"/>
          <w:sz w:val="28"/>
          <w:szCs w:val="28"/>
          <w:lang w:val="en-US"/>
        </w:rPr>
        <w:t>In</w:t>
      </w:r>
      <w:r w:rsidRPr="00990985">
        <w:rPr>
          <w:rFonts w:ascii="Times New Roman" w:hAnsi="Times New Roman"/>
          <w:sz w:val="28"/>
          <w:szCs w:val="28"/>
        </w:rPr>
        <w:t>-</w:t>
      </w:r>
      <w:r>
        <w:rPr>
          <w:rFonts w:ascii="Times New Roman" w:hAnsi="Times New Roman"/>
          <w:sz w:val="28"/>
          <w:szCs w:val="28"/>
          <w:lang w:val="en-US"/>
        </w:rPr>
        <w:t>Bev</w:t>
      </w:r>
      <w:r w:rsidRPr="00990985">
        <w:rPr>
          <w:rFonts w:ascii="Times New Roman" w:hAnsi="Times New Roman"/>
          <w:sz w:val="28"/>
          <w:szCs w:val="28"/>
        </w:rPr>
        <w:t xml:space="preserve"> </w:t>
      </w:r>
      <w:r>
        <w:rPr>
          <w:rFonts w:ascii="Times New Roman" w:hAnsi="Times New Roman"/>
          <w:sz w:val="28"/>
          <w:szCs w:val="28"/>
        </w:rPr>
        <w:t xml:space="preserve">функционирует в 23 странах и обладает </w:t>
      </w:r>
      <w:proofErr w:type="gramStart"/>
      <w:r>
        <w:rPr>
          <w:rFonts w:ascii="Times New Roman" w:hAnsi="Times New Roman"/>
          <w:sz w:val="28"/>
          <w:szCs w:val="28"/>
        </w:rPr>
        <w:t>широким</w:t>
      </w:r>
      <w:proofErr w:type="gramEnd"/>
      <w:r>
        <w:rPr>
          <w:rFonts w:ascii="Times New Roman" w:hAnsi="Times New Roman"/>
          <w:sz w:val="28"/>
          <w:szCs w:val="28"/>
        </w:rPr>
        <w:t xml:space="preserve"> портфолио, которое включает в себя мировые флагманские бренды как </w:t>
      </w:r>
      <w:r w:rsidRPr="00990985">
        <w:rPr>
          <w:rFonts w:ascii="Times New Roman" w:hAnsi="Times New Roman"/>
          <w:sz w:val="28"/>
          <w:szCs w:val="28"/>
        </w:rPr>
        <w:t>Budweiser,</w:t>
      </w:r>
      <w:r>
        <w:rPr>
          <w:rFonts w:ascii="Times New Roman" w:hAnsi="Times New Roman"/>
          <w:sz w:val="28"/>
          <w:szCs w:val="28"/>
        </w:rPr>
        <w:t xml:space="preserve"> </w:t>
      </w:r>
      <w:r w:rsidRPr="00990985">
        <w:rPr>
          <w:rFonts w:ascii="Times New Roman" w:hAnsi="Times New Roman"/>
          <w:sz w:val="28"/>
          <w:szCs w:val="28"/>
        </w:rPr>
        <w:t xml:space="preserve">Stella Artois </w:t>
      </w:r>
      <w:r>
        <w:rPr>
          <w:rFonts w:ascii="Times New Roman" w:hAnsi="Times New Roman"/>
          <w:sz w:val="28"/>
          <w:szCs w:val="28"/>
        </w:rPr>
        <w:t>и</w:t>
      </w:r>
      <w:r w:rsidRPr="00990985">
        <w:rPr>
          <w:rFonts w:ascii="Times New Roman" w:hAnsi="Times New Roman"/>
          <w:sz w:val="28"/>
          <w:szCs w:val="28"/>
        </w:rPr>
        <w:t xml:space="preserve"> Beck's</w:t>
      </w:r>
      <w:r>
        <w:rPr>
          <w:rFonts w:ascii="Times New Roman" w:hAnsi="Times New Roman"/>
          <w:sz w:val="28"/>
          <w:szCs w:val="28"/>
        </w:rPr>
        <w:t xml:space="preserve">, а также мультинациональные бренды как </w:t>
      </w:r>
      <w:r w:rsidRPr="00990985">
        <w:rPr>
          <w:rFonts w:ascii="Times New Roman" w:hAnsi="Times New Roman"/>
          <w:sz w:val="28"/>
          <w:szCs w:val="28"/>
        </w:rPr>
        <w:t xml:space="preserve">Leffe </w:t>
      </w:r>
      <w:r>
        <w:rPr>
          <w:rFonts w:ascii="Times New Roman" w:hAnsi="Times New Roman"/>
          <w:sz w:val="28"/>
          <w:szCs w:val="28"/>
        </w:rPr>
        <w:t>и</w:t>
      </w:r>
      <w:r w:rsidRPr="00990985">
        <w:rPr>
          <w:rFonts w:ascii="Times New Roman" w:hAnsi="Times New Roman"/>
          <w:sz w:val="28"/>
          <w:szCs w:val="28"/>
        </w:rPr>
        <w:t xml:space="preserve"> Hoegaarden</w:t>
      </w:r>
      <w:r>
        <w:rPr>
          <w:rFonts w:ascii="Times New Roman" w:hAnsi="Times New Roman"/>
          <w:sz w:val="28"/>
          <w:szCs w:val="28"/>
        </w:rPr>
        <w:t>. Кроме этого, компания производит локальные бренды</w:t>
      </w:r>
      <w:r w:rsidR="00FD3F6D">
        <w:rPr>
          <w:rFonts w:ascii="Times New Roman" w:hAnsi="Times New Roman"/>
          <w:sz w:val="28"/>
          <w:szCs w:val="28"/>
        </w:rPr>
        <w:t>,</w:t>
      </w:r>
      <w:r>
        <w:rPr>
          <w:rFonts w:ascii="Times New Roman" w:hAnsi="Times New Roman"/>
          <w:sz w:val="28"/>
          <w:szCs w:val="28"/>
        </w:rPr>
        <w:t xml:space="preserve">  такие как </w:t>
      </w:r>
      <w:proofErr w:type="spellStart"/>
      <w:r w:rsidRPr="00990985">
        <w:rPr>
          <w:rFonts w:ascii="Times New Roman" w:hAnsi="Times New Roman"/>
          <w:sz w:val="28"/>
          <w:szCs w:val="28"/>
        </w:rPr>
        <w:t>Bud</w:t>
      </w:r>
      <w:proofErr w:type="spellEnd"/>
      <w:r w:rsidRPr="00990985">
        <w:rPr>
          <w:rFonts w:ascii="Times New Roman" w:hAnsi="Times New Roman"/>
          <w:sz w:val="28"/>
          <w:szCs w:val="28"/>
        </w:rPr>
        <w:t xml:space="preserve"> </w:t>
      </w:r>
      <w:proofErr w:type="spellStart"/>
      <w:r w:rsidRPr="00990985">
        <w:rPr>
          <w:rFonts w:ascii="Times New Roman" w:hAnsi="Times New Roman"/>
          <w:sz w:val="28"/>
          <w:szCs w:val="28"/>
        </w:rPr>
        <w:t>Light</w:t>
      </w:r>
      <w:proofErr w:type="spellEnd"/>
      <w:r w:rsidRPr="00990985">
        <w:rPr>
          <w:rFonts w:ascii="Times New Roman" w:hAnsi="Times New Roman"/>
          <w:sz w:val="28"/>
          <w:szCs w:val="28"/>
        </w:rPr>
        <w:t xml:space="preserve">, </w:t>
      </w:r>
      <w:proofErr w:type="spellStart"/>
      <w:r w:rsidRPr="00990985">
        <w:rPr>
          <w:rFonts w:ascii="Times New Roman" w:hAnsi="Times New Roman"/>
          <w:sz w:val="28"/>
          <w:szCs w:val="28"/>
        </w:rPr>
        <w:t>Michelob</w:t>
      </w:r>
      <w:proofErr w:type="spellEnd"/>
      <w:r w:rsidRPr="00990985">
        <w:rPr>
          <w:rFonts w:ascii="Times New Roman" w:hAnsi="Times New Roman"/>
          <w:sz w:val="28"/>
          <w:szCs w:val="28"/>
        </w:rPr>
        <w:t xml:space="preserve">, </w:t>
      </w:r>
      <w:proofErr w:type="spellStart"/>
      <w:r w:rsidRPr="00990985">
        <w:rPr>
          <w:rFonts w:ascii="Times New Roman" w:hAnsi="Times New Roman"/>
          <w:sz w:val="28"/>
          <w:szCs w:val="28"/>
        </w:rPr>
        <w:t>Skol</w:t>
      </w:r>
      <w:proofErr w:type="spellEnd"/>
      <w:r w:rsidRPr="00990985">
        <w:rPr>
          <w:rFonts w:ascii="Times New Roman" w:hAnsi="Times New Roman"/>
          <w:sz w:val="28"/>
          <w:szCs w:val="28"/>
        </w:rPr>
        <w:t xml:space="preserve">, </w:t>
      </w:r>
      <w:proofErr w:type="spellStart"/>
      <w:r w:rsidRPr="00990985">
        <w:rPr>
          <w:rFonts w:ascii="Times New Roman" w:hAnsi="Times New Roman"/>
          <w:sz w:val="28"/>
          <w:szCs w:val="28"/>
        </w:rPr>
        <w:t>Brahma</w:t>
      </w:r>
      <w:proofErr w:type="spellEnd"/>
      <w:r w:rsidRPr="00990985">
        <w:rPr>
          <w:rFonts w:ascii="Times New Roman" w:hAnsi="Times New Roman"/>
          <w:sz w:val="28"/>
          <w:szCs w:val="28"/>
        </w:rPr>
        <w:t xml:space="preserve">, </w:t>
      </w:r>
      <w:proofErr w:type="spellStart"/>
      <w:r w:rsidRPr="00990985">
        <w:rPr>
          <w:rFonts w:ascii="Times New Roman" w:hAnsi="Times New Roman"/>
          <w:sz w:val="28"/>
          <w:szCs w:val="28"/>
        </w:rPr>
        <w:t>Antarctica</w:t>
      </w:r>
      <w:proofErr w:type="spellEnd"/>
      <w:r w:rsidRPr="00990985">
        <w:rPr>
          <w:rFonts w:ascii="Times New Roman" w:hAnsi="Times New Roman"/>
          <w:sz w:val="28"/>
          <w:szCs w:val="28"/>
        </w:rPr>
        <w:t xml:space="preserve">, </w:t>
      </w:r>
      <w:r w:rsidRPr="00990985">
        <w:rPr>
          <w:rFonts w:ascii="Times New Roman" w:hAnsi="Times New Roman"/>
          <w:sz w:val="28"/>
          <w:szCs w:val="28"/>
          <w:lang w:val="en-US"/>
        </w:rPr>
        <w:t>Quilmes</w:t>
      </w:r>
      <w:r w:rsidRPr="00990985">
        <w:rPr>
          <w:rFonts w:ascii="Times New Roman" w:hAnsi="Times New Roman"/>
          <w:sz w:val="28"/>
          <w:szCs w:val="28"/>
        </w:rPr>
        <w:t xml:space="preserve">, </w:t>
      </w:r>
      <w:proofErr w:type="spellStart"/>
      <w:r w:rsidRPr="00990985">
        <w:rPr>
          <w:rFonts w:ascii="Times New Roman" w:hAnsi="Times New Roman"/>
          <w:sz w:val="28"/>
          <w:szCs w:val="28"/>
          <w:lang w:val="en-US"/>
        </w:rPr>
        <w:t>Jupiler</w:t>
      </w:r>
      <w:proofErr w:type="spellEnd"/>
      <w:r w:rsidRPr="00990985">
        <w:rPr>
          <w:rFonts w:ascii="Times New Roman" w:hAnsi="Times New Roman"/>
          <w:sz w:val="28"/>
          <w:szCs w:val="28"/>
        </w:rPr>
        <w:t xml:space="preserve">, </w:t>
      </w:r>
      <w:proofErr w:type="spellStart"/>
      <w:r w:rsidRPr="00990985">
        <w:rPr>
          <w:rFonts w:ascii="Times New Roman" w:hAnsi="Times New Roman"/>
          <w:sz w:val="28"/>
          <w:szCs w:val="28"/>
          <w:lang w:val="en-US"/>
        </w:rPr>
        <w:t>Hasseroder</w:t>
      </w:r>
      <w:proofErr w:type="spellEnd"/>
      <w:r w:rsidRPr="00990985">
        <w:rPr>
          <w:rFonts w:ascii="Times New Roman" w:hAnsi="Times New Roman"/>
          <w:sz w:val="28"/>
          <w:szCs w:val="28"/>
        </w:rPr>
        <w:t xml:space="preserve">, </w:t>
      </w:r>
      <w:proofErr w:type="gramStart"/>
      <w:r>
        <w:rPr>
          <w:rFonts w:ascii="Times New Roman" w:hAnsi="Times New Roman"/>
          <w:sz w:val="28"/>
          <w:szCs w:val="28"/>
        </w:rPr>
        <w:t>Клинское</w:t>
      </w:r>
      <w:proofErr w:type="gramEnd"/>
      <w:r w:rsidRPr="00990985">
        <w:rPr>
          <w:rFonts w:ascii="Times New Roman" w:hAnsi="Times New Roman"/>
          <w:sz w:val="28"/>
          <w:szCs w:val="28"/>
        </w:rPr>
        <w:t xml:space="preserve">, </w:t>
      </w:r>
      <w:r>
        <w:rPr>
          <w:rFonts w:ascii="Times New Roman" w:hAnsi="Times New Roman"/>
          <w:sz w:val="28"/>
          <w:szCs w:val="28"/>
        </w:rPr>
        <w:t>Сибирская корона</w:t>
      </w:r>
      <w:r w:rsidRPr="00990985">
        <w:rPr>
          <w:rFonts w:ascii="Times New Roman" w:hAnsi="Times New Roman"/>
          <w:sz w:val="28"/>
          <w:szCs w:val="28"/>
        </w:rPr>
        <w:t xml:space="preserve">, </w:t>
      </w:r>
      <w:r w:rsidR="005E2868">
        <w:rPr>
          <w:rFonts w:ascii="Times New Roman" w:hAnsi="Times New Roman"/>
          <w:sz w:val="28"/>
          <w:szCs w:val="28"/>
        </w:rPr>
        <w:t>Черниговск</w:t>
      </w:r>
      <w:r w:rsidR="000F6825">
        <w:rPr>
          <w:rFonts w:ascii="Times New Roman" w:hAnsi="Times New Roman"/>
          <w:sz w:val="28"/>
          <w:szCs w:val="28"/>
        </w:rPr>
        <w:t>о</w:t>
      </w:r>
      <w:r w:rsidR="005E2868">
        <w:rPr>
          <w:rFonts w:ascii="Times New Roman" w:hAnsi="Times New Roman"/>
          <w:sz w:val="28"/>
          <w:szCs w:val="28"/>
        </w:rPr>
        <w:t>е</w:t>
      </w:r>
      <w:r w:rsidRPr="00990985">
        <w:rPr>
          <w:rFonts w:ascii="Times New Roman" w:hAnsi="Times New Roman"/>
          <w:sz w:val="28"/>
          <w:szCs w:val="28"/>
        </w:rPr>
        <w:t xml:space="preserve">, </w:t>
      </w:r>
      <w:r w:rsidRPr="00990985">
        <w:rPr>
          <w:rFonts w:ascii="Times New Roman" w:hAnsi="Times New Roman"/>
          <w:sz w:val="28"/>
          <w:szCs w:val="28"/>
          <w:lang w:val="en-US"/>
        </w:rPr>
        <w:t>Harbin</w:t>
      </w:r>
      <w:r w:rsidRPr="00990985">
        <w:rPr>
          <w:rFonts w:ascii="Times New Roman" w:hAnsi="Times New Roman"/>
          <w:sz w:val="28"/>
          <w:szCs w:val="28"/>
        </w:rPr>
        <w:t xml:space="preserve"> </w:t>
      </w:r>
      <w:r>
        <w:rPr>
          <w:rFonts w:ascii="Times New Roman" w:hAnsi="Times New Roman"/>
          <w:sz w:val="28"/>
          <w:szCs w:val="28"/>
        </w:rPr>
        <w:t>и</w:t>
      </w:r>
      <w:r w:rsidRPr="00990985">
        <w:rPr>
          <w:rFonts w:ascii="Times New Roman" w:hAnsi="Times New Roman"/>
          <w:sz w:val="28"/>
          <w:szCs w:val="28"/>
        </w:rPr>
        <w:t xml:space="preserve"> </w:t>
      </w:r>
      <w:r w:rsidRPr="00990985">
        <w:rPr>
          <w:rFonts w:ascii="Times New Roman" w:hAnsi="Times New Roman"/>
          <w:sz w:val="28"/>
          <w:szCs w:val="28"/>
          <w:lang w:val="en-US"/>
        </w:rPr>
        <w:t>Sedrin</w:t>
      </w:r>
      <w:r>
        <w:rPr>
          <w:rFonts w:ascii="Times New Roman" w:hAnsi="Times New Roman"/>
          <w:sz w:val="28"/>
          <w:szCs w:val="28"/>
        </w:rPr>
        <w:t xml:space="preserve">. Также </w:t>
      </w:r>
      <w:r>
        <w:rPr>
          <w:rFonts w:ascii="Times New Roman" w:hAnsi="Times New Roman"/>
          <w:sz w:val="28"/>
          <w:szCs w:val="28"/>
          <w:lang w:val="en-US"/>
        </w:rPr>
        <w:t>Anheuser</w:t>
      </w:r>
      <w:r w:rsidRPr="00F06DD1">
        <w:rPr>
          <w:rFonts w:ascii="Times New Roman" w:hAnsi="Times New Roman"/>
          <w:sz w:val="28"/>
          <w:szCs w:val="28"/>
        </w:rPr>
        <w:t xml:space="preserve"> </w:t>
      </w:r>
      <w:r>
        <w:rPr>
          <w:rFonts w:ascii="Times New Roman" w:hAnsi="Times New Roman"/>
          <w:sz w:val="28"/>
          <w:szCs w:val="28"/>
          <w:lang w:val="en-US"/>
        </w:rPr>
        <w:t>Busch</w:t>
      </w:r>
      <w:r w:rsidRPr="00F06DD1">
        <w:rPr>
          <w:rFonts w:ascii="Times New Roman" w:hAnsi="Times New Roman"/>
          <w:sz w:val="28"/>
          <w:szCs w:val="28"/>
        </w:rPr>
        <w:t xml:space="preserve"> </w:t>
      </w:r>
      <w:r>
        <w:rPr>
          <w:rFonts w:ascii="Times New Roman" w:hAnsi="Times New Roman"/>
          <w:sz w:val="28"/>
          <w:szCs w:val="28"/>
          <w:lang w:val="en-US"/>
        </w:rPr>
        <w:t>In</w:t>
      </w:r>
      <w:r w:rsidR="00FD3F6D">
        <w:rPr>
          <w:rFonts w:ascii="Times New Roman" w:hAnsi="Times New Roman"/>
          <w:sz w:val="28"/>
          <w:szCs w:val="28"/>
        </w:rPr>
        <w:t>-</w:t>
      </w:r>
      <w:r>
        <w:rPr>
          <w:rFonts w:ascii="Times New Roman" w:hAnsi="Times New Roman"/>
          <w:sz w:val="28"/>
          <w:szCs w:val="28"/>
          <w:lang w:val="en-US"/>
        </w:rPr>
        <w:t>Bev</w:t>
      </w:r>
      <w:r w:rsidRPr="00F06DD1">
        <w:rPr>
          <w:rFonts w:ascii="Times New Roman" w:hAnsi="Times New Roman"/>
          <w:sz w:val="28"/>
          <w:szCs w:val="28"/>
        </w:rPr>
        <w:t xml:space="preserve"> </w:t>
      </w:r>
      <w:r>
        <w:rPr>
          <w:rFonts w:ascii="Times New Roman" w:hAnsi="Times New Roman"/>
          <w:sz w:val="28"/>
          <w:szCs w:val="28"/>
        </w:rPr>
        <w:t xml:space="preserve">занимается производством и дистрибуцией безалкогольных напитков, преимущественно в странах Латинской Америки. По состоянию на начало 2012 г. компания является владельцем 137 производственных мощностей, 108 из которых являются пивоваренными заводами, 12 производят безалкогольные напитки и 17 заводов, которые производят как пиво, так и безалкогольные напитки. Более того, компания владеет 39 заводами, которые производят сырье и упаковочные материалы для собственных пивоварен. </w:t>
      </w:r>
    </w:p>
    <w:p w:rsidR="00516EE0" w:rsidRPr="007B4315"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Деятельность компании </w:t>
      </w:r>
      <w:r>
        <w:rPr>
          <w:rFonts w:ascii="Times New Roman" w:hAnsi="Times New Roman"/>
          <w:sz w:val="28"/>
          <w:szCs w:val="28"/>
          <w:lang w:val="en-US"/>
        </w:rPr>
        <w:t>Anheuser</w:t>
      </w:r>
      <w:r w:rsidRPr="009E47DB">
        <w:rPr>
          <w:rFonts w:ascii="Times New Roman" w:hAnsi="Times New Roman"/>
          <w:sz w:val="28"/>
          <w:szCs w:val="28"/>
        </w:rPr>
        <w:t xml:space="preserve"> </w:t>
      </w:r>
      <w:r>
        <w:rPr>
          <w:rFonts w:ascii="Times New Roman" w:hAnsi="Times New Roman"/>
          <w:sz w:val="28"/>
          <w:szCs w:val="28"/>
          <w:lang w:val="en-US"/>
        </w:rPr>
        <w:t>Busch</w:t>
      </w:r>
      <w:r w:rsidRPr="009E47DB">
        <w:rPr>
          <w:rFonts w:ascii="Times New Roman" w:hAnsi="Times New Roman"/>
          <w:sz w:val="28"/>
          <w:szCs w:val="28"/>
        </w:rPr>
        <w:t xml:space="preserve"> </w:t>
      </w:r>
      <w:r>
        <w:rPr>
          <w:rFonts w:ascii="Times New Roman" w:hAnsi="Times New Roman"/>
          <w:sz w:val="28"/>
          <w:szCs w:val="28"/>
          <w:lang w:val="en-US"/>
        </w:rPr>
        <w:t>In</w:t>
      </w:r>
      <w:r w:rsidRPr="009E47DB">
        <w:rPr>
          <w:rFonts w:ascii="Times New Roman" w:hAnsi="Times New Roman"/>
          <w:sz w:val="28"/>
          <w:szCs w:val="28"/>
        </w:rPr>
        <w:t>-</w:t>
      </w:r>
      <w:r>
        <w:rPr>
          <w:rFonts w:ascii="Times New Roman" w:hAnsi="Times New Roman"/>
          <w:sz w:val="28"/>
          <w:szCs w:val="28"/>
          <w:lang w:val="en-US"/>
        </w:rPr>
        <w:t>Bev</w:t>
      </w:r>
      <w:r w:rsidRPr="009E47DB">
        <w:rPr>
          <w:rFonts w:ascii="Times New Roman" w:hAnsi="Times New Roman"/>
          <w:sz w:val="28"/>
          <w:szCs w:val="28"/>
        </w:rPr>
        <w:t xml:space="preserve"> </w:t>
      </w:r>
      <w:r>
        <w:rPr>
          <w:rFonts w:ascii="Times New Roman" w:hAnsi="Times New Roman"/>
          <w:sz w:val="28"/>
          <w:szCs w:val="28"/>
        </w:rPr>
        <w:t xml:space="preserve">распространяется на 6 бизнес сегментов – страны Северной и Латинской Америки, Центральной, Восточной и Западной Европы, а также Азиатско-Тихоокеанского региона. Наибольший процент выручки приносит регион Северной Америки (39,2 % в 2011 г.). Латинская Америка занимает 2-е место – 37,4%; Западная Европа находится на 3-ем месте с долей 10,1% в общей выручке. Страны Азиатско-Тихоокеанского региона составляют 5,9% продаж, а страны Центральной и Восточной Европы 4,5%. Мировой экспорт и </w:t>
      </w:r>
      <w:r w:rsidRPr="002D12D6">
        <w:rPr>
          <w:rFonts w:ascii="Times New Roman" w:hAnsi="Times New Roman"/>
          <w:sz w:val="28"/>
          <w:szCs w:val="28"/>
        </w:rPr>
        <w:t>филиалы</w:t>
      </w:r>
      <w:r>
        <w:rPr>
          <w:rFonts w:ascii="Times New Roman" w:hAnsi="Times New Roman"/>
          <w:b/>
          <w:color w:val="FF0000"/>
          <w:sz w:val="28"/>
          <w:szCs w:val="28"/>
        </w:rPr>
        <w:t xml:space="preserve"> </w:t>
      </w:r>
      <w:r>
        <w:rPr>
          <w:rFonts w:ascii="Times New Roman" w:hAnsi="Times New Roman"/>
          <w:sz w:val="28"/>
          <w:szCs w:val="28"/>
        </w:rPr>
        <w:t>компании приносят  3,8% выручки</w:t>
      </w:r>
      <w:r>
        <w:rPr>
          <w:rStyle w:val="a5"/>
          <w:rFonts w:ascii="Times New Roman" w:hAnsi="Times New Roman"/>
          <w:sz w:val="28"/>
          <w:szCs w:val="28"/>
        </w:rPr>
        <w:footnoteReference w:id="14"/>
      </w:r>
      <w:r>
        <w:rPr>
          <w:rFonts w:ascii="Times New Roman" w:hAnsi="Times New Roman"/>
          <w:sz w:val="28"/>
          <w:szCs w:val="28"/>
        </w:rPr>
        <w:t>.</w:t>
      </w:r>
    </w:p>
    <w:p w:rsidR="00DE5A01"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В североамериканском регионе компания представлена </w:t>
      </w:r>
      <w:r>
        <w:rPr>
          <w:rFonts w:ascii="Times New Roman" w:hAnsi="Times New Roman"/>
          <w:sz w:val="28"/>
          <w:szCs w:val="28"/>
          <w:lang w:val="en-US"/>
        </w:rPr>
        <w:t>Anheuser</w:t>
      </w:r>
      <w:r w:rsidRPr="00F211A3">
        <w:rPr>
          <w:rFonts w:ascii="Times New Roman" w:hAnsi="Times New Roman"/>
          <w:sz w:val="28"/>
          <w:szCs w:val="28"/>
        </w:rPr>
        <w:t xml:space="preserve"> </w:t>
      </w:r>
      <w:r>
        <w:rPr>
          <w:rFonts w:ascii="Times New Roman" w:hAnsi="Times New Roman"/>
          <w:sz w:val="28"/>
          <w:szCs w:val="28"/>
          <w:lang w:val="en-US"/>
        </w:rPr>
        <w:t>Busch</w:t>
      </w:r>
      <w:r>
        <w:rPr>
          <w:rFonts w:ascii="Times New Roman" w:hAnsi="Times New Roman"/>
          <w:sz w:val="28"/>
          <w:szCs w:val="28"/>
        </w:rPr>
        <w:t xml:space="preserve"> </w:t>
      </w:r>
      <w:r>
        <w:rPr>
          <w:rFonts w:ascii="Times New Roman" w:hAnsi="Times New Roman"/>
          <w:sz w:val="28"/>
          <w:szCs w:val="28"/>
          <w:lang w:val="en-US"/>
        </w:rPr>
        <w:t>Companies</w:t>
      </w:r>
      <w:r w:rsidRPr="00F211A3">
        <w:rPr>
          <w:rFonts w:ascii="Times New Roman" w:hAnsi="Times New Roman"/>
          <w:sz w:val="28"/>
          <w:szCs w:val="28"/>
        </w:rPr>
        <w:t xml:space="preserve"> </w:t>
      </w:r>
      <w:r>
        <w:rPr>
          <w:rFonts w:ascii="Times New Roman" w:hAnsi="Times New Roman"/>
          <w:sz w:val="28"/>
          <w:szCs w:val="28"/>
        </w:rPr>
        <w:t xml:space="preserve">в США и </w:t>
      </w:r>
      <w:r>
        <w:rPr>
          <w:rFonts w:ascii="Times New Roman" w:hAnsi="Times New Roman"/>
          <w:sz w:val="28"/>
          <w:szCs w:val="28"/>
          <w:lang w:val="en-US"/>
        </w:rPr>
        <w:t>Labatt</w:t>
      </w:r>
      <w:r w:rsidRPr="00F211A3">
        <w:rPr>
          <w:rFonts w:ascii="Times New Roman" w:hAnsi="Times New Roman"/>
          <w:sz w:val="28"/>
          <w:szCs w:val="28"/>
        </w:rPr>
        <w:t xml:space="preserve"> </w:t>
      </w:r>
      <w:r>
        <w:rPr>
          <w:rFonts w:ascii="Times New Roman" w:hAnsi="Times New Roman"/>
          <w:sz w:val="28"/>
          <w:szCs w:val="28"/>
          <w:lang w:val="en-US"/>
        </w:rPr>
        <w:t>Breweries</w:t>
      </w:r>
      <w:r w:rsidRPr="00F211A3">
        <w:rPr>
          <w:rFonts w:ascii="Times New Roman" w:hAnsi="Times New Roman"/>
          <w:sz w:val="28"/>
          <w:szCs w:val="28"/>
        </w:rPr>
        <w:t xml:space="preserve"> </w:t>
      </w:r>
      <w:r>
        <w:rPr>
          <w:rFonts w:ascii="Times New Roman" w:hAnsi="Times New Roman"/>
          <w:sz w:val="28"/>
          <w:szCs w:val="28"/>
        </w:rPr>
        <w:t xml:space="preserve">в Канаде. Ключевыми наиболее продаваемыми брендами являются </w:t>
      </w:r>
      <w:r>
        <w:rPr>
          <w:rFonts w:ascii="Times New Roman" w:hAnsi="Times New Roman"/>
          <w:sz w:val="28"/>
          <w:szCs w:val="28"/>
          <w:lang w:val="en-US"/>
        </w:rPr>
        <w:t>Budweiser</w:t>
      </w:r>
      <w:r w:rsidRPr="00F211A3">
        <w:rPr>
          <w:rFonts w:ascii="Times New Roman" w:hAnsi="Times New Roman"/>
          <w:sz w:val="28"/>
          <w:szCs w:val="28"/>
        </w:rPr>
        <w:t xml:space="preserve">, </w:t>
      </w:r>
      <w:r>
        <w:rPr>
          <w:rFonts w:ascii="Times New Roman" w:hAnsi="Times New Roman"/>
          <w:sz w:val="28"/>
          <w:szCs w:val="28"/>
          <w:lang w:val="en-US"/>
        </w:rPr>
        <w:t>Stella</w:t>
      </w:r>
      <w:r w:rsidRPr="00F211A3">
        <w:rPr>
          <w:rFonts w:ascii="Times New Roman" w:hAnsi="Times New Roman"/>
          <w:sz w:val="28"/>
          <w:szCs w:val="28"/>
        </w:rPr>
        <w:t xml:space="preserve"> </w:t>
      </w:r>
      <w:r>
        <w:rPr>
          <w:rFonts w:ascii="Times New Roman" w:hAnsi="Times New Roman"/>
          <w:sz w:val="28"/>
          <w:szCs w:val="28"/>
          <w:lang w:val="en-US"/>
        </w:rPr>
        <w:t>Artois</w:t>
      </w:r>
      <w:r w:rsidRPr="00F211A3">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Beck</w:t>
      </w:r>
      <w:r w:rsidRPr="00F211A3">
        <w:rPr>
          <w:rFonts w:ascii="Times New Roman" w:hAnsi="Times New Roman"/>
          <w:sz w:val="28"/>
          <w:szCs w:val="28"/>
        </w:rPr>
        <w:t>’</w:t>
      </w:r>
      <w:r>
        <w:rPr>
          <w:rFonts w:ascii="Times New Roman" w:hAnsi="Times New Roman"/>
          <w:sz w:val="28"/>
          <w:szCs w:val="28"/>
          <w:lang w:val="en-US"/>
        </w:rPr>
        <w:t>s</w:t>
      </w:r>
      <w:r w:rsidRPr="00F211A3">
        <w:rPr>
          <w:rFonts w:ascii="Times New Roman" w:hAnsi="Times New Roman"/>
          <w:sz w:val="28"/>
          <w:szCs w:val="28"/>
        </w:rPr>
        <w:t xml:space="preserve">. </w:t>
      </w:r>
      <w:r>
        <w:rPr>
          <w:rFonts w:ascii="Times New Roman" w:hAnsi="Times New Roman"/>
          <w:sz w:val="28"/>
          <w:szCs w:val="28"/>
        </w:rPr>
        <w:t xml:space="preserve">Дополнительно компания производит местные бренды – </w:t>
      </w:r>
      <w:r w:rsidRPr="00F211A3">
        <w:rPr>
          <w:rFonts w:ascii="Times New Roman" w:hAnsi="Times New Roman"/>
          <w:sz w:val="28"/>
          <w:szCs w:val="28"/>
        </w:rPr>
        <w:t>Bass, Brahma,</w:t>
      </w:r>
      <w:r>
        <w:rPr>
          <w:rFonts w:ascii="Times New Roman" w:hAnsi="Times New Roman"/>
          <w:sz w:val="28"/>
          <w:szCs w:val="28"/>
        </w:rPr>
        <w:t xml:space="preserve"> </w:t>
      </w:r>
      <w:r w:rsidRPr="00F211A3">
        <w:rPr>
          <w:rFonts w:ascii="Times New Roman" w:hAnsi="Times New Roman"/>
          <w:sz w:val="28"/>
          <w:szCs w:val="28"/>
          <w:lang w:val="en-US"/>
        </w:rPr>
        <w:t>Bud</w:t>
      </w:r>
      <w:r w:rsidRPr="00F211A3">
        <w:rPr>
          <w:rFonts w:ascii="Times New Roman" w:hAnsi="Times New Roman"/>
          <w:sz w:val="28"/>
          <w:szCs w:val="28"/>
        </w:rPr>
        <w:t xml:space="preserve"> </w:t>
      </w:r>
      <w:r w:rsidRPr="00F211A3">
        <w:rPr>
          <w:rFonts w:ascii="Times New Roman" w:hAnsi="Times New Roman"/>
          <w:sz w:val="28"/>
          <w:szCs w:val="28"/>
          <w:lang w:val="en-US"/>
        </w:rPr>
        <w:t>Light</w:t>
      </w:r>
      <w:r w:rsidRPr="00F211A3">
        <w:rPr>
          <w:rFonts w:ascii="Times New Roman" w:hAnsi="Times New Roman"/>
          <w:sz w:val="28"/>
          <w:szCs w:val="28"/>
        </w:rPr>
        <w:t xml:space="preserve">, </w:t>
      </w:r>
      <w:r w:rsidRPr="00F211A3">
        <w:rPr>
          <w:rFonts w:ascii="Times New Roman" w:hAnsi="Times New Roman"/>
          <w:sz w:val="28"/>
          <w:szCs w:val="28"/>
          <w:lang w:val="en-US"/>
        </w:rPr>
        <w:t>Busch</w:t>
      </w:r>
      <w:r w:rsidRPr="00F211A3">
        <w:rPr>
          <w:rFonts w:ascii="Times New Roman" w:hAnsi="Times New Roman"/>
          <w:sz w:val="28"/>
          <w:szCs w:val="28"/>
        </w:rPr>
        <w:t xml:space="preserve">, </w:t>
      </w:r>
      <w:r w:rsidRPr="00F211A3">
        <w:rPr>
          <w:rFonts w:ascii="Times New Roman" w:hAnsi="Times New Roman"/>
          <w:sz w:val="28"/>
          <w:szCs w:val="28"/>
          <w:lang w:val="en-US"/>
        </w:rPr>
        <w:t>Michelob</w:t>
      </w:r>
      <w:r w:rsidRPr="00F211A3">
        <w:rPr>
          <w:rFonts w:ascii="Times New Roman" w:hAnsi="Times New Roman"/>
          <w:sz w:val="28"/>
          <w:szCs w:val="28"/>
        </w:rPr>
        <w:t xml:space="preserve">, </w:t>
      </w:r>
      <w:r w:rsidRPr="00F211A3">
        <w:rPr>
          <w:rFonts w:ascii="Times New Roman" w:hAnsi="Times New Roman"/>
          <w:sz w:val="28"/>
          <w:szCs w:val="28"/>
          <w:lang w:val="en-US"/>
        </w:rPr>
        <w:t>Natural</w:t>
      </w:r>
      <w:r w:rsidRPr="00F211A3">
        <w:rPr>
          <w:rFonts w:ascii="Times New Roman" w:hAnsi="Times New Roman"/>
          <w:sz w:val="28"/>
          <w:szCs w:val="28"/>
        </w:rPr>
        <w:t xml:space="preserve"> </w:t>
      </w:r>
      <w:r w:rsidRPr="00F211A3">
        <w:rPr>
          <w:rFonts w:ascii="Times New Roman" w:hAnsi="Times New Roman"/>
          <w:sz w:val="28"/>
          <w:szCs w:val="28"/>
          <w:lang w:val="en-US"/>
        </w:rPr>
        <w:t>Light</w:t>
      </w:r>
      <w:r>
        <w:rPr>
          <w:rFonts w:ascii="Times New Roman" w:hAnsi="Times New Roman"/>
          <w:sz w:val="28"/>
          <w:szCs w:val="28"/>
        </w:rPr>
        <w:t xml:space="preserve"> в США, </w:t>
      </w:r>
      <w:r w:rsidRPr="00F211A3">
        <w:rPr>
          <w:rFonts w:ascii="Times New Roman" w:hAnsi="Times New Roman"/>
          <w:sz w:val="28"/>
          <w:szCs w:val="28"/>
        </w:rPr>
        <w:t>Alexander Keith’s, Bass, Bud Light, Kokanee,</w:t>
      </w:r>
      <w:r>
        <w:rPr>
          <w:rFonts w:ascii="Times New Roman" w:hAnsi="Times New Roman"/>
          <w:sz w:val="28"/>
          <w:szCs w:val="28"/>
        </w:rPr>
        <w:t xml:space="preserve"> </w:t>
      </w:r>
      <w:r w:rsidRPr="00F211A3">
        <w:rPr>
          <w:rFonts w:ascii="Times New Roman" w:hAnsi="Times New Roman"/>
          <w:sz w:val="28"/>
          <w:szCs w:val="28"/>
        </w:rPr>
        <w:t xml:space="preserve">Labatt, Lucky, Lakeport </w:t>
      </w:r>
      <w:r>
        <w:rPr>
          <w:rFonts w:ascii="Times New Roman" w:hAnsi="Times New Roman"/>
          <w:sz w:val="28"/>
          <w:szCs w:val="28"/>
        </w:rPr>
        <w:t>и</w:t>
      </w:r>
      <w:r w:rsidRPr="00F211A3">
        <w:rPr>
          <w:rFonts w:ascii="Times New Roman" w:hAnsi="Times New Roman"/>
          <w:sz w:val="28"/>
          <w:szCs w:val="28"/>
        </w:rPr>
        <w:t xml:space="preserve"> Oland</w:t>
      </w:r>
      <w:r>
        <w:rPr>
          <w:rFonts w:ascii="Times New Roman" w:hAnsi="Times New Roman"/>
          <w:sz w:val="28"/>
          <w:szCs w:val="28"/>
        </w:rPr>
        <w:t xml:space="preserve"> в Канаде. При этом 13 производственных мощностей находятся в США, а 6 – в Канаде. В Мексике компания занимает сильные позиции за счет своего дочернего предприятия </w:t>
      </w:r>
      <w:r>
        <w:rPr>
          <w:rFonts w:ascii="Times New Roman" w:hAnsi="Times New Roman"/>
          <w:sz w:val="28"/>
          <w:szCs w:val="28"/>
          <w:lang w:val="en-US"/>
        </w:rPr>
        <w:t>Grupo</w:t>
      </w:r>
      <w:r w:rsidRPr="00605D0D">
        <w:rPr>
          <w:rFonts w:ascii="Times New Roman" w:hAnsi="Times New Roman"/>
          <w:sz w:val="28"/>
          <w:szCs w:val="28"/>
        </w:rPr>
        <w:t xml:space="preserve"> </w:t>
      </w:r>
      <w:r>
        <w:rPr>
          <w:rFonts w:ascii="Times New Roman" w:hAnsi="Times New Roman"/>
          <w:sz w:val="28"/>
          <w:szCs w:val="28"/>
          <w:lang w:val="en-US"/>
        </w:rPr>
        <w:t>Modelo</w:t>
      </w:r>
      <w:r w:rsidRPr="00605D0D">
        <w:rPr>
          <w:rFonts w:ascii="Times New Roman" w:hAnsi="Times New Roman"/>
          <w:sz w:val="28"/>
          <w:szCs w:val="28"/>
        </w:rPr>
        <w:t xml:space="preserve">, </w:t>
      </w:r>
      <w:r>
        <w:rPr>
          <w:rFonts w:ascii="Times New Roman" w:hAnsi="Times New Roman"/>
          <w:sz w:val="28"/>
          <w:szCs w:val="28"/>
        </w:rPr>
        <w:t xml:space="preserve">которое помимо производства брендов компании </w:t>
      </w:r>
      <w:r>
        <w:rPr>
          <w:rFonts w:ascii="Times New Roman" w:hAnsi="Times New Roman"/>
          <w:sz w:val="28"/>
          <w:szCs w:val="28"/>
          <w:lang w:val="en-US"/>
        </w:rPr>
        <w:t>Anheuser</w:t>
      </w:r>
      <w:r w:rsidRPr="00062040">
        <w:rPr>
          <w:rFonts w:ascii="Times New Roman" w:hAnsi="Times New Roman"/>
          <w:sz w:val="28"/>
          <w:szCs w:val="28"/>
        </w:rPr>
        <w:t xml:space="preserve"> </w:t>
      </w:r>
      <w:r>
        <w:rPr>
          <w:rFonts w:ascii="Times New Roman" w:hAnsi="Times New Roman"/>
          <w:sz w:val="28"/>
          <w:szCs w:val="28"/>
          <w:lang w:val="en-US"/>
        </w:rPr>
        <w:t>Busch</w:t>
      </w:r>
      <w:r w:rsidRPr="00062040">
        <w:rPr>
          <w:rFonts w:ascii="Times New Roman" w:hAnsi="Times New Roman"/>
          <w:sz w:val="28"/>
          <w:szCs w:val="28"/>
        </w:rPr>
        <w:t xml:space="preserve"> </w:t>
      </w:r>
      <w:r>
        <w:rPr>
          <w:rFonts w:ascii="Times New Roman" w:hAnsi="Times New Roman"/>
          <w:sz w:val="28"/>
          <w:szCs w:val="28"/>
          <w:lang w:val="en-US"/>
        </w:rPr>
        <w:t>In</w:t>
      </w:r>
      <w:r w:rsidRPr="00062040">
        <w:rPr>
          <w:rFonts w:ascii="Times New Roman" w:hAnsi="Times New Roman"/>
          <w:sz w:val="28"/>
          <w:szCs w:val="28"/>
        </w:rPr>
        <w:t>-</w:t>
      </w:r>
      <w:r>
        <w:rPr>
          <w:rFonts w:ascii="Times New Roman" w:hAnsi="Times New Roman"/>
          <w:sz w:val="28"/>
          <w:szCs w:val="28"/>
          <w:lang w:val="en-US"/>
        </w:rPr>
        <w:t>Bev</w:t>
      </w:r>
      <w:r w:rsidRPr="00062040">
        <w:rPr>
          <w:rFonts w:ascii="Times New Roman" w:hAnsi="Times New Roman"/>
          <w:sz w:val="28"/>
          <w:szCs w:val="28"/>
        </w:rPr>
        <w:t xml:space="preserve">, </w:t>
      </w:r>
      <w:r>
        <w:rPr>
          <w:rFonts w:ascii="Times New Roman" w:hAnsi="Times New Roman"/>
          <w:sz w:val="28"/>
          <w:szCs w:val="28"/>
        </w:rPr>
        <w:t xml:space="preserve">производит и продает пиво под своим собственным брендом </w:t>
      </w:r>
      <w:r>
        <w:rPr>
          <w:rFonts w:ascii="Times New Roman" w:hAnsi="Times New Roman"/>
          <w:sz w:val="28"/>
          <w:szCs w:val="28"/>
          <w:lang w:val="en-US"/>
        </w:rPr>
        <w:t>Corona</w:t>
      </w:r>
      <w:r w:rsidRPr="00062040">
        <w:rPr>
          <w:rFonts w:ascii="Times New Roman" w:hAnsi="Times New Roman"/>
          <w:sz w:val="28"/>
          <w:szCs w:val="28"/>
        </w:rPr>
        <w:t xml:space="preserve"> </w:t>
      </w:r>
      <w:r>
        <w:rPr>
          <w:rFonts w:ascii="Times New Roman" w:hAnsi="Times New Roman"/>
          <w:sz w:val="28"/>
          <w:szCs w:val="28"/>
        </w:rPr>
        <w:t xml:space="preserve">на мировом рынке. В июне 2012 г. компания получила 100% акций </w:t>
      </w:r>
      <w:r>
        <w:rPr>
          <w:rFonts w:ascii="Times New Roman" w:hAnsi="Times New Roman"/>
          <w:sz w:val="28"/>
          <w:szCs w:val="28"/>
          <w:lang w:val="en-US"/>
        </w:rPr>
        <w:t>Grupo</w:t>
      </w:r>
      <w:r w:rsidRPr="00A55F1B">
        <w:rPr>
          <w:rFonts w:ascii="Times New Roman" w:hAnsi="Times New Roman"/>
          <w:sz w:val="28"/>
          <w:szCs w:val="28"/>
        </w:rPr>
        <w:t xml:space="preserve"> </w:t>
      </w:r>
      <w:r>
        <w:rPr>
          <w:rFonts w:ascii="Times New Roman" w:hAnsi="Times New Roman"/>
          <w:sz w:val="28"/>
          <w:szCs w:val="28"/>
          <w:lang w:val="en-US"/>
        </w:rPr>
        <w:t>Modelo</w:t>
      </w:r>
      <w:r w:rsidRPr="00A55F1B">
        <w:rPr>
          <w:rFonts w:ascii="Times New Roman" w:hAnsi="Times New Roman"/>
          <w:sz w:val="28"/>
          <w:szCs w:val="28"/>
        </w:rPr>
        <w:t>.</w:t>
      </w:r>
      <w:r w:rsidR="00DE5A01">
        <w:rPr>
          <w:rFonts w:ascii="Times New Roman" w:hAnsi="Times New Roman"/>
          <w:sz w:val="28"/>
          <w:szCs w:val="28"/>
        </w:rPr>
        <w:t xml:space="preserve"> Выручка данного региона по состоянию на начало 2012 г. составила 15 304 млн. долл.</w:t>
      </w:r>
    </w:p>
    <w:p w:rsidR="00DE5A01" w:rsidRDefault="004775D9" w:rsidP="00516EE0">
      <w:pPr>
        <w:spacing w:line="360" w:lineRule="auto"/>
        <w:ind w:firstLine="360"/>
        <w:jc w:val="both"/>
        <w:rPr>
          <w:rFonts w:ascii="Times New Roman" w:hAnsi="Times New Roman"/>
          <w:sz w:val="28"/>
          <w:szCs w:val="28"/>
        </w:rPr>
      </w:pPr>
      <w:r>
        <w:rPr>
          <w:rFonts w:ascii="Times New Roman" w:hAnsi="Times New Roman"/>
          <w:sz w:val="28"/>
          <w:szCs w:val="28"/>
        </w:rPr>
        <w:t>Регион с</w:t>
      </w:r>
      <w:r w:rsidR="00DE5A01">
        <w:rPr>
          <w:rFonts w:ascii="Times New Roman" w:hAnsi="Times New Roman"/>
          <w:sz w:val="28"/>
          <w:szCs w:val="28"/>
        </w:rPr>
        <w:t>еверной Латинской Америки охватывает деятельность компании в Бразилии, Доминиканской Республике, Эквадоре</w:t>
      </w:r>
      <w:r>
        <w:rPr>
          <w:rFonts w:ascii="Times New Roman" w:hAnsi="Times New Roman"/>
          <w:sz w:val="28"/>
          <w:szCs w:val="28"/>
        </w:rPr>
        <w:t xml:space="preserve">, Гватемале и </w:t>
      </w:r>
      <w:r w:rsidR="00DE5A01">
        <w:rPr>
          <w:rFonts w:ascii="Times New Roman" w:hAnsi="Times New Roman"/>
          <w:sz w:val="28"/>
          <w:szCs w:val="28"/>
        </w:rPr>
        <w:t xml:space="preserve">Перу. </w:t>
      </w:r>
      <w:r>
        <w:rPr>
          <w:rFonts w:ascii="Times New Roman" w:hAnsi="Times New Roman"/>
          <w:sz w:val="28"/>
          <w:szCs w:val="28"/>
        </w:rPr>
        <w:t xml:space="preserve">В сегменте находятся 29 производственных мощностей – 24 завода по производству пива и 5 заводов по производству безалкогольных напитков. </w:t>
      </w:r>
      <w:r w:rsidR="00FD3F6D">
        <w:rPr>
          <w:rFonts w:ascii="Times New Roman" w:hAnsi="Times New Roman"/>
          <w:sz w:val="28"/>
          <w:szCs w:val="28"/>
        </w:rPr>
        <w:t xml:space="preserve">Наиболее сильные позиции </w:t>
      </w:r>
      <w:r w:rsidR="00FD3F6D">
        <w:rPr>
          <w:rFonts w:ascii="Times New Roman" w:hAnsi="Times New Roman"/>
          <w:sz w:val="28"/>
          <w:szCs w:val="28"/>
          <w:lang w:val="en-US"/>
        </w:rPr>
        <w:t>Anheuser</w:t>
      </w:r>
      <w:r w:rsidR="00FD3F6D" w:rsidRPr="00FD3F6D">
        <w:rPr>
          <w:rFonts w:ascii="Times New Roman" w:hAnsi="Times New Roman"/>
          <w:sz w:val="28"/>
          <w:szCs w:val="28"/>
        </w:rPr>
        <w:t xml:space="preserve"> </w:t>
      </w:r>
      <w:r w:rsidR="00FD3F6D">
        <w:rPr>
          <w:rFonts w:ascii="Times New Roman" w:hAnsi="Times New Roman"/>
          <w:sz w:val="28"/>
          <w:szCs w:val="28"/>
          <w:lang w:val="en-US"/>
        </w:rPr>
        <w:t>Busch</w:t>
      </w:r>
      <w:r w:rsidR="00FD3F6D" w:rsidRPr="00FD3F6D">
        <w:rPr>
          <w:rFonts w:ascii="Times New Roman" w:hAnsi="Times New Roman"/>
          <w:sz w:val="28"/>
          <w:szCs w:val="28"/>
        </w:rPr>
        <w:t xml:space="preserve"> </w:t>
      </w:r>
      <w:r w:rsidR="00FD3F6D">
        <w:rPr>
          <w:rFonts w:ascii="Times New Roman" w:hAnsi="Times New Roman"/>
          <w:sz w:val="28"/>
          <w:szCs w:val="28"/>
          <w:lang w:val="en-US"/>
        </w:rPr>
        <w:t>In</w:t>
      </w:r>
      <w:r w:rsidR="00FD3F6D" w:rsidRPr="00FD3F6D">
        <w:rPr>
          <w:rFonts w:ascii="Times New Roman" w:hAnsi="Times New Roman"/>
          <w:sz w:val="28"/>
          <w:szCs w:val="28"/>
        </w:rPr>
        <w:t>-</w:t>
      </w:r>
      <w:r w:rsidR="00FD3F6D">
        <w:rPr>
          <w:rFonts w:ascii="Times New Roman" w:hAnsi="Times New Roman"/>
          <w:sz w:val="28"/>
          <w:szCs w:val="28"/>
          <w:lang w:val="en-US"/>
        </w:rPr>
        <w:t>Bev</w:t>
      </w:r>
      <w:r w:rsidR="00FD3F6D" w:rsidRPr="00FD3F6D">
        <w:rPr>
          <w:rFonts w:ascii="Times New Roman" w:hAnsi="Times New Roman"/>
          <w:sz w:val="28"/>
          <w:szCs w:val="28"/>
        </w:rPr>
        <w:t xml:space="preserve"> </w:t>
      </w:r>
      <w:r w:rsidR="00FD3F6D">
        <w:rPr>
          <w:rFonts w:ascii="Times New Roman" w:hAnsi="Times New Roman"/>
          <w:sz w:val="28"/>
          <w:szCs w:val="28"/>
        </w:rPr>
        <w:t xml:space="preserve"> занимает в Бразилии, где осуществляет свою деятельность при помощи дочернего предприятия – </w:t>
      </w:r>
      <w:r w:rsidR="00FD3F6D" w:rsidRPr="00FD3F6D">
        <w:rPr>
          <w:rFonts w:ascii="Times New Roman" w:hAnsi="Times New Roman"/>
          <w:sz w:val="28"/>
          <w:szCs w:val="28"/>
        </w:rPr>
        <w:t>Companhia de Beb</w:t>
      </w:r>
      <w:r w:rsidR="00FD3F6D">
        <w:rPr>
          <w:rFonts w:ascii="Times New Roman" w:hAnsi="Times New Roman"/>
          <w:sz w:val="28"/>
          <w:szCs w:val="28"/>
        </w:rPr>
        <w:t xml:space="preserve">idas das Americas-AmBev (AmBev). Помимо ключевых  </w:t>
      </w:r>
      <w:r>
        <w:rPr>
          <w:rFonts w:ascii="Times New Roman" w:hAnsi="Times New Roman"/>
          <w:sz w:val="28"/>
          <w:szCs w:val="28"/>
        </w:rPr>
        <w:t>мультинациональных</w:t>
      </w:r>
      <w:r w:rsidR="00FD3F6D">
        <w:rPr>
          <w:rFonts w:ascii="Times New Roman" w:hAnsi="Times New Roman"/>
          <w:sz w:val="28"/>
          <w:szCs w:val="28"/>
        </w:rPr>
        <w:t xml:space="preserve"> брендов </w:t>
      </w:r>
      <w:r w:rsidR="00FD3F6D">
        <w:rPr>
          <w:rFonts w:ascii="Times New Roman" w:hAnsi="Times New Roman"/>
          <w:sz w:val="28"/>
          <w:szCs w:val="28"/>
          <w:lang w:val="en-US"/>
        </w:rPr>
        <w:t>AmBev</w:t>
      </w:r>
      <w:r w:rsidR="00FD3F6D">
        <w:rPr>
          <w:rFonts w:ascii="Times New Roman" w:hAnsi="Times New Roman"/>
          <w:sz w:val="28"/>
          <w:szCs w:val="28"/>
        </w:rPr>
        <w:t xml:space="preserve"> поставляет на рынок местные бренды – </w:t>
      </w:r>
      <w:r w:rsidR="00FD3F6D" w:rsidRPr="00FD3F6D">
        <w:rPr>
          <w:rFonts w:ascii="Times New Roman" w:hAnsi="Times New Roman"/>
          <w:sz w:val="28"/>
          <w:szCs w:val="28"/>
        </w:rPr>
        <w:t xml:space="preserve"> Antarctica, Bohemia, Brahma</w:t>
      </w:r>
      <w:r w:rsidR="00FD3F6D">
        <w:rPr>
          <w:rFonts w:ascii="Times New Roman" w:hAnsi="Times New Roman"/>
          <w:sz w:val="28"/>
          <w:szCs w:val="28"/>
        </w:rPr>
        <w:t xml:space="preserve"> и</w:t>
      </w:r>
      <w:r w:rsidR="00FD3F6D" w:rsidRPr="00FD3F6D">
        <w:rPr>
          <w:rFonts w:ascii="Times New Roman" w:hAnsi="Times New Roman"/>
          <w:sz w:val="28"/>
          <w:szCs w:val="28"/>
        </w:rPr>
        <w:t xml:space="preserve"> Skol</w:t>
      </w:r>
      <w:r w:rsidR="00FD3F6D">
        <w:rPr>
          <w:rFonts w:ascii="Times New Roman" w:hAnsi="Times New Roman"/>
          <w:sz w:val="28"/>
          <w:szCs w:val="28"/>
        </w:rPr>
        <w:t xml:space="preserve">. </w:t>
      </w:r>
      <w:r>
        <w:rPr>
          <w:rFonts w:ascii="Times New Roman" w:hAnsi="Times New Roman"/>
          <w:sz w:val="28"/>
          <w:szCs w:val="28"/>
        </w:rPr>
        <w:t xml:space="preserve">Выручка данного региона составила 11 524 млн. долл. </w:t>
      </w:r>
    </w:p>
    <w:p w:rsidR="000C0E45" w:rsidRDefault="000C0E45"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В состав региона южной Латинской Америки входят Аргентина, Боливия, Чили, Парагвай и Уругвай. </w:t>
      </w:r>
      <w:r w:rsidR="00784EBF">
        <w:rPr>
          <w:rFonts w:ascii="Times New Roman" w:hAnsi="Times New Roman"/>
          <w:sz w:val="28"/>
          <w:szCs w:val="28"/>
        </w:rPr>
        <w:t xml:space="preserve">В данном сегменте компания представлена </w:t>
      </w:r>
      <w:r w:rsidR="00784EBF" w:rsidRPr="00784EBF">
        <w:rPr>
          <w:rFonts w:ascii="Times New Roman" w:hAnsi="Times New Roman"/>
          <w:sz w:val="28"/>
          <w:szCs w:val="28"/>
        </w:rPr>
        <w:t>Cerveceria y Malteria Quilmes</w:t>
      </w:r>
      <w:r w:rsidR="00784EBF">
        <w:rPr>
          <w:rFonts w:ascii="Times New Roman" w:hAnsi="Times New Roman"/>
          <w:sz w:val="28"/>
          <w:szCs w:val="28"/>
        </w:rPr>
        <w:t xml:space="preserve">. Основные производственные мощности находятся в Аргентине – 5 заводов по производству пивоваренной продукции и 4 завода по производству безалкогольных напитков (компания производит и продает безалкогольную продукцию по лицензионным соглашениям в Аргентине, Боливии и Уругвае). Доля данного региона в общей выручке невелика – 6,9%, что составляет 2 704 млн. долл.  </w:t>
      </w:r>
    </w:p>
    <w:p w:rsidR="004775D9" w:rsidRPr="00E1349D" w:rsidRDefault="000D66FC" w:rsidP="00E1349D">
      <w:pPr>
        <w:spacing w:line="360" w:lineRule="auto"/>
        <w:ind w:firstLine="360"/>
        <w:jc w:val="both"/>
        <w:rPr>
          <w:rFonts w:ascii="Times New Roman" w:hAnsi="Times New Roman"/>
          <w:sz w:val="28"/>
          <w:szCs w:val="28"/>
        </w:rPr>
      </w:pPr>
      <w:r>
        <w:rPr>
          <w:rFonts w:ascii="Times New Roman" w:hAnsi="Times New Roman"/>
          <w:sz w:val="28"/>
          <w:szCs w:val="28"/>
        </w:rPr>
        <w:t>В регионе Западная Европа компания представлена на рынках Бельгии, Франции, Германии, Люксембурга, Нидерландов, Великобритании и Италии. В сегмент вход</w:t>
      </w:r>
      <w:r w:rsidR="00E1349D">
        <w:rPr>
          <w:rFonts w:ascii="Times New Roman" w:hAnsi="Times New Roman"/>
          <w:sz w:val="28"/>
          <w:szCs w:val="28"/>
        </w:rPr>
        <w:t>я</w:t>
      </w:r>
      <w:r>
        <w:rPr>
          <w:rFonts w:ascii="Times New Roman" w:hAnsi="Times New Roman"/>
          <w:sz w:val="28"/>
          <w:szCs w:val="28"/>
        </w:rPr>
        <w:t>т 12 производственных заводов, которые</w:t>
      </w:r>
      <w:r w:rsidR="00E1349D">
        <w:rPr>
          <w:rFonts w:ascii="Times New Roman" w:hAnsi="Times New Roman"/>
          <w:sz w:val="28"/>
          <w:szCs w:val="28"/>
        </w:rPr>
        <w:t xml:space="preserve"> поставляют на рынки </w:t>
      </w:r>
      <w:r w:rsidR="005E2868">
        <w:rPr>
          <w:rFonts w:ascii="Times New Roman" w:hAnsi="Times New Roman"/>
          <w:sz w:val="28"/>
          <w:szCs w:val="28"/>
        </w:rPr>
        <w:t>мировые</w:t>
      </w:r>
      <w:r w:rsidR="00E1349D">
        <w:rPr>
          <w:rFonts w:ascii="Times New Roman" w:hAnsi="Times New Roman"/>
          <w:sz w:val="28"/>
          <w:szCs w:val="28"/>
        </w:rPr>
        <w:t xml:space="preserve"> бренды, такие как </w:t>
      </w:r>
      <w:r w:rsidR="00E1349D" w:rsidRPr="00E1349D">
        <w:rPr>
          <w:rFonts w:ascii="Times New Roman" w:hAnsi="Times New Roman"/>
          <w:sz w:val="28"/>
          <w:szCs w:val="28"/>
        </w:rPr>
        <w:t xml:space="preserve">Budweiser, Stella Artois </w:t>
      </w:r>
      <w:r w:rsidR="00E1349D">
        <w:rPr>
          <w:rFonts w:ascii="Times New Roman" w:hAnsi="Times New Roman"/>
          <w:sz w:val="28"/>
          <w:szCs w:val="28"/>
        </w:rPr>
        <w:t>и</w:t>
      </w:r>
      <w:r w:rsidR="00E1349D" w:rsidRPr="00E1349D">
        <w:rPr>
          <w:rFonts w:ascii="Times New Roman" w:hAnsi="Times New Roman"/>
          <w:sz w:val="28"/>
          <w:szCs w:val="28"/>
        </w:rPr>
        <w:t xml:space="preserve"> Beck’s.</w:t>
      </w:r>
      <w:r w:rsidR="00E1349D">
        <w:rPr>
          <w:rFonts w:ascii="Times New Roman" w:hAnsi="Times New Roman"/>
          <w:sz w:val="28"/>
          <w:szCs w:val="28"/>
        </w:rPr>
        <w:t xml:space="preserve"> Также производятся торговые марки для локального потребления под названиями </w:t>
      </w:r>
      <w:r w:rsidR="00E1349D" w:rsidRPr="00E1349D">
        <w:rPr>
          <w:rFonts w:ascii="Times New Roman" w:hAnsi="Times New Roman"/>
          <w:sz w:val="28"/>
          <w:szCs w:val="28"/>
        </w:rPr>
        <w:t>Belle-Vue, Jupiler, Vieux Temps,</w:t>
      </w:r>
      <w:r w:rsidR="00E1349D">
        <w:rPr>
          <w:rFonts w:ascii="Times New Roman" w:hAnsi="Times New Roman"/>
          <w:sz w:val="28"/>
          <w:szCs w:val="28"/>
        </w:rPr>
        <w:t xml:space="preserve"> </w:t>
      </w:r>
      <w:r w:rsidR="00E1349D" w:rsidRPr="00E1349D">
        <w:rPr>
          <w:rFonts w:ascii="Times New Roman" w:hAnsi="Times New Roman"/>
          <w:sz w:val="28"/>
          <w:szCs w:val="28"/>
          <w:lang w:val="en-US"/>
        </w:rPr>
        <w:t>Diebels</w:t>
      </w:r>
      <w:r w:rsidR="00E1349D" w:rsidRPr="00E1349D">
        <w:rPr>
          <w:rFonts w:ascii="Times New Roman" w:hAnsi="Times New Roman"/>
          <w:sz w:val="28"/>
          <w:szCs w:val="28"/>
        </w:rPr>
        <w:t xml:space="preserve">, </w:t>
      </w:r>
      <w:r w:rsidR="00E1349D" w:rsidRPr="00E1349D">
        <w:rPr>
          <w:rFonts w:ascii="Times New Roman" w:hAnsi="Times New Roman"/>
          <w:sz w:val="28"/>
          <w:szCs w:val="28"/>
          <w:lang w:val="en-US"/>
        </w:rPr>
        <w:t>Franziskaner</w:t>
      </w:r>
      <w:r w:rsidR="00E1349D" w:rsidRPr="00E1349D">
        <w:rPr>
          <w:rFonts w:ascii="Times New Roman" w:hAnsi="Times New Roman"/>
          <w:sz w:val="28"/>
          <w:szCs w:val="28"/>
        </w:rPr>
        <w:t xml:space="preserve">, </w:t>
      </w:r>
      <w:r w:rsidR="00E1349D" w:rsidRPr="00E1349D">
        <w:rPr>
          <w:rFonts w:ascii="Times New Roman" w:hAnsi="Times New Roman"/>
          <w:sz w:val="28"/>
          <w:szCs w:val="28"/>
          <w:lang w:val="en-US"/>
        </w:rPr>
        <w:t>Haake</w:t>
      </w:r>
      <w:r w:rsidR="00E1349D" w:rsidRPr="00E1349D">
        <w:rPr>
          <w:rFonts w:ascii="Times New Roman" w:hAnsi="Times New Roman"/>
          <w:sz w:val="28"/>
          <w:szCs w:val="28"/>
        </w:rPr>
        <w:t>-</w:t>
      </w:r>
      <w:r w:rsidR="00E1349D" w:rsidRPr="00E1349D">
        <w:rPr>
          <w:rFonts w:ascii="Times New Roman" w:hAnsi="Times New Roman"/>
          <w:sz w:val="28"/>
          <w:szCs w:val="28"/>
          <w:lang w:val="en-US"/>
        </w:rPr>
        <w:t>Beck</w:t>
      </w:r>
      <w:r w:rsidR="00E1349D" w:rsidRPr="00E1349D">
        <w:rPr>
          <w:rFonts w:ascii="Times New Roman" w:hAnsi="Times New Roman"/>
          <w:sz w:val="28"/>
          <w:szCs w:val="28"/>
        </w:rPr>
        <w:t xml:space="preserve">, </w:t>
      </w:r>
      <w:r w:rsidR="00E1349D" w:rsidRPr="00E1349D">
        <w:rPr>
          <w:rFonts w:ascii="Times New Roman" w:hAnsi="Times New Roman"/>
          <w:sz w:val="28"/>
          <w:szCs w:val="28"/>
          <w:lang w:val="en-US"/>
        </w:rPr>
        <w:t>Boddington</w:t>
      </w:r>
      <w:r w:rsidR="00E1349D" w:rsidRPr="00E1349D">
        <w:rPr>
          <w:rFonts w:ascii="Times New Roman" w:hAnsi="Times New Roman"/>
          <w:sz w:val="28"/>
          <w:szCs w:val="28"/>
        </w:rPr>
        <w:t>’</w:t>
      </w:r>
      <w:r w:rsidR="00E1349D" w:rsidRPr="00E1349D">
        <w:rPr>
          <w:rFonts w:ascii="Times New Roman" w:hAnsi="Times New Roman"/>
          <w:sz w:val="28"/>
          <w:szCs w:val="28"/>
          <w:lang w:val="en-US"/>
        </w:rPr>
        <w:t>s</w:t>
      </w:r>
      <w:r w:rsidR="00E1349D" w:rsidRPr="00E1349D">
        <w:rPr>
          <w:rFonts w:ascii="Times New Roman" w:hAnsi="Times New Roman"/>
          <w:sz w:val="28"/>
          <w:szCs w:val="28"/>
        </w:rPr>
        <w:t xml:space="preserve">, </w:t>
      </w:r>
      <w:r w:rsidR="00E1349D" w:rsidRPr="00E1349D">
        <w:rPr>
          <w:rFonts w:ascii="Times New Roman" w:hAnsi="Times New Roman"/>
          <w:sz w:val="28"/>
          <w:szCs w:val="28"/>
          <w:lang w:val="en-US"/>
        </w:rPr>
        <w:t>Brahma</w:t>
      </w:r>
      <w:r w:rsidR="00E1349D" w:rsidRPr="00E1349D">
        <w:rPr>
          <w:rFonts w:ascii="Times New Roman" w:hAnsi="Times New Roman"/>
          <w:sz w:val="28"/>
          <w:szCs w:val="28"/>
        </w:rPr>
        <w:t xml:space="preserve">, </w:t>
      </w:r>
      <w:r w:rsidR="00E1349D" w:rsidRPr="00E1349D">
        <w:rPr>
          <w:rFonts w:ascii="Times New Roman" w:hAnsi="Times New Roman"/>
          <w:sz w:val="28"/>
          <w:szCs w:val="28"/>
          <w:lang w:val="en-US"/>
        </w:rPr>
        <w:t>Whitbread</w:t>
      </w:r>
      <w:r w:rsidR="00E1349D" w:rsidRPr="00E1349D">
        <w:rPr>
          <w:rFonts w:ascii="Times New Roman" w:hAnsi="Times New Roman"/>
          <w:sz w:val="28"/>
          <w:szCs w:val="28"/>
        </w:rPr>
        <w:t xml:space="preserve"> </w:t>
      </w:r>
      <w:r w:rsidR="00E1349D">
        <w:rPr>
          <w:rFonts w:ascii="Times New Roman" w:hAnsi="Times New Roman"/>
          <w:sz w:val="28"/>
          <w:szCs w:val="28"/>
        </w:rPr>
        <w:t>и</w:t>
      </w:r>
      <w:r w:rsidR="00E1349D" w:rsidRPr="00E1349D">
        <w:rPr>
          <w:rFonts w:ascii="Times New Roman" w:hAnsi="Times New Roman"/>
          <w:sz w:val="28"/>
          <w:szCs w:val="28"/>
        </w:rPr>
        <w:t xml:space="preserve"> </w:t>
      </w:r>
      <w:r w:rsidR="00E1349D" w:rsidRPr="00E1349D">
        <w:rPr>
          <w:rFonts w:ascii="Times New Roman" w:hAnsi="Times New Roman"/>
          <w:sz w:val="28"/>
          <w:szCs w:val="28"/>
          <w:lang w:val="en-US"/>
        </w:rPr>
        <w:t>Mackeson</w:t>
      </w:r>
      <w:r w:rsidR="00E1349D">
        <w:rPr>
          <w:rFonts w:ascii="Times New Roman" w:hAnsi="Times New Roman"/>
          <w:sz w:val="28"/>
          <w:szCs w:val="28"/>
        </w:rPr>
        <w:t xml:space="preserve">. Выручка данного сегмента в 2011 финансовом году составила 3 945 млн. долл., что на 0,2% выше уровня предыдущего года. </w:t>
      </w:r>
    </w:p>
    <w:p w:rsidR="004775D9" w:rsidRPr="00697905" w:rsidRDefault="00697905"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В Центральной и Восточной Европе </w:t>
      </w:r>
      <w:r>
        <w:rPr>
          <w:rFonts w:ascii="Times New Roman" w:hAnsi="Times New Roman"/>
          <w:sz w:val="28"/>
          <w:szCs w:val="28"/>
          <w:lang w:val="en-US"/>
        </w:rPr>
        <w:t>Anheuser</w:t>
      </w:r>
      <w:r w:rsidRPr="00697905">
        <w:rPr>
          <w:rFonts w:ascii="Times New Roman" w:hAnsi="Times New Roman"/>
          <w:sz w:val="28"/>
          <w:szCs w:val="28"/>
        </w:rPr>
        <w:t xml:space="preserve"> </w:t>
      </w:r>
      <w:r>
        <w:rPr>
          <w:rFonts w:ascii="Times New Roman" w:hAnsi="Times New Roman"/>
          <w:sz w:val="28"/>
          <w:szCs w:val="28"/>
          <w:lang w:val="en-US"/>
        </w:rPr>
        <w:t>Busch</w:t>
      </w:r>
      <w:r w:rsidRPr="00697905">
        <w:rPr>
          <w:rFonts w:ascii="Times New Roman" w:hAnsi="Times New Roman"/>
          <w:sz w:val="28"/>
          <w:szCs w:val="28"/>
        </w:rPr>
        <w:t xml:space="preserve"> </w:t>
      </w:r>
      <w:r>
        <w:rPr>
          <w:rFonts w:ascii="Times New Roman" w:hAnsi="Times New Roman"/>
          <w:sz w:val="28"/>
          <w:szCs w:val="28"/>
          <w:lang w:val="en-US"/>
        </w:rPr>
        <w:t>In</w:t>
      </w:r>
      <w:r w:rsidRPr="00697905">
        <w:rPr>
          <w:rFonts w:ascii="Times New Roman" w:hAnsi="Times New Roman"/>
          <w:sz w:val="28"/>
          <w:szCs w:val="28"/>
        </w:rPr>
        <w:t>-</w:t>
      </w:r>
      <w:r>
        <w:rPr>
          <w:rFonts w:ascii="Times New Roman" w:hAnsi="Times New Roman"/>
          <w:sz w:val="28"/>
          <w:szCs w:val="28"/>
          <w:lang w:val="en-US"/>
        </w:rPr>
        <w:t>Bev</w:t>
      </w:r>
      <w:r>
        <w:rPr>
          <w:rFonts w:ascii="Times New Roman" w:hAnsi="Times New Roman"/>
          <w:sz w:val="28"/>
          <w:szCs w:val="28"/>
        </w:rPr>
        <w:t xml:space="preserve"> </w:t>
      </w:r>
      <w:proofErr w:type="gramStart"/>
      <w:r>
        <w:rPr>
          <w:rFonts w:ascii="Times New Roman" w:hAnsi="Times New Roman"/>
          <w:sz w:val="28"/>
          <w:szCs w:val="28"/>
        </w:rPr>
        <w:t>представлена</w:t>
      </w:r>
      <w:proofErr w:type="gramEnd"/>
      <w:r>
        <w:rPr>
          <w:rFonts w:ascii="Times New Roman" w:hAnsi="Times New Roman"/>
          <w:sz w:val="28"/>
          <w:szCs w:val="28"/>
        </w:rPr>
        <w:t xml:space="preserve"> своими дочерними предприятиями в Украине и России (</w:t>
      </w:r>
      <w:r>
        <w:rPr>
          <w:rFonts w:ascii="Times New Roman" w:hAnsi="Times New Roman"/>
          <w:sz w:val="28"/>
          <w:szCs w:val="28"/>
          <w:lang w:val="en-US"/>
        </w:rPr>
        <w:t>SUN</w:t>
      </w:r>
      <w:r w:rsidRPr="00697905">
        <w:rPr>
          <w:rFonts w:ascii="Times New Roman" w:hAnsi="Times New Roman"/>
          <w:sz w:val="28"/>
          <w:szCs w:val="28"/>
        </w:rPr>
        <w:t xml:space="preserve"> </w:t>
      </w:r>
      <w:r>
        <w:rPr>
          <w:rFonts w:ascii="Times New Roman" w:hAnsi="Times New Roman"/>
          <w:sz w:val="28"/>
          <w:szCs w:val="28"/>
          <w:lang w:val="en-US"/>
        </w:rPr>
        <w:t>In</w:t>
      </w:r>
      <w:r w:rsidRPr="00697905">
        <w:rPr>
          <w:rFonts w:ascii="Times New Roman" w:hAnsi="Times New Roman"/>
          <w:sz w:val="28"/>
          <w:szCs w:val="28"/>
        </w:rPr>
        <w:t>-</w:t>
      </w:r>
      <w:r>
        <w:rPr>
          <w:rFonts w:ascii="Times New Roman" w:hAnsi="Times New Roman"/>
          <w:sz w:val="28"/>
          <w:szCs w:val="28"/>
          <w:lang w:val="en-US"/>
        </w:rPr>
        <w:t>Bev</w:t>
      </w:r>
      <w:r w:rsidRPr="00697905">
        <w:rPr>
          <w:rFonts w:ascii="Times New Roman" w:hAnsi="Times New Roman"/>
          <w:sz w:val="28"/>
          <w:szCs w:val="28"/>
        </w:rPr>
        <w:t xml:space="preserve"> </w:t>
      </w:r>
      <w:r>
        <w:rPr>
          <w:rFonts w:ascii="Times New Roman" w:hAnsi="Times New Roman"/>
          <w:sz w:val="28"/>
          <w:szCs w:val="28"/>
          <w:lang w:val="en-US"/>
        </w:rPr>
        <w:t>Ukraine</w:t>
      </w:r>
      <w:r w:rsidRPr="00697905">
        <w:rPr>
          <w:rFonts w:ascii="Times New Roman" w:hAnsi="Times New Roman"/>
          <w:sz w:val="28"/>
          <w:szCs w:val="28"/>
        </w:rPr>
        <w:t xml:space="preserve">, </w:t>
      </w:r>
      <w:r>
        <w:rPr>
          <w:rFonts w:ascii="Times New Roman" w:hAnsi="Times New Roman"/>
          <w:sz w:val="28"/>
          <w:szCs w:val="28"/>
          <w:lang w:val="en-US"/>
        </w:rPr>
        <w:t>Russia</w:t>
      </w:r>
      <w:r>
        <w:rPr>
          <w:rFonts w:ascii="Times New Roman" w:hAnsi="Times New Roman"/>
          <w:sz w:val="28"/>
          <w:szCs w:val="28"/>
        </w:rPr>
        <w:t xml:space="preserve">, соответственно). Наряду с международными брендами компании в России производятся локальные торговые марки, такие как </w:t>
      </w:r>
      <w:r w:rsidRPr="00697905">
        <w:rPr>
          <w:rFonts w:ascii="Times New Roman" w:hAnsi="Times New Roman"/>
          <w:sz w:val="28"/>
          <w:szCs w:val="28"/>
        </w:rPr>
        <w:t xml:space="preserve">Bagbier, Brahma, </w:t>
      </w:r>
      <w:r>
        <w:rPr>
          <w:rFonts w:ascii="Times New Roman" w:hAnsi="Times New Roman"/>
          <w:sz w:val="28"/>
          <w:szCs w:val="28"/>
        </w:rPr>
        <w:t>Lowenbrau, Клинское, Сибирская Корона, Толстяк и Пиво</w:t>
      </w:r>
      <w:proofErr w:type="gramStart"/>
      <w:r>
        <w:rPr>
          <w:rFonts w:ascii="Times New Roman" w:hAnsi="Times New Roman"/>
          <w:sz w:val="28"/>
          <w:szCs w:val="28"/>
        </w:rPr>
        <w:t xml:space="preserve"> Т</w:t>
      </w:r>
      <w:proofErr w:type="gramEnd"/>
      <w:r>
        <w:rPr>
          <w:rFonts w:ascii="Times New Roman" w:hAnsi="Times New Roman"/>
          <w:sz w:val="28"/>
          <w:szCs w:val="28"/>
        </w:rPr>
        <w:t xml:space="preserve"> (новая марка Тинькофф); Янтарь, </w:t>
      </w:r>
      <w:proofErr w:type="spellStart"/>
      <w:r>
        <w:rPr>
          <w:rFonts w:ascii="Times New Roman" w:hAnsi="Times New Roman"/>
          <w:sz w:val="28"/>
          <w:szCs w:val="28"/>
        </w:rPr>
        <w:t>Роган</w:t>
      </w:r>
      <w:proofErr w:type="spellEnd"/>
      <w:r>
        <w:rPr>
          <w:rFonts w:ascii="Times New Roman" w:hAnsi="Times New Roman"/>
          <w:sz w:val="28"/>
          <w:szCs w:val="28"/>
        </w:rPr>
        <w:t xml:space="preserve">  и </w:t>
      </w:r>
      <w:proofErr w:type="spellStart"/>
      <w:r>
        <w:rPr>
          <w:rFonts w:ascii="Times New Roman" w:hAnsi="Times New Roman"/>
          <w:sz w:val="28"/>
          <w:szCs w:val="28"/>
        </w:rPr>
        <w:t>Черниговске</w:t>
      </w:r>
      <w:proofErr w:type="spellEnd"/>
      <w:r>
        <w:rPr>
          <w:rFonts w:ascii="Times New Roman" w:hAnsi="Times New Roman"/>
          <w:sz w:val="28"/>
          <w:szCs w:val="28"/>
        </w:rPr>
        <w:t xml:space="preserve"> – в Украине. Всего в данном регионе находятся 12 производственных мощностей, 9 из которых принадлежат </w:t>
      </w:r>
      <w:r>
        <w:rPr>
          <w:rFonts w:ascii="Times New Roman" w:hAnsi="Times New Roman"/>
          <w:sz w:val="28"/>
          <w:szCs w:val="28"/>
          <w:lang w:val="en-US"/>
        </w:rPr>
        <w:t>SUN</w:t>
      </w:r>
      <w:r w:rsidRPr="00697905">
        <w:rPr>
          <w:rFonts w:ascii="Times New Roman" w:hAnsi="Times New Roman"/>
          <w:sz w:val="28"/>
          <w:szCs w:val="28"/>
        </w:rPr>
        <w:t xml:space="preserve"> </w:t>
      </w:r>
      <w:r>
        <w:rPr>
          <w:rFonts w:ascii="Times New Roman" w:hAnsi="Times New Roman"/>
          <w:sz w:val="28"/>
          <w:szCs w:val="28"/>
          <w:lang w:val="en-US"/>
        </w:rPr>
        <w:t>In</w:t>
      </w:r>
      <w:r w:rsidRPr="00697905">
        <w:rPr>
          <w:rFonts w:ascii="Times New Roman" w:hAnsi="Times New Roman"/>
          <w:sz w:val="28"/>
          <w:szCs w:val="28"/>
        </w:rPr>
        <w:t>-</w:t>
      </w:r>
      <w:r>
        <w:rPr>
          <w:rFonts w:ascii="Times New Roman" w:hAnsi="Times New Roman"/>
          <w:sz w:val="28"/>
          <w:szCs w:val="28"/>
          <w:lang w:val="en-US"/>
        </w:rPr>
        <w:t>Bev</w:t>
      </w:r>
      <w:r w:rsidRPr="00697905">
        <w:rPr>
          <w:rFonts w:ascii="Times New Roman" w:hAnsi="Times New Roman"/>
          <w:sz w:val="28"/>
          <w:szCs w:val="28"/>
        </w:rPr>
        <w:t xml:space="preserve"> </w:t>
      </w:r>
      <w:r>
        <w:rPr>
          <w:rFonts w:ascii="Times New Roman" w:hAnsi="Times New Roman"/>
          <w:sz w:val="28"/>
          <w:szCs w:val="28"/>
          <w:lang w:val="en-US"/>
        </w:rPr>
        <w:t>Russia</w:t>
      </w:r>
      <w:r w:rsidRPr="00697905">
        <w:rPr>
          <w:rFonts w:ascii="Times New Roman" w:hAnsi="Times New Roman"/>
          <w:sz w:val="28"/>
          <w:szCs w:val="28"/>
        </w:rPr>
        <w:t xml:space="preserve">. </w:t>
      </w:r>
      <w:r w:rsidR="007D79A3">
        <w:rPr>
          <w:rFonts w:ascii="Times New Roman" w:hAnsi="Times New Roman"/>
          <w:sz w:val="28"/>
          <w:szCs w:val="28"/>
        </w:rPr>
        <w:t>Выручка данного бизнес сегмента составила 1 755 млн. долл.</w:t>
      </w:r>
    </w:p>
    <w:p w:rsidR="00516EE0" w:rsidRPr="00E1349D" w:rsidRDefault="007D79A3" w:rsidP="007D79A3">
      <w:pPr>
        <w:spacing w:line="360" w:lineRule="auto"/>
        <w:ind w:firstLine="360"/>
        <w:jc w:val="both"/>
        <w:rPr>
          <w:rFonts w:ascii="Times New Roman" w:hAnsi="Times New Roman"/>
          <w:sz w:val="28"/>
          <w:szCs w:val="28"/>
        </w:rPr>
      </w:pPr>
      <w:r>
        <w:rPr>
          <w:rFonts w:ascii="Times New Roman" w:hAnsi="Times New Roman"/>
          <w:sz w:val="28"/>
          <w:szCs w:val="28"/>
        </w:rPr>
        <w:t xml:space="preserve">Основным драйвером продаж Азиатско-Тихоокеанского региона является Китай, где находятся 35 заводов по производству пивоваренной продукции. В данном сегменте производятся и продаются как мультинациональные, так и локальные торговые марки – </w:t>
      </w:r>
      <w:r w:rsidRPr="007D79A3">
        <w:rPr>
          <w:rFonts w:ascii="Times New Roman" w:hAnsi="Times New Roman"/>
          <w:sz w:val="28"/>
          <w:szCs w:val="28"/>
        </w:rPr>
        <w:t>Budweiser, Stella Artois, Beck’s, Hoegaarden, Leffe, Double Deer, Harbin, Jinling, Jinlongquan, KK,</w:t>
      </w:r>
      <w:r>
        <w:rPr>
          <w:rFonts w:ascii="Times New Roman" w:hAnsi="Times New Roman"/>
          <w:sz w:val="28"/>
          <w:szCs w:val="28"/>
        </w:rPr>
        <w:t xml:space="preserve"> </w:t>
      </w:r>
      <w:r w:rsidRPr="007D79A3">
        <w:rPr>
          <w:rFonts w:ascii="Times New Roman" w:hAnsi="Times New Roman"/>
          <w:sz w:val="28"/>
          <w:szCs w:val="28"/>
        </w:rPr>
        <w:t xml:space="preserve">Sedrin </w:t>
      </w:r>
      <w:r>
        <w:rPr>
          <w:rFonts w:ascii="Times New Roman" w:hAnsi="Times New Roman"/>
          <w:sz w:val="28"/>
          <w:szCs w:val="28"/>
        </w:rPr>
        <w:t>и</w:t>
      </w:r>
      <w:r w:rsidRPr="007D79A3">
        <w:rPr>
          <w:rFonts w:ascii="Times New Roman" w:hAnsi="Times New Roman"/>
          <w:sz w:val="28"/>
          <w:szCs w:val="28"/>
        </w:rPr>
        <w:t xml:space="preserve"> Shiliang</w:t>
      </w:r>
      <w:r>
        <w:rPr>
          <w:rFonts w:ascii="Times New Roman" w:hAnsi="Times New Roman"/>
          <w:sz w:val="28"/>
          <w:szCs w:val="28"/>
        </w:rPr>
        <w:t xml:space="preserve">. Выручка данного региона составила 2 317 млн. долл., что на 31% превысило уровень 2010 г. </w:t>
      </w:r>
    </w:p>
    <w:p w:rsidR="00516EE0" w:rsidRPr="002C7537" w:rsidRDefault="002C7537" w:rsidP="002C7537">
      <w:pPr>
        <w:pStyle w:val="2"/>
        <w:spacing w:line="720" w:lineRule="auto"/>
        <w:jc w:val="center"/>
        <w:rPr>
          <w:rFonts w:ascii="Times New Roman" w:hAnsi="Times New Roman" w:cs="Times New Roman"/>
          <w:color w:val="auto"/>
          <w:sz w:val="28"/>
          <w:szCs w:val="28"/>
        </w:rPr>
      </w:pPr>
      <w:bookmarkStart w:id="22" w:name="_Toc356252005"/>
      <w:r w:rsidRPr="00006CBE">
        <w:rPr>
          <w:rFonts w:ascii="Times New Roman" w:hAnsi="Times New Roman" w:cs="Times New Roman"/>
          <w:color w:val="auto"/>
          <w:sz w:val="28"/>
          <w:szCs w:val="28"/>
        </w:rPr>
        <w:t xml:space="preserve">2.2.2 </w:t>
      </w:r>
      <w:proofErr w:type="spellStart"/>
      <w:r w:rsidR="00516EE0" w:rsidRPr="002C7537">
        <w:rPr>
          <w:rFonts w:ascii="Times New Roman" w:hAnsi="Times New Roman" w:cs="Times New Roman"/>
          <w:color w:val="auto"/>
          <w:sz w:val="28"/>
          <w:szCs w:val="28"/>
        </w:rPr>
        <w:t>SABMiller</w:t>
      </w:r>
      <w:proofErr w:type="spellEnd"/>
      <w:r w:rsidR="00516EE0" w:rsidRPr="002C7537">
        <w:rPr>
          <w:rFonts w:ascii="Times New Roman" w:hAnsi="Times New Roman" w:cs="Times New Roman"/>
          <w:color w:val="auto"/>
          <w:sz w:val="28"/>
          <w:szCs w:val="28"/>
        </w:rPr>
        <w:t xml:space="preserve"> </w:t>
      </w:r>
      <w:proofErr w:type="spellStart"/>
      <w:r w:rsidR="00516EE0" w:rsidRPr="002C7537">
        <w:rPr>
          <w:rFonts w:ascii="Times New Roman" w:hAnsi="Times New Roman" w:cs="Times New Roman"/>
          <w:color w:val="auto"/>
          <w:sz w:val="28"/>
          <w:szCs w:val="28"/>
        </w:rPr>
        <w:t>plc</w:t>
      </w:r>
      <w:proofErr w:type="spellEnd"/>
      <w:r w:rsidR="00516EE0" w:rsidRPr="002C7537">
        <w:rPr>
          <w:rFonts w:ascii="Times New Roman" w:hAnsi="Times New Roman" w:cs="Times New Roman"/>
          <w:color w:val="auto"/>
          <w:sz w:val="28"/>
          <w:szCs w:val="28"/>
        </w:rPr>
        <w:t>.</w:t>
      </w:r>
      <w:bookmarkEnd w:id="22"/>
    </w:p>
    <w:p w:rsidR="00516EE0" w:rsidRPr="002D12D6" w:rsidRDefault="00641DB8" w:rsidP="00516EE0">
      <w:pPr>
        <w:spacing w:line="360" w:lineRule="auto"/>
        <w:ind w:firstLine="360"/>
        <w:jc w:val="both"/>
        <w:rPr>
          <w:rFonts w:ascii="Times New Roman" w:hAnsi="Times New Roman"/>
          <w:sz w:val="28"/>
          <w:szCs w:val="28"/>
        </w:rPr>
      </w:pPr>
      <w:r>
        <w:rPr>
          <w:rFonts w:ascii="Times New Roman" w:hAnsi="Times New Roman"/>
          <w:sz w:val="28"/>
          <w:szCs w:val="28"/>
        </w:rPr>
        <w:t>Английская к</w:t>
      </w:r>
      <w:r w:rsidR="00516EE0">
        <w:rPr>
          <w:rFonts w:ascii="Times New Roman" w:hAnsi="Times New Roman"/>
          <w:sz w:val="28"/>
          <w:szCs w:val="28"/>
        </w:rPr>
        <w:t xml:space="preserve">омпания </w:t>
      </w:r>
      <w:r w:rsidR="00516EE0">
        <w:rPr>
          <w:rFonts w:ascii="Times New Roman" w:hAnsi="Times New Roman"/>
          <w:sz w:val="28"/>
          <w:szCs w:val="28"/>
          <w:lang w:val="en-US"/>
        </w:rPr>
        <w:t>SABMiller</w:t>
      </w:r>
      <w:r w:rsidR="00516EE0" w:rsidRPr="00E73C72">
        <w:rPr>
          <w:rFonts w:ascii="Times New Roman" w:hAnsi="Times New Roman"/>
          <w:sz w:val="28"/>
          <w:szCs w:val="28"/>
        </w:rPr>
        <w:t xml:space="preserve"> </w:t>
      </w:r>
      <w:r w:rsidR="00516EE0">
        <w:rPr>
          <w:rFonts w:ascii="Times New Roman" w:hAnsi="Times New Roman"/>
          <w:sz w:val="28"/>
          <w:szCs w:val="28"/>
          <w:lang w:val="en-US"/>
        </w:rPr>
        <w:t>plc</w:t>
      </w:r>
      <w:r w:rsidR="00516EE0" w:rsidRPr="00E73C72">
        <w:rPr>
          <w:rFonts w:ascii="Times New Roman" w:hAnsi="Times New Roman"/>
          <w:sz w:val="28"/>
          <w:szCs w:val="28"/>
        </w:rPr>
        <w:t xml:space="preserve">. </w:t>
      </w:r>
      <w:r w:rsidR="00516EE0">
        <w:rPr>
          <w:rFonts w:ascii="Times New Roman" w:hAnsi="Times New Roman"/>
          <w:sz w:val="28"/>
          <w:szCs w:val="28"/>
        </w:rPr>
        <w:t xml:space="preserve">является одним из крупнейших производителей и поставщиков пива, </w:t>
      </w:r>
      <w:r w:rsidR="00006CBE">
        <w:rPr>
          <w:rFonts w:ascii="Times New Roman" w:hAnsi="Times New Roman"/>
          <w:sz w:val="28"/>
          <w:szCs w:val="28"/>
        </w:rPr>
        <w:t xml:space="preserve">солода </w:t>
      </w:r>
      <w:r w:rsidR="00516EE0">
        <w:rPr>
          <w:rFonts w:ascii="Times New Roman" w:hAnsi="Times New Roman"/>
          <w:sz w:val="28"/>
          <w:szCs w:val="28"/>
        </w:rPr>
        <w:t>и безалкогольных газированных напитков. Компания осуществляет операционную деятельность в 6 бизнес сегментах – географических регионах – странах Латинской Америки, Европы, Южной и Северной Африки, Азиатско-Тихоокеанском регионе, а также в Северной Америке. По состоянию на март 2012 г. в компании работает 71 144 сотрудников (не включая сотру</w:t>
      </w:r>
      <w:r w:rsidR="00006CBE">
        <w:rPr>
          <w:rFonts w:ascii="Times New Roman" w:hAnsi="Times New Roman"/>
          <w:sz w:val="28"/>
          <w:szCs w:val="28"/>
        </w:rPr>
        <w:t>дников совместных предприятий</w:t>
      </w:r>
      <w:r w:rsidR="00516EE0" w:rsidRPr="00E73C72">
        <w:rPr>
          <w:rFonts w:ascii="Times New Roman" w:hAnsi="Times New Roman"/>
          <w:sz w:val="28"/>
          <w:szCs w:val="28"/>
        </w:rPr>
        <w:t>)</w:t>
      </w:r>
      <w:r w:rsidR="00006CBE">
        <w:rPr>
          <w:rStyle w:val="a5"/>
          <w:rFonts w:ascii="Times New Roman" w:hAnsi="Times New Roman"/>
          <w:sz w:val="28"/>
          <w:szCs w:val="28"/>
        </w:rPr>
        <w:footnoteReference w:id="15"/>
      </w:r>
      <w:r w:rsidR="00516EE0">
        <w:rPr>
          <w:rFonts w:ascii="Times New Roman" w:hAnsi="Times New Roman"/>
          <w:sz w:val="28"/>
          <w:szCs w:val="28"/>
        </w:rPr>
        <w:t xml:space="preserve">. Основными брендами компании в классе премиум являются </w:t>
      </w:r>
      <w:r w:rsidR="00516EE0" w:rsidRPr="00DA3F02">
        <w:rPr>
          <w:rFonts w:ascii="Times New Roman" w:hAnsi="Times New Roman"/>
          <w:sz w:val="28"/>
          <w:szCs w:val="28"/>
        </w:rPr>
        <w:t>Pilsner Urquell, Peroni Nastro</w:t>
      </w:r>
      <w:r w:rsidR="00516EE0">
        <w:rPr>
          <w:rFonts w:ascii="Times New Roman" w:hAnsi="Times New Roman"/>
          <w:sz w:val="28"/>
          <w:szCs w:val="28"/>
        </w:rPr>
        <w:t xml:space="preserve">, </w:t>
      </w:r>
      <w:r w:rsidR="00516EE0" w:rsidRPr="00DA3F02">
        <w:rPr>
          <w:rFonts w:ascii="Times New Roman" w:hAnsi="Times New Roman"/>
          <w:sz w:val="28"/>
          <w:szCs w:val="28"/>
          <w:lang w:val="en-US"/>
        </w:rPr>
        <w:t>Azzurro</w:t>
      </w:r>
      <w:r w:rsidR="00516EE0" w:rsidRPr="00DA3F02">
        <w:rPr>
          <w:rFonts w:ascii="Times New Roman" w:hAnsi="Times New Roman"/>
          <w:sz w:val="28"/>
          <w:szCs w:val="28"/>
        </w:rPr>
        <w:t xml:space="preserve">, </w:t>
      </w:r>
      <w:r w:rsidR="00516EE0" w:rsidRPr="00DA3F02">
        <w:rPr>
          <w:rFonts w:ascii="Times New Roman" w:hAnsi="Times New Roman"/>
          <w:sz w:val="28"/>
          <w:szCs w:val="28"/>
          <w:lang w:val="en-US"/>
        </w:rPr>
        <w:t>Miller</w:t>
      </w:r>
      <w:r w:rsidR="00516EE0" w:rsidRPr="00DA3F02">
        <w:rPr>
          <w:rFonts w:ascii="Times New Roman" w:hAnsi="Times New Roman"/>
          <w:sz w:val="28"/>
          <w:szCs w:val="28"/>
        </w:rPr>
        <w:t xml:space="preserve"> </w:t>
      </w:r>
      <w:r w:rsidR="00516EE0" w:rsidRPr="00DA3F02">
        <w:rPr>
          <w:rFonts w:ascii="Times New Roman" w:hAnsi="Times New Roman"/>
          <w:sz w:val="28"/>
          <w:szCs w:val="28"/>
          <w:lang w:val="en-US"/>
        </w:rPr>
        <w:t>Genuine</w:t>
      </w:r>
      <w:r w:rsidR="00516EE0" w:rsidRPr="00DA3F02">
        <w:rPr>
          <w:rFonts w:ascii="Times New Roman" w:hAnsi="Times New Roman"/>
          <w:sz w:val="28"/>
          <w:szCs w:val="28"/>
        </w:rPr>
        <w:t xml:space="preserve"> </w:t>
      </w:r>
      <w:r w:rsidR="00516EE0" w:rsidRPr="00DA3F02">
        <w:rPr>
          <w:rFonts w:ascii="Times New Roman" w:hAnsi="Times New Roman"/>
          <w:sz w:val="28"/>
          <w:szCs w:val="28"/>
          <w:lang w:val="en-US"/>
        </w:rPr>
        <w:t>Draft</w:t>
      </w:r>
      <w:r w:rsidR="00516EE0" w:rsidRPr="00DA3F02">
        <w:rPr>
          <w:rFonts w:ascii="Times New Roman" w:hAnsi="Times New Roman"/>
          <w:sz w:val="28"/>
          <w:szCs w:val="28"/>
        </w:rPr>
        <w:t xml:space="preserve"> </w:t>
      </w:r>
      <w:r w:rsidR="00516EE0">
        <w:rPr>
          <w:rFonts w:ascii="Times New Roman" w:hAnsi="Times New Roman"/>
          <w:sz w:val="28"/>
          <w:szCs w:val="28"/>
        </w:rPr>
        <w:t>и</w:t>
      </w:r>
      <w:r w:rsidR="00516EE0" w:rsidRPr="00DA3F02">
        <w:rPr>
          <w:rFonts w:ascii="Times New Roman" w:hAnsi="Times New Roman"/>
          <w:sz w:val="28"/>
          <w:szCs w:val="28"/>
        </w:rPr>
        <w:t xml:space="preserve"> </w:t>
      </w:r>
      <w:r w:rsidR="00516EE0" w:rsidRPr="00DA3F02">
        <w:rPr>
          <w:rFonts w:ascii="Times New Roman" w:hAnsi="Times New Roman"/>
          <w:sz w:val="28"/>
          <w:szCs w:val="28"/>
          <w:lang w:val="en-US"/>
        </w:rPr>
        <w:t>Grolsch</w:t>
      </w:r>
      <w:r w:rsidR="00516EE0">
        <w:rPr>
          <w:rFonts w:ascii="Times New Roman" w:hAnsi="Times New Roman"/>
          <w:sz w:val="28"/>
          <w:szCs w:val="28"/>
        </w:rPr>
        <w:t xml:space="preserve">. Также </w:t>
      </w:r>
      <w:r w:rsidR="00516EE0">
        <w:rPr>
          <w:rFonts w:ascii="Times New Roman" w:hAnsi="Times New Roman"/>
          <w:sz w:val="28"/>
          <w:szCs w:val="28"/>
          <w:lang w:val="en-US"/>
        </w:rPr>
        <w:t>SABMiller</w:t>
      </w:r>
      <w:r w:rsidR="00516EE0" w:rsidRPr="002D12D6">
        <w:rPr>
          <w:rFonts w:ascii="Times New Roman" w:hAnsi="Times New Roman"/>
          <w:sz w:val="28"/>
          <w:szCs w:val="28"/>
        </w:rPr>
        <w:t xml:space="preserve"> </w:t>
      </w:r>
      <w:r w:rsidR="00516EE0">
        <w:rPr>
          <w:rFonts w:ascii="Times New Roman" w:hAnsi="Times New Roman"/>
          <w:sz w:val="28"/>
          <w:szCs w:val="28"/>
          <w:lang w:val="en-US"/>
        </w:rPr>
        <w:t>plc</w:t>
      </w:r>
      <w:r w:rsidR="00516EE0" w:rsidRPr="002D12D6">
        <w:rPr>
          <w:rFonts w:ascii="Times New Roman" w:hAnsi="Times New Roman"/>
          <w:sz w:val="28"/>
          <w:szCs w:val="28"/>
        </w:rPr>
        <w:t xml:space="preserve">. </w:t>
      </w:r>
      <w:r w:rsidR="00516EE0">
        <w:rPr>
          <w:rFonts w:ascii="Times New Roman" w:hAnsi="Times New Roman"/>
          <w:sz w:val="28"/>
          <w:szCs w:val="28"/>
        </w:rPr>
        <w:t xml:space="preserve">поставляет на рынок ряд локальных брендов, таких как  </w:t>
      </w:r>
      <w:r w:rsidR="00516EE0" w:rsidRPr="002D12D6">
        <w:rPr>
          <w:rFonts w:ascii="Times New Roman" w:hAnsi="Times New Roman"/>
          <w:sz w:val="28"/>
          <w:szCs w:val="28"/>
        </w:rPr>
        <w:t>Aguila,</w:t>
      </w:r>
      <w:r w:rsidR="00516EE0">
        <w:rPr>
          <w:rFonts w:ascii="Times New Roman" w:hAnsi="Times New Roman"/>
          <w:sz w:val="28"/>
          <w:szCs w:val="28"/>
        </w:rPr>
        <w:t xml:space="preserve"> </w:t>
      </w:r>
      <w:r w:rsidR="00516EE0" w:rsidRPr="002D12D6">
        <w:rPr>
          <w:rFonts w:ascii="Times New Roman" w:hAnsi="Times New Roman"/>
          <w:sz w:val="28"/>
          <w:szCs w:val="28"/>
          <w:lang w:val="en-US"/>
        </w:rPr>
        <w:t>Castle</w:t>
      </w:r>
      <w:r w:rsidR="00516EE0" w:rsidRPr="002D12D6">
        <w:rPr>
          <w:rFonts w:ascii="Times New Roman" w:hAnsi="Times New Roman"/>
          <w:sz w:val="28"/>
          <w:szCs w:val="28"/>
        </w:rPr>
        <w:t xml:space="preserve">, </w:t>
      </w:r>
      <w:r w:rsidR="00516EE0" w:rsidRPr="002D12D6">
        <w:rPr>
          <w:rFonts w:ascii="Times New Roman" w:hAnsi="Times New Roman"/>
          <w:sz w:val="28"/>
          <w:szCs w:val="28"/>
          <w:lang w:val="en-US"/>
        </w:rPr>
        <w:t>Miller</w:t>
      </w:r>
      <w:r w:rsidR="00516EE0" w:rsidRPr="002D12D6">
        <w:rPr>
          <w:rFonts w:ascii="Times New Roman" w:hAnsi="Times New Roman"/>
          <w:sz w:val="28"/>
          <w:szCs w:val="28"/>
        </w:rPr>
        <w:t xml:space="preserve"> </w:t>
      </w:r>
      <w:r w:rsidR="00516EE0" w:rsidRPr="002D12D6">
        <w:rPr>
          <w:rFonts w:ascii="Times New Roman" w:hAnsi="Times New Roman"/>
          <w:sz w:val="28"/>
          <w:szCs w:val="28"/>
          <w:lang w:val="en-US"/>
        </w:rPr>
        <w:t>Lite</w:t>
      </w:r>
      <w:r w:rsidR="00516EE0" w:rsidRPr="002D12D6">
        <w:rPr>
          <w:rFonts w:ascii="Times New Roman" w:hAnsi="Times New Roman"/>
          <w:sz w:val="28"/>
          <w:szCs w:val="28"/>
        </w:rPr>
        <w:t xml:space="preserve">, </w:t>
      </w:r>
      <w:r w:rsidR="00516EE0" w:rsidRPr="002D12D6">
        <w:rPr>
          <w:rFonts w:ascii="Times New Roman" w:hAnsi="Times New Roman"/>
          <w:sz w:val="28"/>
          <w:szCs w:val="28"/>
          <w:lang w:val="en-US"/>
        </w:rPr>
        <w:t>Snow</w:t>
      </w:r>
      <w:r w:rsidR="00516EE0" w:rsidRPr="002D12D6">
        <w:rPr>
          <w:rFonts w:ascii="Times New Roman" w:hAnsi="Times New Roman"/>
          <w:sz w:val="28"/>
          <w:szCs w:val="28"/>
        </w:rPr>
        <w:t xml:space="preserve"> </w:t>
      </w:r>
      <w:r w:rsidR="00516EE0">
        <w:rPr>
          <w:rFonts w:ascii="Times New Roman" w:hAnsi="Times New Roman"/>
          <w:sz w:val="28"/>
          <w:szCs w:val="28"/>
        </w:rPr>
        <w:t>и</w:t>
      </w:r>
      <w:r w:rsidR="00516EE0" w:rsidRPr="002D12D6">
        <w:rPr>
          <w:rFonts w:ascii="Times New Roman" w:hAnsi="Times New Roman"/>
          <w:sz w:val="28"/>
          <w:szCs w:val="28"/>
        </w:rPr>
        <w:t xml:space="preserve"> </w:t>
      </w:r>
      <w:r w:rsidR="00516EE0" w:rsidRPr="002D12D6">
        <w:rPr>
          <w:rFonts w:ascii="Times New Roman" w:hAnsi="Times New Roman"/>
          <w:sz w:val="28"/>
          <w:szCs w:val="28"/>
          <w:lang w:val="en-US"/>
        </w:rPr>
        <w:t>Tyskie</w:t>
      </w:r>
      <w:r w:rsidR="00516EE0">
        <w:rPr>
          <w:rFonts w:ascii="Times New Roman" w:hAnsi="Times New Roman"/>
          <w:sz w:val="28"/>
          <w:szCs w:val="28"/>
        </w:rPr>
        <w:t>.</w:t>
      </w:r>
    </w:p>
    <w:p w:rsidR="00516EE0"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В 2012 г. выручка компании составила 21 760 млн. долл., что на 12,1% выше уровня предыдущего года. Операционная прибыль </w:t>
      </w:r>
      <w:r w:rsidRPr="00E73C72">
        <w:rPr>
          <w:rFonts w:ascii="Times New Roman" w:hAnsi="Times New Roman"/>
          <w:sz w:val="28"/>
          <w:szCs w:val="28"/>
        </w:rPr>
        <w:t>(</w:t>
      </w:r>
      <w:r>
        <w:rPr>
          <w:rFonts w:ascii="Times New Roman" w:hAnsi="Times New Roman"/>
          <w:sz w:val="28"/>
          <w:szCs w:val="28"/>
          <w:lang w:val="en-US"/>
        </w:rPr>
        <w:t>EBIT</w:t>
      </w:r>
      <w:r w:rsidRPr="00E73C72">
        <w:rPr>
          <w:rFonts w:ascii="Times New Roman" w:hAnsi="Times New Roman"/>
          <w:sz w:val="28"/>
          <w:szCs w:val="28"/>
        </w:rPr>
        <w:t xml:space="preserve">) </w:t>
      </w:r>
      <w:r>
        <w:rPr>
          <w:rFonts w:ascii="Times New Roman" w:hAnsi="Times New Roman"/>
          <w:sz w:val="28"/>
          <w:szCs w:val="28"/>
        </w:rPr>
        <w:t>выросла на 60,3% по сравнению с 2011 г. и составила 5 013 млн. долл. Чистая прибыль компании увеличилась на 75,3% по отношению к уровню 2011 г. и составила 4 221 млн. долл.</w:t>
      </w:r>
    </w:p>
    <w:p w:rsidR="00516EE0" w:rsidRPr="006E5B28"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В регионе Латинской Америки</w:t>
      </w:r>
      <w:r w:rsidRPr="002D12D6">
        <w:rPr>
          <w:rFonts w:ascii="Times New Roman" w:hAnsi="Times New Roman"/>
          <w:sz w:val="28"/>
          <w:szCs w:val="28"/>
        </w:rPr>
        <w:t xml:space="preserve"> </w:t>
      </w:r>
      <w:r>
        <w:rPr>
          <w:rFonts w:ascii="Times New Roman" w:hAnsi="Times New Roman"/>
          <w:sz w:val="28"/>
          <w:szCs w:val="28"/>
        </w:rPr>
        <w:t xml:space="preserve">находится 17 пивоваренных заводов. Операции по производству пива осуществляются в Колумбии, Эквадоре, Эль Сальвадоре, Гондурасе, Панаме и Перу. На латиноамериканском рынке компания предлагает такие бренды как </w:t>
      </w:r>
      <w:r w:rsidRPr="006E5B28">
        <w:rPr>
          <w:rFonts w:ascii="Times New Roman" w:hAnsi="Times New Roman"/>
          <w:sz w:val="28"/>
          <w:szCs w:val="28"/>
        </w:rPr>
        <w:t>Aguila, Atlas, Balboa, Barena, Club, Club Colombia, Costena,</w:t>
      </w:r>
      <w:r>
        <w:rPr>
          <w:rFonts w:ascii="Times New Roman" w:hAnsi="Times New Roman"/>
          <w:sz w:val="28"/>
          <w:szCs w:val="28"/>
        </w:rPr>
        <w:t xml:space="preserve"> </w:t>
      </w:r>
      <w:r w:rsidRPr="006E5B28">
        <w:rPr>
          <w:rFonts w:ascii="Times New Roman" w:hAnsi="Times New Roman"/>
          <w:sz w:val="28"/>
          <w:szCs w:val="28"/>
          <w:lang w:val="en-US"/>
        </w:rPr>
        <w:t>Cristal</w:t>
      </w:r>
      <w:r w:rsidRPr="006E5B28">
        <w:rPr>
          <w:rFonts w:ascii="Times New Roman" w:hAnsi="Times New Roman"/>
          <w:sz w:val="28"/>
          <w:szCs w:val="28"/>
        </w:rPr>
        <w:t xml:space="preserve">, </w:t>
      </w:r>
      <w:r w:rsidRPr="006E5B28">
        <w:rPr>
          <w:rFonts w:ascii="Times New Roman" w:hAnsi="Times New Roman"/>
          <w:sz w:val="28"/>
          <w:szCs w:val="28"/>
          <w:lang w:val="en-US"/>
        </w:rPr>
        <w:t>Cusquena</w:t>
      </w:r>
      <w:r w:rsidRPr="006E5B28">
        <w:rPr>
          <w:rFonts w:ascii="Times New Roman" w:hAnsi="Times New Roman"/>
          <w:sz w:val="28"/>
          <w:szCs w:val="28"/>
        </w:rPr>
        <w:t xml:space="preserve">, </w:t>
      </w:r>
      <w:r w:rsidRPr="006E5B28">
        <w:rPr>
          <w:rFonts w:ascii="Times New Roman" w:hAnsi="Times New Roman"/>
          <w:sz w:val="28"/>
          <w:szCs w:val="28"/>
          <w:lang w:val="en-US"/>
        </w:rPr>
        <w:t>Golden</w:t>
      </w:r>
      <w:r w:rsidRPr="006E5B28">
        <w:rPr>
          <w:rFonts w:ascii="Times New Roman" w:hAnsi="Times New Roman"/>
          <w:sz w:val="28"/>
          <w:szCs w:val="28"/>
        </w:rPr>
        <w:t xml:space="preserve"> </w:t>
      </w:r>
      <w:r w:rsidRPr="006E5B28">
        <w:rPr>
          <w:rFonts w:ascii="Times New Roman" w:hAnsi="Times New Roman"/>
          <w:sz w:val="28"/>
          <w:szCs w:val="28"/>
          <w:lang w:val="en-US"/>
        </w:rPr>
        <w:t>Light</w:t>
      </w:r>
      <w:r w:rsidRPr="006E5B28">
        <w:rPr>
          <w:rFonts w:ascii="Times New Roman" w:hAnsi="Times New Roman"/>
          <w:sz w:val="28"/>
          <w:szCs w:val="28"/>
        </w:rPr>
        <w:t xml:space="preserve">, </w:t>
      </w:r>
      <w:r w:rsidRPr="006E5B28">
        <w:rPr>
          <w:rFonts w:ascii="Times New Roman" w:hAnsi="Times New Roman"/>
          <w:sz w:val="28"/>
          <w:szCs w:val="28"/>
          <w:lang w:val="en-US"/>
        </w:rPr>
        <w:t>Imperial</w:t>
      </w:r>
      <w:r w:rsidRPr="006E5B28">
        <w:rPr>
          <w:rFonts w:ascii="Times New Roman" w:hAnsi="Times New Roman"/>
          <w:sz w:val="28"/>
          <w:szCs w:val="28"/>
        </w:rPr>
        <w:t xml:space="preserve">, </w:t>
      </w:r>
      <w:r w:rsidRPr="006E5B28">
        <w:rPr>
          <w:rFonts w:ascii="Times New Roman" w:hAnsi="Times New Roman"/>
          <w:sz w:val="28"/>
          <w:szCs w:val="28"/>
          <w:lang w:val="en-US"/>
        </w:rPr>
        <w:t>Pilsen</w:t>
      </w:r>
      <w:r w:rsidRPr="006E5B28">
        <w:rPr>
          <w:rFonts w:ascii="Times New Roman" w:hAnsi="Times New Roman"/>
          <w:sz w:val="28"/>
          <w:szCs w:val="28"/>
        </w:rPr>
        <w:t xml:space="preserve">, </w:t>
      </w:r>
      <w:r w:rsidRPr="006E5B28">
        <w:rPr>
          <w:rFonts w:ascii="Times New Roman" w:hAnsi="Times New Roman"/>
          <w:sz w:val="28"/>
          <w:szCs w:val="28"/>
          <w:lang w:val="en-US"/>
        </w:rPr>
        <w:t>Pilsener</w:t>
      </w:r>
      <w:r w:rsidRPr="006E5B28">
        <w:rPr>
          <w:rFonts w:ascii="Times New Roman" w:hAnsi="Times New Roman"/>
          <w:sz w:val="28"/>
          <w:szCs w:val="28"/>
        </w:rPr>
        <w:t xml:space="preserve">, </w:t>
      </w:r>
      <w:r w:rsidRPr="006E5B28">
        <w:rPr>
          <w:rFonts w:ascii="Times New Roman" w:hAnsi="Times New Roman"/>
          <w:sz w:val="28"/>
          <w:szCs w:val="28"/>
          <w:lang w:val="en-US"/>
        </w:rPr>
        <w:t>Pilsen</w:t>
      </w:r>
      <w:r w:rsidRPr="006E5B28">
        <w:rPr>
          <w:rFonts w:ascii="Times New Roman" w:hAnsi="Times New Roman"/>
          <w:sz w:val="28"/>
          <w:szCs w:val="28"/>
        </w:rPr>
        <w:t xml:space="preserve"> </w:t>
      </w:r>
      <w:r w:rsidRPr="006E5B28">
        <w:rPr>
          <w:rFonts w:ascii="Times New Roman" w:hAnsi="Times New Roman"/>
          <w:sz w:val="28"/>
          <w:szCs w:val="28"/>
          <w:lang w:val="en-US"/>
        </w:rPr>
        <w:t>Callao</w:t>
      </w:r>
      <w:r w:rsidRPr="006E5B28">
        <w:rPr>
          <w:rFonts w:ascii="Times New Roman" w:hAnsi="Times New Roman"/>
          <w:sz w:val="28"/>
          <w:szCs w:val="28"/>
        </w:rPr>
        <w:t xml:space="preserve">, </w:t>
      </w:r>
      <w:r w:rsidRPr="006E5B28">
        <w:rPr>
          <w:rFonts w:ascii="Times New Roman" w:hAnsi="Times New Roman"/>
          <w:sz w:val="28"/>
          <w:szCs w:val="28"/>
          <w:lang w:val="en-US"/>
        </w:rPr>
        <w:t>Pilsen</w:t>
      </w:r>
      <w:r w:rsidRPr="006E5B28">
        <w:rPr>
          <w:rFonts w:ascii="Times New Roman" w:hAnsi="Times New Roman"/>
          <w:sz w:val="28"/>
          <w:szCs w:val="28"/>
        </w:rPr>
        <w:t xml:space="preserve"> </w:t>
      </w:r>
      <w:r w:rsidRPr="006E5B28">
        <w:rPr>
          <w:rFonts w:ascii="Times New Roman" w:hAnsi="Times New Roman"/>
          <w:sz w:val="28"/>
          <w:szCs w:val="28"/>
          <w:lang w:val="en-US"/>
        </w:rPr>
        <w:t>Trujillo</w:t>
      </w:r>
      <w:r w:rsidRPr="006E5B28">
        <w:rPr>
          <w:rFonts w:ascii="Times New Roman" w:hAnsi="Times New Roman"/>
          <w:sz w:val="28"/>
          <w:szCs w:val="28"/>
        </w:rPr>
        <w:t xml:space="preserve">, </w:t>
      </w:r>
      <w:r w:rsidRPr="006E5B28">
        <w:rPr>
          <w:rFonts w:ascii="Times New Roman" w:hAnsi="Times New Roman"/>
          <w:sz w:val="28"/>
          <w:szCs w:val="28"/>
          <w:lang w:val="en-US"/>
        </w:rPr>
        <w:t>Poker</w:t>
      </w:r>
      <w:r w:rsidRPr="006E5B28">
        <w:rPr>
          <w:rFonts w:ascii="Times New Roman" w:hAnsi="Times New Roman"/>
          <w:sz w:val="28"/>
          <w:szCs w:val="28"/>
        </w:rPr>
        <w:t>,</w:t>
      </w:r>
      <w:r>
        <w:rPr>
          <w:rFonts w:ascii="Times New Roman" w:hAnsi="Times New Roman"/>
          <w:sz w:val="28"/>
          <w:szCs w:val="28"/>
        </w:rPr>
        <w:t xml:space="preserve"> </w:t>
      </w:r>
      <w:r w:rsidRPr="006E5B28">
        <w:rPr>
          <w:rFonts w:ascii="Times New Roman" w:hAnsi="Times New Roman"/>
          <w:sz w:val="28"/>
          <w:szCs w:val="28"/>
          <w:lang w:val="en-US"/>
        </w:rPr>
        <w:t>Pony</w:t>
      </w:r>
      <w:r w:rsidRPr="006E5B28">
        <w:rPr>
          <w:rFonts w:ascii="Times New Roman" w:hAnsi="Times New Roman"/>
          <w:sz w:val="28"/>
          <w:szCs w:val="28"/>
        </w:rPr>
        <w:t xml:space="preserve"> </w:t>
      </w:r>
      <w:r w:rsidRPr="006E5B28">
        <w:rPr>
          <w:rFonts w:ascii="Times New Roman" w:hAnsi="Times New Roman"/>
          <w:sz w:val="28"/>
          <w:szCs w:val="28"/>
          <w:lang w:val="en-US"/>
        </w:rPr>
        <w:t>Malta</w:t>
      </w:r>
      <w:r w:rsidRPr="006E5B28">
        <w:rPr>
          <w:rFonts w:ascii="Times New Roman" w:hAnsi="Times New Roman"/>
          <w:sz w:val="28"/>
          <w:szCs w:val="28"/>
        </w:rPr>
        <w:t xml:space="preserve">, </w:t>
      </w:r>
      <w:r w:rsidRPr="006E5B28">
        <w:rPr>
          <w:rFonts w:ascii="Times New Roman" w:hAnsi="Times New Roman"/>
          <w:sz w:val="28"/>
          <w:szCs w:val="28"/>
          <w:lang w:val="en-US"/>
        </w:rPr>
        <w:t>Port</w:t>
      </w:r>
      <w:r w:rsidRPr="006E5B28">
        <w:rPr>
          <w:rFonts w:ascii="Times New Roman" w:hAnsi="Times New Roman"/>
          <w:sz w:val="28"/>
          <w:szCs w:val="28"/>
        </w:rPr>
        <w:t xml:space="preserve"> </w:t>
      </w:r>
      <w:r w:rsidRPr="006E5B28">
        <w:rPr>
          <w:rFonts w:ascii="Times New Roman" w:hAnsi="Times New Roman"/>
          <w:sz w:val="28"/>
          <w:szCs w:val="28"/>
          <w:lang w:val="en-US"/>
        </w:rPr>
        <w:t>Royal</w:t>
      </w:r>
      <w:r w:rsidRPr="006E5B28">
        <w:rPr>
          <w:rFonts w:ascii="Times New Roman" w:hAnsi="Times New Roman"/>
          <w:sz w:val="28"/>
          <w:szCs w:val="28"/>
        </w:rPr>
        <w:t xml:space="preserve"> </w:t>
      </w:r>
      <w:r>
        <w:rPr>
          <w:rFonts w:ascii="Times New Roman" w:hAnsi="Times New Roman"/>
          <w:sz w:val="28"/>
          <w:szCs w:val="28"/>
        </w:rPr>
        <w:t>и</w:t>
      </w:r>
      <w:r w:rsidRPr="006E5B28">
        <w:rPr>
          <w:rFonts w:ascii="Times New Roman" w:hAnsi="Times New Roman"/>
          <w:sz w:val="28"/>
          <w:szCs w:val="28"/>
        </w:rPr>
        <w:t xml:space="preserve"> </w:t>
      </w:r>
      <w:r w:rsidRPr="006E5B28">
        <w:rPr>
          <w:rFonts w:ascii="Times New Roman" w:hAnsi="Times New Roman"/>
          <w:sz w:val="28"/>
          <w:szCs w:val="28"/>
          <w:lang w:val="en-US"/>
        </w:rPr>
        <w:t>Salva</w:t>
      </w:r>
      <w:r w:rsidRPr="006E5B28">
        <w:rPr>
          <w:rFonts w:ascii="Times New Roman" w:hAnsi="Times New Roman"/>
          <w:sz w:val="28"/>
          <w:szCs w:val="28"/>
        </w:rPr>
        <w:t xml:space="preserve"> </w:t>
      </w:r>
      <w:r w:rsidRPr="006E5B28">
        <w:rPr>
          <w:rFonts w:ascii="Times New Roman" w:hAnsi="Times New Roman"/>
          <w:sz w:val="28"/>
          <w:szCs w:val="28"/>
          <w:lang w:val="en-US"/>
        </w:rPr>
        <w:t>Vida</w:t>
      </w:r>
      <w:r w:rsidRPr="006E5B28">
        <w:rPr>
          <w:rFonts w:ascii="Times New Roman" w:hAnsi="Times New Roman"/>
          <w:sz w:val="28"/>
          <w:szCs w:val="28"/>
        </w:rPr>
        <w:t>.</w:t>
      </w:r>
      <w:r>
        <w:rPr>
          <w:rFonts w:ascii="Times New Roman" w:hAnsi="Times New Roman"/>
          <w:sz w:val="28"/>
          <w:szCs w:val="28"/>
        </w:rPr>
        <w:t xml:space="preserve"> Стоит отметить, что в 2012 г. выручка в регионе составила 7 148 млн. долл.</w:t>
      </w:r>
      <w:r>
        <w:rPr>
          <w:rStyle w:val="a5"/>
          <w:rFonts w:ascii="Times New Roman" w:hAnsi="Times New Roman"/>
          <w:sz w:val="28"/>
          <w:szCs w:val="28"/>
        </w:rPr>
        <w:footnoteReference w:id="16"/>
      </w:r>
      <w:r>
        <w:rPr>
          <w:rFonts w:ascii="Times New Roman" w:hAnsi="Times New Roman"/>
          <w:sz w:val="28"/>
          <w:szCs w:val="28"/>
        </w:rPr>
        <w:t xml:space="preserve"> – рост на 13% по сравнению с 2011 г. Основным драйвером продаж является рынок Колумбии, выручка в кото</w:t>
      </w:r>
      <w:r w:rsidR="00761E27">
        <w:rPr>
          <w:rFonts w:ascii="Times New Roman" w:hAnsi="Times New Roman"/>
          <w:sz w:val="28"/>
          <w:szCs w:val="28"/>
        </w:rPr>
        <w:t>ром составила 3 481 млн. долл. в</w:t>
      </w:r>
      <w:r>
        <w:rPr>
          <w:rFonts w:ascii="Times New Roman" w:hAnsi="Times New Roman"/>
          <w:sz w:val="28"/>
          <w:szCs w:val="28"/>
        </w:rPr>
        <w:t xml:space="preserve"> 2012 г., что превысило уровень 2011 г. на 10,7%. Доля региона в общей выручке 2012 г. составила 32,7%.</w:t>
      </w:r>
    </w:p>
    <w:p w:rsidR="00516EE0" w:rsidRDefault="00516EE0" w:rsidP="00516EE0">
      <w:pPr>
        <w:spacing w:line="360" w:lineRule="auto"/>
        <w:ind w:firstLine="360"/>
        <w:jc w:val="both"/>
        <w:rPr>
          <w:rFonts w:ascii="Times New Roman" w:hAnsi="Times New Roman"/>
          <w:sz w:val="28"/>
          <w:szCs w:val="28"/>
        </w:rPr>
      </w:pPr>
      <w:r>
        <w:rPr>
          <w:rFonts w:ascii="Times New Roman" w:hAnsi="Times New Roman"/>
          <w:sz w:val="28"/>
          <w:szCs w:val="28"/>
        </w:rPr>
        <w:t xml:space="preserve">В европейском регионе компания владеет 17 производственными мощностями, которые находятся в 8 странах: </w:t>
      </w:r>
      <w:proofErr w:type="gramStart"/>
      <w:r>
        <w:rPr>
          <w:rFonts w:ascii="Times New Roman" w:hAnsi="Times New Roman"/>
          <w:sz w:val="28"/>
          <w:szCs w:val="28"/>
        </w:rPr>
        <w:t>Чешская Республика, Венгрия, Италия, Польша, Румыния, Словакия, Испания (Канарские острова) и Нидерланды.</w:t>
      </w:r>
      <w:proofErr w:type="gramEnd"/>
      <w:r>
        <w:rPr>
          <w:rFonts w:ascii="Times New Roman" w:hAnsi="Times New Roman"/>
          <w:sz w:val="28"/>
          <w:szCs w:val="28"/>
        </w:rPr>
        <w:t xml:space="preserve"> Также </w:t>
      </w:r>
      <w:r>
        <w:rPr>
          <w:rFonts w:ascii="Times New Roman" w:hAnsi="Times New Roman"/>
          <w:sz w:val="28"/>
          <w:szCs w:val="28"/>
          <w:lang w:val="en-US"/>
        </w:rPr>
        <w:t>SABMiller</w:t>
      </w:r>
      <w:r w:rsidRPr="00EE51F1">
        <w:rPr>
          <w:rFonts w:ascii="Times New Roman" w:hAnsi="Times New Roman"/>
          <w:sz w:val="28"/>
          <w:szCs w:val="28"/>
        </w:rPr>
        <w:t xml:space="preserve"> </w:t>
      </w:r>
      <w:r>
        <w:rPr>
          <w:rFonts w:ascii="Times New Roman" w:hAnsi="Times New Roman"/>
          <w:sz w:val="28"/>
          <w:szCs w:val="28"/>
          <w:lang w:val="en-US"/>
        </w:rPr>
        <w:t>plc</w:t>
      </w:r>
      <w:r w:rsidRPr="00EE51F1">
        <w:rPr>
          <w:rFonts w:ascii="Times New Roman" w:hAnsi="Times New Roman"/>
          <w:sz w:val="28"/>
          <w:szCs w:val="28"/>
        </w:rPr>
        <w:t xml:space="preserve">. </w:t>
      </w:r>
      <w:r>
        <w:rPr>
          <w:rFonts w:ascii="Times New Roman" w:hAnsi="Times New Roman"/>
          <w:sz w:val="28"/>
          <w:szCs w:val="28"/>
        </w:rPr>
        <w:t xml:space="preserve">экспортирует продукцию еще в 8 европейских стран, включая Великобританию и Германию. Ключевыми брендами, предлагаемыми на рынках, являются </w:t>
      </w:r>
      <w:r w:rsidRPr="00EE51F1">
        <w:rPr>
          <w:rFonts w:ascii="Times New Roman" w:hAnsi="Times New Roman"/>
          <w:sz w:val="28"/>
          <w:szCs w:val="28"/>
        </w:rPr>
        <w:t>Arany Aszok, Dorada, Dreher, Gambrinus, Grolsch, Kozel, Lech, Peroni,</w:t>
      </w:r>
      <w:r>
        <w:rPr>
          <w:rFonts w:ascii="Times New Roman" w:hAnsi="Times New Roman"/>
          <w:sz w:val="28"/>
          <w:szCs w:val="28"/>
        </w:rPr>
        <w:t xml:space="preserve"> </w:t>
      </w:r>
      <w:r w:rsidRPr="00EE51F1">
        <w:rPr>
          <w:rFonts w:ascii="Times New Roman" w:hAnsi="Times New Roman"/>
          <w:sz w:val="28"/>
          <w:szCs w:val="28"/>
          <w:lang w:val="en-US"/>
        </w:rPr>
        <w:t>Nastro</w:t>
      </w:r>
      <w:r w:rsidRPr="00EE51F1">
        <w:rPr>
          <w:rFonts w:ascii="Times New Roman" w:hAnsi="Times New Roman"/>
          <w:sz w:val="28"/>
          <w:szCs w:val="28"/>
        </w:rPr>
        <w:t xml:space="preserve"> </w:t>
      </w:r>
      <w:r w:rsidRPr="00EE51F1">
        <w:rPr>
          <w:rFonts w:ascii="Times New Roman" w:hAnsi="Times New Roman"/>
          <w:sz w:val="28"/>
          <w:szCs w:val="28"/>
          <w:lang w:val="en-US"/>
        </w:rPr>
        <w:t>Azzurro</w:t>
      </w:r>
      <w:r w:rsidRPr="00EE51F1">
        <w:rPr>
          <w:rFonts w:ascii="Times New Roman" w:hAnsi="Times New Roman"/>
          <w:sz w:val="28"/>
          <w:szCs w:val="28"/>
        </w:rPr>
        <w:t xml:space="preserve">, </w:t>
      </w:r>
      <w:r w:rsidRPr="00EE51F1">
        <w:rPr>
          <w:rFonts w:ascii="Times New Roman" w:hAnsi="Times New Roman"/>
          <w:sz w:val="28"/>
          <w:szCs w:val="28"/>
          <w:lang w:val="en-US"/>
        </w:rPr>
        <w:t>Pilsner</w:t>
      </w:r>
      <w:r w:rsidRPr="00EE51F1">
        <w:rPr>
          <w:rFonts w:ascii="Times New Roman" w:hAnsi="Times New Roman"/>
          <w:sz w:val="28"/>
          <w:szCs w:val="28"/>
        </w:rPr>
        <w:t xml:space="preserve"> </w:t>
      </w:r>
      <w:r w:rsidRPr="00EE51F1">
        <w:rPr>
          <w:rFonts w:ascii="Times New Roman" w:hAnsi="Times New Roman"/>
          <w:sz w:val="28"/>
          <w:szCs w:val="28"/>
          <w:lang w:val="en-US"/>
        </w:rPr>
        <w:t>Urquell</w:t>
      </w:r>
      <w:r w:rsidRPr="00EE51F1">
        <w:rPr>
          <w:rFonts w:ascii="Times New Roman" w:hAnsi="Times New Roman"/>
          <w:sz w:val="28"/>
          <w:szCs w:val="28"/>
        </w:rPr>
        <w:t xml:space="preserve">, </w:t>
      </w:r>
      <w:r w:rsidRPr="00EE51F1">
        <w:rPr>
          <w:rFonts w:ascii="Times New Roman" w:hAnsi="Times New Roman"/>
          <w:sz w:val="28"/>
          <w:szCs w:val="28"/>
          <w:lang w:val="en-US"/>
        </w:rPr>
        <w:t>Radegast</w:t>
      </w:r>
      <w:r w:rsidRPr="00EE51F1">
        <w:rPr>
          <w:rFonts w:ascii="Times New Roman" w:hAnsi="Times New Roman"/>
          <w:sz w:val="28"/>
          <w:szCs w:val="28"/>
        </w:rPr>
        <w:t xml:space="preserve"> </w:t>
      </w:r>
      <w:r w:rsidRPr="00EE51F1">
        <w:rPr>
          <w:rFonts w:ascii="Times New Roman" w:hAnsi="Times New Roman"/>
          <w:sz w:val="28"/>
          <w:szCs w:val="28"/>
          <w:lang w:val="en-US"/>
        </w:rPr>
        <w:t>Birell</w:t>
      </w:r>
      <w:r w:rsidRPr="00EE51F1">
        <w:rPr>
          <w:rFonts w:ascii="Times New Roman" w:hAnsi="Times New Roman"/>
          <w:sz w:val="28"/>
          <w:szCs w:val="28"/>
        </w:rPr>
        <w:t xml:space="preserve">, </w:t>
      </w:r>
      <w:r w:rsidRPr="00EE51F1">
        <w:rPr>
          <w:rFonts w:ascii="Times New Roman" w:hAnsi="Times New Roman"/>
          <w:sz w:val="28"/>
          <w:szCs w:val="28"/>
          <w:lang w:val="en-US"/>
        </w:rPr>
        <w:t>Saris</w:t>
      </w:r>
      <w:r w:rsidRPr="00EE51F1">
        <w:rPr>
          <w:rFonts w:ascii="Times New Roman" w:hAnsi="Times New Roman"/>
          <w:sz w:val="28"/>
          <w:szCs w:val="28"/>
        </w:rPr>
        <w:t xml:space="preserve">, </w:t>
      </w:r>
      <w:r w:rsidRPr="00EE51F1">
        <w:rPr>
          <w:rFonts w:ascii="Times New Roman" w:hAnsi="Times New Roman"/>
          <w:sz w:val="28"/>
          <w:szCs w:val="28"/>
          <w:lang w:val="en-US"/>
        </w:rPr>
        <w:t>Timisoreana</w:t>
      </w:r>
      <w:r w:rsidRPr="00EE51F1">
        <w:rPr>
          <w:rFonts w:ascii="Times New Roman" w:hAnsi="Times New Roman"/>
          <w:sz w:val="28"/>
          <w:szCs w:val="28"/>
        </w:rPr>
        <w:t xml:space="preserve">, </w:t>
      </w:r>
      <w:r w:rsidRPr="00EE51F1">
        <w:rPr>
          <w:rFonts w:ascii="Times New Roman" w:hAnsi="Times New Roman"/>
          <w:sz w:val="28"/>
          <w:szCs w:val="28"/>
          <w:lang w:val="en-US"/>
        </w:rPr>
        <w:t>Topvar</w:t>
      </w:r>
      <w:r w:rsidRPr="00EE51F1">
        <w:rPr>
          <w:rFonts w:ascii="Times New Roman" w:hAnsi="Times New Roman"/>
          <w:sz w:val="28"/>
          <w:szCs w:val="28"/>
        </w:rPr>
        <w:t xml:space="preserve">, </w:t>
      </w:r>
      <w:r w:rsidRPr="00EE51F1">
        <w:rPr>
          <w:rFonts w:ascii="Times New Roman" w:hAnsi="Times New Roman"/>
          <w:sz w:val="28"/>
          <w:szCs w:val="28"/>
          <w:lang w:val="en-US"/>
        </w:rPr>
        <w:t>Tropical</w:t>
      </w:r>
      <w:r w:rsidRPr="00EE51F1">
        <w:rPr>
          <w:rFonts w:ascii="Times New Roman" w:hAnsi="Times New Roman"/>
          <w:sz w:val="28"/>
          <w:szCs w:val="28"/>
        </w:rPr>
        <w:t xml:space="preserve">, </w:t>
      </w:r>
      <w:r w:rsidRPr="00EE51F1">
        <w:rPr>
          <w:rFonts w:ascii="Times New Roman" w:hAnsi="Times New Roman"/>
          <w:sz w:val="28"/>
          <w:szCs w:val="28"/>
          <w:lang w:val="en-US"/>
        </w:rPr>
        <w:t>Tyskie</w:t>
      </w:r>
      <w:r w:rsidRPr="00EE51F1">
        <w:rPr>
          <w:rFonts w:ascii="Times New Roman" w:hAnsi="Times New Roman"/>
          <w:sz w:val="28"/>
          <w:szCs w:val="28"/>
        </w:rPr>
        <w:t>,</w:t>
      </w:r>
      <w:r>
        <w:rPr>
          <w:rFonts w:ascii="Times New Roman" w:hAnsi="Times New Roman"/>
          <w:sz w:val="28"/>
          <w:szCs w:val="28"/>
        </w:rPr>
        <w:t xml:space="preserve"> </w:t>
      </w:r>
      <w:r w:rsidRPr="00EE51F1">
        <w:rPr>
          <w:rFonts w:ascii="Times New Roman" w:hAnsi="Times New Roman"/>
          <w:sz w:val="28"/>
          <w:szCs w:val="28"/>
          <w:lang w:val="en-US"/>
        </w:rPr>
        <w:t>Ursus</w:t>
      </w:r>
      <w:r w:rsidRPr="00EE51F1">
        <w:rPr>
          <w:rFonts w:ascii="Times New Roman" w:hAnsi="Times New Roman"/>
          <w:sz w:val="28"/>
          <w:szCs w:val="28"/>
        </w:rPr>
        <w:t xml:space="preserve">, </w:t>
      </w:r>
      <w:r>
        <w:rPr>
          <w:rFonts w:ascii="Times New Roman" w:hAnsi="Times New Roman"/>
          <w:sz w:val="28"/>
          <w:szCs w:val="28"/>
        </w:rPr>
        <w:t xml:space="preserve">Золотая Бочка и Зубр. В 2012 г. выручка в регионе составила 5 347 млн. долл., 24,6% в общих продажах компании. </w:t>
      </w:r>
    </w:p>
    <w:p w:rsidR="00E1349D" w:rsidRDefault="00761E27" w:rsidP="00761E27">
      <w:pPr>
        <w:spacing w:line="360" w:lineRule="auto"/>
        <w:ind w:firstLine="360"/>
        <w:jc w:val="both"/>
        <w:rPr>
          <w:rFonts w:ascii="Times New Roman" w:hAnsi="Times New Roman"/>
          <w:sz w:val="28"/>
          <w:szCs w:val="28"/>
        </w:rPr>
      </w:pPr>
      <w:r>
        <w:rPr>
          <w:rFonts w:ascii="Times New Roman" w:hAnsi="Times New Roman"/>
          <w:sz w:val="28"/>
          <w:szCs w:val="28"/>
        </w:rPr>
        <w:t xml:space="preserve">В Южной Африке компания осуществляет свою деятельность через South African Breweries </w:t>
      </w:r>
      <w:r w:rsidRPr="00761E27">
        <w:rPr>
          <w:rFonts w:ascii="Times New Roman" w:hAnsi="Times New Roman"/>
          <w:sz w:val="28"/>
          <w:szCs w:val="28"/>
        </w:rPr>
        <w:t>Ltd. (SABL).</w:t>
      </w:r>
      <w:r>
        <w:rPr>
          <w:rFonts w:ascii="Times New Roman" w:hAnsi="Times New Roman"/>
          <w:sz w:val="28"/>
          <w:szCs w:val="28"/>
        </w:rPr>
        <w:t xml:space="preserve"> </w:t>
      </w:r>
      <w:r>
        <w:rPr>
          <w:rFonts w:ascii="Times New Roman" w:hAnsi="Times New Roman"/>
          <w:sz w:val="28"/>
          <w:szCs w:val="28"/>
          <w:lang w:val="en-US"/>
        </w:rPr>
        <w:t>SABL</w:t>
      </w:r>
      <w:r w:rsidRPr="00761E27">
        <w:rPr>
          <w:rFonts w:ascii="Times New Roman" w:hAnsi="Times New Roman"/>
          <w:sz w:val="28"/>
          <w:szCs w:val="28"/>
        </w:rPr>
        <w:t xml:space="preserve"> </w:t>
      </w:r>
      <w:r>
        <w:rPr>
          <w:rFonts w:ascii="Times New Roman" w:hAnsi="Times New Roman"/>
          <w:sz w:val="28"/>
          <w:szCs w:val="28"/>
        </w:rPr>
        <w:t xml:space="preserve">владеет 7 пивоваренными заводами, на которых производятся такие бренды как </w:t>
      </w:r>
      <w:r w:rsidRPr="00761E27">
        <w:rPr>
          <w:rFonts w:ascii="Times New Roman" w:hAnsi="Times New Roman"/>
          <w:sz w:val="28"/>
          <w:szCs w:val="28"/>
        </w:rPr>
        <w:t>Appletiser,</w:t>
      </w:r>
      <w:r>
        <w:rPr>
          <w:rFonts w:ascii="Times New Roman" w:hAnsi="Times New Roman"/>
          <w:sz w:val="28"/>
          <w:szCs w:val="28"/>
        </w:rPr>
        <w:t xml:space="preserve"> </w:t>
      </w:r>
      <w:r w:rsidRPr="00761E27">
        <w:rPr>
          <w:rFonts w:ascii="Times New Roman" w:hAnsi="Times New Roman"/>
          <w:sz w:val="28"/>
          <w:szCs w:val="28"/>
          <w:lang w:val="en-US"/>
        </w:rPr>
        <w:t>Brutal</w:t>
      </w:r>
      <w:r w:rsidRPr="00761E27">
        <w:rPr>
          <w:rFonts w:ascii="Times New Roman" w:hAnsi="Times New Roman"/>
          <w:sz w:val="28"/>
          <w:szCs w:val="28"/>
        </w:rPr>
        <w:t xml:space="preserve"> </w:t>
      </w:r>
      <w:r w:rsidRPr="00761E27">
        <w:rPr>
          <w:rFonts w:ascii="Times New Roman" w:hAnsi="Times New Roman"/>
          <w:sz w:val="28"/>
          <w:szCs w:val="28"/>
          <w:lang w:val="en-US"/>
        </w:rPr>
        <w:t>Fruit</w:t>
      </w:r>
      <w:r w:rsidRPr="00761E27">
        <w:rPr>
          <w:rFonts w:ascii="Times New Roman" w:hAnsi="Times New Roman"/>
          <w:sz w:val="28"/>
          <w:szCs w:val="28"/>
        </w:rPr>
        <w:t xml:space="preserve">, </w:t>
      </w:r>
      <w:r w:rsidRPr="00761E27">
        <w:rPr>
          <w:rFonts w:ascii="Times New Roman" w:hAnsi="Times New Roman"/>
          <w:sz w:val="28"/>
          <w:szCs w:val="28"/>
          <w:lang w:val="en-US"/>
        </w:rPr>
        <w:t>Carling</w:t>
      </w:r>
      <w:r w:rsidRPr="00761E27">
        <w:rPr>
          <w:rFonts w:ascii="Times New Roman" w:hAnsi="Times New Roman"/>
          <w:sz w:val="28"/>
          <w:szCs w:val="28"/>
        </w:rPr>
        <w:t xml:space="preserve"> </w:t>
      </w:r>
      <w:r w:rsidRPr="00761E27">
        <w:rPr>
          <w:rFonts w:ascii="Times New Roman" w:hAnsi="Times New Roman"/>
          <w:sz w:val="28"/>
          <w:szCs w:val="28"/>
          <w:lang w:val="en-US"/>
        </w:rPr>
        <w:t>Black</w:t>
      </w:r>
      <w:r w:rsidRPr="00761E27">
        <w:rPr>
          <w:rFonts w:ascii="Times New Roman" w:hAnsi="Times New Roman"/>
          <w:sz w:val="28"/>
          <w:szCs w:val="28"/>
        </w:rPr>
        <w:t xml:space="preserve"> </w:t>
      </w:r>
      <w:r w:rsidRPr="00761E27">
        <w:rPr>
          <w:rFonts w:ascii="Times New Roman" w:hAnsi="Times New Roman"/>
          <w:sz w:val="28"/>
          <w:szCs w:val="28"/>
          <w:lang w:val="en-US"/>
        </w:rPr>
        <w:t>Label</w:t>
      </w:r>
      <w:r w:rsidRPr="00761E27">
        <w:rPr>
          <w:rFonts w:ascii="Times New Roman" w:hAnsi="Times New Roman"/>
          <w:sz w:val="28"/>
          <w:szCs w:val="28"/>
        </w:rPr>
        <w:t xml:space="preserve">, </w:t>
      </w:r>
      <w:r w:rsidRPr="00761E27">
        <w:rPr>
          <w:rFonts w:ascii="Times New Roman" w:hAnsi="Times New Roman"/>
          <w:sz w:val="28"/>
          <w:szCs w:val="28"/>
          <w:lang w:val="en-US"/>
        </w:rPr>
        <w:t>Castle</w:t>
      </w:r>
      <w:r w:rsidRPr="00761E27">
        <w:rPr>
          <w:rFonts w:ascii="Times New Roman" w:hAnsi="Times New Roman"/>
          <w:sz w:val="28"/>
          <w:szCs w:val="28"/>
        </w:rPr>
        <w:t xml:space="preserve"> </w:t>
      </w:r>
      <w:r w:rsidRPr="00761E27">
        <w:rPr>
          <w:rFonts w:ascii="Times New Roman" w:hAnsi="Times New Roman"/>
          <w:sz w:val="28"/>
          <w:szCs w:val="28"/>
          <w:lang w:val="en-US"/>
        </w:rPr>
        <w:t>Lager</w:t>
      </w:r>
      <w:r w:rsidRPr="00761E27">
        <w:rPr>
          <w:rFonts w:ascii="Times New Roman" w:hAnsi="Times New Roman"/>
          <w:sz w:val="28"/>
          <w:szCs w:val="28"/>
        </w:rPr>
        <w:t xml:space="preserve">, </w:t>
      </w:r>
      <w:r w:rsidRPr="00761E27">
        <w:rPr>
          <w:rFonts w:ascii="Times New Roman" w:hAnsi="Times New Roman"/>
          <w:sz w:val="28"/>
          <w:szCs w:val="28"/>
          <w:lang w:val="en-US"/>
        </w:rPr>
        <w:t>Castle</w:t>
      </w:r>
      <w:r w:rsidRPr="00761E27">
        <w:rPr>
          <w:rFonts w:ascii="Times New Roman" w:hAnsi="Times New Roman"/>
          <w:sz w:val="28"/>
          <w:szCs w:val="28"/>
        </w:rPr>
        <w:t xml:space="preserve"> </w:t>
      </w:r>
      <w:r w:rsidRPr="00761E27">
        <w:rPr>
          <w:rFonts w:ascii="Times New Roman" w:hAnsi="Times New Roman"/>
          <w:sz w:val="28"/>
          <w:szCs w:val="28"/>
          <w:lang w:val="en-US"/>
        </w:rPr>
        <w:t>Lite</w:t>
      </w:r>
      <w:r w:rsidRPr="00761E27">
        <w:rPr>
          <w:rFonts w:ascii="Times New Roman" w:hAnsi="Times New Roman"/>
          <w:sz w:val="28"/>
          <w:szCs w:val="28"/>
        </w:rPr>
        <w:t xml:space="preserve">, </w:t>
      </w:r>
      <w:r w:rsidRPr="00761E27">
        <w:rPr>
          <w:rFonts w:ascii="Times New Roman" w:hAnsi="Times New Roman"/>
          <w:sz w:val="28"/>
          <w:szCs w:val="28"/>
          <w:lang w:val="en-US"/>
        </w:rPr>
        <w:t>Castle</w:t>
      </w:r>
      <w:r w:rsidRPr="00761E27">
        <w:rPr>
          <w:rFonts w:ascii="Times New Roman" w:hAnsi="Times New Roman"/>
          <w:sz w:val="28"/>
          <w:szCs w:val="28"/>
        </w:rPr>
        <w:t xml:space="preserve"> </w:t>
      </w:r>
      <w:r w:rsidRPr="00761E27">
        <w:rPr>
          <w:rFonts w:ascii="Times New Roman" w:hAnsi="Times New Roman"/>
          <w:sz w:val="28"/>
          <w:szCs w:val="28"/>
          <w:lang w:val="en-US"/>
        </w:rPr>
        <w:t>Milk</w:t>
      </w:r>
      <w:r w:rsidRPr="00761E27">
        <w:rPr>
          <w:rFonts w:ascii="Times New Roman" w:hAnsi="Times New Roman"/>
          <w:sz w:val="28"/>
          <w:szCs w:val="28"/>
        </w:rPr>
        <w:t xml:space="preserve"> </w:t>
      </w:r>
      <w:r w:rsidRPr="00761E27">
        <w:rPr>
          <w:rFonts w:ascii="Times New Roman" w:hAnsi="Times New Roman"/>
          <w:sz w:val="28"/>
          <w:szCs w:val="28"/>
          <w:lang w:val="en-US"/>
        </w:rPr>
        <w:t>Stout</w:t>
      </w:r>
      <w:r w:rsidRPr="00761E27">
        <w:rPr>
          <w:rFonts w:ascii="Times New Roman" w:hAnsi="Times New Roman"/>
          <w:sz w:val="28"/>
          <w:szCs w:val="28"/>
        </w:rPr>
        <w:t xml:space="preserve">, </w:t>
      </w:r>
      <w:r w:rsidRPr="00761E27">
        <w:rPr>
          <w:rFonts w:ascii="Times New Roman" w:hAnsi="Times New Roman"/>
          <w:sz w:val="28"/>
          <w:szCs w:val="28"/>
          <w:lang w:val="en-US"/>
        </w:rPr>
        <w:t>Hansa</w:t>
      </w:r>
      <w:r w:rsidRPr="00761E27">
        <w:rPr>
          <w:rFonts w:ascii="Times New Roman" w:hAnsi="Times New Roman"/>
          <w:sz w:val="28"/>
          <w:szCs w:val="28"/>
        </w:rPr>
        <w:t xml:space="preserve"> </w:t>
      </w:r>
      <w:r w:rsidRPr="00761E27">
        <w:rPr>
          <w:rFonts w:ascii="Times New Roman" w:hAnsi="Times New Roman"/>
          <w:sz w:val="28"/>
          <w:szCs w:val="28"/>
          <w:lang w:val="en-US"/>
        </w:rPr>
        <w:t>Marzen</w:t>
      </w:r>
      <w:r w:rsidRPr="00761E27">
        <w:rPr>
          <w:rFonts w:ascii="Times New Roman" w:hAnsi="Times New Roman"/>
          <w:sz w:val="28"/>
          <w:szCs w:val="28"/>
        </w:rPr>
        <w:t xml:space="preserve"> </w:t>
      </w:r>
      <w:r w:rsidRPr="00761E27">
        <w:rPr>
          <w:rFonts w:ascii="Times New Roman" w:hAnsi="Times New Roman"/>
          <w:sz w:val="28"/>
          <w:szCs w:val="28"/>
          <w:lang w:val="en-US"/>
        </w:rPr>
        <w:t>Gold</w:t>
      </w:r>
      <w:r w:rsidRPr="00761E27">
        <w:rPr>
          <w:rFonts w:ascii="Times New Roman" w:hAnsi="Times New Roman"/>
          <w:sz w:val="28"/>
          <w:szCs w:val="28"/>
        </w:rPr>
        <w:t>,</w:t>
      </w:r>
      <w:r>
        <w:rPr>
          <w:rFonts w:ascii="Times New Roman" w:hAnsi="Times New Roman"/>
          <w:sz w:val="28"/>
          <w:szCs w:val="28"/>
        </w:rPr>
        <w:t xml:space="preserve"> </w:t>
      </w:r>
      <w:r w:rsidRPr="00761E27">
        <w:rPr>
          <w:rFonts w:ascii="Times New Roman" w:hAnsi="Times New Roman"/>
          <w:sz w:val="28"/>
          <w:szCs w:val="28"/>
          <w:lang w:val="en-US"/>
        </w:rPr>
        <w:t>Hansa</w:t>
      </w:r>
      <w:r w:rsidRPr="00761E27">
        <w:rPr>
          <w:rFonts w:ascii="Times New Roman" w:hAnsi="Times New Roman"/>
          <w:sz w:val="28"/>
          <w:szCs w:val="28"/>
        </w:rPr>
        <w:t xml:space="preserve"> </w:t>
      </w:r>
      <w:r w:rsidRPr="00761E27">
        <w:rPr>
          <w:rFonts w:ascii="Times New Roman" w:hAnsi="Times New Roman"/>
          <w:sz w:val="28"/>
          <w:szCs w:val="28"/>
          <w:lang w:val="en-US"/>
        </w:rPr>
        <w:t>Pilsener</w:t>
      </w:r>
      <w:r w:rsidRPr="00761E27">
        <w:rPr>
          <w:rFonts w:ascii="Times New Roman" w:hAnsi="Times New Roman"/>
          <w:sz w:val="28"/>
          <w:szCs w:val="28"/>
        </w:rPr>
        <w:t xml:space="preserve">, </w:t>
      </w:r>
      <w:r w:rsidRPr="00761E27">
        <w:rPr>
          <w:rFonts w:ascii="Times New Roman" w:hAnsi="Times New Roman"/>
          <w:sz w:val="28"/>
          <w:szCs w:val="28"/>
          <w:lang w:val="en-US"/>
        </w:rPr>
        <w:t>Redd</w:t>
      </w:r>
      <w:r w:rsidRPr="00761E27">
        <w:rPr>
          <w:rFonts w:ascii="Times New Roman" w:hAnsi="Times New Roman"/>
          <w:sz w:val="28"/>
          <w:szCs w:val="28"/>
        </w:rPr>
        <w:t>’</w:t>
      </w:r>
      <w:r w:rsidRPr="00761E27">
        <w:rPr>
          <w:rFonts w:ascii="Times New Roman" w:hAnsi="Times New Roman"/>
          <w:sz w:val="28"/>
          <w:szCs w:val="28"/>
          <w:lang w:val="en-US"/>
        </w:rPr>
        <w:t>s</w:t>
      </w:r>
      <w:r w:rsidRPr="00761E27">
        <w:rPr>
          <w:rFonts w:ascii="Times New Roman" w:hAnsi="Times New Roman"/>
          <w:sz w:val="28"/>
          <w:szCs w:val="28"/>
        </w:rPr>
        <w:t xml:space="preserve">, </w:t>
      </w:r>
      <w:r w:rsidRPr="00761E27">
        <w:rPr>
          <w:rFonts w:ascii="Times New Roman" w:hAnsi="Times New Roman"/>
          <w:sz w:val="28"/>
          <w:szCs w:val="28"/>
          <w:lang w:val="en-US"/>
        </w:rPr>
        <w:t>Sarita</w:t>
      </w:r>
      <w:r>
        <w:rPr>
          <w:rFonts w:ascii="Times New Roman" w:hAnsi="Times New Roman"/>
          <w:sz w:val="28"/>
          <w:szCs w:val="28"/>
        </w:rPr>
        <w:t xml:space="preserve"> и</w:t>
      </w:r>
      <w:r w:rsidRPr="00761E27">
        <w:rPr>
          <w:rFonts w:ascii="Times New Roman" w:hAnsi="Times New Roman"/>
          <w:sz w:val="28"/>
          <w:szCs w:val="28"/>
        </w:rPr>
        <w:t xml:space="preserve"> </w:t>
      </w:r>
      <w:r w:rsidRPr="00761E27">
        <w:rPr>
          <w:rFonts w:ascii="Times New Roman" w:hAnsi="Times New Roman"/>
          <w:sz w:val="28"/>
          <w:szCs w:val="28"/>
          <w:lang w:val="en-US"/>
        </w:rPr>
        <w:t>Skelter</w:t>
      </w:r>
      <w:r w:rsidRPr="00761E27">
        <w:rPr>
          <w:rFonts w:ascii="Times New Roman" w:hAnsi="Times New Roman"/>
          <w:sz w:val="28"/>
          <w:szCs w:val="28"/>
        </w:rPr>
        <w:t>’</w:t>
      </w:r>
      <w:r w:rsidRPr="00761E27">
        <w:rPr>
          <w:rFonts w:ascii="Times New Roman" w:hAnsi="Times New Roman"/>
          <w:sz w:val="28"/>
          <w:szCs w:val="28"/>
          <w:lang w:val="en-US"/>
        </w:rPr>
        <w:t>s</w:t>
      </w:r>
      <w:r w:rsidRPr="00761E27">
        <w:rPr>
          <w:rFonts w:ascii="Times New Roman" w:hAnsi="Times New Roman"/>
          <w:sz w:val="28"/>
          <w:szCs w:val="28"/>
        </w:rPr>
        <w:t xml:space="preserve"> </w:t>
      </w:r>
      <w:r w:rsidRPr="00761E27">
        <w:rPr>
          <w:rFonts w:ascii="Times New Roman" w:hAnsi="Times New Roman"/>
          <w:sz w:val="28"/>
          <w:szCs w:val="28"/>
          <w:lang w:val="en-US"/>
        </w:rPr>
        <w:t>Straight</w:t>
      </w:r>
      <w:r w:rsidRPr="00761E27">
        <w:rPr>
          <w:rFonts w:ascii="Times New Roman" w:hAnsi="Times New Roman"/>
          <w:sz w:val="28"/>
          <w:szCs w:val="28"/>
        </w:rPr>
        <w:t>.</w:t>
      </w:r>
      <w:r>
        <w:rPr>
          <w:rFonts w:ascii="Times New Roman" w:hAnsi="Times New Roman"/>
          <w:sz w:val="28"/>
          <w:szCs w:val="28"/>
        </w:rPr>
        <w:t xml:space="preserve"> Помимо этого, </w:t>
      </w:r>
      <w:r w:rsidR="00185D2E">
        <w:rPr>
          <w:rFonts w:ascii="Times New Roman" w:hAnsi="Times New Roman"/>
          <w:sz w:val="28"/>
          <w:szCs w:val="28"/>
        </w:rPr>
        <w:t>регион экспортирует ключевые торговые марки в Намибию.</w:t>
      </w:r>
      <w:r w:rsidR="00907F55">
        <w:rPr>
          <w:rFonts w:ascii="Times New Roman" w:hAnsi="Times New Roman"/>
          <w:sz w:val="28"/>
          <w:szCs w:val="28"/>
        </w:rPr>
        <w:t xml:space="preserve"> В 2012 г. продажи компании в данном сегменте составили 5 150 млн. долл., что на 3,7% выше уровня предыдущего года.</w:t>
      </w:r>
    </w:p>
    <w:p w:rsidR="00FC7FFB" w:rsidRDefault="00185D2E" w:rsidP="00A71423">
      <w:pPr>
        <w:spacing w:line="360" w:lineRule="auto"/>
        <w:ind w:firstLine="360"/>
        <w:jc w:val="both"/>
        <w:rPr>
          <w:rFonts w:ascii="Times New Roman" w:hAnsi="Times New Roman"/>
          <w:sz w:val="28"/>
          <w:szCs w:val="28"/>
        </w:rPr>
      </w:pPr>
      <w:r>
        <w:rPr>
          <w:rFonts w:ascii="Times New Roman" w:hAnsi="Times New Roman"/>
          <w:sz w:val="28"/>
          <w:szCs w:val="28"/>
          <w:lang w:val="en-US"/>
        </w:rPr>
        <w:t>SABMiller</w:t>
      </w:r>
      <w:r w:rsidRPr="00185D2E">
        <w:rPr>
          <w:rFonts w:ascii="Times New Roman" w:hAnsi="Times New Roman"/>
          <w:sz w:val="28"/>
          <w:szCs w:val="28"/>
        </w:rPr>
        <w:t xml:space="preserve"> </w:t>
      </w:r>
      <w:r>
        <w:rPr>
          <w:rFonts w:ascii="Times New Roman" w:hAnsi="Times New Roman"/>
          <w:sz w:val="28"/>
          <w:szCs w:val="28"/>
          <w:lang w:val="en-US"/>
        </w:rPr>
        <w:t>plc</w:t>
      </w:r>
      <w:r w:rsidRPr="00185D2E">
        <w:rPr>
          <w:rFonts w:ascii="Times New Roman" w:hAnsi="Times New Roman"/>
          <w:sz w:val="28"/>
          <w:szCs w:val="28"/>
        </w:rPr>
        <w:t xml:space="preserve">. </w:t>
      </w:r>
      <w:r>
        <w:rPr>
          <w:rFonts w:ascii="Times New Roman" w:hAnsi="Times New Roman"/>
          <w:sz w:val="28"/>
          <w:szCs w:val="28"/>
        </w:rPr>
        <w:t xml:space="preserve">представлена в 15 странах африканского континента. </w:t>
      </w:r>
      <w:r w:rsidR="00907F55">
        <w:rPr>
          <w:rFonts w:ascii="Times New Roman" w:hAnsi="Times New Roman"/>
          <w:sz w:val="28"/>
          <w:szCs w:val="28"/>
        </w:rPr>
        <w:t xml:space="preserve">Более того, </w:t>
      </w:r>
      <w:r>
        <w:rPr>
          <w:rFonts w:ascii="Times New Roman" w:hAnsi="Times New Roman"/>
          <w:sz w:val="28"/>
          <w:szCs w:val="28"/>
        </w:rPr>
        <w:t>компания ведет свою бизнес деятельность в рамках стратегического альянса с</w:t>
      </w:r>
      <w:r w:rsidRPr="00185D2E">
        <w:rPr>
          <w:rFonts w:ascii="Times New Roman" w:hAnsi="Times New Roman"/>
          <w:sz w:val="28"/>
          <w:szCs w:val="28"/>
        </w:rPr>
        <w:t xml:space="preserve"> </w:t>
      </w:r>
      <w:r>
        <w:rPr>
          <w:rFonts w:ascii="Times New Roman" w:hAnsi="Times New Roman"/>
          <w:sz w:val="28"/>
          <w:szCs w:val="28"/>
          <w:lang w:val="en-US"/>
        </w:rPr>
        <w:t>Castel</w:t>
      </w:r>
      <w:r w:rsidRPr="00185D2E">
        <w:rPr>
          <w:rFonts w:ascii="Times New Roman" w:hAnsi="Times New Roman"/>
          <w:sz w:val="28"/>
          <w:szCs w:val="28"/>
        </w:rPr>
        <w:t xml:space="preserve"> </w:t>
      </w:r>
      <w:r>
        <w:rPr>
          <w:rFonts w:ascii="Times New Roman" w:hAnsi="Times New Roman"/>
          <w:sz w:val="28"/>
          <w:szCs w:val="28"/>
          <w:lang w:val="en-US"/>
        </w:rPr>
        <w:t>Group</w:t>
      </w:r>
      <w:r w:rsidR="00907F55">
        <w:rPr>
          <w:rFonts w:ascii="Times New Roman" w:hAnsi="Times New Roman"/>
          <w:sz w:val="28"/>
          <w:szCs w:val="28"/>
        </w:rPr>
        <w:t xml:space="preserve">, благодаря которому она получает доступ к рынкам более 20 африканских стран. </w:t>
      </w:r>
      <w:r w:rsidR="00A71423">
        <w:rPr>
          <w:rFonts w:ascii="Times New Roman" w:hAnsi="Times New Roman"/>
          <w:sz w:val="28"/>
          <w:szCs w:val="28"/>
        </w:rPr>
        <w:t>Всего в регионе находи</w:t>
      </w:r>
      <w:r w:rsidR="00907F55">
        <w:rPr>
          <w:rFonts w:ascii="Times New Roman" w:hAnsi="Times New Roman"/>
          <w:sz w:val="28"/>
          <w:szCs w:val="28"/>
        </w:rPr>
        <w:t xml:space="preserve">тся 32 </w:t>
      </w:r>
      <w:proofErr w:type="gramStart"/>
      <w:r w:rsidR="00907F55">
        <w:rPr>
          <w:rFonts w:ascii="Times New Roman" w:hAnsi="Times New Roman"/>
          <w:sz w:val="28"/>
          <w:szCs w:val="28"/>
        </w:rPr>
        <w:t>пивоваренных</w:t>
      </w:r>
      <w:proofErr w:type="gramEnd"/>
      <w:r w:rsidR="00907F55">
        <w:rPr>
          <w:rFonts w:ascii="Times New Roman" w:hAnsi="Times New Roman"/>
          <w:sz w:val="28"/>
          <w:szCs w:val="28"/>
        </w:rPr>
        <w:t xml:space="preserve"> мощност</w:t>
      </w:r>
      <w:r w:rsidR="00A71423">
        <w:rPr>
          <w:rFonts w:ascii="Times New Roman" w:hAnsi="Times New Roman"/>
          <w:sz w:val="28"/>
          <w:szCs w:val="28"/>
        </w:rPr>
        <w:t>и</w:t>
      </w:r>
      <w:r w:rsidR="00907F55">
        <w:rPr>
          <w:rFonts w:ascii="Times New Roman" w:hAnsi="Times New Roman"/>
          <w:sz w:val="28"/>
          <w:szCs w:val="28"/>
        </w:rPr>
        <w:t xml:space="preserve">, которые производят бренды </w:t>
      </w:r>
      <w:r w:rsidR="00A71423" w:rsidRPr="00A71423">
        <w:rPr>
          <w:rFonts w:ascii="Times New Roman" w:hAnsi="Times New Roman"/>
          <w:sz w:val="28"/>
          <w:szCs w:val="28"/>
        </w:rPr>
        <w:t>2M, Ambo, Castle Lager, Castle Milk Stout</w:t>
      </w:r>
      <w:r w:rsidR="00A71423">
        <w:rPr>
          <w:rFonts w:ascii="Times New Roman" w:hAnsi="Times New Roman"/>
          <w:sz w:val="28"/>
          <w:szCs w:val="28"/>
        </w:rPr>
        <w:t xml:space="preserve">, </w:t>
      </w:r>
      <w:r w:rsidR="00A71423" w:rsidRPr="00A71423">
        <w:rPr>
          <w:rFonts w:ascii="Times New Roman" w:hAnsi="Times New Roman"/>
          <w:sz w:val="28"/>
          <w:szCs w:val="28"/>
        </w:rPr>
        <w:t>Chibuku, Club, Eagle, Kilimanjaro, Laurentina, Lion Lager, Maluti, Mosi, Ndovu, N’gola, Nile Special,</w:t>
      </w:r>
      <w:r w:rsidR="00A71423">
        <w:rPr>
          <w:rFonts w:ascii="Times New Roman" w:hAnsi="Times New Roman"/>
          <w:sz w:val="28"/>
          <w:szCs w:val="28"/>
        </w:rPr>
        <w:t xml:space="preserve"> </w:t>
      </w:r>
      <w:r w:rsidR="00A71423" w:rsidRPr="00A71423">
        <w:rPr>
          <w:rFonts w:ascii="Times New Roman" w:hAnsi="Times New Roman"/>
          <w:sz w:val="28"/>
          <w:szCs w:val="28"/>
          <w:lang w:val="en-US"/>
        </w:rPr>
        <w:t>Rwenzori</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Safari</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Sibebe</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Source</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Stone</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St</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Louis</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Voltic</w:t>
      </w:r>
      <w:r w:rsidR="00A71423" w:rsidRPr="00A71423">
        <w:rPr>
          <w:rFonts w:ascii="Times New Roman" w:hAnsi="Times New Roman"/>
          <w:sz w:val="28"/>
          <w:szCs w:val="28"/>
        </w:rPr>
        <w:t xml:space="preserve"> </w:t>
      </w:r>
      <w:r w:rsidR="00A71423">
        <w:rPr>
          <w:rFonts w:ascii="Times New Roman" w:hAnsi="Times New Roman"/>
          <w:sz w:val="28"/>
          <w:szCs w:val="28"/>
        </w:rPr>
        <w:t>и</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White</w:t>
      </w:r>
      <w:r w:rsidR="00A71423" w:rsidRPr="00A71423">
        <w:rPr>
          <w:rFonts w:ascii="Times New Roman" w:hAnsi="Times New Roman"/>
          <w:sz w:val="28"/>
          <w:szCs w:val="28"/>
        </w:rPr>
        <w:t xml:space="preserve"> </w:t>
      </w:r>
      <w:r w:rsidR="00A71423" w:rsidRPr="00A71423">
        <w:rPr>
          <w:rFonts w:ascii="Times New Roman" w:hAnsi="Times New Roman"/>
          <w:sz w:val="28"/>
          <w:szCs w:val="28"/>
          <w:lang w:val="en-US"/>
        </w:rPr>
        <w:t>Bull</w:t>
      </w:r>
      <w:r w:rsidR="00A71423">
        <w:rPr>
          <w:rFonts w:ascii="Times New Roman" w:hAnsi="Times New Roman"/>
          <w:sz w:val="28"/>
          <w:szCs w:val="28"/>
        </w:rPr>
        <w:t xml:space="preserve">. Доля африканского региона в общей выручке 2012 г. </w:t>
      </w:r>
      <w:r w:rsidR="00FC7FFB">
        <w:rPr>
          <w:rFonts w:ascii="Times New Roman" w:hAnsi="Times New Roman"/>
          <w:sz w:val="28"/>
          <w:szCs w:val="28"/>
        </w:rPr>
        <w:t>составила</w:t>
      </w:r>
      <w:r w:rsidR="00A71423">
        <w:rPr>
          <w:rFonts w:ascii="Times New Roman" w:hAnsi="Times New Roman"/>
          <w:sz w:val="28"/>
          <w:szCs w:val="28"/>
        </w:rPr>
        <w:t xml:space="preserve"> 10,6% или 2 299 млн. долл.</w:t>
      </w:r>
    </w:p>
    <w:p w:rsidR="00A57569" w:rsidRDefault="00AA2756" w:rsidP="00A57569">
      <w:pPr>
        <w:spacing w:line="360" w:lineRule="auto"/>
        <w:ind w:firstLine="360"/>
        <w:jc w:val="both"/>
        <w:rPr>
          <w:rFonts w:ascii="Times New Roman" w:hAnsi="Times New Roman"/>
          <w:sz w:val="28"/>
          <w:szCs w:val="28"/>
        </w:rPr>
      </w:pPr>
      <w:r>
        <w:rPr>
          <w:rFonts w:ascii="Times New Roman" w:hAnsi="Times New Roman"/>
          <w:sz w:val="28"/>
          <w:szCs w:val="28"/>
        </w:rPr>
        <w:t xml:space="preserve">В Азиатско-Тихоокеанском регионе компания ведет свою </w:t>
      </w:r>
      <w:r w:rsidR="00A57569">
        <w:rPr>
          <w:rFonts w:ascii="Times New Roman" w:hAnsi="Times New Roman"/>
          <w:sz w:val="28"/>
          <w:szCs w:val="28"/>
        </w:rPr>
        <w:t>операционную деятельность</w:t>
      </w:r>
      <w:r>
        <w:rPr>
          <w:rFonts w:ascii="Times New Roman" w:hAnsi="Times New Roman"/>
          <w:sz w:val="28"/>
          <w:szCs w:val="28"/>
        </w:rPr>
        <w:t xml:space="preserve"> </w:t>
      </w:r>
      <w:r w:rsidR="00A57569">
        <w:rPr>
          <w:rFonts w:ascii="Times New Roman" w:hAnsi="Times New Roman"/>
          <w:sz w:val="28"/>
          <w:szCs w:val="28"/>
        </w:rPr>
        <w:t>в партнерстве с</w:t>
      </w:r>
      <w:r>
        <w:rPr>
          <w:rFonts w:ascii="Times New Roman" w:hAnsi="Times New Roman"/>
          <w:sz w:val="28"/>
          <w:szCs w:val="28"/>
        </w:rPr>
        <w:t xml:space="preserve"> </w:t>
      </w:r>
      <w:r w:rsidRPr="00AA2756">
        <w:rPr>
          <w:rFonts w:ascii="Times New Roman" w:hAnsi="Times New Roman"/>
          <w:sz w:val="28"/>
          <w:szCs w:val="28"/>
        </w:rPr>
        <w:t>China Resources Enterprise (CRE).</w:t>
      </w:r>
      <w:r w:rsidR="00A57569">
        <w:rPr>
          <w:rFonts w:ascii="Times New Roman" w:hAnsi="Times New Roman"/>
          <w:sz w:val="28"/>
          <w:szCs w:val="28"/>
        </w:rPr>
        <w:t xml:space="preserve"> Также </w:t>
      </w:r>
      <w:r w:rsidR="00A57569">
        <w:rPr>
          <w:rFonts w:ascii="Times New Roman" w:hAnsi="Times New Roman"/>
          <w:sz w:val="28"/>
          <w:szCs w:val="28"/>
          <w:lang w:val="en-US"/>
        </w:rPr>
        <w:t>SABMiller</w:t>
      </w:r>
      <w:r w:rsidR="00A57569" w:rsidRPr="00A57569">
        <w:rPr>
          <w:rFonts w:ascii="Times New Roman" w:hAnsi="Times New Roman"/>
          <w:sz w:val="28"/>
          <w:szCs w:val="28"/>
        </w:rPr>
        <w:t xml:space="preserve"> </w:t>
      </w:r>
      <w:r w:rsidR="00A57569">
        <w:rPr>
          <w:rFonts w:ascii="Times New Roman" w:hAnsi="Times New Roman"/>
          <w:sz w:val="28"/>
          <w:szCs w:val="28"/>
          <w:lang w:val="en-US"/>
        </w:rPr>
        <w:t>plc</w:t>
      </w:r>
      <w:r w:rsidR="00A57569" w:rsidRPr="00A57569">
        <w:rPr>
          <w:rFonts w:ascii="Times New Roman" w:hAnsi="Times New Roman"/>
          <w:sz w:val="28"/>
          <w:szCs w:val="28"/>
        </w:rPr>
        <w:t xml:space="preserve">. </w:t>
      </w:r>
      <w:proofErr w:type="gramStart"/>
      <w:r w:rsidR="00A57569">
        <w:rPr>
          <w:rFonts w:ascii="Times New Roman" w:hAnsi="Times New Roman"/>
          <w:sz w:val="28"/>
          <w:szCs w:val="28"/>
        </w:rPr>
        <w:t>представлена</w:t>
      </w:r>
      <w:proofErr w:type="gramEnd"/>
      <w:r w:rsidR="00A57569">
        <w:rPr>
          <w:rFonts w:ascii="Times New Roman" w:hAnsi="Times New Roman"/>
          <w:sz w:val="28"/>
          <w:szCs w:val="28"/>
        </w:rPr>
        <w:t xml:space="preserve"> во Вьетнаме, Индии и Австралии. Значительный объем производства идет на экспорт в Южную Корею и Камбоджу. В целом, в данном сегменте расположены 23 </w:t>
      </w:r>
      <w:proofErr w:type="gramStart"/>
      <w:r w:rsidR="00A57569">
        <w:rPr>
          <w:rFonts w:ascii="Times New Roman" w:hAnsi="Times New Roman"/>
          <w:sz w:val="28"/>
          <w:szCs w:val="28"/>
        </w:rPr>
        <w:t>пивоваренных</w:t>
      </w:r>
      <w:proofErr w:type="gramEnd"/>
      <w:r w:rsidR="00A57569">
        <w:rPr>
          <w:rFonts w:ascii="Times New Roman" w:hAnsi="Times New Roman"/>
          <w:sz w:val="28"/>
          <w:szCs w:val="28"/>
        </w:rPr>
        <w:t xml:space="preserve"> завода и 2 по производству бутилированной воды. Ключевыми торговыми марками, представленными на рынках Азии, являются  </w:t>
      </w:r>
      <w:r w:rsidR="00A57569" w:rsidRPr="00A57569">
        <w:rPr>
          <w:rFonts w:ascii="Times New Roman" w:hAnsi="Times New Roman"/>
          <w:sz w:val="28"/>
          <w:szCs w:val="28"/>
        </w:rPr>
        <w:t>Bluetongue, Foster’s,</w:t>
      </w:r>
      <w:r w:rsidR="00A57569">
        <w:rPr>
          <w:rFonts w:ascii="Times New Roman" w:hAnsi="Times New Roman"/>
          <w:sz w:val="28"/>
          <w:szCs w:val="28"/>
        </w:rPr>
        <w:t xml:space="preserve"> </w:t>
      </w:r>
      <w:r w:rsidR="00A57569" w:rsidRPr="00A57569">
        <w:rPr>
          <w:rFonts w:ascii="Times New Roman" w:hAnsi="Times New Roman"/>
          <w:sz w:val="28"/>
          <w:szCs w:val="28"/>
          <w:lang w:val="en-US"/>
        </w:rPr>
        <w:t>Haywards</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Indus</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Pride</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Knock</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Out</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Royal</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Challenge</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Snow</w:t>
      </w:r>
      <w:r w:rsidR="00A57569" w:rsidRPr="00A57569">
        <w:rPr>
          <w:rFonts w:ascii="Times New Roman" w:hAnsi="Times New Roman"/>
          <w:sz w:val="28"/>
          <w:szCs w:val="28"/>
        </w:rPr>
        <w:t xml:space="preserve"> </w:t>
      </w:r>
      <w:r w:rsidR="00A57569">
        <w:rPr>
          <w:rFonts w:ascii="Times New Roman" w:hAnsi="Times New Roman"/>
          <w:sz w:val="28"/>
          <w:szCs w:val="28"/>
        </w:rPr>
        <w:t>и</w:t>
      </w:r>
      <w:r w:rsidR="00A57569" w:rsidRPr="00A57569">
        <w:rPr>
          <w:rFonts w:ascii="Times New Roman" w:hAnsi="Times New Roman"/>
          <w:sz w:val="28"/>
          <w:szCs w:val="28"/>
        </w:rPr>
        <w:t xml:space="preserve"> </w:t>
      </w:r>
      <w:r w:rsidR="00A57569" w:rsidRPr="00A57569">
        <w:rPr>
          <w:rFonts w:ascii="Times New Roman" w:hAnsi="Times New Roman"/>
          <w:sz w:val="28"/>
          <w:szCs w:val="28"/>
          <w:lang w:val="en-US"/>
        </w:rPr>
        <w:t>Zorok</w:t>
      </w:r>
      <w:r w:rsidR="00A57569" w:rsidRPr="00A57569">
        <w:rPr>
          <w:rFonts w:ascii="Times New Roman" w:hAnsi="Times New Roman"/>
          <w:sz w:val="28"/>
          <w:szCs w:val="28"/>
        </w:rPr>
        <w:t>.</w:t>
      </w:r>
      <w:r w:rsidR="00A57569">
        <w:rPr>
          <w:rFonts w:ascii="Times New Roman" w:hAnsi="Times New Roman"/>
          <w:sz w:val="28"/>
          <w:szCs w:val="28"/>
        </w:rPr>
        <w:t xml:space="preserve"> </w:t>
      </w:r>
      <w:r w:rsidR="00D94587">
        <w:rPr>
          <w:rFonts w:ascii="Times New Roman" w:hAnsi="Times New Roman"/>
          <w:sz w:val="28"/>
          <w:szCs w:val="28"/>
        </w:rPr>
        <w:t>В 2012 г. на азиатский регион пришлось 7,7% от общих продаж компании. При этом стоит отметить, что выручка компании в данном сегменте выросла практически в 3 раза по сравнению с уровнем  2011 г. (в 2012 г. – 1 682 млн. долл., 2011 г. – 564 млн. долл.)</w:t>
      </w:r>
    </w:p>
    <w:p w:rsidR="00D94587" w:rsidRPr="00641DB8" w:rsidRDefault="00D94587" w:rsidP="00A57569">
      <w:pPr>
        <w:spacing w:line="360" w:lineRule="auto"/>
        <w:ind w:firstLine="360"/>
        <w:jc w:val="both"/>
        <w:rPr>
          <w:rFonts w:ascii="Times New Roman" w:hAnsi="Times New Roman"/>
          <w:sz w:val="28"/>
          <w:szCs w:val="28"/>
        </w:rPr>
      </w:pPr>
      <w:r>
        <w:rPr>
          <w:rFonts w:ascii="Times New Roman" w:hAnsi="Times New Roman"/>
          <w:sz w:val="28"/>
          <w:szCs w:val="28"/>
        </w:rPr>
        <w:t xml:space="preserve">В Северной Америке </w:t>
      </w:r>
      <w:r>
        <w:rPr>
          <w:rFonts w:ascii="Times New Roman" w:hAnsi="Times New Roman"/>
          <w:sz w:val="28"/>
          <w:szCs w:val="28"/>
          <w:lang w:val="en-US"/>
        </w:rPr>
        <w:t>SABMiller</w:t>
      </w:r>
      <w:r w:rsidRPr="00D94587">
        <w:rPr>
          <w:rFonts w:ascii="Times New Roman" w:hAnsi="Times New Roman"/>
          <w:sz w:val="28"/>
          <w:szCs w:val="28"/>
        </w:rPr>
        <w:t xml:space="preserve"> </w:t>
      </w:r>
      <w:r>
        <w:rPr>
          <w:rFonts w:ascii="Times New Roman" w:hAnsi="Times New Roman"/>
          <w:sz w:val="28"/>
          <w:szCs w:val="28"/>
          <w:lang w:val="en-US"/>
        </w:rPr>
        <w:t>plc</w:t>
      </w:r>
      <w:r w:rsidRPr="00D94587">
        <w:rPr>
          <w:rFonts w:ascii="Times New Roman" w:hAnsi="Times New Roman"/>
          <w:sz w:val="28"/>
          <w:szCs w:val="28"/>
        </w:rPr>
        <w:t xml:space="preserve">. </w:t>
      </w:r>
      <w:r w:rsidR="00C52523">
        <w:rPr>
          <w:rFonts w:ascii="Times New Roman" w:hAnsi="Times New Roman"/>
          <w:sz w:val="28"/>
          <w:szCs w:val="28"/>
        </w:rPr>
        <w:t>учредила совместное</w:t>
      </w:r>
      <w:r>
        <w:rPr>
          <w:rFonts w:ascii="Times New Roman" w:hAnsi="Times New Roman"/>
          <w:sz w:val="28"/>
          <w:szCs w:val="28"/>
        </w:rPr>
        <w:t xml:space="preserve"> предприятие с </w:t>
      </w:r>
      <w:r w:rsidRPr="00D94587">
        <w:rPr>
          <w:rFonts w:ascii="Times New Roman" w:hAnsi="Times New Roman"/>
          <w:sz w:val="28"/>
          <w:szCs w:val="28"/>
        </w:rPr>
        <w:t>Molson Coors</w:t>
      </w:r>
      <w:r>
        <w:rPr>
          <w:rFonts w:ascii="Times New Roman" w:hAnsi="Times New Roman"/>
          <w:sz w:val="28"/>
          <w:szCs w:val="28"/>
        </w:rPr>
        <w:t xml:space="preserve"> </w:t>
      </w:r>
      <w:r w:rsidR="00C52523">
        <w:rPr>
          <w:rFonts w:ascii="Times New Roman" w:hAnsi="Times New Roman"/>
          <w:sz w:val="28"/>
          <w:szCs w:val="28"/>
        </w:rPr>
        <w:t>Brewing Company –</w:t>
      </w:r>
      <w:r w:rsidR="00C52523" w:rsidRPr="00C52523">
        <w:rPr>
          <w:rFonts w:ascii="Times New Roman" w:hAnsi="Times New Roman"/>
          <w:sz w:val="28"/>
          <w:szCs w:val="28"/>
        </w:rPr>
        <w:t xml:space="preserve"> </w:t>
      </w:r>
      <w:r w:rsidR="00C52523">
        <w:rPr>
          <w:rFonts w:ascii="Times New Roman" w:hAnsi="Times New Roman"/>
          <w:sz w:val="28"/>
          <w:szCs w:val="28"/>
        </w:rPr>
        <w:t>Miller</w:t>
      </w:r>
      <w:r w:rsidR="00C52523">
        <w:rPr>
          <w:rFonts w:ascii="Times New Roman" w:hAnsi="Times New Roman"/>
          <w:sz w:val="28"/>
          <w:szCs w:val="28"/>
          <w:lang w:val="en-US"/>
        </w:rPr>
        <w:t>Coors</w:t>
      </w:r>
      <w:r w:rsidR="00C52523" w:rsidRPr="00C52523">
        <w:rPr>
          <w:rFonts w:ascii="Times New Roman" w:hAnsi="Times New Roman"/>
          <w:sz w:val="28"/>
          <w:szCs w:val="28"/>
        </w:rPr>
        <w:t xml:space="preserve">. </w:t>
      </w:r>
      <w:r w:rsidR="00C52523">
        <w:rPr>
          <w:rFonts w:ascii="Times New Roman" w:hAnsi="Times New Roman"/>
          <w:sz w:val="28"/>
          <w:szCs w:val="28"/>
        </w:rPr>
        <w:t xml:space="preserve">Компания экспортирует свою продукцию в Канаду и Мексику, а также занимается поставками на всей территории США. В данном регионе находятся 8 производственных мощностей, которые обеспечивают рынки такими брендами как </w:t>
      </w:r>
      <w:r w:rsidR="00641DB8" w:rsidRPr="00641DB8">
        <w:rPr>
          <w:rFonts w:ascii="Times New Roman" w:hAnsi="Times New Roman"/>
          <w:sz w:val="28"/>
          <w:szCs w:val="28"/>
        </w:rPr>
        <w:t>Blue Moon,</w:t>
      </w:r>
      <w:r w:rsidR="00641DB8">
        <w:rPr>
          <w:rFonts w:ascii="Times New Roman" w:hAnsi="Times New Roman"/>
          <w:sz w:val="28"/>
          <w:szCs w:val="28"/>
        </w:rPr>
        <w:t xml:space="preserve"> </w:t>
      </w:r>
      <w:r w:rsidR="00641DB8" w:rsidRPr="00641DB8">
        <w:rPr>
          <w:rFonts w:ascii="Times New Roman" w:hAnsi="Times New Roman"/>
          <w:sz w:val="28"/>
          <w:szCs w:val="28"/>
          <w:lang w:val="en-US"/>
        </w:rPr>
        <w:t>Coors</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Banquet</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Coors</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Light</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Foster</w:t>
      </w:r>
      <w:r w:rsidR="00641DB8" w:rsidRPr="00641DB8">
        <w:rPr>
          <w:rFonts w:ascii="Times New Roman" w:hAnsi="Times New Roman"/>
          <w:sz w:val="28"/>
          <w:szCs w:val="28"/>
        </w:rPr>
        <w:t>’</w:t>
      </w:r>
      <w:r w:rsidR="00641DB8" w:rsidRPr="00641DB8">
        <w:rPr>
          <w:rFonts w:ascii="Times New Roman" w:hAnsi="Times New Roman"/>
          <w:sz w:val="28"/>
          <w:szCs w:val="28"/>
          <w:lang w:val="en-US"/>
        </w:rPr>
        <w:t>s</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Henry</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Weinhard</w:t>
      </w:r>
      <w:r w:rsidR="00641DB8" w:rsidRPr="00641DB8">
        <w:rPr>
          <w:rFonts w:ascii="Times New Roman" w:hAnsi="Times New Roman"/>
          <w:sz w:val="28"/>
          <w:szCs w:val="28"/>
        </w:rPr>
        <w:t>’</w:t>
      </w:r>
      <w:r w:rsidR="00641DB8" w:rsidRPr="00641DB8">
        <w:rPr>
          <w:rFonts w:ascii="Times New Roman" w:hAnsi="Times New Roman"/>
          <w:sz w:val="28"/>
          <w:szCs w:val="28"/>
          <w:lang w:val="en-US"/>
        </w:rPr>
        <w:t>s</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Icehouse</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Keystone</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Light</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Killian</w:t>
      </w:r>
      <w:r w:rsidR="00641DB8" w:rsidRPr="00641DB8">
        <w:rPr>
          <w:rFonts w:ascii="Times New Roman" w:hAnsi="Times New Roman"/>
          <w:sz w:val="28"/>
          <w:szCs w:val="28"/>
        </w:rPr>
        <w:t>’</w:t>
      </w:r>
      <w:r w:rsidR="00641DB8" w:rsidRPr="00641DB8">
        <w:rPr>
          <w:rFonts w:ascii="Times New Roman" w:hAnsi="Times New Roman"/>
          <w:sz w:val="28"/>
          <w:szCs w:val="28"/>
          <w:lang w:val="en-US"/>
        </w:rPr>
        <w:t>s</w:t>
      </w:r>
      <w:r w:rsidR="00641DB8" w:rsidRPr="00641DB8">
        <w:rPr>
          <w:rFonts w:ascii="Times New Roman" w:hAnsi="Times New Roman"/>
          <w:sz w:val="28"/>
          <w:szCs w:val="28"/>
        </w:rPr>
        <w:t>,</w:t>
      </w:r>
      <w:r w:rsidR="00641DB8">
        <w:rPr>
          <w:rFonts w:ascii="Times New Roman" w:hAnsi="Times New Roman"/>
          <w:sz w:val="28"/>
          <w:szCs w:val="28"/>
        </w:rPr>
        <w:t xml:space="preserve"> </w:t>
      </w:r>
      <w:r w:rsidR="00641DB8" w:rsidRPr="00641DB8">
        <w:rPr>
          <w:rFonts w:ascii="Times New Roman" w:hAnsi="Times New Roman"/>
          <w:sz w:val="28"/>
          <w:szCs w:val="28"/>
          <w:lang w:val="en-US"/>
        </w:rPr>
        <w:t>Leinenkugel</w:t>
      </w:r>
      <w:r w:rsidR="00641DB8" w:rsidRPr="00641DB8">
        <w:rPr>
          <w:rFonts w:ascii="Times New Roman" w:hAnsi="Times New Roman"/>
          <w:sz w:val="28"/>
          <w:szCs w:val="28"/>
        </w:rPr>
        <w:t>’</w:t>
      </w:r>
      <w:r w:rsidR="00641DB8" w:rsidRPr="00641DB8">
        <w:rPr>
          <w:rFonts w:ascii="Times New Roman" w:hAnsi="Times New Roman"/>
          <w:sz w:val="28"/>
          <w:szCs w:val="28"/>
          <w:lang w:val="en-US"/>
        </w:rPr>
        <w:t>s</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Miller</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Chill</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Miller</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Genuine</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Draft</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Miller</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High</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Life</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Miller</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Lite</w:t>
      </w:r>
      <w:r w:rsidR="00641DB8" w:rsidRPr="00641DB8">
        <w:rPr>
          <w:rFonts w:ascii="Times New Roman" w:hAnsi="Times New Roman"/>
          <w:sz w:val="28"/>
          <w:szCs w:val="28"/>
        </w:rPr>
        <w:t>,</w:t>
      </w:r>
      <w:r w:rsidR="00641DB8">
        <w:rPr>
          <w:rFonts w:ascii="Times New Roman" w:hAnsi="Times New Roman"/>
          <w:sz w:val="28"/>
          <w:szCs w:val="28"/>
        </w:rPr>
        <w:t xml:space="preserve"> </w:t>
      </w:r>
      <w:r w:rsidR="00641DB8" w:rsidRPr="00641DB8">
        <w:rPr>
          <w:rFonts w:ascii="Times New Roman" w:hAnsi="Times New Roman"/>
          <w:sz w:val="28"/>
          <w:szCs w:val="28"/>
          <w:lang w:val="en-US"/>
        </w:rPr>
        <w:t>Molson</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Canadian</w:t>
      </w:r>
      <w:r w:rsidR="00641DB8" w:rsidRPr="00641DB8">
        <w:rPr>
          <w:rFonts w:ascii="Times New Roman" w:hAnsi="Times New Roman"/>
          <w:sz w:val="28"/>
          <w:szCs w:val="28"/>
        </w:rPr>
        <w:t xml:space="preserve">, </w:t>
      </w:r>
      <w:r w:rsidR="00641DB8">
        <w:rPr>
          <w:rFonts w:ascii="Times New Roman" w:hAnsi="Times New Roman"/>
          <w:sz w:val="28"/>
          <w:szCs w:val="28"/>
          <w:lang w:val="en-US"/>
        </w:rPr>
        <w:t>Old</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English</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Sparks</w:t>
      </w:r>
      <w:r w:rsidR="00641DB8" w:rsidRPr="00641DB8">
        <w:rPr>
          <w:rFonts w:ascii="Times New Roman" w:hAnsi="Times New Roman"/>
          <w:sz w:val="28"/>
          <w:szCs w:val="28"/>
        </w:rPr>
        <w:t xml:space="preserve"> </w:t>
      </w:r>
      <w:r w:rsidR="00641DB8">
        <w:rPr>
          <w:rFonts w:ascii="Times New Roman" w:hAnsi="Times New Roman"/>
          <w:sz w:val="28"/>
          <w:szCs w:val="28"/>
        </w:rPr>
        <w:t>и</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Steel</w:t>
      </w:r>
      <w:r w:rsidR="00641DB8" w:rsidRPr="00641DB8">
        <w:rPr>
          <w:rFonts w:ascii="Times New Roman" w:hAnsi="Times New Roman"/>
          <w:sz w:val="28"/>
          <w:szCs w:val="28"/>
        </w:rPr>
        <w:t xml:space="preserve"> </w:t>
      </w:r>
      <w:r w:rsidR="00641DB8" w:rsidRPr="00641DB8">
        <w:rPr>
          <w:rFonts w:ascii="Times New Roman" w:hAnsi="Times New Roman"/>
          <w:sz w:val="28"/>
          <w:szCs w:val="28"/>
          <w:lang w:val="en-US"/>
        </w:rPr>
        <w:t>Reserve</w:t>
      </w:r>
      <w:r w:rsidR="00641DB8" w:rsidRPr="00641DB8">
        <w:rPr>
          <w:rFonts w:ascii="Times New Roman" w:hAnsi="Times New Roman"/>
          <w:sz w:val="28"/>
          <w:szCs w:val="28"/>
        </w:rPr>
        <w:t>.</w:t>
      </w:r>
      <w:r w:rsidR="00641DB8">
        <w:rPr>
          <w:rFonts w:ascii="Times New Roman" w:hAnsi="Times New Roman"/>
          <w:sz w:val="28"/>
          <w:szCs w:val="28"/>
        </w:rPr>
        <w:t xml:space="preserve"> В 2012 г. продажи компании составили 134 млн. долл. (при этом 124 млн. долл. пришлось на рынок США). </w:t>
      </w:r>
    </w:p>
    <w:p w:rsidR="000C4F5A" w:rsidRPr="002C7537" w:rsidRDefault="002C7537" w:rsidP="002C7537">
      <w:pPr>
        <w:pStyle w:val="2"/>
        <w:spacing w:line="720" w:lineRule="auto"/>
        <w:jc w:val="center"/>
        <w:rPr>
          <w:rFonts w:ascii="Times New Roman" w:hAnsi="Times New Roman" w:cs="Times New Roman"/>
          <w:color w:val="auto"/>
          <w:sz w:val="28"/>
          <w:szCs w:val="28"/>
        </w:rPr>
      </w:pPr>
      <w:bookmarkStart w:id="23" w:name="_Toc356252006"/>
      <w:r w:rsidRPr="00006CBE">
        <w:rPr>
          <w:rFonts w:ascii="Times New Roman" w:hAnsi="Times New Roman" w:cs="Times New Roman"/>
          <w:color w:val="auto"/>
          <w:sz w:val="28"/>
          <w:szCs w:val="28"/>
        </w:rPr>
        <w:t xml:space="preserve">2.2.3 </w:t>
      </w:r>
      <w:proofErr w:type="spellStart"/>
      <w:r w:rsidR="000C4F5A" w:rsidRPr="002C7537">
        <w:rPr>
          <w:rFonts w:ascii="Times New Roman" w:hAnsi="Times New Roman" w:cs="Times New Roman"/>
          <w:color w:val="auto"/>
          <w:sz w:val="28"/>
          <w:szCs w:val="28"/>
        </w:rPr>
        <w:t>Carlsberg</w:t>
      </w:r>
      <w:proofErr w:type="spellEnd"/>
      <w:r w:rsidR="000C4F5A" w:rsidRPr="002C7537">
        <w:rPr>
          <w:rFonts w:ascii="Times New Roman" w:hAnsi="Times New Roman" w:cs="Times New Roman"/>
          <w:color w:val="auto"/>
          <w:sz w:val="28"/>
          <w:szCs w:val="28"/>
        </w:rPr>
        <w:t xml:space="preserve"> AS</w:t>
      </w:r>
      <w:bookmarkEnd w:id="23"/>
    </w:p>
    <w:p w:rsidR="000C4F5A" w:rsidRDefault="000C4F5A" w:rsidP="000C4F5A">
      <w:pPr>
        <w:spacing w:line="360" w:lineRule="auto"/>
        <w:ind w:firstLine="360"/>
        <w:jc w:val="both"/>
        <w:rPr>
          <w:rFonts w:ascii="Times New Roman" w:hAnsi="Times New Roman"/>
          <w:sz w:val="28"/>
          <w:szCs w:val="28"/>
        </w:rPr>
      </w:pPr>
      <w:r>
        <w:rPr>
          <w:rFonts w:ascii="Times New Roman" w:hAnsi="Times New Roman"/>
          <w:sz w:val="28"/>
          <w:szCs w:val="28"/>
        </w:rPr>
        <w:t xml:space="preserve">Компания </w:t>
      </w:r>
      <w:r>
        <w:rPr>
          <w:rFonts w:ascii="Times New Roman" w:hAnsi="Times New Roman"/>
          <w:sz w:val="28"/>
          <w:szCs w:val="28"/>
          <w:lang w:val="en-US"/>
        </w:rPr>
        <w:t>Carlsberg</w:t>
      </w:r>
      <w:r w:rsidRPr="000C4F5A">
        <w:rPr>
          <w:rFonts w:ascii="Times New Roman" w:hAnsi="Times New Roman"/>
          <w:sz w:val="28"/>
          <w:szCs w:val="28"/>
        </w:rPr>
        <w:t xml:space="preserve"> </w:t>
      </w:r>
      <w:r>
        <w:rPr>
          <w:rFonts w:ascii="Times New Roman" w:hAnsi="Times New Roman"/>
          <w:sz w:val="28"/>
          <w:szCs w:val="28"/>
          <w:lang w:val="en-US"/>
        </w:rPr>
        <w:t>AS</w:t>
      </w:r>
      <w:r w:rsidRPr="000C4F5A">
        <w:rPr>
          <w:rFonts w:ascii="Times New Roman" w:hAnsi="Times New Roman"/>
          <w:sz w:val="28"/>
          <w:szCs w:val="28"/>
        </w:rPr>
        <w:t xml:space="preserve"> </w:t>
      </w:r>
      <w:r>
        <w:rPr>
          <w:rFonts w:ascii="Times New Roman" w:hAnsi="Times New Roman"/>
          <w:sz w:val="28"/>
          <w:szCs w:val="28"/>
        </w:rPr>
        <w:t xml:space="preserve">является холдинговой компанией </w:t>
      </w:r>
      <w:r>
        <w:rPr>
          <w:rFonts w:ascii="Times New Roman" w:hAnsi="Times New Roman"/>
          <w:sz w:val="28"/>
          <w:szCs w:val="28"/>
          <w:lang w:val="en-US"/>
        </w:rPr>
        <w:t>Carlsberg</w:t>
      </w:r>
      <w:r w:rsidRPr="000C4F5A">
        <w:rPr>
          <w:rFonts w:ascii="Times New Roman" w:hAnsi="Times New Roman"/>
          <w:sz w:val="28"/>
          <w:szCs w:val="28"/>
        </w:rPr>
        <w:t xml:space="preserve"> </w:t>
      </w:r>
      <w:r>
        <w:rPr>
          <w:rFonts w:ascii="Times New Roman" w:hAnsi="Times New Roman"/>
          <w:sz w:val="28"/>
          <w:szCs w:val="28"/>
          <w:lang w:val="en-US"/>
        </w:rPr>
        <w:t>Group</w:t>
      </w:r>
      <w:r>
        <w:rPr>
          <w:rFonts w:ascii="Times New Roman" w:hAnsi="Times New Roman"/>
          <w:sz w:val="28"/>
          <w:szCs w:val="28"/>
        </w:rPr>
        <w:t xml:space="preserve">. При помощи своих дочерних предприятий </w:t>
      </w:r>
      <w:r>
        <w:rPr>
          <w:rFonts w:ascii="Times New Roman" w:hAnsi="Times New Roman"/>
          <w:sz w:val="28"/>
          <w:szCs w:val="28"/>
          <w:lang w:val="en-US"/>
        </w:rPr>
        <w:t>Carlsberg</w:t>
      </w:r>
      <w:r w:rsidRPr="000C4F5A">
        <w:rPr>
          <w:rFonts w:ascii="Times New Roman" w:hAnsi="Times New Roman"/>
          <w:sz w:val="28"/>
          <w:szCs w:val="28"/>
        </w:rPr>
        <w:t xml:space="preserve"> </w:t>
      </w:r>
      <w:r>
        <w:rPr>
          <w:rFonts w:ascii="Times New Roman" w:hAnsi="Times New Roman"/>
          <w:sz w:val="28"/>
          <w:szCs w:val="28"/>
          <w:lang w:val="en-US"/>
        </w:rPr>
        <w:t>AS</w:t>
      </w:r>
      <w:r w:rsidRPr="000C4F5A">
        <w:rPr>
          <w:rFonts w:ascii="Times New Roman" w:hAnsi="Times New Roman"/>
          <w:sz w:val="28"/>
          <w:szCs w:val="28"/>
        </w:rPr>
        <w:t xml:space="preserve"> </w:t>
      </w:r>
      <w:r>
        <w:rPr>
          <w:rFonts w:ascii="Times New Roman" w:hAnsi="Times New Roman"/>
          <w:sz w:val="28"/>
          <w:szCs w:val="28"/>
        </w:rPr>
        <w:t>занимается производством, маркетингом и продажей пивоваренной продукции</w:t>
      </w:r>
      <w:r w:rsidR="00FA0BF4">
        <w:rPr>
          <w:rFonts w:ascii="Times New Roman" w:hAnsi="Times New Roman"/>
          <w:sz w:val="28"/>
          <w:szCs w:val="28"/>
        </w:rPr>
        <w:t xml:space="preserve"> более чем в 150 странах</w:t>
      </w:r>
      <w:r w:rsidRPr="000C4F5A">
        <w:rPr>
          <w:rFonts w:ascii="Times New Roman" w:hAnsi="Times New Roman"/>
          <w:sz w:val="28"/>
          <w:szCs w:val="28"/>
        </w:rPr>
        <w:t xml:space="preserve">. </w:t>
      </w:r>
      <w:r>
        <w:rPr>
          <w:rFonts w:ascii="Times New Roman" w:hAnsi="Times New Roman"/>
          <w:sz w:val="28"/>
          <w:szCs w:val="28"/>
        </w:rPr>
        <w:t>Помимо основной деятельности компания производит безалкогольные и энергетические напитки, а также бутилированную воду. Основными географическими бизнес сегментами являются страны Европы и Азии</w:t>
      </w:r>
      <w:r w:rsidR="00FA0BF4">
        <w:rPr>
          <w:rFonts w:ascii="Times New Roman" w:hAnsi="Times New Roman"/>
          <w:sz w:val="28"/>
          <w:szCs w:val="28"/>
        </w:rPr>
        <w:t>. По данным</w:t>
      </w:r>
      <w:r w:rsidR="00DA1424">
        <w:rPr>
          <w:rFonts w:ascii="Times New Roman" w:hAnsi="Times New Roman"/>
          <w:sz w:val="28"/>
          <w:szCs w:val="28"/>
        </w:rPr>
        <w:t xml:space="preserve"> 2011 г. в компании занято около 42 670 сотрудников.</w:t>
      </w:r>
    </w:p>
    <w:p w:rsidR="00FD5A21" w:rsidRDefault="00FD5A21" w:rsidP="00FD5A21">
      <w:pPr>
        <w:spacing w:line="360" w:lineRule="auto"/>
        <w:ind w:firstLine="360"/>
        <w:jc w:val="both"/>
        <w:rPr>
          <w:rFonts w:ascii="Times New Roman" w:hAnsi="Times New Roman"/>
          <w:sz w:val="28"/>
          <w:szCs w:val="28"/>
        </w:rPr>
      </w:pPr>
      <w:r>
        <w:rPr>
          <w:rFonts w:ascii="Times New Roman" w:hAnsi="Times New Roman"/>
          <w:sz w:val="28"/>
          <w:szCs w:val="28"/>
        </w:rPr>
        <w:t>В</w:t>
      </w:r>
      <w:r w:rsidRPr="00FA0BF4">
        <w:rPr>
          <w:rFonts w:ascii="Times New Roman" w:hAnsi="Times New Roman"/>
          <w:sz w:val="28"/>
          <w:szCs w:val="28"/>
        </w:rPr>
        <w:t xml:space="preserve"> </w:t>
      </w:r>
      <w:r>
        <w:rPr>
          <w:rFonts w:ascii="Times New Roman" w:hAnsi="Times New Roman"/>
          <w:sz w:val="28"/>
          <w:szCs w:val="28"/>
        </w:rPr>
        <w:t>портфолио</w:t>
      </w:r>
      <w:r w:rsidRPr="00FA0BF4">
        <w:rPr>
          <w:rFonts w:ascii="Times New Roman" w:hAnsi="Times New Roman"/>
          <w:sz w:val="28"/>
          <w:szCs w:val="28"/>
        </w:rPr>
        <w:t xml:space="preserve"> </w:t>
      </w:r>
      <w:r>
        <w:rPr>
          <w:rFonts w:ascii="Times New Roman" w:hAnsi="Times New Roman"/>
          <w:sz w:val="28"/>
          <w:szCs w:val="28"/>
        </w:rPr>
        <w:t>компании</w:t>
      </w:r>
      <w:r w:rsidRPr="00FA0BF4">
        <w:rPr>
          <w:rFonts w:ascii="Times New Roman" w:hAnsi="Times New Roman"/>
          <w:sz w:val="28"/>
          <w:szCs w:val="28"/>
        </w:rPr>
        <w:t xml:space="preserve"> </w:t>
      </w:r>
      <w:r>
        <w:rPr>
          <w:rFonts w:ascii="Times New Roman" w:hAnsi="Times New Roman"/>
          <w:sz w:val="28"/>
          <w:szCs w:val="28"/>
        </w:rPr>
        <w:t>входят</w:t>
      </w:r>
      <w:r w:rsidRPr="00FA0BF4">
        <w:rPr>
          <w:rFonts w:ascii="Times New Roman" w:hAnsi="Times New Roman"/>
          <w:sz w:val="28"/>
          <w:szCs w:val="28"/>
        </w:rPr>
        <w:t xml:space="preserve"> </w:t>
      </w:r>
      <w:r>
        <w:rPr>
          <w:rFonts w:ascii="Times New Roman" w:hAnsi="Times New Roman"/>
          <w:sz w:val="28"/>
          <w:szCs w:val="28"/>
        </w:rPr>
        <w:t>более</w:t>
      </w:r>
      <w:r w:rsidRPr="00FA0BF4">
        <w:rPr>
          <w:rFonts w:ascii="Times New Roman" w:hAnsi="Times New Roman"/>
          <w:sz w:val="28"/>
          <w:szCs w:val="28"/>
        </w:rPr>
        <w:t xml:space="preserve"> 500 </w:t>
      </w:r>
      <w:r>
        <w:rPr>
          <w:rFonts w:ascii="Times New Roman" w:hAnsi="Times New Roman"/>
          <w:sz w:val="28"/>
          <w:szCs w:val="28"/>
        </w:rPr>
        <w:t>торговых</w:t>
      </w:r>
      <w:r w:rsidRPr="00FA0BF4">
        <w:rPr>
          <w:rFonts w:ascii="Times New Roman" w:hAnsi="Times New Roman"/>
          <w:sz w:val="28"/>
          <w:szCs w:val="28"/>
        </w:rPr>
        <w:t xml:space="preserve"> </w:t>
      </w:r>
      <w:r>
        <w:rPr>
          <w:rFonts w:ascii="Times New Roman" w:hAnsi="Times New Roman"/>
          <w:sz w:val="28"/>
          <w:szCs w:val="28"/>
        </w:rPr>
        <w:t>марок</w:t>
      </w:r>
      <w:r w:rsidRPr="00FA0BF4">
        <w:rPr>
          <w:rFonts w:ascii="Times New Roman" w:hAnsi="Times New Roman"/>
          <w:sz w:val="28"/>
          <w:szCs w:val="28"/>
        </w:rPr>
        <w:t xml:space="preserve">, </w:t>
      </w:r>
      <w:r>
        <w:rPr>
          <w:rFonts w:ascii="Times New Roman" w:hAnsi="Times New Roman"/>
          <w:sz w:val="28"/>
          <w:szCs w:val="28"/>
        </w:rPr>
        <w:t>которое включает в себя</w:t>
      </w:r>
      <w:r w:rsidRPr="00FA0BF4">
        <w:rPr>
          <w:rFonts w:ascii="Times New Roman" w:hAnsi="Times New Roman"/>
          <w:sz w:val="28"/>
          <w:szCs w:val="28"/>
        </w:rPr>
        <w:t xml:space="preserve"> </w:t>
      </w:r>
      <w:r>
        <w:rPr>
          <w:rFonts w:ascii="Times New Roman" w:hAnsi="Times New Roman"/>
          <w:sz w:val="28"/>
          <w:szCs w:val="28"/>
        </w:rPr>
        <w:t>всемирно</w:t>
      </w:r>
      <w:r w:rsidRPr="00FA0BF4">
        <w:rPr>
          <w:rFonts w:ascii="Times New Roman" w:hAnsi="Times New Roman"/>
          <w:sz w:val="28"/>
          <w:szCs w:val="28"/>
        </w:rPr>
        <w:t xml:space="preserve"> </w:t>
      </w:r>
      <w:r>
        <w:rPr>
          <w:rFonts w:ascii="Times New Roman" w:hAnsi="Times New Roman"/>
          <w:sz w:val="28"/>
          <w:szCs w:val="28"/>
        </w:rPr>
        <w:t>известные</w:t>
      </w:r>
      <w:r w:rsidRPr="00FA0BF4">
        <w:rPr>
          <w:rFonts w:ascii="Times New Roman" w:hAnsi="Times New Roman"/>
          <w:sz w:val="28"/>
          <w:szCs w:val="28"/>
        </w:rPr>
        <w:t xml:space="preserve"> </w:t>
      </w:r>
      <w:r>
        <w:rPr>
          <w:rFonts w:ascii="Times New Roman" w:hAnsi="Times New Roman"/>
          <w:sz w:val="28"/>
          <w:szCs w:val="28"/>
        </w:rPr>
        <w:t>мультинациональные</w:t>
      </w:r>
      <w:r w:rsidRPr="00FA0BF4">
        <w:rPr>
          <w:rFonts w:ascii="Times New Roman" w:hAnsi="Times New Roman"/>
          <w:sz w:val="28"/>
          <w:szCs w:val="28"/>
        </w:rPr>
        <w:t xml:space="preserve"> </w:t>
      </w:r>
      <w:r>
        <w:rPr>
          <w:rFonts w:ascii="Times New Roman" w:hAnsi="Times New Roman"/>
          <w:sz w:val="28"/>
          <w:szCs w:val="28"/>
        </w:rPr>
        <w:t>бренды</w:t>
      </w:r>
      <w:r w:rsidRPr="00FA0BF4">
        <w:rPr>
          <w:rFonts w:ascii="Times New Roman" w:hAnsi="Times New Roman"/>
          <w:sz w:val="28"/>
          <w:szCs w:val="28"/>
        </w:rPr>
        <w:t xml:space="preserve"> </w:t>
      </w:r>
      <w:r>
        <w:rPr>
          <w:rFonts w:ascii="Times New Roman" w:hAnsi="Times New Roman"/>
          <w:sz w:val="28"/>
          <w:szCs w:val="28"/>
        </w:rPr>
        <w:t>как</w:t>
      </w:r>
      <w:r w:rsidRPr="00FA0BF4">
        <w:rPr>
          <w:rFonts w:ascii="Times New Roman" w:hAnsi="Times New Roman"/>
          <w:sz w:val="28"/>
          <w:szCs w:val="28"/>
        </w:rPr>
        <w:t xml:space="preserve"> </w:t>
      </w:r>
      <w:r w:rsidRPr="00FA0BF4">
        <w:rPr>
          <w:rFonts w:ascii="Times New Roman" w:hAnsi="Times New Roman"/>
          <w:sz w:val="28"/>
          <w:szCs w:val="28"/>
          <w:lang w:val="en-US"/>
        </w:rPr>
        <w:t>Carlsberg</w:t>
      </w:r>
      <w:r w:rsidRPr="00FA0BF4">
        <w:rPr>
          <w:rFonts w:ascii="Times New Roman" w:hAnsi="Times New Roman"/>
          <w:sz w:val="28"/>
          <w:szCs w:val="28"/>
        </w:rPr>
        <w:t xml:space="preserve">, </w:t>
      </w:r>
      <w:r w:rsidRPr="00FA0BF4">
        <w:rPr>
          <w:rFonts w:ascii="Times New Roman" w:hAnsi="Times New Roman"/>
          <w:sz w:val="28"/>
          <w:szCs w:val="28"/>
          <w:lang w:val="en-US"/>
        </w:rPr>
        <w:t>Tuborg</w:t>
      </w:r>
      <w:r w:rsidRPr="00FA0BF4">
        <w:rPr>
          <w:rFonts w:ascii="Times New Roman" w:hAnsi="Times New Roman"/>
          <w:sz w:val="28"/>
          <w:szCs w:val="28"/>
        </w:rPr>
        <w:t xml:space="preserve">, </w:t>
      </w:r>
      <w:r w:rsidRPr="00FA0BF4">
        <w:rPr>
          <w:rFonts w:ascii="Times New Roman" w:hAnsi="Times New Roman"/>
          <w:sz w:val="28"/>
          <w:szCs w:val="28"/>
          <w:lang w:val="en-US"/>
        </w:rPr>
        <w:t>Kronenbourg</w:t>
      </w:r>
      <w:r w:rsidRPr="00FA0BF4">
        <w:rPr>
          <w:rFonts w:ascii="Times New Roman" w:hAnsi="Times New Roman"/>
          <w:sz w:val="28"/>
          <w:szCs w:val="28"/>
        </w:rPr>
        <w:t xml:space="preserve"> 1664 </w:t>
      </w:r>
      <w:r>
        <w:rPr>
          <w:rFonts w:ascii="Times New Roman" w:hAnsi="Times New Roman"/>
          <w:sz w:val="28"/>
          <w:szCs w:val="28"/>
        </w:rPr>
        <w:t>и</w:t>
      </w:r>
      <w:r w:rsidRPr="00FA0BF4">
        <w:rPr>
          <w:rFonts w:ascii="Times New Roman" w:hAnsi="Times New Roman"/>
          <w:sz w:val="28"/>
          <w:szCs w:val="28"/>
        </w:rPr>
        <w:t xml:space="preserve"> </w:t>
      </w:r>
      <w:r>
        <w:rPr>
          <w:rFonts w:ascii="Times New Roman" w:hAnsi="Times New Roman"/>
          <w:sz w:val="28"/>
          <w:szCs w:val="28"/>
        </w:rPr>
        <w:t>Балтика; также</w:t>
      </w:r>
      <w:r w:rsidRPr="00FA0BF4">
        <w:rPr>
          <w:rFonts w:ascii="Times New Roman" w:hAnsi="Times New Roman"/>
          <w:sz w:val="28"/>
          <w:szCs w:val="28"/>
        </w:rPr>
        <w:t xml:space="preserve"> </w:t>
      </w:r>
      <w:r>
        <w:rPr>
          <w:rFonts w:ascii="Times New Roman" w:hAnsi="Times New Roman"/>
          <w:sz w:val="28"/>
          <w:szCs w:val="28"/>
        </w:rPr>
        <w:t>локальные</w:t>
      </w:r>
      <w:r w:rsidRPr="00FA0BF4">
        <w:rPr>
          <w:rFonts w:ascii="Times New Roman" w:hAnsi="Times New Roman"/>
          <w:sz w:val="28"/>
          <w:szCs w:val="28"/>
        </w:rPr>
        <w:t xml:space="preserve"> </w:t>
      </w:r>
      <w:r>
        <w:rPr>
          <w:rFonts w:ascii="Times New Roman" w:hAnsi="Times New Roman"/>
          <w:sz w:val="28"/>
          <w:szCs w:val="28"/>
        </w:rPr>
        <w:t>марки с сильными рыночными позициями</w:t>
      </w:r>
      <w:r w:rsidRPr="00FA0BF4">
        <w:rPr>
          <w:rFonts w:ascii="Times New Roman" w:hAnsi="Times New Roman"/>
          <w:sz w:val="28"/>
          <w:szCs w:val="28"/>
        </w:rPr>
        <w:t xml:space="preserve"> – </w:t>
      </w:r>
      <w:r>
        <w:rPr>
          <w:rFonts w:ascii="Times New Roman" w:hAnsi="Times New Roman"/>
          <w:sz w:val="28"/>
          <w:szCs w:val="28"/>
          <w:lang w:val="en-US"/>
        </w:rPr>
        <w:t>Ringnes</w:t>
      </w:r>
      <w:r w:rsidRPr="00FA0BF4">
        <w:rPr>
          <w:rFonts w:ascii="Times New Roman" w:hAnsi="Times New Roman"/>
          <w:sz w:val="28"/>
          <w:szCs w:val="28"/>
        </w:rPr>
        <w:t xml:space="preserve"> (</w:t>
      </w:r>
      <w:r>
        <w:rPr>
          <w:rFonts w:ascii="Times New Roman" w:hAnsi="Times New Roman"/>
          <w:sz w:val="28"/>
          <w:szCs w:val="28"/>
        </w:rPr>
        <w:t>Норвегия</w:t>
      </w:r>
      <w:r w:rsidRPr="00FA0BF4">
        <w:rPr>
          <w:rFonts w:ascii="Times New Roman" w:hAnsi="Times New Roman"/>
          <w:sz w:val="28"/>
          <w:szCs w:val="28"/>
        </w:rPr>
        <w:t xml:space="preserve">), </w:t>
      </w:r>
      <w:r w:rsidRPr="00FA0BF4">
        <w:rPr>
          <w:rFonts w:ascii="Times New Roman" w:hAnsi="Times New Roman"/>
          <w:sz w:val="28"/>
          <w:szCs w:val="28"/>
          <w:lang w:val="en-US"/>
        </w:rPr>
        <w:t>Feldschlosschen</w:t>
      </w:r>
      <w:r w:rsidRPr="00FA0BF4">
        <w:rPr>
          <w:rFonts w:ascii="Times New Roman" w:hAnsi="Times New Roman"/>
          <w:sz w:val="28"/>
          <w:szCs w:val="28"/>
        </w:rPr>
        <w:t xml:space="preserve"> (</w:t>
      </w:r>
      <w:r>
        <w:rPr>
          <w:rFonts w:ascii="Times New Roman" w:hAnsi="Times New Roman"/>
          <w:sz w:val="28"/>
          <w:szCs w:val="28"/>
        </w:rPr>
        <w:t>Швейцария)</w:t>
      </w:r>
      <w:r w:rsidRPr="00FA0BF4">
        <w:rPr>
          <w:rFonts w:ascii="Times New Roman" w:hAnsi="Times New Roman"/>
          <w:sz w:val="28"/>
          <w:szCs w:val="28"/>
        </w:rPr>
        <w:t xml:space="preserve">, </w:t>
      </w:r>
      <w:r w:rsidRPr="00FA0BF4">
        <w:rPr>
          <w:rFonts w:ascii="Times New Roman" w:hAnsi="Times New Roman"/>
          <w:sz w:val="28"/>
          <w:szCs w:val="28"/>
          <w:lang w:val="en-US"/>
        </w:rPr>
        <w:t>Lav</w:t>
      </w:r>
      <w:r w:rsidRPr="00FA0BF4">
        <w:rPr>
          <w:rFonts w:ascii="Times New Roman" w:hAnsi="Times New Roman"/>
          <w:sz w:val="28"/>
          <w:szCs w:val="28"/>
        </w:rPr>
        <w:t xml:space="preserve"> (</w:t>
      </w:r>
      <w:r>
        <w:rPr>
          <w:rFonts w:ascii="Times New Roman" w:hAnsi="Times New Roman"/>
          <w:sz w:val="28"/>
          <w:szCs w:val="28"/>
        </w:rPr>
        <w:t>Сербия</w:t>
      </w:r>
      <w:r w:rsidRPr="00FA0BF4">
        <w:rPr>
          <w:rFonts w:ascii="Times New Roman" w:hAnsi="Times New Roman"/>
          <w:sz w:val="28"/>
          <w:szCs w:val="28"/>
        </w:rPr>
        <w:t xml:space="preserve">) </w:t>
      </w:r>
      <w:r w:rsidRPr="00FA0BF4">
        <w:rPr>
          <w:rFonts w:ascii="Times New Roman" w:hAnsi="Times New Roman"/>
          <w:sz w:val="28"/>
          <w:szCs w:val="28"/>
          <w:lang w:val="en-US"/>
        </w:rPr>
        <w:t>and</w:t>
      </w:r>
      <w:r w:rsidRPr="00FA0BF4">
        <w:rPr>
          <w:rFonts w:ascii="Times New Roman" w:hAnsi="Times New Roman"/>
          <w:sz w:val="28"/>
          <w:szCs w:val="28"/>
        </w:rPr>
        <w:t xml:space="preserve"> </w:t>
      </w:r>
      <w:r w:rsidRPr="00FA0BF4">
        <w:rPr>
          <w:rFonts w:ascii="Times New Roman" w:hAnsi="Times New Roman"/>
          <w:sz w:val="28"/>
          <w:szCs w:val="28"/>
          <w:lang w:val="en-US"/>
        </w:rPr>
        <w:t>Wusu</w:t>
      </w:r>
      <w:r w:rsidRPr="00FA0BF4">
        <w:rPr>
          <w:rFonts w:ascii="Times New Roman" w:hAnsi="Times New Roman"/>
          <w:sz w:val="28"/>
          <w:szCs w:val="28"/>
        </w:rPr>
        <w:t xml:space="preserve"> (</w:t>
      </w:r>
      <w:r>
        <w:rPr>
          <w:rFonts w:ascii="Times New Roman" w:hAnsi="Times New Roman"/>
          <w:sz w:val="28"/>
          <w:szCs w:val="28"/>
        </w:rPr>
        <w:t>Западный Китай</w:t>
      </w:r>
      <w:r w:rsidRPr="00FA0BF4">
        <w:rPr>
          <w:rFonts w:ascii="Times New Roman" w:hAnsi="Times New Roman"/>
          <w:sz w:val="28"/>
          <w:szCs w:val="28"/>
        </w:rPr>
        <w:t>).</w:t>
      </w:r>
    </w:p>
    <w:p w:rsidR="00185D2E" w:rsidRDefault="00DA1424" w:rsidP="00DA1424">
      <w:pPr>
        <w:spacing w:line="360" w:lineRule="auto"/>
        <w:ind w:firstLine="360"/>
        <w:jc w:val="both"/>
        <w:rPr>
          <w:rFonts w:ascii="Times New Roman" w:hAnsi="Times New Roman"/>
          <w:sz w:val="28"/>
          <w:szCs w:val="28"/>
        </w:rPr>
      </w:pPr>
      <w:r>
        <w:rPr>
          <w:rFonts w:ascii="Times New Roman" w:hAnsi="Times New Roman"/>
          <w:sz w:val="28"/>
          <w:szCs w:val="28"/>
        </w:rPr>
        <w:t>По состоянию на начало 2012 г. продажи компании составили 11 880 млн. долл., что на 5,8% превышает уровень предыдущего года. Увеличение показателя выручки связано в первую очередь с резким скачком продаж в 4-ом квартале 2011 г. Что касается операционной (</w:t>
      </w:r>
      <w:r>
        <w:rPr>
          <w:rFonts w:ascii="Times New Roman" w:hAnsi="Times New Roman"/>
          <w:sz w:val="28"/>
          <w:szCs w:val="28"/>
          <w:lang w:val="en-US"/>
        </w:rPr>
        <w:t>EBIT</w:t>
      </w:r>
      <w:r w:rsidRPr="00DA1424">
        <w:rPr>
          <w:rFonts w:ascii="Times New Roman" w:hAnsi="Times New Roman"/>
          <w:sz w:val="28"/>
          <w:szCs w:val="28"/>
        </w:rPr>
        <w:t>)</w:t>
      </w:r>
      <w:r>
        <w:rPr>
          <w:rFonts w:ascii="Times New Roman" w:hAnsi="Times New Roman"/>
          <w:sz w:val="28"/>
          <w:szCs w:val="28"/>
        </w:rPr>
        <w:t xml:space="preserve"> и чистой прибыли, то они составили 1 835 млн. долл. и 962 млн. долл.,</w:t>
      </w:r>
      <w:r w:rsidR="003854A6">
        <w:rPr>
          <w:rFonts w:ascii="Times New Roman" w:hAnsi="Times New Roman"/>
          <w:sz w:val="28"/>
          <w:szCs w:val="28"/>
        </w:rPr>
        <w:t xml:space="preserve"> соответственно.</w:t>
      </w:r>
    </w:p>
    <w:p w:rsidR="003854A6" w:rsidRDefault="003854A6" w:rsidP="00384E60">
      <w:pPr>
        <w:spacing w:line="360" w:lineRule="auto"/>
        <w:ind w:firstLine="360"/>
        <w:jc w:val="both"/>
        <w:rPr>
          <w:rFonts w:ascii="Times New Roman" w:hAnsi="Times New Roman"/>
          <w:sz w:val="28"/>
          <w:szCs w:val="28"/>
        </w:rPr>
      </w:pPr>
      <w:r>
        <w:rPr>
          <w:rFonts w:ascii="Times New Roman" w:hAnsi="Times New Roman"/>
          <w:sz w:val="28"/>
          <w:szCs w:val="28"/>
        </w:rPr>
        <w:t>В регионе Северной</w:t>
      </w:r>
      <w:r w:rsidRPr="003854A6">
        <w:rPr>
          <w:rFonts w:ascii="Times New Roman" w:hAnsi="Times New Roman"/>
          <w:sz w:val="28"/>
          <w:szCs w:val="28"/>
        </w:rPr>
        <w:t xml:space="preserve"> </w:t>
      </w:r>
      <w:r>
        <w:rPr>
          <w:rFonts w:ascii="Times New Roman" w:hAnsi="Times New Roman"/>
          <w:sz w:val="28"/>
          <w:szCs w:val="28"/>
        </w:rPr>
        <w:t xml:space="preserve">и </w:t>
      </w:r>
      <w:r w:rsidR="00384E60">
        <w:rPr>
          <w:rFonts w:ascii="Times New Roman" w:hAnsi="Times New Roman"/>
          <w:sz w:val="28"/>
          <w:szCs w:val="28"/>
        </w:rPr>
        <w:t>Западной</w:t>
      </w:r>
      <w:r>
        <w:rPr>
          <w:rFonts w:ascii="Times New Roman" w:hAnsi="Times New Roman"/>
          <w:sz w:val="28"/>
          <w:szCs w:val="28"/>
        </w:rPr>
        <w:t xml:space="preserve"> Европы компания занимает сильные позиции в Дании, Швеции, Норвегии, Финляндии и странах Прибалтики. </w:t>
      </w:r>
      <w:r w:rsidR="00384E60">
        <w:rPr>
          <w:rFonts w:ascii="Times New Roman" w:hAnsi="Times New Roman"/>
          <w:sz w:val="28"/>
          <w:szCs w:val="28"/>
        </w:rPr>
        <w:t xml:space="preserve">Также к целевой аудитории относятся рынки Великобритании, </w:t>
      </w:r>
      <w:r>
        <w:rPr>
          <w:rFonts w:ascii="Times New Roman" w:hAnsi="Times New Roman"/>
          <w:sz w:val="28"/>
          <w:szCs w:val="28"/>
        </w:rPr>
        <w:t xml:space="preserve"> </w:t>
      </w:r>
      <w:r w:rsidR="00384E60">
        <w:rPr>
          <w:rFonts w:ascii="Times New Roman" w:hAnsi="Times New Roman"/>
          <w:sz w:val="28"/>
          <w:szCs w:val="28"/>
        </w:rPr>
        <w:t xml:space="preserve">Франции, Швейцарии, Германии и Польши. Операционная деятельность компании в данном сегменте покрывает рынки 18 стран, в которых расположено 25 производственных мощностей. На долю данного географического региона приходится 58,1% общей выручки компании, что составило 6 885 млн. долл. в 2011 г. </w:t>
      </w:r>
    </w:p>
    <w:p w:rsidR="00AF3D99" w:rsidRDefault="00384E60" w:rsidP="00384E60">
      <w:pPr>
        <w:spacing w:line="360" w:lineRule="auto"/>
        <w:ind w:firstLine="360"/>
        <w:jc w:val="both"/>
        <w:rPr>
          <w:rFonts w:ascii="Times New Roman" w:hAnsi="Times New Roman"/>
          <w:sz w:val="28"/>
          <w:szCs w:val="28"/>
        </w:rPr>
      </w:pPr>
      <w:r>
        <w:rPr>
          <w:rFonts w:ascii="Times New Roman" w:hAnsi="Times New Roman"/>
          <w:sz w:val="28"/>
          <w:szCs w:val="28"/>
        </w:rPr>
        <w:t xml:space="preserve">В Восточной Европе </w:t>
      </w:r>
      <w:r>
        <w:rPr>
          <w:rFonts w:ascii="Times New Roman" w:hAnsi="Times New Roman"/>
          <w:sz w:val="28"/>
          <w:szCs w:val="28"/>
          <w:lang w:val="en-US"/>
        </w:rPr>
        <w:t>Carlsberg</w:t>
      </w:r>
      <w:r w:rsidRPr="00384E60">
        <w:rPr>
          <w:rFonts w:ascii="Times New Roman" w:hAnsi="Times New Roman"/>
          <w:sz w:val="28"/>
          <w:szCs w:val="28"/>
        </w:rPr>
        <w:t xml:space="preserve"> </w:t>
      </w:r>
      <w:r>
        <w:rPr>
          <w:rFonts w:ascii="Times New Roman" w:hAnsi="Times New Roman"/>
          <w:sz w:val="28"/>
          <w:szCs w:val="28"/>
          <w:lang w:val="en-US"/>
        </w:rPr>
        <w:t>AS</w:t>
      </w:r>
      <w:r w:rsidRPr="00384E60">
        <w:rPr>
          <w:rFonts w:ascii="Times New Roman" w:hAnsi="Times New Roman"/>
          <w:sz w:val="28"/>
          <w:szCs w:val="28"/>
        </w:rPr>
        <w:t xml:space="preserve"> </w:t>
      </w:r>
      <w:r>
        <w:rPr>
          <w:rFonts w:ascii="Times New Roman" w:hAnsi="Times New Roman"/>
          <w:sz w:val="28"/>
          <w:szCs w:val="28"/>
        </w:rPr>
        <w:t xml:space="preserve">занимает уверенное место на растущих рынках России и Украины. Также компания представлена в развивающихся странах данного региона –  Казахстане, Белоруссии, Азербайджане и Узбекистане. </w:t>
      </w:r>
      <w:r w:rsidR="004261CC">
        <w:rPr>
          <w:rFonts w:ascii="Times New Roman" w:hAnsi="Times New Roman"/>
          <w:sz w:val="28"/>
          <w:szCs w:val="28"/>
        </w:rPr>
        <w:t xml:space="preserve">Всего в данном сегменте расположено 17 заводов по производству пивоваренной продукции, 10 из которых находятся в России. </w:t>
      </w:r>
      <w:r w:rsidR="00AF3D99">
        <w:rPr>
          <w:rFonts w:ascii="Times New Roman" w:hAnsi="Times New Roman"/>
          <w:sz w:val="28"/>
          <w:szCs w:val="28"/>
        </w:rPr>
        <w:t>Выручка по региону в 2011 г. составила 3 682 млн. долл. На долю сегмента приходится 31,1% общих продаж.</w:t>
      </w:r>
    </w:p>
    <w:p w:rsidR="00AA2756" w:rsidRPr="00384E60" w:rsidRDefault="007745B8" w:rsidP="007745B8">
      <w:pPr>
        <w:spacing w:line="360" w:lineRule="auto"/>
        <w:ind w:firstLine="360"/>
        <w:jc w:val="both"/>
        <w:rPr>
          <w:rFonts w:ascii="Times New Roman" w:hAnsi="Times New Roman"/>
          <w:sz w:val="28"/>
          <w:szCs w:val="28"/>
        </w:rPr>
      </w:pPr>
      <w:r>
        <w:rPr>
          <w:rFonts w:ascii="Times New Roman" w:hAnsi="Times New Roman"/>
          <w:sz w:val="28"/>
          <w:szCs w:val="28"/>
        </w:rPr>
        <w:t>Операционная деятельность компании в</w:t>
      </w:r>
      <w:r w:rsidR="00AF3D99">
        <w:rPr>
          <w:rFonts w:ascii="Times New Roman" w:hAnsi="Times New Roman"/>
          <w:sz w:val="28"/>
          <w:szCs w:val="28"/>
        </w:rPr>
        <w:t xml:space="preserve"> </w:t>
      </w:r>
      <w:r>
        <w:rPr>
          <w:rFonts w:ascii="Times New Roman" w:hAnsi="Times New Roman"/>
          <w:sz w:val="28"/>
          <w:szCs w:val="28"/>
        </w:rPr>
        <w:t xml:space="preserve">азиатском бизнес сегменте проистекает в </w:t>
      </w:r>
      <w:r w:rsidR="00AF3D99">
        <w:rPr>
          <w:rFonts w:ascii="Times New Roman" w:hAnsi="Times New Roman"/>
          <w:sz w:val="28"/>
          <w:szCs w:val="28"/>
        </w:rPr>
        <w:t xml:space="preserve"> Гонконг</w:t>
      </w:r>
      <w:r>
        <w:rPr>
          <w:rFonts w:ascii="Times New Roman" w:hAnsi="Times New Roman"/>
          <w:sz w:val="28"/>
          <w:szCs w:val="28"/>
        </w:rPr>
        <w:t>е</w:t>
      </w:r>
      <w:r w:rsidR="00AF3D99">
        <w:rPr>
          <w:rFonts w:ascii="Times New Roman" w:hAnsi="Times New Roman"/>
          <w:sz w:val="28"/>
          <w:szCs w:val="28"/>
        </w:rPr>
        <w:t>, Малайзи</w:t>
      </w:r>
      <w:r>
        <w:rPr>
          <w:rFonts w:ascii="Times New Roman" w:hAnsi="Times New Roman"/>
          <w:sz w:val="28"/>
          <w:szCs w:val="28"/>
        </w:rPr>
        <w:t>и</w:t>
      </w:r>
      <w:r w:rsidR="00AF3D99">
        <w:rPr>
          <w:rFonts w:ascii="Times New Roman" w:hAnsi="Times New Roman"/>
          <w:sz w:val="28"/>
          <w:szCs w:val="28"/>
        </w:rPr>
        <w:t>, Сингапур</w:t>
      </w:r>
      <w:r>
        <w:rPr>
          <w:rFonts w:ascii="Times New Roman" w:hAnsi="Times New Roman"/>
          <w:sz w:val="28"/>
          <w:szCs w:val="28"/>
        </w:rPr>
        <w:t>е</w:t>
      </w:r>
      <w:r w:rsidR="00AF3D99">
        <w:rPr>
          <w:rFonts w:ascii="Times New Roman" w:hAnsi="Times New Roman"/>
          <w:sz w:val="28"/>
          <w:szCs w:val="28"/>
        </w:rPr>
        <w:t>, Кита</w:t>
      </w:r>
      <w:r>
        <w:rPr>
          <w:rFonts w:ascii="Times New Roman" w:hAnsi="Times New Roman"/>
          <w:sz w:val="28"/>
          <w:szCs w:val="28"/>
        </w:rPr>
        <w:t>е</w:t>
      </w:r>
      <w:r w:rsidR="00AF3D99">
        <w:rPr>
          <w:rFonts w:ascii="Times New Roman" w:hAnsi="Times New Roman"/>
          <w:sz w:val="28"/>
          <w:szCs w:val="28"/>
        </w:rPr>
        <w:t>, Вьетнам</w:t>
      </w:r>
      <w:r>
        <w:rPr>
          <w:rFonts w:ascii="Times New Roman" w:hAnsi="Times New Roman"/>
          <w:sz w:val="28"/>
          <w:szCs w:val="28"/>
        </w:rPr>
        <w:t>е</w:t>
      </w:r>
      <w:r w:rsidR="00AF3D99">
        <w:rPr>
          <w:rFonts w:ascii="Times New Roman" w:hAnsi="Times New Roman"/>
          <w:sz w:val="28"/>
          <w:szCs w:val="28"/>
        </w:rPr>
        <w:t xml:space="preserve"> и Инди</w:t>
      </w:r>
      <w:r>
        <w:rPr>
          <w:rFonts w:ascii="Times New Roman" w:hAnsi="Times New Roman"/>
          <w:sz w:val="28"/>
          <w:szCs w:val="28"/>
        </w:rPr>
        <w:t>и</w:t>
      </w:r>
      <w:r w:rsidR="00AF3D99">
        <w:rPr>
          <w:rFonts w:ascii="Times New Roman" w:hAnsi="Times New Roman"/>
          <w:sz w:val="28"/>
          <w:szCs w:val="28"/>
        </w:rPr>
        <w:t xml:space="preserve">. </w:t>
      </w:r>
      <w:r>
        <w:rPr>
          <w:rFonts w:ascii="Times New Roman" w:hAnsi="Times New Roman"/>
          <w:sz w:val="28"/>
          <w:szCs w:val="28"/>
        </w:rPr>
        <w:t xml:space="preserve">Также к активным рынкам региона относятся </w:t>
      </w:r>
      <w:r w:rsidR="004F4ED5">
        <w:rPr>
          <w:rFonts w:ascii="Times New Roman" w:hAnsi="Times New Roman"/>
          <w:sz w:val="28"/>
          <w:szCs w:val="28"/>
        </w:rPr>
        <w:t>Камбоджа</w:t>
      </w:r>
      <w:r>
        <w:rPr>
          <w:rFonts w:ascii="Times New Roman" w:hAnsi="Times New Roman"/>
          <w:sz w:val="28"/>
          <w:szCs w:val="28"/>
        </w:rPr>
        <w:t xml:space="preserve">, Лаос, </w:t>
      </w:r>
      <w:r w:rsidR="004F4ED5">
        <w:rPr>
          <w:rFonts w:ascii="Times New Roman" w:hAnsi="Times New Roman"/>
          <w:sz w:val="28"/>
          <w:szCs w:val="28"/>
        </w:rPr>
        <w:t xml:space="preserve">Малави, </w:t>
      </w:r>
      <w:r>
        <w:rPr>
          <w:rFonts w:ascii="Times New Roman" w:hAnsi="Times New Roman"/>
          <w:sz w:val="28"/>
          <w:szCs w:val="28"/>
        </w:rPr>
        <w:t>Непал</w:t>
      </w:r>
      <w:r w:rsidR="00AF3D99">
        <w:rPr>
          <w:rFonts w:ascii="Times New Roman" w:hAnsi="Times New Roman"/>
          <w:sz w:val="28"/>
          <w:szCs w:val="28"/>
        </w:rPr>
        <w:t xml:space="preserve"> </w:t>
      </w:r>
      <w:r w:rsidR="004F4ED5">
        <w:rPr>
          <w:rFonts w:ascii="Times New Roman" w:hAnsi="Times New Roman"/>
          <w:sz w:val="28"/>
          <w:szCs w:val="28"/>
        </w:rPr>
        <w:t xml:space="preserve">и Шри-Ланка. Стоит отметить, что на регион приходится 57 пивоваренных заводов, 41 из которых расположен в Китае. В 2011 г. продажи в странах региона составили 1 278 млн. долл. Вес сегмента в общей выручке компании невелик – 10,8%. </w:t>
      </w:r>
    </w:p>
    <w:p w:rsidR="000872B3" w:rsidRPr="00F86AE5" w:rsidRDefault="002C7537" w:rsidP="002C7537">
      <w:pPr>
        <w:pStyle w:val="2"/>
        <w:spacing w:line="360" w:lineRule="auto"/>
        <w:jc w:val="center"/>
        <w:rPr>
          <w:rFonts w:ascii="Times New Roman" w:hAnsi="Times New Roman" w:cs="Times New Roman"/>
          <w:color w:val="auto"/>
          <w:sz w:val="28"/>
          <w:szCs w:val="28"/>
        </w:rPr>
      </w:pPr>
      <w:bookmarkStart w:id="24" w:name="_Toc356252007"/>
      <w:r>
        <w:rPr>
          <w:rFonts w:ascii="Times New Roman" w:hAnsi="Times New Roman" w:cs="Times New Roman"/>
          <w:color w:val="auto"/>
          <w:sz w:val="28"/>
          <w:szCs w:val="28"/>
        </w:rPr>
        <w:t xml:space="preserve">2.3 </w:t>
      </w:r>
      <w:r w:rsidR="00F86AE5">
        <w:rPr>
          <w:rFonts w:ascii="Times New Roman" w:hAnsi="Times New Roman" w:cs="Times New Roman"/>
          <w:color w:val="auto"/>
          <w:sz w:val="28"/>
          <w:szCs w:val="28"/>
        </w:rPr>
        <w:t xml:space="preserve">Анализ конкурентоспособности компании </w:t>
      </w:r>
      <w:r w:rsidR="00F86AE5">
        <w:rPr>
          <w:rFonts w:ascii="Times New Roman" w:hAnsi="Times New Roman" w:cs="Times New Roman"/>
          <w:color w:val="auto"/>
          <w:sz w:val="28"/>
          <w:szCs w:val="28"/>
          <w:lang w:val="en-US"/>
        </w:rPr>
        <w:t>Heineken</w:t>
      </w:r>
      <w:r w:rsidR="00F86AE5" w:rsidRPr="00F86AE5">
        <w:rPr>
          <w:rFonts w:ascii="Times New Roman" w:hAnsi="Times New Roman" w:cs="Times New Roman"/>
          <w:color w:val="auto"/>
          <w:sz w:val="28"/>
          <w:szCs w:val="28"/>
        </w:rPr>
        <w:t xml:space="preserve"> </w:t>
      </w:r>
      <w:r w:rsidR="00F86AE5">
        <w:rPr>
          <w:rFonts w:ascii="Times New Roman" w:hAnsi="Times New Roman" w:cs="Times New Roman"/>
          <w:color w:val="auto"/>
          <w:sz w:val="28"/>
          <w:szCs w:val="28"/>
          <w:lang w:val="en-US"/>
        </w:rPr>
        <w:t>N</w:t>
      </w:r>
      <w:r w:rsidR="00F86AE5" w:rsidRPr="00F86AE5">
        <w:rPr>
          <w:rFonts w:ascii="Times New Roman" w:hAnsi="Times New Roman" w:cs="Times New Roman"/>
          <w:color w:val="auto"/>
          <w:sz w:val="28"/>
          <w:szCs w:val="28"/>
        </w:rPr>
        <w:t>.</w:t>
      </w:r>
      <w:r w:rsidR="00F86AE5">
        <w:rPr>
          <w:rFonts w:ascii="Times New Roman" w:hAnsi="Times New Roman" w:cs="Times New Roman"/>
          <w:color w:val="auto"/>
          <w:sz w:val="28"/>
          <w:szCs w:val="28"/>
          <w:lang w:val="en-US"/>
        </w:rPr>
        <w:t>V</w:t>
      </w:r>
      <w:r w:rsidR="00F86AE5" w:rsidRPr="00F86AE5">
        <w:rPr>
          <w:rFonts w:ascii="Times New Roman" w:hAnsi="Times New Roman" w:cs="Times New Roman"/>
          <w:color w:val="auto"/>
          <w:sz w:val="28"/>
          <w:szCs w:val="28"/>
        </w:rPr>
        <w:t>.</w:t>
      </w:r>
      <w:bookmarkEnd w:id="24"/>
    </w:p>
    <w:p w:rsidR="009F6E1F" w:rsidRPr="00854993" w:rsidRDefault="009F6E1F" w:rsidP="00854993">
      <w:pPr>
        <w:spacing w:before="240" w:line="360" w:lineRule="auto"/>
        <w:jc w:val="center"/>
        <w:rPr>
          <w:rFonts w:ascii="Times New Roman" w:hAnsi="Times New Roman"/>
          <w:b/>
          <w:sz w:val="28"/>
          <w:szCs w:val="28"/>
        </w:rPr>
      </w:pPr>
    </w:p>
    <w:p w:rsidR="000872B3"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Компания </w:t>
      </w:r>
      <w:r>
        <w:rPr>
          <w:rFonts w:ascii="Times New Roman" w:hAnsi="Times New Roman"/>
          <w:sz w:val="28"/>
          <w:szCs w:val="28"/>
          <w:lang w:val="en-US"/>
        </w:rPr>
        <w:t>Heineken</w:t>
      </w:r>
      <w:r w:rsidRPr="001D151A">
        <w:rPr>
          <w:rFonts w:ascii="Times New Roman" w:hAnsi="Times New Roman"/>
          <w:sz w:val="28"/>
          <w:szCs w:val="28"/>
        </w:rPr>
        <w:t xml:space="preserve"> </w:t>
      </w:r>
      <w:r>
        <w:rPr>
          <w:rFonts w:ascii="Times New Roman" w:hAnsi="Times New Roman"/>
          <w:sz w:val="28"/>
          <w:szCs w:val="28"/>
          <w:lang w:val="en-US"/>
        </w:rPr>
        <w:t>N</w:t>
      </w:r>
      <w:r w:rsidRPr="001D151A">
        <w:rPr>
          <w:rFonts w:ascii="Times New Roman" w:hAnsi="Times New Roman"/>
          <w:sz w:val="28"/>
          <w:szCs w:val="28"/>
        </w:rPr>
        <w:t>.</w:t>
      </w:r>
      <w:r>
        <w:rPr>
          <w:rFonts w:ascii="Times New Roman" w:hAnsi="Times New Roman"/>
          <w:sz w:val="28"/>
          <w:szCs w:val="28"/>
          <w:lang w:val="en-US"/>
        </w:rPr>
        <w:t>V</w:t>
      </w:r>
      <w:r w:rsidRPr="001D151A">
        <w:rPr>
          <w:rFonts w:ascii="Times New Roman" w:hAnsi="Times New Roman"/>
          <w:sz w:val="28"/>
          <w:szCs w:val="28"/>
        </w:rPr>
        <w:t xml:space="preserve">. </w:t>
      </w:r>
      <w:r>
        <w:rPr>
          <w:rFonts w:ascii="Times New Roman" w:hAnsi="Times New Roman"/>
          <w:sz w:val="28"/>
          <w:szCs w:val="28"/>
        </w:rPr>
        <w:t xml:space="preserve">является одним из ведущих мировых производителей пива. Она занимает 3-е место после </w:t>
      </w:r>
      <w:r>
        <w:rPr>
          <w:rFonts w:ascii="Times New Roman" w:hAnsi="Times New Roman"/>
          <w:sz w:val="28"/>
          <w:szCs w:val="28"/>
          <w:lang w:val="en-US"/>
        </w:rPr>
        <w:t>Anheuser</w:t>
      </w:r>
      <w:r w:rsidRPr="001D151A">
        <w:rPr>
          <w:rFonts w:ascii="Times New Roman" w:hAnsi="Times New Roman"/>
          <w:sz w:val="28"/>
          <w:szCs w:val="28"/>
        </w:rPr>
        <w:t xml:space="preserve"> </w:t>
      </w:r>
      <w:r>
        <w:rPr>
          <w:rFonts w:ascii="Times New Roman" w:hAnsi="Times New Roman"/>
          <w:sz w:val="28"/>
          <w:szCs w:val="28"/>
          <w:lang w:val="en-US"/>
        </w:rPr>
        <w:t>Busch</w:t>
      </w:r>
      <w:r w:rsidRPr="001D151A">
        <w:rPr>
          <w:rFonts w:ascii="Times New Roman" w:hAnsi="Times New Roman"/>
          <w:sz w:val="28"/>
          <w:szCs w:val="28"/>
        </w:rPr>
        <w:t xml:space="preserve"> </w:t>
      </w:r>
      <w:r>
        <w:rPr>
          <w:rFonts w:ascii="Times New Roman" w:hAnsi="Times New Roman"/>
          <w:sz w:val="28"/>
          <w:szCs w:val="28"/>
          <w:lang w:val="en-US"/>
        </w:rPr>
        <w:t>In</w:t>
      </w:r>
      <w:r w:rsidRPr="001D151A">
        <w:rPr>
          <w:rFonts w:ascii="Times New Roman" w:hAnsi="Times New Roman"/>
          <w:sz w:val="28"/>
          <w:szCs w:val="28"/>
        </w:rPr>
        <w:t>-</w:t>
      </w:r>
      <w:r>
        <w:rPr>
          <w:rFonts w:ascii="Times New Roman" w:hAnsi="Times New Roman"/>
          <w:sz w:val="28"/>
          <w:szCs w:val="28"/>
          <w:lang w:val="en-US"/>
        </w:rPr>
        <w:t>Bev</w:t>
      </w:r>
      <w:r w:rsidRPr="001D151A">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SABMiller</w:t>
      </w:r>
      <w:r w:rsidRPr="001D151A">
        <w:rPr>
          <w:rFonts w:ascii="Times New Roman" w:hAnsi="Times New Roman"/>
          <w:sz w:val="28"/>
          <w:szCs w:val="28"/>
        </w:rPr>
        <w:t xml:space="preserve">. </w:t>
      </w:r>
      <w:r>
        <w:rPr>
          <w:rFonts w:ascii="Times New Roman" w:hAnsi="Times New Roman"/>
          <w:sz w:val="28"/>
          <w:szCs w:val="28"/>
        </w:rPr>
        <w:t>С долей в 18% она также занимает лидирующие позиции по производству сидра. Доля компании в мировом производстве пива составила 8,7% в 2011 г</w:t>
      </w:r>
      <w:r>
        <w:rPr>
          <w:rStyle w:val="a5"/>
          <w:rFonts w:ascii="Times New Roman" w:hAnsi="Times New Roman"/>
          <w:sz w:val="28"/>
          <w:szCs w:val="28"/>
        </w:rPr>
        <w:footnoteReference w:id="17"/>
      </w:r>
      <w:r>
        <w:rPr>
          <w:rFonts w:ascii="Times New Roman" w:hAnsi="Times New Roman"/>
          <w:sz w:val="28"/>
          <w:szCs w:val="28"/>
        </w:rPr>
        <w:t xml:space="preserve">. Основной стратегической целью предприятия является устойчивое и последовательное наращивание объемов производства, увеличение показателей прибыльности. </w:t>
      </w:r>
    </w:p>
    <w:p w:rsidR="000872B3"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Флагманским</w:t>
      </w:r>
      <w:r w:rsidRPr="00CC2A72">
        <w:rPr>
          <w:rFonts w:ascii="Times New Roman" w:hAnsi="Times New Roman"/>
          <w:sz w:val="28"/>
          <w:szCs w:val="28"/>
        </w:rPr>
        <w:t xml:space="preserve"> </w:t>
      </w:r>
      <w:r>
        <w:rPr>
          <w:rFonts w:ascii="Times New Roman" w:hAnsi="Times New Roman"/>
          <w:sz w:val="28"/>
          <w:szCs w:val="28"/>
        </w:rPr>
        <w:t xml:space="preserve">и наиболее интернациональным брендом компании является </w:t>
      </w:r>
      <w:r>
        <w:rPr>
          <w:rFonts w:ascii="Times New Roman" w:hAnsi="Times New Roman"/>
          <w:sz w:val="28"/>
          <w:szCs w:val="28"/>
          <w:lang w:val="en-US"/>
        </w:rPr>
        <w:t>Heineken</w:t>
      </w:r>
      <w:r>
        <w:rPr>
          <w:rFonts w:ascii="Times New Roman" w:hAnsi="Times New Roman"/>
          <w:sz w:val="28"/>
          <w:szCs w:val="28"/>
        </w:rPr>
        <w:t xml:space="preserve">. Региональными и локальными брендами являются </w:t>
      </w:r>
      <w:proofErr w:type="spellStart"/>
      <w:r>
        <w:rPr>
          <w:rFonts w:ascii="Times New Roman" w:hAnsi="Times New Roman"/>
          <w:sz w:val="28"/>
          <w:szCs w:val="28"/>
        </w:rPr>
        <w:t>Amstel</w:t>
      </w:r>
      <w:proofErr w:type="spellEnd"/>
      <w:r>
        <w:rPr>
          <w:rFonts w:ascii="Times New Roman" w:hAnsi="Times New Roman"/>
          <w:sz w:val="28"/>
          <w:szCs w:val="28"/>
        </w:rPr>
        <w:t xml:space="preserve">, </w:t>
      </w:r>
      <w:proofErr w:type="spellStart"/>
      <w:r>
        <w:rPr>
          <w:rFonts w:ascii="Times New Roman" w:hAnsi="Times New Roman"/>
          <w:sz w:val="28"/>
          <w:szCs w:val="28"/>
        </w:rPr>
        <w:t>Birra</w:t>
      </w:r>
      <w:proofErr w:type="spellEnd"/>
      <w:r>
        <w:rPr>
          <w:rFonts w:ascii="Times New Roman" w:hAnsi="Times New Roman"/>
          <w:sz w:val="28"/>
          <w:szCs w:val="28"/>
        </w:rPr>
        <w:t xml:space="preserve"> </w:t>
      </w:r>
      <w:proofErr w:type="spellStart"/>
      <w:r>
        <w:rPr>
          <w:rFonts w:ascii="Times New Roman" w:hAnsi="Times New Roman"/>
          <w:sz w:val="28"/>
          <w:szCs w:val="28"/>
        </w:rPr>
        <w:t>Moretti</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Cruzcampo</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Desperados</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Dos</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Equis</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Foster’s</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Newcastle</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Brown</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Ale</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Ochota</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Primus</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Sagres</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Sol</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Star</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Tecate</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Zlaty</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Bazant</w:t>
      </w:r>
      <w:proofErr w:type="spellEnd"/>
      <w:r w:rsidRPr="00CC2A72">
        <w:rPr>
          <w:rFonts w:ascii="Times New Roman" w:hAnsi="Times New Roman"/>
          <w:sz w:val="28"/>
          <w:szCs w:val="28"/>
        </w:rPr>
        <w:t xml:space="preserve"> </w:t>
      </w:r>
      <w:r>
        <w:rPr>
          <w:rFonts w:ascii="Times New Roman" w:hAnsi="Times New Roman"/>
          <w:sz w:val="28"/>
          <w:szCs w:val="28"/>
        </w:rPr>
        <w:t>и</w:t>
      </w:r>
      <w:r w:rsidRPr="00CC2A72">
        <w:rPr>
          <w:rFonts w:ascii="Times New Roman" w:hAnsi="Times New Roman"/>
          <w:sz w:val="28"/>
          <w:szCs w:val="28"/>
        </w:rPr>
        <w:t xml:space="preserve"> </w:t>
      </w:r>
      <w:proofErr w:type="spellStart"/>
      <w:r w:rsidRPr="00CC2A72">
        <w:rPr>
          <w:rFonts w:ascii="Times New Roman" w:hAnsi="Times New Roman"/>
          <w:sz w:val="28"/>
          <w:szCs w:val="28"/>
        </w:rPr>
        <w:t>Zywiec</w:t>
      </w:r>
      <w:proofErr w:type="spellEnd"/>
      <w:r>
        <w:rPr>
          <w:rFonts w:ascii="Times New Roman" w:hAnsi="Times New Roman"/>
          <w:sz w:val="28"/>
          <w:szCs w:val="28"/>
        </w:rPr>
        <w:t xml:space="preserve">. Бренды, производимые на совместных предприятиях – Anchor, </w:t>
      </w:r>
      <w:proofErr w:type="spellStart"/>
      <w:r>
        <w:rPr>
          <w:rFonts w:ascii="Times New Roman" w:hAnsi="Times New Roman"/>
          <w:sz w:val="28"/>
          <w:szCs w:val="28"/>
        </w:rPr>
        <w:t>Cristal</w:t>
      </w:r>
      <w:proofErr w:type="spellEnd"/>
      <w:r w:rsidRPr="00CC2A72">
        <w:rPr>
          <w:rFonts w:ascii="Times New Roman" w:hAnsi="Times New Roman"/>
          <w:sz w:val="28"/>
          <w:szCs w:val="28"/>
        </w:rPr>
        <w:t xml:space="preserve">, </w:t>
      </w:r>
      <w:proofErr w:type="spellStart"/>
      <w:r w:rsidRPr="00CC2A72">
        <w:rPr>
          <w:rFonts w:ascii="Times New Roman" w:hAnsi="Times New Roman"/>
          <w:sz w:val="28"/>
          <w:szCs w:val="28"/>
        </w:rPr>
        <w:t>Kingfisher</w:t>
      </w:r>
      <w:proofErr w:type="spellEnd"/>
      <w:r w:rsidRPr="00CC2A72">
        <w:rPr>
          <w:rFonts w:ascii="Times New Roman" w:hAnsi="Times New Roman"/>
          <w:sz w:val="28"/>
          <w:szCs w:val="28"/>
        </w:rPr>
        <w:t xml:space="preserve"> </w:t>
      </w:r>
      <w:r>
        <w:rPr>
          <w:rFonts w:ascii="Times New Roman" w:hAnsi="Times New Roman"/>
          <w:sz w:val="28"/>
          <w:szCs w:val="28"/>
        </w:rPr>
        <w:t>и</w:t>
      </w:r>
      <w:r w:rsidRPr="00CC2A72">
        <w:rPr>
          <w:rFonts w:ascii="Times New Roman" w:hAnsi="Times New Roman"/>
          <w:sz w:val="28"/>
          <w:szCs w:val="28"/>
        </w:rPr>
        <w:t xml:space="preserve"> Tiger</w:t>
      </w:r>
      <w:r>
        <w:rPr>
          <w:rFonts w:ascii="Times New Roman" w:hAnsi="Times New Roman"/>
          <w:sz w:val="28"/>
          <w:szCs w:val="28"/>
        </w:rPr>
        <w:t xml:space="preserve">. </w:t>
      </w:r>
    </w:p>
    <w:p w:rsidR="000872B3" w:rsidRPr="002A22AA"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Основным акционером компании является</w:t>
      </w:r>
      <w:r w:rsidRPr="00517FF5">
        <w:rPr>
          <w:rFonts w:ascii="Times New Roman" w:hAnsi="Times New Roman"/>
          <w:sz w:val="28"/>
          <w:szCs w:val="28"/>
        </w:rPr>
        <w:t xml:space="preserve"> He</w:t>
      </w:r>
      <w:r>
        <w:rPr>
          <w:rFonts w:ascii="Times New Roman" w:hAnsi="Times New Roman"/>
          <w:sz w:val="28"/>
          <w:szCs w:val="28"/>
        </w:rPr>
        <w:t>ineken Holding N.V.</w:t>
      </w:r>
      <w:r>
        <w:rPr>
          <w:rStyle w:val="a5"/>
          <w:rFonts w:ascii="Times New Roman" w:hAnsi="Times New Roman"/>
          <w:sz w:val="28"/>
          <w:szCs w:val="28"/>
        </w:rPr>
        <w:footnoteReference w:id="18"/>
      </w:r>
      <w:r>
        <w:rPr>
          <w:rFonts w:ascii="Times New Roman" w:hAnsi="Times New Roman"/>
          <w:sz w:val="28"/>
          <w:szCs w:val="28"/>
        </w:rPr>
        <w:t xml:space="preserve">, доля которого составляет 50,005 %. Компании </w:t>
      </w:r>
      <w:r>
        <w:rPr>
          <w:rFonts w:ascii="Times New Roman" w:hAnsi="Times New Roman"/>
          <w:sz w:val="28"/>
          <w:szCs w:val="28"/>
          <w:lang w:val="en-US"/>
        </w:rPr>
        <w:t>FEMSA</w:t>
      </w:r>
      <w:r w:rsidRPr="00CA6881">
        <w:rPr>
          <w:rFonts w:ascii="Times New Roman" w:hAnsi="Times New Roman"/>
          <w:sz w:val="28"/>
          <w:szCs w:val="28"/>
        </w:rPr>
        <w:t xml:space="preserve"> </w:t>
      </w:r>
      <w:r>
        <w:rPr>
          <w:rFonts w:ascii="Times New Roman" w:hAnsi="Times New Roman"/>
          <w:sz w:val="28"/>
          <w:szCs w:val="28"/>
        </w:rPr>
        <w:t xml:space="preserve">принадлежит 12,532% акций. Доля акций, находящихся в свободном обращении – 37,463%. Доля компании  </w:t>
      </w:r>
      <w:proofErr w:type="spellStart"/>
      <w:r w:rsidRPr="00CA6881">
        <w:rPr>
          <w:rFonts w:ascii="Times New Roman" w:hAnsi="Times New Roman"/>
          <w:sz w:val="28"/>
          <w:szCs w:val="28"/>
        </w:rPr>
        <w:t>L’Arche</w:t>
      </w:r>
      <w:proofErr w:type="spellEnd"/>
      <w:r w:rsidRPr="00CA6881">
        <w:rPr>
          <w:rFonts w:ascii="Times New Roman" w:hAnsi="Times New Roman"/>
          <w:sz w:val="28"/>
          <w:szCs w:val="28"/>
        </w:rPr>
        <w:t xml:space="preserve"> </w:t>
      </w:r>
      <w:proofErr w:type="spellStart"/>
      <w:r w:rsidRPr="00CA6881">
        <w:rPr>
          <w:rFonts w:ascii="Times New Roman" w:hAnsi="Times New Roman"/>
          <w:sz w:val="28"/>
          <w:szCs w:val="28"/>
        </w:rPr>
        <w:t>Green</w:t>
      </w:r>
      <w:proofErr w:type="spellEnd"/>
      <w:r w:rsidRPr="00CA6881">
        <w:rPr>
          <w:rFonts w:ascii="Times New Roman" w:hAnsi="Times New Roman"/>
          <w:sz w:val="28"/>
          <w:szCs w:val="28"/>
        </w:rPr>
        <w:t xml:space="preserve"> N.V</w:t>
      </w:r>
      <w:r>
        <w:rPr>
          <w:rFonts w:ascii="Times New Roman" w:hAnsi="Times New Roman"/>
          <w:sz w:val="28"/>
          <w:szCs w:val="28"/>
        </w:rPr>
        <w:t xml:space="preserve">, которой владеет семья Хейнекен на 88,55% и компания </w:t>
      </w:r>
      <w:r w:rsidRPr="00CA6881">
        <w:rPr>
          <w:rFonts w:ascii="Times New Roman" w:hAnsi="Times New Roman"/>
          <w:sz w:val="28"/>
          <w:szCs w:val="28"/>
        </w:rPr>
        <w:t xml:space="preserve"> </w:t>
      </w:r>
      <w:proofErr w:type="spellStart"/>
      <w:r w:rsidRPr="00CA6881">
        <w:rPr>
          <w:rFonts w:ascii="Times New Roman" w:hAnsi="Times New Roman"/>
          <w:sz w:val="28"/>
          <w:szCs w:val="28"/>
        </w:rPr>
        <w:t>Greenfee</w:t>
      </w:r>
      <w:proofErr w:type="spellEnd"/>
      <w:r w:rsidRPr="00CA6881">
        <w:rPr>
          <w:rFonts w:ascii="Times New Roman" w:hAnsi="Times New Roman"/>
          <w:sz w:val="28"/>
          <w:szCs w:val="28"/>
        </w:rPr>
        <w:t xml:space="preserve"> B.V</w:t>
      </w:r>
      <w:r>
        <w:rPr>
          <w:rFonts w:ascii="Times New Roman" w:hAnsi="Times New Roman"/>
          <w:sz w:val="28"/>
          <w:szCs w:val="28"/>
        </w:rPr>
        <w:t xml:space="preserve"> на 11,45%, в </w:t>
      </w:r>
      <w:r w:rsidRPr="00CA6881">
        <w:rPr>
          <w:rFonts w:ascii="Times New Roman" w:hAnsi="Times New Roman"/>
          <w:sz w:val="28"/>
          <w:szCs w:val="28"/>
        </w:rPr>
        <w:t>Heineken Holding N.V</w:t>
      </w:r>
      <w:r>
        <w:rPr>
          <w:rFonts w:ascii="Times New Roman" w:hAnsi="Times New Roman"/>
          <w:sz w:val="28"/>
          <w:szCs w:val="28"/>
        </w:rPr>
        <w:t xml:space="preserve"> составляет 51,083%. Компании </w:t>
      </w:r>
      <w:r>
        <w:rPr>
          <w:rFonts w:ascii="Times New Roman" w:hAnsi="Times New Roman"/>
          <w:sz w:val="28"/>
          <w:szCs w:val="28"/>
          <w:lang w:val="en-US"/>
        </w:rPr>
        <w:t>FEMSA</w:t>
      </w:r>
      <w:r w:rsidRPr="00CA6881">
        <w:rPr>
          <w:rFonts w:ascii="Times New Roman" w:hAnsi="Times New Roman"/>
          <w:sz w:val="28"/>
          <w:szCs w:val="28"/>
        </w:rPr>
        <w:t xml:space="preserve"> </w:t>
      </w:r>
      <w:r>
        <w:rPr>
          <w:rFonts w:ascii="Times New Roman" w:hAnsi="Times New Roman"/>
          <w:sz w:val="28"/>
          <w:szCs w:val="28"/>
        </w:rPr>
        <w:t xml:space="preserve">принадлежит 14,935% акций. 33,982% акций находятся в свободном обращении. Группа </w:t>
      </w:r>
      <w:r>
        <w:rPr>
          <w:rFonts w:ascii="Times New Roman" w:hAnsi="Times New Roman"/>
          <w:sz w:val="28"/>
          <w:szCs w:val="28"/>
          <w:lang w:val="en-US"/>
        </w:rPr>
        <w:t>Heineken</w:t>
      </w:r>
      <w:r>
        <w:rPr>
          <w:rFonts w:ascii="Times New Roman" w:hAnsi="Times New Roman"/>
          <w:sz w:val="28"/>
          <w:szCs w:val="28"/>
        </w:rPr>
        <w:t xml:space="preserve"> управляется Советом Директоров </w:t>
      </w:r>
      <w:r w:rsidRPr="00517FF5">
        <w:rPr>
          <w:rFonts w:ascii="Times New Roman" w:hAnsi="Times New Roman"/>
          <w:sz w:val="28"/>
          <w:szCs w:val="28"/>
        </w:rPr>
        <w:t>He</w:t>
      </w:r>
      <w:r>
        <w:rPr>
          <w:rFonts w:ascii="Times New Roman" w:hAnsi="Times New Roman"/>
          <w:sz w:val="28"/>
          <w:szCs w:val="28"/>
        </w:rPr>
        <w:t xml:space="preserve">ineken Holding N.V. Исполнительный комитет </w:t>
      </w:r>
      <w:r>
        <w:rPr>
          <w:rFonts w:ascii="Times New Roman" w:hAnsi="Times New Roman"/>
          <w:sz w:val="28"/>
          <w:szCs w:val="28"/>
          <w:lang w:val="en-US"/>
        </w:rPr>
        <w:t>Heineken</w:t>
      </w:r>
      <w:r w:rsidRPr="002A22AA">
        <w:rPr>
          <w:rFonts w:ascii="Times New Roman" w:hAnsi="Times New Roman"/>
          <w:sz w:val="28"/>
          <w:szCs w:val="28"/>
        </w:rPr>
        <w:t xml:space="preserve"> </w:t>
      </w:r>
      <w:r>
        <w:rPr>
          <w:rFonts w:ascii="Times New Roman" w:hAnsi="Times New Roman"/>
          <w:sz w:val="28"/>
          <w:szCs w:val="28"/>
          <w:lang w:val="en-US"/>
        </w:rPr>
        <w:t>N</w:t>
      </w:r>
      <w:r w:rsidRPr="002A22AA">
        <w:rPr>
          <w:rFonts w:ascii="Times New Roman" w:hAnsi="Times New Roman"/>
          <w:sz w:val="28"/>
          <w:szCs w:val="28"/>
        </w:rPr>
        <w:t>.</w:t>
      </w:r>
      <w:r>
        <w:rPr>
          <w:rFonts w:ascii="Times New Roman" w:hAnsi="Times New Roman"/>
          <w:sz w:val="28"/>
          <w:szCs w:val="28"/>
          <w:lang w:val="en-US"/>
        </w:rPr>
        <w:t>V</w:t>
      </w:r>
      <w:r w:rsidRPr="002A22AA">
        <w:rPr>
          <w:rFonts w:ascii="Times New Roman" w:hAnsi="Times New Roman"/>
          <w:sz w:val="28"/>
          <w:szCs w:val="28"/>
        </w:rPr>
        <w:t>.</w:t>
      </w:r>
      <w:r>
        <w:rPr>
          <w:rFonts w:ascii="Times New Roman" w:hAnsi="Times New Roman"/>
          <w:sz w:val="28"/>
          <w:szCs w:val="28"/>
        </w:rPr>
        <w:t>, в состав которого входят президент компании и главный финансовый директор,</w:t>
      </w:r>
      <w:r w:rsidRPr="002A22AA">
        <w:rPr>
          <w:rFonts w:ascii="Times New Roman" w:hAnsi="Times New Roman"/>
          <w:sz w:val="28"/>
          <w:szCs w:val="28"/>
        </w:rPr>
        <w:t xml:space="preserve"> </w:t>
      </w:r>
      <w:r>
        <w:rPr>
          <w:rFonts w:ascii="Times New Roman" w:hAnsi="Times New Roman"/>
          <w:sz w:val="28"/>
          <w:szCs w:val="28"/>
        </w:rPr>
        <w:t>является подотчетным Наблюдательному совету. Исполнительный комитет осуществляет контроль над региональным менеджментом и департаментами глобальной коммерции, логистики, кадров и корпоративных отношений.</w:t>
      </w:r>
    </w:p>
    <w:p w:rsidR="000872B3"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В результате увеличения роли развивающихся рынков,  </w:t>
      </w:r>
      <w:r>
        <w:rPr>
          <w:rFonts w:ascii="Times New Roman" w:hAnsi="Times New Roman"/>
          <w:sz w:val="28"/>
          <w:szCs w:val="28"/>
          <w:lang w:val="en-US"/>
        </w:rPr>
        <w:t>Heineken</w:t>
      </w:r>
      <w:r w:rsidRPr="005A04C2">
        <w:rPr>
          <w:rFonts w:ascii="Times New Roman" w:hAnsi="Times New Roman"/>
          <w:sz w:val="28"/>
          <w:szCs w:val="28"/>
        </w:rPr>
        <w:t xml:space="preserve"> </w:t>
      </w:r>
      <w:r>
        <w:rPr>
          <w:rFonts w:ascii="Times New Roman" w:hAnsi="Times New Roman"/>
          <w:sz w:val="28"/>
          <w:szCs w:val="28"/>
          <w:lang w:val="en-US"/>
        </w:rPr>
        <w:t>N</w:t>
      </w:r>
      <w:r w:rsidRPr="005A04C2">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значительно видоизменила свое географические присутствие с 2007 по 2011 гг. Помимо региона Западной Европы, доля которого составляет 48% в общих продажах компании, вторым по значимости рынком стал регион Латинской Америки (после приобретения компании </w:t>
      </w:r>
      <w:r>
        <w:rPr>
          <w:rFonts w:ascii="Times New Roman" w:hAnsi="Times New Roman"/>
          <w:sz w:val="28"/>
          <w:szCs w:val="28"/>
          <w:lang w:val="en-US"/>
        </w:rPr>
        <w:t>FEMSA</w:t>
      </w:r>
      <w:r w:rsidRPr="005A04C2">
        <w:rPr>
          <w:rFonts w:ascii="Times New Roman" w:hAnsi="Times New Roman"/>
          <w:sz w:val="28"/>
          <w:szCs w:val="28"/>
        </w:rPr>
        <w:t xml:space="preserve"> </w:t>
      </w:r>
      <w:r>
        <w:rPr>
          <w:rFonts w:ascii="Times New Roman" w:hAnsi="Times New Roman"/>
          <w:sz w:val="28"/>
          <w:szCs w:val="28"/>
        </w:rPr>
        <w:t>в 2010 г.) По сравнению с 2007 г. доля всего американского региона выросла с 14% до 24%. Более того, компания упрочила свои позиции в Африке и на Ближнем Востоке, где в последние годы наблюдается динамичный рост потребления пива. В</w:t>
      </w:r>
      <w:r w:rsidRPr="00E05998">
        <w:rPr>
          <w:rFonts w:ascii="Times New Roman" w:hAnsi="Times New Roman"/>
          <w:sz w:val="28"/>
          <w:szCs w:val="28"/>
        </w:rPr>
        <w:t xml:space="preserve"> 2011 </w:t>
      </w:r>
      <w:r>
        <w:rPr>
          <w:rFonts w:ascii="Times New Roman" w:hAnsi="Times New Roman"/>
          <w:sz w:val="28"/>
          <w:szCs w:val="28"/>
        </w:rPr>
        <w:t>г</w:t>
      </w:r>
      <w:r w:rsidRPr="00E05998">
        <w:rPr>
          <w:rFonts w:ascii="Times New Roman" w:hAnsi="Times New Roman"/>
          <w:sz w:val="28"/>
          <w:szCs w:val="28"/>
        </w:rPr>
        <w:t xml:space="preserve">. </w:t>
      </w:r>
      <w:r>
        <w:rPr>
          <w:rFonts w:ascii="Times New Roman" w:hAnsi="Times New Roman"/>
          <w:sz w:val="28"/>
          <w:szCs w:val="28"/>
          <w:lang w:val="en-US"/>
        </w:rPr>
        <w:t>Heineken</w:t>
      </w:r>
      <w:r w:rsidRPr="00E05998">
        <w:rPr>
          <w:rFonts w:ascii="Times New Roman" w:hAnsi="Times New Roman"/>
          <w:sz w:val="28"/>
          <w:szCs w:val="28"/>
        </w:rPr>
        <w:t xml:space="preserve"> </w:t>
      </w:r>
      <w:r>
        <w:rPr>
          <w:rFonts w:ascii="Times New Roman" w:hAnsi="Times New Roman"/>
          <w:sz w:val="28"/>
          <w:szCs w:val="28"/>
          <w:lang w:val="en-US"/>
        </w:rPr>
        <w:t>N</w:t>
      </w:r>
      <w:r w:rsidRPr="00E05998">
        <w:rPr>
          <w:rFonts w:ascii="Times New Roman" w:hAnsi="Times New Roman"/>
          <w:sz w:val="28"/>
          <w:szCs w:val="28"/>
        </w:rPr>
        <w:t>.</w:t>
      </w:r>
      <w:r>
        <w:rPr>
          <w:rFonts w:ascii="Times New Roman" w:hAnsi="Times New Roman"/>
          <w:sz w:val="28"/>
          <w:szCs w:val="28"/>
          <w:lang w:val="en-US"/>
        </w:rPr>
        <w:t>V</w:t>
      </w:r>
      <w:r w:rsidRPr="00E05998">
        <w:rPr>
          <w:rFonts w:ascii="Times New Roman" w:hAnsi="Times New Roman"/>
          <w:sz w:val="28"/>
          <w:szCs w:val="28"/>
        </w:rPr>
        <w:t xml:space="preserve">. </w:t>
      </w:r>
      <w:r>
        <w:rPr>
          <w:rFonts w:ascii="Times New Roman" w:hAnsi="Times New Roman"/>
          <w:sz w:val="28"/>
          <w:szCs w:val="28"/>
        </w:rPr>
        <w:t>приобрела</w:t>
      </w:r>
      <w:r w:rsidRPr="00E05998">
        <w:rPr>
          <w:rFonts w:ascii="Times New Roman" w:hAnsi="Times New Roman"/>
          <w:sz w:val="28"/>
          <w:szCs w:val="28"/>
        </w:rPr>
        <w:t xml:space="preserve"> </w:t>
      </w:r>
      <w:r>
        <w:rPr>
          <w:rFonts w:ascii="Times New Roman" w:hAnsi="Times New Roman"/>
          <w:sz w:val="28"/>
          <w:szCs w:val="28"/>
        </w:rPr>
        <w:t>две</w:t>
      </w:r>
      <w:r w:rsidRPr="00E05998">
        <w:rPr>
          <w:rFonts w:ascii="Times New Roman" w:hAnsi="Times New Roman"/>
          <w:sz w:val="28"/>
          <w:szCs w:val="28"/>
        </w:rPr>
        <w:t xml:space="preserve"> </w:t>
      </w:r>
      <w:r>
        <w:rPr>
          <w:rFonts w:ascii="Times New Roman" w:hAnsi="Times New Roman"/>
          <w:sz w:val="28"/>
          <w:szCs w:val="28"/>
        </w:rPr>
        <w:t>холдинговых</w:t>
      </w:r>
      <w:r w:rsidRPr="00E05998">
        <w:rPr>
          <w:rFonts w:ascii="Times New Roman" w:hAnsi="Times New Roman"/>
          <w:sz w:val="28"/>
          <w:szCs w:val="28"/>
        </w:rPr>
        <w:t xml:space="preserve"> </w:t>
      </w:r>
      <w:r>
        <w:rPr>
          <w:rFonts w:ascii="Times New Roman" w:hAnsi="Times New Roman"/>
          <w:sz w:val="28"/>
          <w:szCs w:val="28"/>
        </w:rPr>
        <w:t>компании</w:t>
      </w:r>
      <w:r w:rsidRPr="00E05998">
        <w:rPr>
          <w:rFonts w:ascii="Times New Roman" w:hAnsi="Times New Roman"/>
          <w:sz w:val="28"/>
          <w:szCs w:val="28"/>
        </w:rPr>
        <w:t xml:space="preserve"> </w:t>
      </w:r>
      <w:r>
        <w:rPr>
          <w:rFonts w:ascii="Times New Roman" w:hAnsi="Times New Roman"/>
          <w:sz w:val="28"/>
          <w:szCs w:val="28"/>
        </w:rPr>
        <w:t>в</w:t>
      </w:r>
      <w:r w:rsidRPr="00E05998">
        <w:rPr>
          <w:rFonts w:ascii="Times New Roman" w:hAnsi="Times New Roman"/>
          <w:sz w:val="28"/>
          <w:szCs w:val="28"/>
        </w:rPr>
        <w:t xml:space="preserve"> </w:t>
      </w:r>
      <w:r>
        <w:rPr>
          <w:rFonts w:ascii="Times New Roman" w:hAnsi="Times New Roman"/>
          <w:sz w:val="28"/>
          <w:szCs w:val="28"/>
        </w:rPr>
        <w:t>составе</w:t>
      </w:r>
      <w:r w:rsidRPr="00E05998">
        <w:rPr>
          <w:rFonts w:ascii="Times New Roman" w:hAnsi="Times New Roman"/>
          <w:sz w:val="28"/>
          <w:szCs w:val="28"/>
        </w:rPr>
        <w:t xml:space="preserve"> </w:t>
      </w:r>
      <w:proofErr w:type="spellStart"/>
      <w:r>
        <w:rPr>
          <w:rFonts w:ascii="Times New Roman" w:hAnsi="Times New Roman"/>
          <w:sz w:val="28"/>
          <w:szCs w:val="28"/>
          <w:lang w:val="en-US"/>
        </w:rPr>
        <w:t>Sona</w:t>
      </w:r>
      <w:proofErr w:type="spellEnd"/>
      <w:r w:rsidRPr="00E05998">
        <w:rPr>
          <w:rFonts w:ascii="Times New Roman" w:hAnsi="Times New Roman"/>
          <w:sz w:val="28"/>
          <w:szCs w:val="28"/>
        </w:rPr>
        <w:t xml:space="preserve"> </w:t>
      </w:r>
      <w:r>
        <w:rPr>
          <w:rFonts w:ascii="Times New Roman" w:hAnsi="Times New Roman"/>
          <w:sz w:val="28"/>
          <w:szCs w:val="28"/>
          <w:lang w:val="en-US"/>
        </w:rPr>
        <w:t>Group</w:t>
      </w:r>
      <w:r w:rsidRPr="00E05998">
        <w:rPr>
          <w:rFonts w:ascii="Times New Roman" w:hAnsi="Times New Roman"/>
          <w:sz w:val="28"/>
          <w:szCs w:val="28"/>
        </w:rPr>
        <w:t xml:space="preserve"> </w:t>
      </w:r>
      <w:r>
        <w:rPr>
          <w:rFonts w:ascii="Times New Roman" w:hAnsi="Times New Roman"/>
          <w:sz w:val="28"/>
          <w:szCs w:val="28"/>
        </w:rPr>
        <w:t>в</w:t>
      </w:r>
      <w:r w:rsidRPr="00E05998">
        <w:rPr>
          <w:rFonts w:ascii="Times New Roman" w:hAnsi="Times New Roman"/>
          <w:sz w:val="28"/>
          <w:szCs w:val="28"/>
        </w:rPr>
        <w:t xml:space="preserve"> </w:t>
      </w:r>
      <w:r>
        <w:rPr>
          <w:rFonts w:ascii="Times New Roman" w:hAnsi="Times New Roman"/>
          <w:sz w:val="28"/>
          <w:szCs w:val="28"/>
        </w:rPr>
        <w:t>Нигерии</w:t>
      </w:r>
      <w:r w:rsidRPr="00E05998">
        <w:rPr>
          <w:rFonts w:ascii="Times New Roman" w:hAnsi="Times New Roman"/>
          <w:sz w:val="28"/>
          <w:szCs w:val="28"/>
        </w:rPr>
        <w:t xml:space="preserve">, </w:t>
      </w:r>
      <w:r>
        <w:rPr>
          <w:rFonts w:ascii="Times New Roman" w:hAnsi="Times New Roman"/>
          <w:sz w:val="28"/>
          <w:szCs w:val="28"/>
        </w:rPr>
        <w:t>а</w:t>
      </w:r>
      <w:r w:rsidRPr="00E05998">
        <w:rPr>
          <w:rFonts w:ascii="Times New Roman" w:hAnsi="Times New Roman"/>
          <w:sz w:val="28"/>
          <w:szCs w:val="28"/>
        </w:rPr>
        <w:t xml:space="preserve"> </w:t>
      </w:r>
      <w:r>
        <w:rPr>
          <w:rFonts w:ascii="Times New Roman" w:hAnsi="Times New Roman"/>
          <w:sz w:val="28"/>
          <w:szCs w:val="28"/>
        </w:rPr>
        <w:t>также</w:t>
      </w:r>
      <w:r w:rsidRPr="00E05998">
        <w:rPr>
          <w:rFonts w:ascii="Times New Roman" w:hAnsi="Times New Roman"/>
          <w:sz w:val="28"/>
          <w:szCs w:val="28"/>
        </w:rPr>
        <w:t xml:space="preserve"> </w:t>
      </w:r>
      <w:r>
        <w:rPr>
          <w:rFonts w:ascii="Times New Roman" w:hAnsi="Times New Roman"/>
          <w:sz w:val="28"/>
          <w:szCs w:val="28"/>
        </w:rPr>
        <w:t>купила</w:t>
      </w:r>
      <w:r w:rsidRPr="00E05998">
        <w:rPr>
          <w:rFonts w:ascii="Times New Roman" w:hAnsi="Times New Roman"/>
          <w:sz w:val="28"/>
          <w:szCs w:val="28"/>
        </w:rPr>
        <w:t xml:space="preserve"> 2 </w:t>
      </w:r>
      <w:r>
        <w:rPr>
          <w:rFonts w:ascii="Times New Roman" w:hAnsi="Times New Roman"/>
          <w:sz w:val="28"/>
          <w:szCs w:val="28"/>
        </w:rPr>
        <w:t>пивоваренных</w:t>
      </w:r>
      <w:r w:rsidRPr="00E05998">
        <w:rPr>
          <w:rFonts w:ascii="Times New Roman" w:hAnsi="Times New Roman"/>
          <w:sz w:val="28"/>
          <w:szCs w:val="28"/>
        </w:rPr>
        <w:t xml:space="preserve"> </w:t>
      </w:r>
      <w:r>
        <w:rPr>
          <w:rFonts w:ascii="Times New Roman" w:hAnsi="Times New Roman"/>
          <w:sz w:val="28"/>
          <w:szCs w:val="28"/>
        </w:rPr>
        <w:t>завода</w:t>
      </w:r>
      <w:r w:rsidRPr="00E05998">
        <w:rPr>
          <w:rFonts w:ascii="Times New Roman" w:hAnsi="Times New Roman"/>
          <w:sz w:val="28"/>
          <w:szCs w:val="28"/>
        </w:rPr>
        <w:t xml:space="preserve"> </w:t>
      </w:r>
      <w:proofErr w:type="spellStart"/>
      <w:r w:rsidRPr="00E05998">
        <w:rPr>
          <w:rFonts w:ascii="Times New Roman" w:hAnsi="Times New Roman"/>
          <w:sz w:val="28"/>
          <w:szCs w:val="28"/>
          <w:lang w:val="en-US"/>
        </w:rPr>
        <w:t>Bedele</w:t>
      </w:r>
      <w:proofErr w:type="spellEnd"/>
      <w:r w:rsidRPr="00E05998">
        <w:rPr>
          <w:rFonts w:ascii="Times New Roman" w:hAnsi="Times New Roman"/>
          <w:sz w:val="28"/>
          <w:szCs w:val="28"/>
        </w:rPr>
        <w:t xml:space="preserve"> </w:t>
      </w:r>
      <w:r>
        <w:rPr>
          <w:rFonts w:ascii="Times New Roman" w:hAnsi="Times New Roman"/>
          <w:sz w:val="28"/>
          <w:szCs w:val="28"/>
        </w:rPr>
        <w:t>и</w:t>
      </w:r>
      <w:r w:rsidRPr="00E05998">
        <w:rPr>
          <w:rFonts w:ascii="Times New Roman" w:hAnsi="Times New Roman"/>
          <w:sz w:val="28"/>
          <w:szCs w:val="28"/>
        </w:rPr>
        <w:t xml:space="preserve"> </w:t>
      </w:r>
      <w:proofErr w:type="spellStart"/>
      <w:r w:rsidRPr="00E05998">
        <w:rPr>
          <w:rFonts w:ascii="Times New Roman" w:hAnsi="Times New Roman"/>
          <w:sz w:val="28"/>
          <w:szCs w:val="28"/>
          <w:lang w:val="en-US"/>
        </w:rPr>
        <w:t>Har</w:t>
      </w:r>
      <w:r w:rsidRPr="00E05998">
        <w:rPr>
          <w:rFonts w:ascii="Times New Roman" w:hAnsi="Times New Roman"/>
          <w:sz w:val="28"/>
          <w:szCs w:val="28"/>
        </w:rPr>
        <w:t>ar</w:t>
      </w:r>
      <w:proofErr w:type="spellEnd"/>
      <w:r>
        <w:rPr>
          <w:rFonts w:ascii="Times New Roman" w:hAnsi="Times New Roman"/>
          <w:sz w:val="28"/>
          <w:szCs w:val="28"/>
        </w:rPr>
        <w:t xml:space="preserve"> в Эфиопии. </w:t>
      </w:r>
    </w:p>
    <w:p w:rsidR="00F86AE5" w:rsidRDefault="000872B3" w:rsidP="00F86AE5">
      <w:pPr>
        <w:pStyle w:val="2"/>
        <w:spacing w:line="360" w:lineRule="auto"/>
        <w:jc w:val="center"/>
        <w:rPr>
          <w:rFonts w:ascii="Times New Roman" w:hAnsi="Times New Roman" w:cs="Times New Roman"/>
          <w:color w:val="auto"/>
          <w:sz w:val="28"/>
          <w:szCs w:val="28"/>
          <w:lang w:val="en-US"/>
        </w:rPr>
      </w:pPr>
      <w:r w:rsidRPr="00F86AE5">
        <w:rPr>
          <w:rFonts w:ascii="Times New Roman" w:hAnsi="Times New Roman" w:cs="Times New Roman"/>
          <w:color w:val="auto"/>
          <w:sz w:val="28"/>
          <w:szCs w:val="28"/>
        </w:rPr>
        <w:t xml:space="preserve"> </w:t>
      </w:r>
      <w:bookmarkStart w:id="25" w:name="_Toc356252008"/>
      <w:r w:rsidR="00F86AE5" w:rsidRPr="00F86AE5">
        <w:rPr>
          <w:rFonts w:ascii="Times New Roman" w:hAnsi="Times New Roman" w:cs="Times New Roman"/>
          <w:color w:val="auto"/>
          <w:sz w:val="28"/>
          <w:szCs w:val="28"/>
        </w:rPr>
        <w:t>2.3.1 Анализ внешнеэкономической деятельности и международный бизнес</w:t>
      </w:r>
      <w:bookmarkEnd w:id="25"/>
    </w:p>
    <w:p w:rsidR="00F86AE5" w:rsidRPr="00F86AE5" w:rsidRDefault="00F86AE5" w:rsidP="00F86AE5">
      <w:pPr>
        <w:rPr>
          <w:lang w:val="en-US"/>
        </w:rPr>
      </w:pPr>
    </w:p>
    <w:p w:rsidR="000872B3" w:rsidRPr="004F29B8"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sidRPr="004F29B8">
        <w:rPr>
          <w:rFonts w:ascii="Times New Roman" w:hAnsi="Times New Roman"/>
          <w:sz w:val="28"/>
          <w:szCs w:val="28"/>
          <w:lang w:val="en-US"/>
        </w:rPr>
        <w:t>Heineken</w:t>
      </w:r>
      <w:r w:rsidRPr="004F29B8">
        <w:rPr>
          <w:rFonts w:ascii="Times New Roman" w:hAnsi="Times New Roman"/>
          <w:sz w:val="28"/>
          <w:szCs w:val="28"/>
        </w:rPr>
        <w:t xml:space="preserve"> </w:t>
      </w:r>
      <w:r w:rsidRPr="004F29B8">
        <w:rPr>
          <w:rFonts w:ascii="Times New Roman" w:hAnsi="Times New Roman"/>
          <w:sz w:val="28"/>
          <w:szCs w:val="28"/>
          <w:lang w:val="en-US"/>
        </w:rPr>
        <w:t>N</w:t>
      </w:r>
      <w:r w:rsidRPr="004F29B8">
        <w:rPr>
          <w:rFonts w:ascii="Times New Roman" w:hAnsi="Times New Roman"/>
          <w:sz w:val="28"/>
          <w:szCs w:val="28"/>
        </w:rPr>
        <w:t>.</w:t>
      </w:r>
      <w:r w:rsidRPr="004F29B8">
        <w:rPr>
          <w:rFonts w:ascii="Times New Roman" w:hAnsi="Times New Roman"/>
          <w:sz w:val="28"/>
          <w:szCs w:val="28"/>
          <w:lang w:val="en-US"/>
        </w:rPr>
        <w:t>V</w:t>
      </w:r>
      <w:r w:rsidRPr="004F29B8">
        <w:rPr>
          <w:rFonts w:ascii="Times New Roman" w:hAnsi="Times New Roman"/>
          <w:sz w:val="28"/>
          <w:szCs w:val="28"/>
        </w:rPr>
        <w:t>. осуществляет свою операционную деятельность более чем в 70 странах, в которых расположены более 140 пивоваренных заводов.</w:t>
      </w:r>
      <w:proofErr w:type="gramEnd"/>
      <w:r w:rsidRPr="004F29B8">
        <w:rPr>
          <w:rFonts w:ascii="Times New Roman" w:hAnsi="Times New Roman"/>
          <w:sz w:val="28"/>
          <w:szCs w:val="28"/>
        </w:rPr>
        <w:t xml:space="preserve"> Основными географическими сегментами, в которых функционирует компания, являются Западная Европа, Центральная и Восточная Европа, Ближний Восток и Африка, Америка и Азиатско-Тихоокеанский регион.  </w:t>
      </w:r>
    </w:p>
    <w:p w:rsidR="000872B3"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Западная Европа является самым крупным сегментом. В этом регионе </w:t>
      </w:r>
      <w:r>
        <w:rPr>
          <w:rFonts w:ascii="Times New Roman" w:hAnsi="Times New Roman"/>
          <w:sz w:val="28"/>
          <w:szCs w:val="28"/>
          <w:lang w:val="en-US"/>
        </w:rPr>
        <w:t>Heineken</w:t>
      </w:r>
      <w:r w:rsidRPr="00707D0E">
        <w:rPr>
          <w:rFonts w:ascii="Times New Roman" w:hAnsi="Times New Roman"/>
          <w:sz w:val="28"/>
          <w:szCs w:val="28"/>
        </w:rPr>
        <w:t xml:space="preserve"> </w:t>
      </w:r>
      <w:r>
        <w:rPr>
          <w:rFonts w:ascii="Times New Roman" w:hAnsi="Times New Roman"/>
          <w:sz w:val="28"/>
          <w:szCs w:val="28"/>
          <w:lang w:val="en-US"/>
        </w:rPr>
        <w:t>N</w:t>
      </w:r>
      <w:r w:rsidRPr="00707D0E">
        <w:rPr>
          <w:rFonts w:ascii="Times New Roman" w:hAnsi="Times New Roman"/>
          <w:sz w:val="28"/>
          <w:szCs w:val="28"/>
        </w:rPr>
        <w:t>.</w:t>
      </w:r>
      <w:r>
        <w:rPr>
          <w:rFonts w:ascii="Times New Roman" w:hAnsi="Times New Roman"/>
          <w:sz w:val="28"/>
          <w:szCs w:val="28"/>
          <w:lang w:val="en-US"/>
        </w:rPr>
        <w:t>V</w:t>
      </w:r>
      <w:r w:rsidRPr="00707D0E">
        <w:rPr>
          <w:rFonts w:ascii="Times New Roman" w:hAnsi="Times New Roman"/>
          <w:sz w:val="28"/>
          <w:szCs w:val="28"/>
        </w:rPr>
        <w:t xml:space="preserve">. </w:t>
      </w:r>
      <w:r>
        <w:rPr>
          <w:rFonts w:ascii="Times New Roman" w:hAnsi="Times New Roman"/>
          <w:sz w:val="28"/>
          <w:szCs w:val="28"/>
        </w:rPr>
        <w:t xml:space="preserve">занимает лидирующие позиции в Великобритании (3 завода),  Франции, Италии и Нидерландах (3). Также компания занимает 2-е место по производству пивоваренной продукции в Финляндии, Бельгии, Ирландии, Португалии, Испании (4) и Швейцарии. В Западной Европе </w:t>
      </w:r>
      <w:r>
        <w:rPr>
          <w:rFonts w:ascii="Times New Roman" w:hAnsi="Times New Roman"/>
          <w:sz w:val="28"/>
          <w:szCs w:val="28"/>
          <w:lang w:val="en-US"/>
        </w:rPr>
        <w:t>Heineken</w:t>
      </w:r>
      <w:r w:rsidRPr="00707D0E">
        <w:rPr>
          <w:rFonts w:ascii="Times New Roman" w:hAnsi="Times New Roman"/>
          <w:sz w:val="28"/>
          <w:szCs w:val="28"/>
        </w:rPr>
        <w:t xml:space="preserve"> </w:t>
      </w:r>
      <w:r>
        <w:rPr>
          <w:rFonts w:ascii="Times New Roman" w:hAnsi="Times New Roman"/>
          <w:sz w:val="28"/>
          <w:szCs w:val="28"/>
          <w:lang w:val="en-US"/>
        </w:rPr>
        <w:t>N</w:t>
      </w:r>
      <w:r w:rsidRPr="00707D0E">
        <w:rPr>
          <w:rFonts w:ascii="Times New Roman" w:hAnsi="Times New Roman"/>
          <w:sz w:val="28"/>
          <w:szCs w:val="28"/>
        </w:rPr>
        <w:t>.</w:t>
      </w:r>
      <w:r>
        <w:rPr>
          <w:rFonts w:ascii="Times New Roman" w:hAnsi="Times New Roman"/>
          <w:sz w:val="28"/>
          <w:szCs w:val="28"/>
          <w:lang w:val="en-US"/>
        </w:rPr>
        <w:t>V</w:t>
      </w:r>
      <w:r w:rsidRPr="00707D0E">
        <w:rPr>
          <w:rFonts w:ascii="Times New Roman" w:hAnsi="Times New Roman"/>
          <w:sz w:val="28"/>
          <w:szCs w:val="28"/>
        </w:rPr>
        <w:t xml:space="preserve">. </w:t>
      </w:r>
      <w:r>
        <w:rPr>
          <w:rFonts w:ascii="Times New Roman" w:hAnsi="Times New Roman"/>
          <w:sz w:val="28"/>
          <w:szCs w:val="28"/>
        </w:rPr>
        <w:t xml:space="preserve">осуществляет свою деятельность путем заключения лицензионных договоров, а также при помощи дочерних компаний и совместных предприятий. </w:t>
      </w:r>
    </w:p>
    <w:p w:rsidR="000872B3"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В Центральной и Восточной Европе компания является лидером в Греции, Австрии, Словакии, Болгарии и Бывшей Югославской Республике Македонии. Также она является 2-ым по величине рыночным игроком в Польше (5), Румынии (4), Хорватии и Венгрии. Кроме этого, компания обладает сильными рыночными позициями в России (8), Германии, Сербии, Чешской Республике и Белоруссии. В этом регионе </w:t>
      </w:r>
      <w:r>
        <w:rPr>
          <w:rFonts w:ascii="Times New Roman" w:hAnsi="Times New Roman"/>
          <w:sz w:val="28"/>
          <w:szCs w:val="28"/>
          <w:lang w:val="en-US"/>
        </w:rPr>
        <w:t>Heineken</w:t>
      </w:r>
      <w:r w:rsidRPr="00291192">
        <w:rPr>
          <w:rFonts w:ascii="Times New Roman" w:hAnsi="Times New Roman"/>
          <w:sz w:val="28"/>
          <w:szCs w:val="28"/>
        </w:rPr>
        <w:t xml:space="preserve"> </w:t>
      </w:r>
      <w:r>
        <w:rPr>
          <w:rFonts w:ascii="Times New Roman" w:hAnsi="Times New Roman"/>
          <w:sz w:val="28"/>
          <w:szCs w:val="28"/>
          <w:lang w:val="en-US"/>
        </w:rPr>
        <w:t>N</w:t>
      </w:r>
      <w:r w:rsidRPr="00291192">
        <w:rPr>
          <w:rFonts w:ascii="Times New Roman" w:hAnsi="Times New Roman"/>
          <w:sz w:val="28"/>
          <w:szCs w:val="28"/>
        </w:rPr>
        <w:t>.</w:t>
      </w:r>
      <w:r>
        <w:rPr>
          <w:rFonts w:ascii="Times New Roman" w:hAnsi="Times New Roman"/>
          <w:sz w:val="28"/>
          <w:szCs w:val="28"/>
          <w:lang w:val="en-US"/>
        </w:rPr>
        <w:t>V</w:t>
      </w:r>
      <w:r w:rsidRPr="00291192">
        <w:rPr>
          <w:rFonts w:ascii="Times New Roman" w:hAnsi="Times New Roman"/>
          <w:sz w:val="28"/>
          <w:szCs w:val="28"/>
        </w:rPr>
        <w:t xml:space="preserve">. </w:t>
      </w:r>
      <w:r>
        <w:rPr>
          <w:rFonts w:ascii="Times New Roman" w:hAnsi="Times New Roman"/>
          <w:sz w:val="28"/>
          <w:szCs w:val="28"/>
        </w:rPr>
        <w:t xml:space="preserve">предоставляет лицензию своим заводам, а также импортирует пиво из других ближайших стран. </w:t>
      </w:r>
    </w:p>
    <w:p w:rsidR="000872B3"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В Африке и на Ближнем Востоке компания владеет своими собственными предприятиями и производит местные бренды </w:t>
      </w:r>
      <w:r>
        <w:rPr>
          <w:rFonts w:ascii="Times New Roman" w:hAnsi="Times New Roman"/>
          <w:sz w:val="28"/>
          <w:szCs w:val="28"/>
          <w:lang w:val="en-US"/>
        </w:rPr>
        <w:t>Primus</w:t>
      </w:r>
      <w:r w:rsidRPr="004C60A9">
        <w:rPr>
          <w:rFonts w:ascii="Times New Roman" w:hAnsi="Times New Roman"/>
          <w:sz w:val="28"/>
          <w:szCs w:val="28"/>
        </w:rPr>
        <w:t xml:space="preserve"> </w:t>
      </w:r>
      <w:r>
        <w:rPr>
          <w:rFonts w:ascii="Times New Roman" w:hAnsi="Times New Roman"/>
          <w:sz w:val="28"/>
          <w:szCs w:val="28"/>
        </w:rPr>
        <w:t>и</w:t>
      </w:r>
      <w:r w:rsidRPr="004C60A9">
        <w:rPr>
          <w:rFonts w:ascii="Times New Roman" w:hAnsi="Times New Roman"/>
          <w:sz w:val="28"/>
          <w:szCs w:val="28"/>
        </w:rPr>
        <w:t xml:space="preserve"> </w:t>
      </w:r>
      <w:r>
        <w:rPr>
          <w:rFonts w:ascii="Times New Roman" w:hAnsi="Times New Roman"/>
          <w:sz w:val="28"/>
          <w:szCs w:val="28"/>
          <w:lang w:val="en-US"/>
        </w:rPr>
        <w:t>Star</w:t>
      </w:r>
      <w:r>
        <w:rPr>
          <w:rFonts w:ascii="Times New Roman" w:hAnsi="Times New Roman"/>
          <w:sz w:val="28"/>
          <w:szCs w:val="28"/>
        </w:rPr>
        <w:t xml:space="preserve">, а также </w:t>
      </w:r>
      <w:r w:rsidR="004C2A6B">
        <w:rPr>
          <w:rFonts w:ascii="Times New Roman" w:hAnsi="Times New Roman"/>
          <w:sz w:val="28"/>
          <w:szCs w:val="28"/>
        </w:rPr>
        <w:t>интернациональные</w:t>
      </w:r>
      <w:r>
        <w:rPr>
          <w:rFonts w:ascii="Times New Roman" w:hAnsi="Times New Roman"/>
          <w:sz w:val="28"/>
          <w:szCs w:val="28"/>
        </w:rPr>
        <w:t xml:space="preserve"> бренды как </w:t>
      </w:r>
      <w:r>
        <w:rPr>
          <w:rFonts w:ascii="Times New Roman" w:hAnsi="Times New Roman"/>
          <w:sz w:val="28"/>
          <w:szCs w:val="28"/>
          <w:lang w:val="en-US"/>
        </w:rPr>
        <w:t>Heineken</w:t>
      </w:r>
      <w:r w:rsidRPr="009C1B6B">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Amstel</w:t>
      </w:r>
      <w:r w:rsidRPr="009C1B6B">
        <w:rPr>
          <w:rFonts w:ascii="Times New Roman" w:hAnsi="Times New Roman"/>
          <w:sz w:val="28"/>
          <w:szCs w:val="28"/>
        </w:rPr>
        <w:t xml:space="preserve"> </w:t>
      </w:r>
      <w:r>
        <w:rPr>
          <w:rFonts w:ascii="Times New Roman" w:hAnsi="Times New Roman"/>
          <w:sz w:val="28"/>
          <w:szCs w:val="28"/>
        </w:rPr>
        <w:t>для внутреннего потребления  и экспорта</w:t>
      </w:r>
      <w:r w:rsidRPr="004C60A9">
        <w:rPr>
          <w:rFonts w:ascii="Times New Roman" w:hAnsi="Times New Roman"/>
          <w:sz w:val="28"/>
          <w:szCs w:val="28"/>
        </w:rPr>
        <w:t xml:space="preserve">. </w:t>
      </w:r>
    </w:p>
    <w:p w:rsidR="000872B3" w:rsidRPr="00DB308C"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Что касается американского региона, то компания занимает 2-е место на мексиканском (6) рынке, а также обладает сильными рыночными позициями в Бразилии (7). Пивоваренные заводы </w:t>
      </w:r>
      <w:r>
        <w:rPr>
          <w:rFonts w:ascii="Times New Roman" w:hAnsi="Times New Roman"/>
          <w:sz w:val="28"/>
          <w:szCs w:val="28"/>
          <w:lang w:val="en-US"/>
        </w:rPr>
        <w:t>Heineken</w:t>
      </w:r>
      <w:r w:rsidRPr="004C60A9">
        <w:rPr>
          <w:rFonts w:ascii="Times New Roman" w:hAnsi="Times New Roman"/>
          <w:sz w:val="28"/>
          <w:szCs w:val="28"/>
        </w:rPr>
        <w:t xml:space="preserve"> </w:t>
      </w:r>
      <w:r>
        <w:rPr>
          <w:rFonts w:ascii="Times New Roman" w:hAnsi="Times New Roman"/>
          <w:sz w:val="28"/>
          <w:szCs w:val="28"/>
          <w:lang w:val="en-US"/>
        </w:rPr>
        <w:t>N</w:t>
      </w:r>
      <w:r w:rsidRPr="004C60A9">
        <w:rPr>
          <w:rFonts w:ascii="Times New Roman" w:hAnsi="Times New Roman"/>
          <w:sz w:val="28"/>
          <w:szCs w:val="28"/>
        </w:rPr>
        <w:t>.</w:t>
      </w:r>
      <w:r>
        <w:rPr>
          <w:rFonts w:ascii="Times New Roman" w:hAnsi="Times New Roman"/>
          <w:sz w:val="28"/>
          <w:szCs w:val="28"/>
          <w:lang w:val="en-US"/>
        </w:rPr>
        <w:t>V</w:t>
      </w:r>
      <w:r w:rsidRPr="004C60A9">
        <w:rPr>
          <w:rFonts w:ascii="Times New Roman" w:hAnsi="Times New Roman"/>
          <w:sz w:val="28"/>
          <w:szCs w:val="28"/>
        </w:rPr>
        <w:t xml:space="preserve">. </w:t>
      </w:r>
      <w:r>
        <w:rPr>
          <w:rFonts w:ascii="Times New Roman" w:hAnsi="Times New Roman"/>
          <w:sz w:val="28"/>
          <w:szCs w:val="28"/>
        </w:rPr>
        <w:t xml:space="preserve">располагаются на территории Панамы, Суринама, Карибского региона. Компания также активно экспортирует в США, острова Карибского бассейна и страны Латинской Америки. Бренд </w:t>
      </w:r>
      <w:r>
        <w:rPr>
          <w:rFonts w:ascii="Times New Roman" w:hAnsi="Times New Roman"/>
          <w:sz w:val="28"/>
          <w:szCs w:val="28"/>
          <w:lang w:val="en-US"/>
        </w:rPr>
        <w:t>Heineken</w:t>
      </w:r>
      <w:r w:rsidRPr="00DB308C">
        <w:rPr>
          <w:rFonts w:ascii="Times New Roman" w:hAnsi="Times New Roman"/>
          <w:sz w:val="28"/>
          <w:szCs w:val="28"/>
        </w:rPr>
        <w:t xml:space="preserve"> </w:t>
      </w:r>
      <w:r>
        <w:rPr>
          <w:rFonts w:ascii="Times New Roman" w:hAnsi="Times New Roman"/>
          <w:sz w:val="28"/>
          <w:szCs w:val="28"/>
        </w:rPr>
        <w:t xml:space="preserve">производится по договору лицензии в ряде стран, но, в основном, в Канаде. </w:t>
      </w:r>
    </w:p>
    <w:p w:rsidR="000872B3" w:rsidRPr="004C6CAD"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Также компания увеличивает свое присутствие путем прямого участия в других компаниях.  Таким образом, компания владеет акциями </w:t>
      </w:r>
      <w:r>
        <w:rPr>
          <w:rFonts w:ascii="Times New Roman" w:hAnsi="Times New Roman"/>
          <w:sz w:val="28"/>
          <w:szCs w:val="28"/>
          <w:lang w:val="en-US"/>
        </w:rPr>
        <w:t>United</w:t>
      </w:r>
      <w:r w:rsidRPr="00C76E1C">
        <w:rPr>
          <w:rFonts w:ascii="Times New Roman" w:hAnsi="Times New Roman"/>
          <w:sz w:val="28"/>
          <w:szCs w:val="28"/>
        </w:rPr>
        <w:t xml:space="preserve"> </w:t>
      </w:r>
      <w:r>
        <w:rPr>
          <w:rFonts w:ascii="Times New Roman" w:hAnsi="Times New Roman"/>
          <w:sz w:val="28"/>
          <w:szCs w:val="28"/>
          <w:lang w:val="en-US"/>
        </w:rPr>
        <w:t>Breweries</w:t>
      </w:r>
      <w:r>
        <w:rPr>
          <w:rFonts w:ascii="Times New Roman" w:hAnsi="Times New Roman"/>
          <w:sz w:val="28"/>
          <w:szCs w:val="28"/>
        </w:rPr>
        <w:t xml:space="preserve"> 37,5%</w:t>
      </w:r>
      <w:r w:rsidRPr="00C76E1C">
        <w:rPr>
          <w:rFonts w:ascii="Times New Roman" w:hAnsi="Times New Roman"/>
          <w:sz w:val="28"/>
          <w:szCs w:val="28"/>
        </w:rPr>
        <w:t xml:space="preserve"> </w:t>
      </w:r>
      <w:r>
        <w:rPr>
          <w:rFonts w:ascii="Times New Roman" w:hAnsi="Times New Roman"/>
          <w:sz w:val="28"/>
          <w:szCs w:val="28"/>
        </w:rPr>
        <w:t xml:space="preserve">в Индии, управляет компанией </w:t>
      </w:r>
      <w:r>
        <w:rPr>
          <w:rFonts w:ascii="Times New Roman" w:hAnsi="Times New Roman"/>
          <w:sz w:val="28"/>
          <w:szCs w:val="28"/>
          <w:lang w:val="en-US"/>
        </w:rPr>
        <w:t>Asia</w:t>
      </w:r>
      <w:r w:rsidRPr="00C76E1C">
        <w:rPr>
          <w:rFonts w:ascii="Times New Roman" w:hAnsi="Times New Roman"/>
          <w:sz w:val="28"/>
          <w:szCs w:val="28"/>
        </w:rPr>
        <w:t xml:space="preserve"> </w:t>
      </w:r>
      <w:r>
        <w:rPr>
          <w:rFonts w:ascii="Times New Roman" w:hAnsi="Times New Roman"/>
          <w:sz w:val="28"/>
          <w:szCs w:val="28"/>
          <w:lang w:val="en-US"/>
        </w:rPr>
        <w:t>Pacific</w:t>
      </w:r>
      <w:r w:rsidRPr="00C76E1C">
        <w:rPr>
          <w:rFonts w:ascii="Times New Roman" w:hAnsi="Times New Roman"/>
          <w:sz w:val="28"/>
          <w:szCs w:val="28"/>
        </w:rPr>
        <w:t xml:space="preserve"> </w:t>
      </w:r>
      <w:r>
        <w:rPr>
          <w:rFonts w:ascii="Times New Roman" w:hAnsi="Times New Roman"/>
          <w:sz w:val="28"/>
          <w:szCs w:val="28"/>
          <w:lang w:val="en-US"/>
        </w:rPr>
        <w:t>Breweries</w:t>
      </w:r>
      <w:r>
        <w:rPr>
          <w:rFonts w:ascii="Times New Roman" w:hAnsi="Times New Roman"/>
          <w:sz w:val="28"/>
          <w:szCs w:val="28"/>
        </w:rPr>
        <w:t xml:space="preserve"> – совместным предприятием с </w:t>
      </w:r>
      <w:r>
        <w:rPr>
          <w:rFonts w:ascii="Times New Roman" w:hAnsi="Times New Roman"/>
          <w:sz w:val="28"/>
          <w:szCs w:val="28"/>
          <w:lang w:val="en-US"/>
        </w:rPr>
        <w:t>Fraser</w:t>
      </w:r>
      <w:r>
        <w:rPr>
          <w:rFonts w:ascii="Times New Roman" w:hAnsi="Times New Roman"/>
          <w:sz w:val="28"/>
          <w:szCs w:val="28"/>
        </w:rPr>
        <w:t xml:space="preserve"> </w:t>
      </w:r>
      <w:r w:rsidRPr="00C76E1C">
        <w:rPr>
          <w:rFonts w:ascii="Times New Roman" w:hAnsi="Times New Roman"/>
          <w:sz w:val="28"/>
          <w:szCs w:val="28"/>
        </w:rPr>
        <w:t>&amp;</w:t>
      </w:r>
      <w:r>
        <w:rPr>
          <w:rFonts w:ascii="Times New Roman" w:hAnsi="Times New Roman"/>
          <w:sz w:val="28"/>
          <w:szCs w:val="28"/>
        </w:rPr>
        <w:t xml:space="preserve"> </w:t>
      </w:r>
      <w:r>
        <w:rPr>
          <w:rFonts w:ascii="Times New Roman" w:hAnsi="Times New Roman"/>
          <w:sz w:val="28"/>
          <w:szCs w:val="28"/>
          <w:lang w:val="en-US"/>
        </w:rPr>
        <w:t>Neave</w:t>
      </w:r>
      <w:r>
        <w:rPr>
          <w:rFonts w:ascii="Times New Roman" w:hAnsi="Times New Roman"/>
          <w:sz w:val="28"/>
          <w:szCs w:val="28"/>
        </w:rPr>
        <w:t xml:space="preserve">, покрывая значительную часть азиатско-тихоокеанского региона. Также </w:t>
      </w:r>
      <w:r>
        <w:rPr>
          <w:rFonts w:ascii="Times New Roman" w:hAnsi="Times New Roman"/>
          <w:sz w:val="28"/>
          <w:szCs w:val="28"/>
          <w:lang w:val="en-US"/>
        </w:rPr>
        <w:t>Heineken</w:t>
      </w:r>
      <w:r w:rsidRPr="00540164">
        <w:rPr>
          <w:rFonts w:ascii="Times New Roman" w:hAnsi="Times New Roman"/>
          <w:sz w:val="28"/>
          <w:szCs w:val="28"/>
        </w:rPr>
        <w:t xml:space="preserve"> </w:t>
      </w:r>
      <w:r>
        <w:rPr>
          <w:rFonts w:ascii="Times New Roman" w:hAnsi="Times New Roman"/>
          <w:sz w:val="28"/>
          <w:szCs w:val="28"/>
          <w:lang w:val="en-US"/>
        </w:rPr>
        <w:t>N</w:t>
      </w:r>
      <w:r w:rsidRPr="00540164">
        <w:rPr>
          <w:rFonts w:ascii="Times New Roman" w:hAnsi="Times New Roman"/>
          <w:sz w:val="28"/>
          <w:szCs w:val="28"/>
        </w:rPr>
        <w:t>.</w:t>
      </w:r>
      <w:r>
        <w:rPr>
          <w:rFonts w:ascii="Times New Roman" w:hAnsi="Times New Roman"/>
          <w:sz w:val="28"/>
          <w:szCs w:val="28"/>
          <w:lang w:val="en-US"/>
        </w:rPr>
        <w:t>V</w:t>
      </w:r>
      <w:r w:rsidRPr="00540164">
        <w:rPr>
          <w:rFonts w:ascii="Times New Roman" w:hAnsi="Times New Roman"/>
          <w:sz w:val="28"/>
          <w:szCs w:val="28"/>
        </w:rPr>
        <w:t xml:space="preserve">. </w:t>
      </w:r>
      <w:r w:rsidR="004C2A6B">
        <w:rPr>
          <w:rFonts w:ascii="Times New Roman" w:hAnsi="Times New Roman"/>
          <w:sz w:val="28"/>
          <w:szCs w:val="28"/>
        </w:rPr>
        <w:t>учредила</w:t>
      </w:r>
      <w:r>
        <w:rPr>
          <w:rFonts w:ascii="Times New Roman" w:hAnsi="Times New Roman"/>
          <w:sz w:val="28"/>
          <w:szCs w:val="28"/>
        </w:rPr>
        <w:t xml:space="preserve"> совместные предприятия с </w:t>
      </w:r>
      <w:r w:rsidRPr="00540164">
        <w:rPr>
          <w:rFonts w:ascii="Times New Roman" w:hAnsi="Times New Roman"/>
          <w:sz w:val="28"/>
          <w:szCs w:val="28"/>
        </w:rPr>
        <w:t>Cía Cervecerías Unidas</w:t>
      </w:r>
      <w:r>
        <w:rPr>
          <w:rFonts w:ascii="Times New Roman" w:hAnsi="Times New Roman"/>
          <w:sz w:val="28"/>
          <w:szCs w:val="28"/>
        </w:rPr>
        <w:t xml:space="preserve"> в Чили и Аргентине, </w:t>
      </w:r>
      <w:r w:rsidRPr="00540164">
        <w:rPr>
          <w:rFonts w:ascii="Times New Roman" w:hAnsi="Times New Roman"/>
          <w:sz w:val="28"/>
          <w:szCs w:val="28"/>
        </w:rPr>
        <w:t>Brandhouse</w:t>
      </w:r>
      <w:r>
        <w:rPr>
          <w:rFonts w:ascii="Times New Roman" w:hAnsi="Times New Roman"/>
          <w:sz w:val="28"/>
          <w:szCs w:val="28"/>
        </w:rPr>
        <w:t xml:space="preserve"> в Южной Африке, </w:t>
      </w:r>
      <w:r w:rsidRPr="00540164">
        <w:rPr>
          <w:rFonts w:ascii="Times New Roman" w:hAnsi="Times New Roman"/>
          <w:sz w:val="28"/>
          <w:szCs w:val="28"/>
        </w:rPr>
        <w:t>Brau Holding International</w:t>
      </w:r>
      <w:r>
        <w:rPr>
          <w:rFonts w:ascii="Times New Roman" w:hAnsi="Times New Roman"/>
          <w:sz w:val="28"/>
          <w:szCs w:val="28"/>
        </w:rPr>
        <w:t xml:space="preserve"> в Германии, </w:t>
      </w:r>
      <w:r w:rsidRPr="00540164">
        <w:rPr>
          <w:rFonts w:ascii="Times New Roman" w:hAnsi="Times New Roman"/>
          <w:sz w:val="28"/>
          <w:szCs w:val="28"/>
        </w:rPr>
        <w:t>Brasseries du Congo</w:t>
      </w:r>
      <w:r>
        <w:rPr>
          <w:rFonts w:ascii="Times New Roman" w:hAnsi="Times New Roman"/>
          <w:sz w:val="28"/>
          <w:szCs w:val="28"/>
        </w:rPr>
        <w:t xml:space="preserve"> в Конго. Кроме этого, на многих рынках бренды компании производятся по лицензионным соглашениям. В основном, это компании-производители, в которых </w:t>
      </w:r>
      <w:r>
        <w:rPr>
          <w:rFonts w:ascii="Times New Roman" w:hAnsi="Times New Roman"/>
          <w:sz w:val="28"/>
          <w:szCs w:val="28"/>
          <w:lang w:val="en-US"/>
        </w:rPr>
        <w:t>Heineken</w:t>
      </w:r>
      <w:r w:rsidRPr="004C6CAD">
        <w:rPr>
          <w:rFonts w:ascii="Times New Roman" w:hAnsi="Times New Roman"/>
          <w:sz w:val="28"/>
          <w:szCs w:val="28"/>
        </w:rPr>
        <w:t xml:space="preserve"> </w:t>
      </w:r>
      <w:r>
        <w:rPr>
          <w:rFonts w:ascii="Times New Roman" w:hAnsi="Times New Roman"/>
          <w:sz w:val="28"/>
          <w:szCs w:val="28"/>
          <w:lang w:val="en-US"/>
        </w:rPr>
        <w:t>N</w:t>
      </w:r>
      <w:r w:rsidRPr="004C6CAD">
        <w:rPr>
          <w:rFonts w:ascii="Times New Roman" w:hAnsi="Times New Roman"/>
          <w:sz w:val="28"/>
          <w:szCs w:val="28"/>
        </w:rPr>
        <w:t>.</w:t>
      </w:r>
      <w:r>
        <w:rPr>
          <w:rFonts w:ascii="Times New Roman" w:hAnsi="Times New Roman"/>
          <w:sz w:val="28"/>
          <w:szCs w:val="28"/>
          <w:lang w:val="en-US"/>
        </w:rPr>
        <w:t>V</w:t>
      </w:r>
      <w:r w:rsidRPr="004C6CAD">
        <w:rPr>
          <w:rFonts w:ascii="Times New Roman" w:hAnsi="Times New Roman"/>
          <w:sz w:val="28"/>
          <w:szCs w:val="28"/>
        </w:rPr>
        <w:t xml:space="preserve">. </w:t>
      </w:r>
      <w:r>
        <w:rPr>
          <w:rFonts w:ascii="Times New Roman" w:hAnsi="Times New Roman"/>
          <w:sz w:val="28"/>
          <w:szCs w:val="28"/>
        </w:rPr>
        <w:t xml:space="preserve">обладает миноритарным интересом (например, </w:t>
      </w:r>
      <w:r w:rsidRPr="004C6CAD">
        <w:rPr>
          <w:rFonts w:ascii="Times New Roman" w:hAnsi="Times New Roman"/>
          <w:sz w:val="28"/>
          <w:szCs w:val="28"/>
        </w:rPr>
        <w:t>CCU</w:t>
      </w:r>
      <w:r>
        <w:rPr>
          <w:rFonts w:ascii="Times New Roman" w:hAnsi="Times New Roman"/>
          <w:sz w:val="28"/>
          <w:szCs w:val="28"/>
        </w:rPr>
        <w:t xml:space="preserve"> в Аргентине, </w:t>
      </w:r>
      <w:r w:rsidRPr="004C6CAD">
        <w:rPr>
          <w:rFonts w:ascii="Times New Roman" w:hAnsi="Times New Roman"/>
          <w:sz w:val="28"/>
          <w:szCs w:val="28"/>
        </w:rPr>
        <w:t>UB Group</w:t>
      </w:r>
      <w:r>
        <w:rPr>
          <w:rFonts w:ascii="Times New Roman" w:hAnsi="Times New Roman"/>
          <w:sz w:val="28"/>
          <w:szCs w:val="28"/>
        </w:rPr>
        <w:t xml:space="preserve"> в Индии, АРВ в Китае). Помимо своих собственных брендов компания производит бренды от имени своих конкурентов на конкретных рынках. </w:t>
      </w:r>
      <w:r w:rsidRPr="004C6CAD">
        <w:rPr>
          <w:rFonts w:ascii="Times New Roman" w:hAnsi="Times New Roman"/>
          <w:sz w:val="28"/>
          <w:szCs w:val="28"/>
        </w:rPr>
        <w:t>Heineken</w:t>
      </w:r>
      <w:r>
        <w:rPr>
          <w:rFonts w:ascii="Times New Roman" w:hAnsi="Times New Roman"/>
          <w:sz w:val="28"/>
          <w:szCs w:val="28"/>
        </w:rPr>
        <w:t xml:space="preserve"> </w:t>
      </w:r>
      <w:r>
        <w:rPr>
          <w:rFonts w:ascii="Times New Roman" w:hAnsi="Times New Roman"/>
          <w:sz w:val="28"/>
          <w:szCs w:val="28"/>
          <w:lang w:val="en-US"/>
        </w:rPr>
        <w:t>N</w:t>
      </w:r>
      <w:r w:rsidRPr="00B9104E">
        <w:rPr>
          <w:rFonts w:ascii="Times New Roman" w:hAnsi="Times New Roman"/>
          <w:sz w:val="28"/>
          <w:szCs w:val="28"/>
        </w:rPr>
        <w:t>.</w:t>
      </w:r>
      <w:r>
        <w:rPr>
          <w:rFonts w:ascii="Times New Roman" w:hAnsi="Times New Roman"/>
          <w:sz w:val="28"/>
          <w:szCs w:val="28"/>
          <w:lang w:val="en-US"/>
        </w:rPr>
        <w:t>V</w:t>
      </w:r>
      <w:r w:rsidRPr="00B9104E">
        <w:rPr>
          <w:rFonts w:ascii="Times New Roman" w:hAnsi="Times New Roman"/>
          <w:sz w:val="28"/>
          <w:szCs w:val="28"/>
        </w:rPr>
        <w:t>.</w:t>
      </w:r>
      <w:r>
        <w:rPr>
          <w:rFonts w:ascii="Times New Roman" w:hAnsi="Times New Roman"/>
          <w:sz w:val="28"/>
          <w:szCs w:val="28"/>
        </w:rPr>
        <w:t xml:space="preserve"> является третьим по величине производителем бренда </w:t>
      </w:r>
      <w:r>
        <w:rPr>
          <w:rFonts w:ascii="Times New Roman" w:hAnsi="Times New Roman"/>
          <w:sz w:val="28"/>
          <w:szCs w:val="28"/>
          <w:lang w:val="en-US"/>
        </w:rPr>
        <w:t>Guinness</w:t>
      </w:r>
      <w:r w:rsidRPr="004C6CAD">
        <w:rPr>
          <w:rFonts w:ascii="Times New Roman" w:hAnsi="Times New Roman"/>
          <w:sz w:val="28"/>
          <w:szCs w:val="28"/>
        </w:rPr>
        <w:t xml:space="preserve"> </w:t>
      </w:r>
      <w:r>
        <w:rPr>
          <w:rFonts w:ascii="Times New Roman" w:hAnsi="Times New Roman"/>
          <w:sz w:val="28"/>
          <w:szCs w:val="28"/>
        </w:rPr>
        <w:t>компании Diage</w:t>
      </w:r>
      <w:r>
        <w:rPr>
          <w:rFonts w:ascii="Times New Roman" w:hAnsi="Times New Roman"/>
          <w:sz w:val="28"/>
          <w:szCs w:val="28"/>
          <w:lang w:val="en-US"/>
        </w:rPr>
        <w:t>o</w:t>
      </w:r>
      <w:r w:rsidRPr="004C6CAD">
        <w:rPr>
          <w:rFonts w:ascii="Times New Roman" w:hAnsi="Times New Roman"/>
          <w:sz w:val="28"/>
          <w:szCs w:val="28"/>
        </w:rPr>
        <w:t>’s</w:t>
      </w:r>
      <w:r>
        <w:rPr>
          <w:rFonts w:ascii="Times New Roman" w:hAnsi="Times New Roman"/>
          <w:sz w:val="28"/>
          <w:szCs w:val="28"/>
        </w:rPr>
        <w:t xml:space="preserve"> на африканском рынке, где британская компания в принципе не представлена (например, в Руанде и Демократической Республике Конго), а также в ряде других стран по всему миру, например в России и Индонезии. </w:t>
      </w:r>
    </w:p>
    <w:p w:rsidR="000872B3" w:rsidRPr="00477841" w:rsidRDefault="000872B3" w:rsidP="000872B3">
      <w:pPr>
        <w:spacing w:line="360" w:lineRule="auto"/>
        <w:ind w:firstLine="708"/>
        <w:jc w:val="both"/>
        <w:rPr>
          <w:rFonts w:ascii="Times New Roman" w:hAnsi="Times New Roman"/>
          <w:sz w:val="28"/>
          <w:szCs w:val="28"/>
        </w:rPr>
      </w:pPr>
      <w:r>
        <w:rPr>
          <w:rFonts w:ascii="Times New Roman" w:hAnsi="Times New Roman"/>
          <w:sz w:val="28"/>
          <w:szCs w:val="28"/>
        </w:rPr>
        <w:t xml:space="preserve">В последние пять лет компания значительно увеличила свою долю на мировом рынке путем приобретения ряда компаний. В 2008 году компания поглотила </w:t>
      </w:r>
      <w:r>
        <w:rPr>
          <w:rFonts w:ascii="Times New Roman" w:hAnsi="Times New Roman"/>
          <w:sz w:val="28"/>
          <w:szCs w:val="28"/>
          <w:lang w:val="en-US"/>
        </w:rPr>
        <w:t>Scottish</w:t>
      </w:r>
      <w:r w:rsidRPr="00C76E1C">
        <w:rPr>
          <w:rFonts w:ascii="Times New Roman" w:hAnsi="Times New Roman"/>
          <w:sz w:val="28"/>
          <w:szCs w:val="28"/>
        </w:rPr>
        <w:t xml:space="preserve"> &amp; </w:t>
      </w:r>
      <w:r>
        <w:rPr>
          <w:rFonts w:ascii="Times New Roman" w:hAnsi="Times New Roman"/>
          <w:sz w:val="28"/>
          <w:szCs w:val="28"/>
          <w:lang w:val="en-US"/>
        </w:rPr>
        <w:t>Newcastle</w:t>
      </w:r>
      <w:r w:rsidRPr="00C76E1C">
        <w:rPr>
          <w:rFonts w:ascii="Times New Roman" w:hAnsi="Times New Roman"/>
          <w:sz w:val="28"/>
          <w:szCs w:val="28"/>
        </w:rPr>
        <w:t xml:space="preserve"> </w:t>
      </w:r>
      <w:r>
        <w:rPr>
          <w:rFonts w:ascii="Times New Roman" w:hAnsi="Times New Roman"/>
          <w:sz w:val="28"/>
          <w:szCs w:val="28"/>
        </w:rPr>
        <w:t xml:space="preserve">– совместное предприятие с </w:t>
      </w:r>
      <w:r>
        <w:rPr>
          <w:rFonts w:ascii="Times New Roman" w:hAnsi="Times New Roman"/>
          <w:sz w:val="28"/>
          <w:szCs w:val="28"/>
          <w:lang w:val="en-US"/>
        </w:rPr>
        <w:t>Carlsberg</w:t>
      </w:r>
      <w:r w:rsidRPr="00C76E1C">
        <w:rPr>
          <w:rFonts w:ascii="Times New Roman" w:hAnsi="Times New Roman"/>
          <w:sz w:val="28"/>
          <w:szCs w:val="28"/>
        </w:rPr>
        <w:t xml:space="preserve">, </w:t>
      </w:r>
      <w:r>
        <w:rPr>
          <w:rFonts w:ascii="Times New Roman" w:hAnsi="Times New Roman"/>
          <w:sz w:val="28"/>
          <w:szCs w:val="28"/>
        </w:rPr>
        <w:t xml:space="preserve">в 2010 году </w:t>
      </w:r>
      <w:r>
        <w:rPr>
          <w:rFonts w:ascii="Times New Roman" w:hAnsi="Times New Roman"/>
          <w:sz w:val="28"/>
          <w:szCs w:val="28"/>
          <w:lang w:val="en-US"/>
        </w:rPr>
        <w:t>Heineken</w:t>
      </w:r>
      <w:r w:rsidRPr="00C76E1C">
        <w:rPr>
          <w:rFonts w:ascii="Times New Roman" w:hAnsi="Times New Roman"/>
          <w:sz w:val="28"/>
          <w:szCs w:val="28"/>
        </w:rPr>
        <w:t xml:space="preserve"> </w:t>
      </w:r>
      <w:r>
        <w:rPr>
          <w:rFonts w:ascii="Times New Roman" w:hAnsi="Times New Roman"/>
          <w:sz w:val="28"/>
          <w:szCs w:val="28"/>
          <w:lang w:val="en-US"/>
        </w:rPr>
        <w:t>N</w:t>
      </w:r>
      <w:r w:rsidRPr="00C76E1C">
        <w:rPr>
          <w:rFonts w:ascii="Times New Roman" w:hAnsi="Times New Roman"/>
          <w:sz w:val="28"/>
          <w:szCs w:val="28"/>
        </w:rPr>
        <w:t>.</w:t>
      </w:r>
      <w:r>
        <w:rPr>
          <w:rFonts w:ascii="Times New Roman" w:hAnsi="Times New Roman"/>
          <w:sz w:val="28"/>
          <w:szCs w:val="28"/>
          <w:lang w:val="en-US"/>
        </w:rPr>
        <w:t>V</w:t>
      </w:r>
      <w:r w:rsidRPr="00C76E1C">
        <w:rPr>
          <w:rFonts w:ascii="Times New Roman" w:hAnsi="Times New Roman"/>
          <w:sz w:val="28"/>
          <w:szCs w:val="28"/>
        </w:rPr>
        <w:t xml:space="preserve">. </w:t>
      </w:r>
      <w:r>
        <w:rPr>
          <w:rFonts w:ascii="Times New Roman" w:hAnsi="Times New Roman"/>
          <w:sz w:val="28"/>
          <w:szCs w:val="28"/>
        </w:rPr>
        <w:t xml:space="preserve">приобрела одного из крупнейших производителей латиноамериканского региона </w:t>
      </w:r>
      <w:r>
        <w:rPr>
          <w:rFonts w:ascii="Times New Roman" w:hAnsi="Times New Roman"/>
          <w:sz w:val="28"/>
          <w:szCs w:val="28"/>
          <w:lang w:val="en-US"/>
        </w:rPr>
        <w:t>FEMSA</w:t>
      </w:r>
      <w:r>
        <w:rPr>
          <w:rFonts w:ascii="Times New Roman" w:hAnsi="Times New Roman"/>
          <w:sz w:val="28"/>
          <w:szCs w:val="28"/>
        </w:rPr>
        <w:t xml:space="preserve">, в 2011 году компания продолжила укреплять свои позиции на Ближнем Востоке и Африке, поглотив компании в Нигерии и Эфиопии. В 2012 году компания объявила о желании выкупить оставшуюся долю акций у своего партнера </w:t>
      </w:r>
      <w:r>
        <w:rPr>
          <w:rFonts w:ascii="Times New Roman" w:hAnsi="Times New Roman"/>
          <w:sz w:val="28"/>
          <w:szCs w:val="28"/>
          <w:lang w:val="en-US"/>
        </w:rPr>
        <w:t>Fraser</w:t>
      </w:r>
      <w:r w:rsidRPr="00540164">
        <w:rPr>
          <w:rFonts w:ascii="Times New Roman" w:hAnsi="Times New Roman"/>
          <w:sz w:val="28"/>
          <w:szCs w:val="28"/>
        </w:rPr>
        <w:t xml:space="preserve"> &amp; </w:t>
      </w:r>
      <w:r>
        <w:rPr>
          <w:rFonts w:ascii="Times New Roman" w:hAnsi="Times New Roman"/>
          <w:sz w:val="28"/>
          <w:szCs w:val="28"/>
          <w:lang w:val="en-US"/>
        </w:rPr>
        <w:t>Neave</w:t>
      </w:r>
      <w:r w:rsidRPr="00540164">
        <w:rPr>
          <w:rFonts w:ascii="Times New Roman" w:hAnsi="Times New Roman"/>
          <w:sz w:val="28"/>
          <w:szCs w:val="28"/>
        </w:rPr>
        <w:t xml:space="preserve"> </w:t>
      </w:r>
      <w:r>
        <w:rPr>
          <w:rFonts w:ascii="Times New Roman" w:hAnsi="Times New Roman"/>
          <w:sz w:val="28"/>
          <w:szCs w:val="28"/>
        </w:rPr>
        <w:t xml:space="preserve">совместного предприятия </w:t>
      </w:r>
      <w:r>
        <w:rPr>
          <w:rFonts w:ascii="Times New Roman" w:hAnsi="Times New Roman"/>
          <w:sz w:val="28"/>
          <w:szCs w:val="28"/>
          <w:lang w:val="en-US"/>
        </w:rPr>
        <w:t>Asia</w:t>
      </w:r>
      <w:r w:rsidRPr="00540164">
        <w:rPr>
          <w:rFonts w:ascii="Times New Roman" w:hAnsi="Times New Roman"/>
          <w:sz w:val="28"/>
          <w:szCs w:val="28"/>
        </w:rPr>
        <w:t xml:space="preserve"> </w:t>
      </w:r>
      <w:r>
        <w:rPr>
          <w:rFonts w:ascii="Times New Roman" w:hAnsi="Times New Roman"/>
          <w:sz w:val="28"/>
          <w:szCs w:val="28"/>
          <w:lang w:val="en-US"/>
        </w:rPr>
        <w:t>Pacific</w:t>
      </w:r>
      <w:r w:rsidRPr="00540164">
        <w:rPr>
          <w:rFonts w:ascii="Times New Roman" w:hAnsi="Times New Roman"/>
          <w:sz w:val="28"/>
          <w:szCs w:val="28"/>
        </w:rPr>
        <w:t xml:space="preserve"> </w:t>
      </w:r>
      <w:r>
        <w:rPr>
          <w:rFonts w:ascii="Times New Roman" w:hAnsi="Times New Roman"/>
          <w:sz w:val="28"/>
          <w:szCs w:val="28"/>
          <w:lang w:val="en-US"/>
        </w:rPr>
        <w:t>Breweries</w:t>
      </w:r>
      <w:r w:rsidRPr="00540164">
        <w:rPr>
          <w:rFonts w:ascii="Times New Roman" w:hAnsi="Times New Roman"/>
          <w:sz w:val="28"/>
          <w:szCs w:val="28"/>
        </w:rPr>
        <w:t xml:space="preserve">. </w:t>
      </w:r>
    </w:p>
    <w:p w:rsidR="00F86AE5" w:rsidRPr="00F86AE5" w:rsidRDefault="00F86AE5" w:rsidP="00F86AE5">
      <w:pPr>
        <w:pStyle w:val="2"/>
        <w:spacing w:line="720" w:lineRule="auto"/>
        <w:jc w:val="center"/>
        <w:rPr>
          <w:rFonts w:ascii="Times New Roman" w:hAnsi="Times New Roman" w:cs="Times New Roman"/>
          <w:color w:val="auto"/>
          <w:sz w:val="28"/>
          <w:szCs w:val="28"/>
        </w:rPr>
      </w:pPr>
      <w:bookmarkStart w:id="26" w:name="_Toc356252009"/>
      <w:r w:rsidRPr="00F86AE5">
        <w:rPr>
          <w:rFonts w:ascii="Times New Roman" w:hAnsi="Times New Roman" w:cs="Times New Roman"/>
          <w:color w:val="auto"/>
          <w:sz w:val="28"/>
          <w:szCs w:val="28"/>
        </w:rPr>
        <w:t>2.3.2 Анализ основных финансовых показателей компании</w:t>
      </w:r>
      <w:bookmarkEnd w:id="26"/>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В период с 2007 по 2011 гг. выручка компании увеличилась на 34%. В 2007 г. она составила 11</w:t>
      </w:r>
      <w:r w:rsidR="004C2A6B">
        <w:rPr>
          <w:rFonts w:ascii="Times New Roman" w:hAnsi="Times New Roman"/>
          <w:sz w:val="28"/>
          <w:szCs w:val="28"/>
        </w:rPr>
        <w:t xml:space="preserve"> </w:t>
      </w:r>
      <w:r>
        <w:rPr>
          <w:rFonts w:ascii="Times New Roman" w:hAnsi="Times New Roman"/>
          <w:sz w:val="28"/>
          <w:szCs w:val="28"/>
        </w:rPr>
        <w:t>245 млн. евро, а в конце 2011 г. 17</w:t>
      </w:r>
      <w:r w:rsidR="004C2A6B">
        <w:rPr>
          <w:rFonts w:ascii="Times New Roman" w:hAnsi="Times New Roman"/>
          <w:sz w:val="28"/>
          <w:szCs w:val="28"/>
        </w:rPr>
        <w:t xml:space="preserve"> </w:t>
      </w:r>
      <w:r>
        <w:rPr>
          <w:rFonts w:ascii="Times New Roman" w:hAnsi="Times New Roman"/>
          <w:sz w:val="28"/>
          <w:szCs w:val="28"/>
        </w:rPr>
        <w:t xml:space="preserve">123 млн. евро. На протяжении этого периода наблюдается постепенный рост, который составляет примерно 5% в год. </w:t>
      </w:r>
      <w:proofErr w:type="gramStart"/>
      <w:r>
        <w:rPr>
          <w:rFonts w:ascii="Times New Roman" w:hAnsi="Times New Roman"/>
          <w:sz w:val="28"/>
          <w:szCs w:val="28"/>
        </w:rPr>
        <w:t xml:space="preserve">Что касается показателя </w:t>
      </w:r>
      <w:r>
        <w:rPr>
          <w:rFonts w:ascii="Times New Roman" w:hAnsi="Times New Roman"/>
          <w:sz w:val="28"/>
          <w:szCs w:val="28"/>
          <w:lang w:val="en-US"/>
        </w:rPr>
        <w:t>EBIT</w:t>
      </w:r>
      <w:r>
        <w:rPr>
          <w:rFonts w:ascii="Times New Roman" w:hAnsi="Times New Roman"/>
          <w:sz w:val="28"/>
          <w:szCs w:val="28"/>
        </w:rPr>
        <w:t xml:space="preserve"> – прибыли до вычета налогов и выплате процентов, то по сравнению с 2007 г. он вырос на 42%. В 2007 г. этот показатель находился на уровне 1</w:t>
      </w:r>
      <w:r w:rsidR="004C2A6B">
        <w:rPr>
          <w:rFonts w:ascii="Times New Roman" w:hAnsi="Times New Roman"/>
          <w:sz w:val="28"/>
          <w:szCs w:val="28"/>
        </w:rPr>
        <w:t xml:space="preserve"> </w:t>
      </w:r>
      <w:r>
        <w:rPr>
          <w:rFonts w:ascii="Times New Roman" w:hAnsi="Times New Roman"/>
          <w:sz w:val="28"/>
          <w:szCs w:val="28"/>
        </w:rPr>
        <w:t>418 млн. евро, в 2011 г. – 2</w:t>
      </w:r>
      <w:r w:rsidR="004C2A6B">
        <w:rPr>
          <w:rFonts w:ascii="Times New Roman" w:hAnsi="Times New Roman"/>
          <w:sz w:val="28"/>
          <w:szCs w:val="28"/>
        </w:rPr>
        <w:t xml:space="preserve"> </w:t>
      </w:r>
      <w:r>
        <w:rPr>
          <w:rFonts w:ascii="Times New Roman" w:hAnsi="Times New Roman"/>
          <w:sz w:val="28"/>
          <w:szCs w:val="28"/>
        </w:rPr>
        <w:t>455 млн. евро</w:t>
      </w:r>
      <w:r>
        <w:rPr>
          <w:rStyle w:val="a5"/>
          <w:rFonts w:ascii="Times New Roman" w:hAnsi="Times New Roman"/>
          <w:sz w:val="28"/>
          <w:szCs w:val="28"/>
        </w:rPr>
        <w:footnoteReference w:id="19"/>
      </w:r>
      <w:r>
        <w:rPr>
          <w:rFonts w:ascii="Times New Roman" w:hAnsi="Times New Roman"/>
          <w:sz w:val="28"/>
          <w:szCs w:val="28"/>
        </w:rPr>
        <w:t>. Чистая прибыль компании выросла на 44%, в 2011 г. составила 1</w:t>
      </w:r>
      <w:r w:rsidR="004C2A6B">
        <w:rPr>
          <w:rFonts w:ascii="Times New Roman" w:hAnsi="Times New Roman"/>
          <w:sz w:val="28"/>
          <w:szCs w:val="28"/>
        </w:rPr>
        <w:t xml:space="preserve"> </w:t>
      </w:r>
      <w:r>
        <w:rPr>
          <w:rFonts w:ascii="Times New Roman" w:hAnsi="Times New Roman"/>
          <w:sz w:val="28"/>
          <w:szCs w:val="28"/>
        </w:rPr>
        <w:t xml:space="preserve">430 млн. евро. </w:t>
      </w:r>
      <w:proofErr w:type="gramEnd"/>
    </w:p>
    <w:p w:rsidR="000872B3" w:rsidRPr="00213D98"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Регион Западная Европа является доминирующим по объему производства пивоваренной продукции. В 2011 г. его доля составила 45% в общей выручке компании. При этом производство пива увеличилось на 30% по сравнению с 2007 г. В 2007 г. объем производства составил 5</w:t>
      </w:r>
      <w:r w:rsidR="004C2A6B">
        <w:rPr>
          <w:rFonts w:ascii="Times New Roman" w:hAnsi="Times New Roman"/>
          <w:sz w:val="28"/>
          <w:szCs w:val="28"/>
        </w:rPr>
        <w:t xml:space="preserve"> </w:t>
      </w:r>
      <w:r>
        <w:rPr>
          <w:rFonts w:ascii="Times New Roman" w:hAnsi="Times New Roman"/>
          <w:sz w:val="28"/>
          <w:szCs w:val="28"/>
        </w:rPr>
        <w:t>450 млн. евро, а в 2011 г. 7</w:t>
      </w:r>
      <w:r w:rsidR="004C2A6B">
        <w:rPr>
          <w:rFonts w:ascii="Times New Roman" w:hAnsi="Times New Roman"/>
          <w:sz w:val="28"/>
          <w:szCs w:val="28"/>
        </w:rPr>
        <w:t xml:space="preserve"> </w:t>
      </w:r>
      <w:r>
        <w:rPr>
          <w:rFonts w:ascii="Times New Roman" w:hAnsi="Times New Roman"/>
          <w:sz w:val="28"/>
          <w:szCs w:val="28"/>
        </w:rPr>
        <w:t xml:space="preserve">752 млн. евро. Что касается прибыли до вычета налогов и выплаты процентов </w:t>
      </w:r>
      <w:r w:rsidRPr="00213D98">
        <w:rPr>
          <w:rFonts w:ascii="Times New Roman" w:hAnsi="Times New Roman"/>
          <w:sz w:val="28"/>
          <w:szCs w:val="28"/>
        </w:rPr>
        <w:t>(</w:t>
      </w:r>
      <w:r>
        <w:rPr>
          <w:rFonts w:ascii="Times New Roman" w:hAnsi="Times New Roman"/>
          <w:sz w:val="28"/>
          <w:szCs w:val="28"/>
          <w:lang w:val="en-US"/>
        </w:rPr>
        <w:t>EBIT</w:t>
      </w:r>
      <w:r w:rsidRPr="00213D98">
        <w:rPr>
          <w:rFonts w:ascii="Times New Roman" w:hAnsi="Times New Roman"/>
          <w:sz w:val="28"/>
          <w:szCs w:val="28"/>
        </w:rPr>
        <w:t xml:space="preserve">), </w:t>
      </w:r>
      <w:r>
        <w:rPr>
          <w:rFonts w:ascii="Times New Roman" w:hAnsi="Times New Roman"/>
          <w:sz w:val="28"/>
          <w:szCs w:val="28"/>
        </w:rPr>
        <w:t xml:space="preserve">то регион также является лидером по этому показателю. С 2007 г. он вырос на 31%, с 665 млн. евро до 962 млн. евро. </w:t>
      </w:r>
      <w:bookmarkStart w:id="27" w:name="OLE_LINK1"/>
      <w:r>
        <w:rPr>
          <w:rFonts w:ascii="Times New Roman" w:hAnsi="Times New Roman"/>
          <w:sz w:val="28"/>
          <w:szCs w:val="28"/>
        </w:rPr>
        <w:t xml:space="preserve">Доля </w:t>
      </w:r>
      <w:r>
        <w:rPr>
          <w:rFonts w:ascii="Times New Roman" w:hAnsi="Times New Roman"/>
          <w:sz w:val="28"/>
          <w:szCs w:val="28"/>
          <w:lang w:val="en-US"/>
        </w:rPr>
        <w:t>EBIT</w:t>
      </w:r>
      <w:r w:rsidRPr="00477841">
        <w:rPr>
          <w:rFonts w:ascii="Times New Roman" w:hAnsi="Times New Roman"/>
          <w:sz w:val="28"/>
          <w:szCs w:val="28"/>
        </w:rPr>
        <w:t xml:space="preserve"> </w:t>
      </w:r>
      <w:r>
        <w:rPr>
          <w:rFonts w:ascii="Times New Roman" w:hAnsi="Times New Roman"/>
          <w:sz w:val="28"/>
          <w:szCs w:val="28"/>
        </w:rPr>
        <w:t xml:space="preserve">в операционной прибыли компании </w:t>
      </w:r>
      <w:bookmarkEnd w:id="27"/>
      <w:r>
        <w:rPr>
          <w:rFonts w:ascii="Times New Roman" w:hAnsi="Times New Roman"/>
          <w:sz w:val="28"/>
          <w:szCs w:val="28"/>
        </w:rPr>
        <w:t xml:space="preserve">составляет 36% в 2011 г. </w:t>
      </w:r>
    </w:p>
    <w:p w:rsidR="000872B3" w:rsidRPr="00213D98"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Второе место по объему производства занимает Америка. В 2011 г. доля региона составила 24%, при этом выручка выросла на 60% по сравнению с началом рассматриваемого периода. В 2007 г. выручка составила 1</w:t>
      </w:r>
      <w:r w:rsidR="004C2A6B">
        <w:rPr>
          <w:rFonts w:ascii="Times New Roman" w:hAnsi="Times New Roman"/>
          <w:sz w:val="28"/>
          <w:szCs w:val="28"/>
        </w:rPr>
        <w:t xml:space="preserve"> </w:t>
      </w:r>
      <w:r>
        <w:rPr>
          <w:rFonts w:ascii="Times New Roman" w:hAnsi="Times New Roman"/>
          <w:sz w:val="28"/>
          <w:szCs w:val="28"/>
        </w:rPr>
        <w:t>608 млн. евро, а в 2011 г. 4</w:t>
      </w:r>
      <w:r w:rsidR="004C2A6B">
        <w:rPr>
          <w:rFonts w:ascii="Times New Roman" w:hAnsi="Times New Roman"/>
          <w:sz w:val="28"/>
          <w:szCs w:val="28"/>
        </w:rPr>
        <w:t xml:space="preserve"> </w:t>
      </w:r>
      <w:r>
        <w:rPr>
          <w:rFonts w:ascii="Times New Roman" w:hAnsi="Times New Roman"/>
          <w:sz w:val="28"/>
          <w:szCs w:val="28"/>
        </w:rPr>
        <w:t xml:space="preserve">029 млн. евро. Значительное увеличение объема продаж можно объяснить приобретением компании </w:t>
      </w:r>
      <w:r>
        <w:rPr>
          <w:rFonts w:ascii="Times New Roman" w:hAnsi="Times New Roman"/>
          <w:sz w:val="28"/>
          <w:szCs w:val="28"/>
          <w:lang w:val="en-US"/>
        </w:rPr>
        <w:t>FEMSA</w:t>
      </w:r>
      <w:r>
        <w:rPr>
          <w:rFonts w:ascii="Times New Roman" w:hAnsi="Times New Roman"/>
          <w:sz w:val="28"/>
          <w:szCs w:val="28"/>
        </w:rPr>
        <w:t xml:space="preserve">. Доля </w:t>
      </w:r>
      <w:r>
        <w:rPr>
          <w:rFonts w:ascii="Times New Roman" w:hAnsi="Times New Roman"/>
          <w:sz w:val="28"/>
          <w:szCs w:val="28"/>
          <w:lang w:val="en-US"/>
        </w:rPr>
        <w:t>EBIT</w:t>
      </w:r>
      <w:r w:rsidRPr="00213D98">
        <w:rPr>
          <w:rFonts w:ascii="Times New Roman" w:hAnsi="Times New Roman"/>
          <w:sz w:val="28"/>
          <w:szCs w:val="28"/>
        </w:rPr>
        <w:t xml:space="preserve"> </w:t>
      </w:r>
      <w:r>
        <w:rPr>
          <w:rFonts w:ascii="Times New Roman" w:hAnsi="Times New Roman"/>
          <w:sz w:val="28"/>
          <w:szCs w:val="28"/>
        </w:rPr>
        <w:t xml:space="preserve">в операционной прибыли компании по состоянию на 2011 г. составляет 24%. Стоит отметить, что в отношении </w:t>
      </w:r>
      <w:r>
        <w:rPr>
          <w:rFonts w:ascii="Times New Roman" w:hAnsi="Times New Roman"/>
          <w:sz w:val="28"/>
          <w:szCs w:val="28"/>
          <w:lang w:val="en-US"/>
        </w:rPr>
        <w:t>EBIT</w:t>
      </w:r>
      <w:r w:rsidRPr="00213D98">
        <w:rPr>
          <w:rFonts w:ascii="Times New Roman" w:hAnsi="Times New Roman"/>
          <w:sz w:val="28"/>
          <w:szCs w:val="28"/>
        </w:rPr>
        <w:t xml:space="preserve"> </w:t>
      </w:r>
      <w:r>
        <w:rPr>
          <w:rFonts w:ascii="Times New Roman" w:hAnsi="Times New Roman"/>
          <w:sz w:val="28"/>
          <w:szCs w:val="28"/>
        </w:rPr>
        <w:t xml:space="preserve">регион развивается наиболее быстрыми темпами. Рост прибыли до вычета налогов и выплаты процентов составил 64% с начала 2007 г. В 2007 г. этот показатель находился на уровне 234 млн. евро, а в 2011 г. уже составлял 655 млн. евро. </w:t>
      </w:r>
    </w:p>
    <w:p w:rsidR="000872B3" w:rsidRPr="00A67541"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Центральная и Восточная Европа занимает 3-е место. Доля этого региона в общих продажах 2011 г. составляет 19%. Однако, в этом регионе темпы роста объема продаж невысоки. В 2011 г. продажи составили 3</w:t>
      </w:r>
      <w:r w:rsidR="004C2A6B">
        <w:rPr>
          <w:rFonts w:ascii="Times New Roman" w:hAnsi="Times New Roman"/>
          <w:sz w:val="28"/>
          <w:szCs w:val="28"/>
        </w:rPr>
        <w:t xml:space="preserve"> </w:t>
      </w:r>
      <w:r>
        <w:rPr>
          <w:rFonts w:ascii="Times New Roman" w:hAnsi="Times New Roman"/>
          <w:sz w:val="28"/>
          <w:szCs w:val="28"/>
        </w:rPr>
        <w:t xml:space="preserve">229 млн. евро, что всего лишь на 0,09% выше, чем в 2007 г. Показатель </w:t>
      </w:r>
      <w:r>
        <w:rPr>
          <w:rFonts w:ascii="Times New Roman" w:hAnsi="Times New Roman"/>
          <w:sz w:val="28"/>
          <w:szCs w:val="28"/>
          <w:lang w:val="en-US"/>
        </w:rPr>
        <w:t>EBIT</w:t>
      </w:r>
      <w:r w:rsidRPr="00A67541">
        <w:rPr>
          <w:rFonts w:ascii="Times New Roman" w:hAnsi="Times New Roman"/>
          <w:sz w:val="28"/>
          <w:szCs w:val="28"/>
        </w:rPr>
        <w:t xml:space="preserve"> </w:t>
      </w:r>
      <w:r>
        <w:rPr>
          <w:rFonts w:ascii="Times New Roman" w:hAnsi="Times New Roman"/>
          <w:sz w:val="28"/>
          <w:szCs w:val="28"/>
        </w:rPr>
        <w:t xml:space="preserve">в данном регионе в 2011 г. равен 346 млн. евро, что составляет 13% от объема операционной прибыли. Более того, уровень </w:t>
      </w:r>
      <w:r>
        <w:rPr>
          <w:rFonts w:ascii="Times New Roman" w:hAnsi="Times New Roman"/>
          <w:sz w:val="28"/>
          <w:szCs w:val="28"/>
          <w:lang w:val="en-US"/>
        </w:rPr>
        <w:t>EBIT</w:t>
      </w:r>
      <w:r w:rsidRPr="00A67541">
        <w:rPr>
          <w:rFonts w:ascii="Times New Roman" w:hAnsi="Times New Roman"/>
          <w:sz w:val="28"/>
          <w:szCs w:val="28"/>
        </w:rPr>
        <w:t xml:space="preserve"> </w:t>
      </w:r>
      <w:r>
        <w:rPr>
          <w:rFonts w:ascii="Times New Roman" w:hAnsi="Times New Roman"/>
          <w:sz w:val="28"/>
          <w:szCs w:val="28"/>
        </w:rPr>
        <w:t xml:space="preserve">снизился на 24% по сравнению с 2007 г., где составил 428 млн. евро. </w:t>
      </w:r>
    </w:p>
    <w:p w:rsidR="000872B3" w:rsidRPr="00213FA7"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Африка и Ближний Восток характеризуются положительными тенденциями в своем развитии. В 2011 г. выручка составила 2</w:t>
      </w:r>
      <w:r w:rsidR="004C2A6B">
        <w:rPr>
          <w:rFonts w:ascii="Times New Roman" w:hAnsi="Times New Roman"/>
          <w:sz w:val="28"/>
          <w:szCs w:val="28"/>
        </w:rPr>
        <w:t xml:space="preserve"> </w:t>
      </w:r>
      <w:r>
        <w:rPr>
          <w:rFonts w:ascii="Times New Roman" w:hAnsi="Times New Roman"/>
          <w:sz w:val="28"/>
          <w:szCs w:val="28"/>
        </w:rPr>
        <w:t>233 млн. евро, что составляет 13% от общего объема продаж. Более того, за 5-летний период продажи увеличились на 41%. В 2007 г. выручка составила 1</w:t>
      </w:r>
      <w:r w:rsidR="004C2A6B">
        <w:rPr>
          <w:rFonts w:ascii="Times New Roman" w:hAnsi="Times New Roman"/>
          <w:sz w:val="28"/>
          <w:szCs w:val="28"/>
        </w:rPr>
        <w:t xml:space="preserve"> </w:t>
      </w:r>
      <w:r>
        <w:rPr>
          <w:rFonts w:ascii="Times New Roman" w:hAnsi="Times New Roman"/>
          <w:sz w:val="28"/>
          <w:szCs w:val="28"/>
        </w:rPr>
        <w:t xml:space="preserve">311 млн. евро. Кроме того, показатель </w:t>
      </w:r>
      <w:r>
        <w:rPr>
          <w:rFonts w:ascii="Times New Roman" w:hAnsi="Times New Roman"/>
          <w:sz w:val="28"/>
          <w:szCs w:val="28"/>
          <w:lang w:val="en-US"/>
        </w:rPr>
        <w:t>EBIT</w:t>
      </w:r>
      <w:r w:rsidRPr="00213FA7">
        <w:rPr>
          <w:rFonts w:ascii="Times New Roman" w:hAnsi="Times New Roman"/>
          <w:sz w:val="28"/>
          <w:szCs w:val="28"/>
        </w:rPr>
        <w:t xml:space="preserve"> </w:t>
      </w:r>
      <w:r>
        <w:rPr>
          <w:rFonts w:ascii="Times New Roman" w:hAnsi="Times New Roman"/>
          <w:sz w:val="28"/>
          <w:szCs w:val="28"/>
        </w:rPr>
        <w:t xml:space="preserve">увеличился на 43% по сравнению с началом рассматриваемого периода. В 2007 г. он составил 326 млн. евро, а в 2011 г. 520 млн. евро. По состоянию на 2011 г. доля </w:t>
      </w:r>
      <w:r>
        <w:rPr>
          <w:rFonts w:ascii="Times New Roman" w:hAnsi="Times New Roman"/>
          <w:sz w:val="28"/>
          <w:szCs w:val="28"/>
          <w:lang w:val="en-US"/>
        </w:rPr>
        <w:t>EBIT</w:t>
      </w:r>
      <w:r w:rsidRPr="00213FA7">
        <w:rPr>
          <w:rFonts w:ascii="Times New Roman" w:hAnsi="Times New Roman"/>
          <w:sz w:val="28"/>
          <w:szCs w:val="28"/>
        </w:rPr>
        <w:t xml:space="preserve"> </w:t>
      </w:r>
      <w:r>
        <w:rPr>
          <w:rFonts w:ascii="Times New Roman" w:hAnsi="Times New Roman"/>
          <w:sz w:val="28"/>
          <w:szCs w:val="28"/>
        </w:rPr>
        <w:t xml:space="preserve"> в операционной прибыли </w:t>
      </w:r>
      <w:r>
        <w:rPr>
          <w:rFonts w:ascii="Times New Roman" w:hAnsi="Times New Roman"/>
          <w:sz w:val="28"/>
          <w:szCs w:val="28"/>
          <w:lang w:val="en-US"/>
        </w:rPr>
        <w:t>Heineken</w:t>
      </w:r>
      <w:r w:rsidRPr="00213FA7">
        <w:rPr>
          <w:rFonts w:ascii="Times New Roman" w:hAnsi="Times New Roman"/>
          <w:sz w:val="28"/>
          <w:szCs w:val="28"/>
        </w:rPr>
        <w:t xml:space="preserve"> </w:t>
      </w:r>
      <w:r>
        <w:rPr>
          <w:rFonts w:ascii="Times New Roman" w:hAnsi="Times New Roman"/>
          <w:sz w:val="28"/>
          <w:szCs w:val="28"/>
          <w:lang w:val="en-US"/>
        </w:rPr>
        <w:t>N</w:t>
      </w:r>
      <w:r w:rsidRPr="00213FA7">
        <w:rPr>
          <w:rFonts w:ascii="Times New Roman" w:hAnsi="Times New Roman"/>
          <w:sz w:val="28"/>
          <w:szCs w:val="28"/>
        </w:rPr>
        <w:t>.</w:t>
      </w:r>
      <w:r>
        <w:rPr>
          <w:rFonts w:ascii="Times New Roman" w:hAnsi="Times New Roman"/>
          <w:sz w:val="28"/>
          <w:szCs w:val="28"/>
          <w:lang w:val="en-US"/>
        </w:rPr>
        <w:t>V</w:t>
      </w:r>
      <w:r w:rsidRPr="00213FA7">
        <w:rPr>
          <w:rFonts w:ascii="Times New Roman" w:hAnsi="Times New Roman"/>
          <w:sz w:val="28"/>
          <w:szCs w:val="28"/>
        </w:rPr>
        <w:t xml:space="preserve">. </w:t>
      </w:r>
      <w:r>
        <w:rPr>
          <w:rFonts w:ascii="Times New Roman" w:hAnsi="Times New Roman"/>
          <w:sz w:val="28"/>
          <w:szCs w:val="28"/>
        </w:rPr>
        <w:t xml:space="preserve">составила 21%. </w:t>
      </w:r>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Азиатско-тихоокеанский регион оказывает минимальное влияние на общий объем продаж. В 2011 г. доля данного сегмента составила всего лишь 1%. Помимо этого, в регионе наблюдается отрицательный рост продаж. В 2011 г. выручка составила 216 млн. евро, что на 13% ниже уровня 2007 г. – 245 млн. евро. Тем не менее, прибыль до вычета налогов и выплате процентов увеличилась на 63% по сравнению с 2007 г. В 2011 г. доля </w:t>
      </w:r>
      <w:r>
        <w:rPr>
          <w:rFonts w:ascii="Times New Roman" w:hAnsi="Times New Roman"/>
          <w:sz w:val="28"/>
          <w:szCs w:val="28"/>
          <w:lang w:val="en-US"/>
        </w:rPr>
        <w:t>EBIT</w:t>
      </w:r>
      <w:r w:rsidRPr="00213FA7">
        <w:rPr>
          <w:rFonts w:ascii="Times New Roman" w:hAnsi="Times New Roman"/>
          <w:sz w:val="28"/>
          <w:szCs w:val="28"/>
        </w:rPr>
        <w:t xml:space="preserve"> </w:t>
      </w:r>
      <w:r>
        <w:rPr>
          <w:rFonts w:ascii="Times New Roman" w:hAnsi="Times New Roman"/>
          <w:sz w:val="28"/>
          <w:szCs w:val="28"/>
        </w:rPr>
        <w:t>в операционной прибыли компании составила 7%</w:t>
      </w:r>
      <w:r w:rsidR="00B92D9E">
        <w:rPr>
          <w:rStyle w:val="a5"/>
          <w:rFonts w:ascii="Times New Roman" w:hAnsi="Times New Roman"/>
          <w:sz w:val="28"/>
          <w:szCs w:val="28"/>
        </w:rPr>
        <w:footnoteReference w:id="20"/>
      </w:r>
      <w:r>
        <w:rPr>
          <w:rFonts w:ascii="Times New Roman" w:hAnsi="Times New Roman"/>
          <w:sz w:val="28"/>
          <w:szCs w:val="28"/>
        </w:rPr>
        <w:t xml:space="preserve">. </w:t>
      </w:r>
    </w:p>
    <w:p w:rsidR="000872B3" w:rsidRDefault="000872B3" w:rsidP="00C76F2B">
      <w:pPr>
        <w:spacing w:line="360" w:lineRule="auto"/>
        <w:ind w:firstLine="502"/>
        <w:jc w:val="both"/>
        <w:rPr>
          <w:rFonts w:ascii="Times New Roman" w:hAnsi="Times New Roman"/>
          <w:sz w:val="28"/>
          <w:szCs w:val="28"/>
        </w:rPr>
      </w:pPr>
      <w:r>
        <w:rPr>
          <w:rFonts w:ascii="Times New Roman" w:hAnsi="Times New Roman"/>
          <w:sz w:val="28"/>
          <w:szCs w:val="28"/>
        </w:rPr>
        <w:t>В рассматриваемый период активы компании увеличились с 11</w:t>
      </w:r>
      <w:r w:rsidR="004C2A6B">
        <w:rPr>
          <w:rFonts w:ascii="Times New Roman" w:hAnsi="Times New Roman"/>
          <w:sz w:val="28"/>
          <w:szCs w:val="28"/>
        </w:rPr>
        <w:t xml:space="preserve"> </w:t>
      </w:r>
      <w:r>
        <w:rPr>
          <w:rFonts w:ascii="Times New Roman" w:hAnsi="Times New Roman"/>
          <w:sz w:val="28"/>
          <w:szCs w:val="28"/>
        </w:rPr>
        <w:t>941 млн. евро в 2007 г. до 27</w:t>
      </w:r>
      <w:r w:rsidR="004C2A6B">
        <w:rPr>
          <w:rFonts w:ascii="Times New Roman" w:hAnsi="Times New Roman"/>
          <w:sz w:val="28"/>
          <w:szCs w:val="28"/>
        </w:rPr>
        <w:t xml:space="preserve"> </w:t>
      </w:r>
      <w:r>
        <w:rPr>
          <w:rFonts w:ascii="Times New Roman" w:hAnsi="Times New Roman"/>
          <w:sz w:val="28"/>
          <w:szCs w:val="28"/>
        </w:rPr>
        <w:t xml:space="preserve">127 млн. евро в 2011 г. При этом, доля оборотных активов в 2011 г. составила 17%, </w:t>
      </w:r>
      <w:proofErr w:type="spellStart"/>
      <w:r>
        <w:rPr>
          <w:rFonts w:ascii="Times New Roman" w:hAnsi="Times New Roman"/>
          <w:sz w:val="28"/>
          <w:szCs w:val="28"/>
        </w:rPr>
        <w:t>внеоборотных</w:t>
      </w:r>
      <w:proofErr w:type="spellEnd"/>
      <w:r>
        <w:rPr>
          <w:rFonts w:ascii="Times New Roman" w:hAnsi="Times New Roman"/>
          <w:sz w:val="28"/>
          <w:szCs w:val="28"/>
        </w:rPr>
        <w:t xml:space="preserve"> – 83%, соответственно</w:t>
      </w:r>
      <w:r>
        <w:rPr>
          <w:rStyle w:val="a5"/>
          <w:rFonts w:ascii="Times New Roman" w:hAnsi="Times New Roman"/>
          <w:sz w:val="28"/>
          <w:szCs w:val="28"/>
        </w:rPr>
        <w:footnoteReference w:id="21"/>
      </w:r>
      <w:r>
        <w:rPr>
          <w:rFonts w:ascii="Times New Roman" w:hAnsi="Times New Roman"/>
          <w:sz w:val="28"/>
          <w:szCs w:val="28"/>
        </w:rPr>
        <w:t>.</w:t>
      </w:r>
    </w:p>
    <w:p w:rsidR="002E7D28" w:rsidRPr="00F86AE5" w:rsidRDefault="00F86AE5" w:rsidP="00F86AE5">
      <w:pPr>
        <w:pStyle w:val="2"/>
        <w:spacing w:line="720" w:lineRule="auto"/>
        <w:jc w:val="center"/>
        <w:rPr>
          <w:rFonts w:ascii="Times New Roman" w:hAnsi="Times New Roman" w:cs="Times New Roman"/>
          <w:color w:val="auto"/>
          <w:sz w:val="28"/>
          <w:szCs w:val="28"/>
        </w:rPr>
      </w:pPr>
      <w:bookmarkStart w:id="28" w:name="_Toc356252010"/>
      <w:r w:rsidRPr="00F86AE5">
        <w:rPr>
          <w:rFonts w:ascii="Times New Roman" w:hAnsi="Times New Roman" w:cs="Times New Roman"/>
          <w:color w:val="auto"/>
          <w:sz w:val="28"/>
          <w:szCs w:val="28"/>
        </w:rPr>
        <w:t xml:space="preserve">2.3.3 </w:t>
      </w:r>
      <w:r w:rsidR="002E7D28" w:rsidRPr="00F86AE5">
        <w:rPr>
          <w:rFonts w:ascii="Times New Roman" w:hAnsi="Times New Roman" w:cs="Times New Roman"/>
          <w:color w:val="auto"/>
          <w:sz w:val="28"/>
          <w:szCs w:val="28"/>
        </w:rPr>
        <w:t xml:space="preserve">Анализ </w:t>
      </w:r>
      <w:r w:rsidRPr="00F86AE5">
        <w:rPr>
          <w:rFonts w:ascii="Times New Roman" w:hAnsi="Times New Roman" w:cs="Times New Roman"/>
          <w:color w:val="auto"/>
          <w:sz w:val="28"/>
          <w:szCs w:val="28"/>
        </w:rPr>
        <w:t>структуры активов и инвестиционной деятельности</w:t>
      </w:r>
      <w:bookmarkEnd w:id="28"/>
    </w:p>
    <w:p w:rsidR="000872B3" w:rsidRDefault="000872B3" w:rsidP="000872B3">
      <w:pPr>
        <w:spacing w:line="360" w:lineRule="auto"/>
        <w:ind w:left="142" w:firstLine="360"/>
        <w:jc w:val="both"/>
        <w:rPr>
          <w:rFonts w:ascii="Times New Roman" w:hAnsi="Times New Roman"/>
          <w:sz w:val="28"/>
          <w:szCs w:val="28"/>
        </w:rPr>
      </w:pPr>
      <w:r>
        <w:rPr>
          <w:rFonts w:ascii="Times New Roman" w:hAnsi="Times New Roman"/>
          <w:sz w:val="28"/>
          <w:szCs w:val="28"/>
        </w:rPr>
        <w:t xml:space="preserve">Доля </w:t>
      </w:r>
      <w:proofErr w:type="spellStart"/>
      <w:r>
        <w:rPr>
          <w:rFonts w:ascii="Times New Roman" w:hAnsi="Times New Roman"/>
          <w:sz w:val="28"/>
          <w:szCs w:val="28"/>
        </w:rPr>
        <w:t>внеоборотных</w:t>
      </w:r>
      <w:proofErr w:type="spellEnd"/>
      <w:r>
        <w:rPr>
          <w:rFonts w:ascii="Times New Roman" w:hAnsi="Times New Roman"/>
          <w:sz w:val="28"/>
          <w:szCs w:val="28"/>
        </w:rPr>
        <w:t xml:space="preserve"> активов имеет намного больший вес в общей структуре активов компании. По состоянию </w:t>
      </w:r>
      <w:proofErr w:type="gramStart"/>
      <w:r>
        <w:rPr>
          <w:rFonts w:ascii="Times New Roman" w:hAnsi="Times New Roman"/>
          <w:sz w:val="28"/>
          <w:szCs w:val="28"/>
        </w:rPr>
        <w:t>на конец</w:t>
      </w:r>
      <w:proofErr w:type="gramEnd"/>
      <w:r>
        <w:rPr>
          <w:rFonts w:ascii="Times New Roman" w:hAnsi="Times New Roman"/>
          <w:sz w:val="28"/>
          <w:szCs w:val="28"/>
        </w:rPr>
        <w:t xml:space="preserve"> 2011 г. стоимость </w:t>
      </w:r>
      <w:proofErr w:type="spellStart"/>
      <w:r>
        <w:rPr>
          <w:rFonts w:ascii="Times New Roman" w:hAnsi="Times New Roman"/>
          <w:sz w:val="28"/>
          <w:szCs w:val="28"/>
        </w:rPr>
        <w:t>внеоборотных</w:t>
      </w:r>
      <w:proofErr w:type="spellEnd"/>
      <w:r>
        <w:rPr>
          <w:rFonts w:ascii="Times New Roman" w:hAnsi="Times New Roman"/>
          <w:sz w:val="28"/>
          <w:szCs w:val="28"/>
        </w:rPr>
        <w:t xml:space="preserve"> активов составила 22419 млн. евро. Доля основных средств  выросла по сравнению с 2007 г. Если в начале периода основные средства составляли 4</w:t>
      </w:r>
      <w:r w:rsidR="004C2A6B">
        <w:rPr>
          <w:rFonts w:ascii="Times New Roman" w:hAnsi="Times New Roman"/>
          <w:sz w:val="28"/>
          <w:szCs w:val="28"/>
        </w:rPr>
        <w:t xml:space="preserve"> </w:t>
      </w:r>
      <w:r>
        <w:rPr>
          <w:rFonts w:ascii="Times New Roman" w:hAnsi="Times New Roman"/>
          <w:sz w:val="28"/>
          <w:szCs w:val="28"/>
        </w:rPr>
        <w:t>673 млн. евро, то в 2011 г. их значение достигло уровня 7</w:t>
      </w:r>
      <w:r w:rsidR="004C2A6B">
        <w:rPr>
          <w:rFonts w:ascii="Times New Roman" w:hAnsi="Times New Roman"/>
          <w:sz w:val="28"/>
          <w:szCs w:val="28"/>
        </w:rPr>
        <w:t xml:space="preserve"> </w:t>
      </w:r>
      <w:r>
        <w:rPr>
          <w:rFonts w:ascii="Times New Roman" w:hAnsi="Times New Roman"/>
          <w:sz w:val="28"/>
          <w:szCs w:val="28"/>
        </w:rPr>
        <w:t>860 млн. евро. Кроме этого, в значительной степени увеличилась доля нематериальных активов. Если в 2007 г. нематериальные активы составляли 2</w:t>
      </w:r>
      <w:r w:rsidR="004C2A6B">
        <w:rPr>
          <w:rFonts w:ascii="Times New Roman" w:hAnsi="Times New Roman"/>
          <w:sz w:val="28"/>
          <w:szCs w:val="28"/>
        </w:rPr>
        <w:t xml:space="preserve"> </w:t>
      </w:r>
      <w:r>
        <w:rPr>
          <w:rFonts w:ascii="Times New Roman" w:hAnsi="Times New Roman"/>
          <w:sz w:val="28"/>
          <w:szCs w:val="28"/>
        </w:rPr>
        <w:t>110 млн. евро, то в 2011 г. они увеличились до уровня 10</w:t>
      </w:r>
      <w:r w:rsidR="004C2A6B">
        <w:rPr>
          <w:rFonts w:ascii="Times New Roman" w:hAnsi="Times New Roman"/>
          <w:sz w:val="28"/>
          <w:szCs w:val="28"/>
        </w:rPr>
        <w:t xml:space="preserve"> </w:t>
      </w:r>
      <w:r>
        <w:rPr>
          <w:rFonts w:ascii="Times New Roman" w:hAnsi="Times New Roman"/>
          <w:sz w:val="28"/>
          <w:szCs w:val="28"/>
        </w:rPr>
        <w:t>835 млн. евро. Также наблюдается рост инвестиций в совместные предприятия и дочерние компании. За рассматриваемые 5 лет инвестиции увеличились на 50% с 892 млн. евро до 1</w:t>
      </w:r>
      <w:r w:rsidR="004C2A6B">
        <w:rPr>
          <w:rFonts w:ascii="Times New Roman" w:hAnsi="Times New Roman"/>
          <w:sz w:val="28"/>
          <w:szCs w:val="28"/>
        </w:rPr>
        <w:t xml:space="preserve"> </w:t>
      </w:r>
      <w:r>
        <w:rPr>
          <w:rFonts w:ascii="Times New Roman" w:hAnsi="Times New Roman"/>
          <w:sz w:val="28"/>
          <w:szCs w:val="28"/>
        </w:rPr>
        <w:t xml:space="preserve">764 млн. евро. Стоит отметить, что в рассматриваемый период доля </w:t>
      </w:r>
      <w:proofErr w:type="spellStart"/>
      <w:r>
        <w:rPr>
          <w:rFonts w:ascii="Times New Roman" w:hAnsi="Times New Roman"/>
          <w:sz w:val="28"/>
          <w:szCs w:val="28"/>
        </w:rPr>
        <w:t>внеоборотных</w:t>
      </w:r>
      <w:proofErr w:type="spellEnd"/>
      <w:r>
        <w:rPr>
          <w:rFonts w:ascii="Times New Roman" w:hAnsi="Times New Roman"/>
          <w:sz w:val="28"/>
          <w:szCs w:val="28"/>
        </w:rPr>
        <w:t xml:space="preserve"> активов в общей структуре постепенно увеличивалась – с 72% в 2007 г. до 83% в 2011 г.   </w:t>
      </w:r>
    </w:p>
    <w:p w:rsidR="000872B3" w:rsidRDefault="000872B3" w:rsidP="000872B3">
      <w:pPr>
        <w:spacing w:line="360" w:lineRule="auto"/>
        <w:ind w:left="142" w:firstLine="360"/>
        <w:jc w:val="both"/>
        <w:rPr>
          <w:rFonts w:ascii="Times New Roman" w:hAnsi="Times New Roman"/>
          <w:sz w:val="28"/>
          <w:szCs w:val="28"/>
        </w:rPr>
      </w:pPr>
      <w:r>
        <w:rPr>
          <w:rFonts w:ascii="Times New Roman" w:hAnsi="Times New Roman"/>
          <w:sz w:val="28"/>
          <w:szCs w:val="28"/>
        </w:rPr>
        <w:t>Что касается, оборотных активов, то в 2007 г. они составляли 3</w:t>
      </w:r>
      <w:r w:rsidR="004C2A6B">
        <w:rPr>
          <w:rFonts w:ascii="Times New Roman" w:hAnsi="Times New Roman"/>
          <w:sz w:val="28"/>
          <w:szCs w:val="28"/>
        </w:rPr>
        <w:t xml:space="preserve"> </w:t>
      </w:r>
      <w:r>
        <w:rPr>
          <w:rFonts w:ascii="Times New Roman" w:hAnsi="Times New Roman"/>
          <w:sz w:val="28"/>
          <w:szCs w:val="28"/>
        </w:rPr>
        <w:t>357 млн. евро, а в 2011 г. значение выросло до 4</w:t>
      </w:r>
      <w:r w:rsidR="004C2A6B">
        <w:rPr>
          <w:rFonts w:ascii="Times New Roman" w:hAnsi="Times New Roman"/>
          <w:sz w:val="28"/>
          <w:szCs w:val="28"/>
        </w:rPr>
        <w:t xml:space="preserve"> </w:t>
      </w:r>
      <w:r>
        <w:rPr>
          <w:rFonts w:ascii="Times New Roman" w:hAnsi="Times New Roman"/>
          <w:sz w:val="28"/>
          <w:szCs w:val="28"/>
        </w:rPr>
        <w:t>708 млн. евро. Товарно-материальные запасы увеличились на 34% с 883 млн. евро до 1</w:t>
      </w:r>
      <w:r w:rsidR="004C2A6B">
        <w:rPr>
          <w:rFonts w:ascii="Times New Roman" w:hAnsi="Times New Roman"/>
          <w:sz w:val="28"/>
          <w:szCs w:val="28"/>
        </w:rPr>
        <w:t xml:space="preserve"> </w:t>
      </w:r>
      <w:r>
        <w:rPr>
          <w:rFonts w:ascii="Times New Roman" w:hAnsi="Times New Roman"/>
          <w:sz w:val="28"/>
          <w:szCs w:val="28"/>
        </w:rPr>
        <w:t xml:space="preserve">352 млн. евро в 2011 г.  </w:t>
      </w:r>
    </w:p>
    <w:p w:rsidR="000872B3" w:rsidRPr="00587D70" w:rsidRDefault="000872B3" w:rsidP="000872B3">
      <w:pPr>
        <w:spacing w:line="360" w:lineRule="auto"/>
        <w:ind w:left="142" w:firstLine="360"/>
        <w:jc w:val="both"/>
        <w:rPr>
          <w:rFonts w:ascii="Times New Roman" w:hAnsi="Times New Roman"/>
          <w:sz w:val="28"/>
          <w:szCs w:val="28"/>
        </w:rPr>
      </w:pPr>
      <w:r>
        <w:rPr>
          <w:rFonts w:ascii="Times New Roman" w:hAnsi="Times New Roman"/>
          <w:sz w:val="28"/>
          <w:szCs w:val="28"/>
        </w:rPr>
        <w:t>Если рассматривать распределение всех активов по географическим сегментам, то большая часть активов приходится на регион Западной Европы – в 2011 г. на него пришлось 10</w:t>
      </w:r>
      <w:r w:rsidR="004C2A6B">
        <w:rPr>
          <w:rFonts w:ascii="Times New Roman" w:hAnsi="Times New Roman"/>
          <w:sz w:val="28"/>
          <w:szCs w:val="28"/>
        </w:rPr>
        <w:t xml:space="preserve"> </w:t>
      </w:r>
      <w:r>
        <w:rPr>
          <w:rFonts w:ascii="Times New Roman" w:hAnsi="Times New Roman"/>
          <w:sz w:val="28"/>
          <w:szCs w:val="28"/>
        </w:rPr>
        <w:t>052 млн. евро (37%). Доля активов в Центральной и Восточной Европе составила 16% - 4</w:t>
      </w:r>
      <w:r w:rsidR="004C2A6B">
        <w:rPr>
          <w:rFonts w:ascii="Times New Roman" w:hAnsi="Times New Roman"/>
          <w:sz w:val="28"/>
          <w:szCs w:val="28"/>
        </w:rPr>
        <w:t xml:space="preserve"> </w:t>
      </w:r>
      <w:r>
        <w:rPr>
          <w:rFonts w:ascii="Times New Roman" w:hAnsi="Times New Roman"/>
          <w:sz w:val="28"/>
          <w:szCs w:val="28"/>
        </w:rPr>
        <w:t>515 млн. евро. Африка и Ближний Восток получили 2</w:t>
      </w:r>
      <w:r w:rsidR="004C2A6B">
        <w:rPr>
          <w:rFonts w:ascii="Times New Roman" w:hAnsi="Times New Roman"/>
          <w:sz w:val="28"/>
          <w:szCs w:val="28"/>
        </w:rPr>
        <w:t xml:space="preserve"> </w:t>
      </w:r>
      <w:r>
        <w:rPr>
          <w:rFonts w:ascii="Times New Roman" w:hAnsi="Times New Roman"/>
          <w:sz w:val="28"/>
          <w:szCs w:val="28"/>
        </w:rPr>
        <w:t>993 млн. евро (11%), регион Америка – 7</w:t>
      </w:r>
      <w:r w:rsidR="004C2A6B">
        <w:rPr>
          <w:rFonts w:ascii="Times New Roman" w:hAnsi="Times New Roman"/>
          <w:sz w:val="28"/>
          <w:szCs w:val="28"/>
        </w:rPr>
        <w:t xml:space="preserve"> </w:t>
      </w:r>
      <w:r>
        <w:rPr>
          <w:rFonts w:ascii="Times New Roman" w:hAnsi="Times New Roman"/>
          <w:sz w:val="28"/>
          <w:szCs w:val="28"/>
        </w:rPr>
        <w:t xml:space="preserve">375 млн. евро (27%), а на Азиатско-тихоокеанский регион пришлось всего лишь 629 млн. евро (2%). </w:t>
      </w:r>
    </w:p>
    <w:p w:rsidR="0076272B" w:rsidRPr="00F86AE5" w:rsidRDefault="00F86AE5" w:rsidP="00F86AE5">
      <w:pPr>
        <w:pStyle w:val="2"/>
        <w:spacing w:line="720" w:lineRule="auto"/>
        <w:jc w:val="center"/>
        <w:rPr>
          <w:rFonts w:ascii="Times New Roman" w:hAnsi="Times New Roman" w:cs="Times New Roman"/>
          <w:color w:val="auto"/>
          <w:sz w:val="28"/>
          <w:szCs w:val="28"/>
        </w:rPr>
      </w:pPr>
      <w:bookmarkStart w:id="29" w:name="_Toc356252011"/>
      <w:r w:rsidRPr="00F86AE5">
        <w:rPr>
          <w:rFonts w:ascii="Times New Roman" w:hAnsi="Times New Roman" w:cs="Times New Roman"/>
          <w:color w:val="auto"/>
          <w:sz w:val="28"/>
          <w:szCs w:val="28"/>
        </w:rPr>
        <w:t xml:space="preserve">2.3.4 </w:t>
      </w:r>
      <w:r w:rsidR="0076272B" w:rsidRPr="00F86AE5">
        <w:rPr>
          <w:rFonts w:ascii="Times New Roman" w:hAnsi="Times New Roman" w:cs="Times New Roman"/>
          <w:color w:val="auto"/>
          <w:sz w:val="28"/>
          <w:szCs w:val="28"/>
        </w:rPr>
        <w:t>Анализ конкурентных стратегий</w:t>
      </w:r>
      <w:bookmarkEnd w:id="29"/>
    </w:p>
    <w:p w:rsidR="000872B3" w:rsidRDefault="000872B3"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Компания обладает широким товарным ассортиментом и, таким образом, обеспечивает себе присутствие в каждой из категорий пива. </w:t>
      </w:r>
      <w:r>
        <w:rPr>
          <w:rFonts w:ascii="Times New Roman" w:hAnsi="Times New Roman"/>
          <w:sz w:val="28"/>
          <w:szCs w:val="28"/>
          <w:lang w:val="en-US"/>
        </w:rPr>
        <w:t>Heineken</w:t>
      </w:r>
      <w:r w:rsidRPr="001B4FA1">
        <w:rPr>
          <w:rFonts w:ascii="Times New Roman" w:hAnsi="Times New Roman"/>
          <w:sz w:val="28"/>
          <w:szCs w:val="28"/>
        </w:rPr>
        <w:t xml:space="preserve"> </w:t>
      </w:r>
      <w:r>
        <w:rPr>
          <w:rFonts w:ascii="Times New Roman" w:hAnsi="Times New Roman"/>
          <w:sz w:val="28"/>
          <w:szCs w:val="28"/>
          <w:lang w:val="en-US"/>
        </w:rPr>
        <w:t>N</w:t>
      </w:r>
      <w:r w:rsidRPr="001B4FA1">
        <w:rPr>
          <w:rFonts w:ascii="Times New Roman" w:hAnsi="Times New Roman"/>
          <w:sz w:val="28"/>
          <w:szCs w:val="28"/>
        </w:rPr>
        <w:t>.</w:t>
      </w:r>
      <w:r>
        <w:rPr>
          <w:rFonts w:ascii="Times New Roman" w:hAnsi="Times New Roman"/>
          <w:sz w:val="28"/>
          <w:szCs w:val="28"/>
          <w:lang w:val="en-US"/>
        </w:rPr>
        <w:t>V</w:t>
      </w:r>
      <w:r w:rsidRPr="001B4FA1">
        <w:rPr>
          <w:rFonts w:ascii="Times New Roman" w:hAnsi="Times New Roman"/>
          <w:sz w:val="28"/>
          <w:szCs w:val="28"/>
        </w:rPr>
        <w:t xml:space="preserve">. </w:t>
      </w:r>
      <w:r>
        <w:rPr>
          <w:rFonts w:ascii="Times New Roman" w:hAnsi="Times New Roman"/>
          <w:sz w:val="28"/>
          <w:szCs w:val="28"/>
        </w:rPr>
        <w:t xml:space="preserve">фокусируется, в основном, на производстве </w:t>
      </w:r>
      <w:r w:rsidRPr="00E96C3B">
        <w:rPr>
          <w:rFonts w:ascii="Times New Roman" w:hAnsi="Times New Roman"/>
          <w:b/>
          <w:sz w:val="28"/>
          <w:szCs w:val="28"/>
        </w:rPr>
        <w:t>премиального лагера</w:t>
      </w:r>
      <w:r>
        <w:rPr>
          <w:rFonts w:ascii="Times New Roman" w:hAnsi="Times New Roman"/>
          <w:sz w:val="28"/>
          <w:szCs w:val="28"/>
        </w:rPr>
        <w:t xml:space="preserve"> (светлого пива). Среднегодовой темп роста этой категории ожидается на уровне 3% в период с 2012 по 2016 гг.</w:t>
      </w:r>
      <w:r>
        <w:rPr>
          <w:rStyle w:val="a5"/>
          <w:rFonts w:ascii="Times New Roman" w:hAnsi="Times New Roman"/>
          <w:sz w:val="28"/>
          <w:szCs w:val="28"/>
        </w:rPr>
        <w:footnoteReference w:id="22"/>
      </w:r>
      <w:r>
        <w:rPr>
          <w:rFonts w:ascii="Times New Roman" w:hAnsi="Times New Roman"/>
          <w:sz w:val="28"/>
          <w:szCs w:val="28"/>
        </w:rPr>
        <w:t xml:space="preserve">. Также компания является основным игроком в производстве </w:t>
      </w:r>
      <w:r w:rsidRPr="00E96C3B">
        <w:rPr>
          <w:rFonts w:ascii="Times New Roman" w:hAnsi="Times New Roman"/>
          <w:b/>
          <w:sz w:val="28"/>
          <w:szCs w:val="28"/>
        </w:rPr>
        <w:t>стандартного лагера</w:t>
      </w:r>
      <w:r>
        <w:rPr>
          <w:rFonts w:ascii="Times New Roman" w:hAnsi="Times New Roman"/>
          <w:sz w:val="28"/>
          <w:szCs w:val="28"/>
        </w:rPr>
        <w:t xml:space="preserve">, который, как ожидается, останется крупнейшей категорией с приростом более чем 13 млрд. литров в рассматриваемый период.  </w:t>
      </w:r>
      <w:r>
        <w:rPr>
          <w:rFonts w:ascii="Times New Roman" w:hAnsi="Times New Roman"/>
          <w:sz w:val="28"/>
          <w:szCs w:val="28"/>
          <w:lang w:val="en-US"/>
        </w:rPr>
        <w:t>Heineken</w:t>
      </w:r>
      <w:r w:rsidRPr="00E24C2B">
        <w:rPr>
          <w:rFonts w:ascii="Times New Roman" w:hAnsi="Times New Roman"/>
          <w:sz w:val="28"/>
          <w:szCs w:val="28"/>
        </w:rPr>
        <w:t xml:space="preserve"> </w:t>
      </w:r>
      <w:r>
        <w:rPr>
          <w:rFonts w:ascii="Times New Roman" w:hAnsi="Times New Roman"/>
          <w:sz w:val="28"/>
          <w:szCs w:val="28"/>
          <w:lang w:val="en-US"/>
        </w:rPr>
        <w:t>N</w:t>
      </w:r>
      <w:r w:rsidRPr="00E24C2B">
        <w:rPr>
          <w:rFonts w:ascii="Times New Roman" w:hAnsi="Times New Roman"/>
          <w:sz w:val="28"/>
          <w:szCs w:val="28"/>
        </w:rPr>
        <w:t>.</w:t>
      </w:r>
      <w:r>
        <w:rPr>
          <w:rFonts w:ascii="Times New Roman" w:hAnsi="Times New Roman"/>
          <w:sz w:val="28"/>
          <w:szCs w:val="28"/>
          <w:lang w:val="en-US"/>
        </w:rPr>
        <w:t>V</w:t>
      </w:r>
      <w:r w:rsidRPr="00E24C2B">
        <w:rPr>
          <w:rFonts w:ascii="Times New Roman" w:hAnsi="Times New Roman"/>
          <w:sz w:val="28"/>
          <w:szCs w:val="28"/>
        </w:rPr>
        <w:t xml:space="preserve">. </w:t>
      </w:r>
      <w:r>
        <w:rPr>
          <w:rFonts w:ascii="Times New Roman" w:hAnsi="Times New Roman"/>
          <w:sz w:val="28"/>
          <w:szCs w:val="28"/>
        </w:rPr>
        <w:t xml:space="preserve">также занимает лидирующие позиции по производству </w:t>
      </w:r>
      <w:r w:rsidRPr="00E96C3B">
        <w:rPr>
          <w:rFonts w:ascii="Times New Roman" w:hAnsi="Times New Roman"/>
          <w:b/>
          <w:sz w:val="28"/>
          <w:szCs w:val="28"/>
        </w:rPr>
        <w:t>безалкогольного пива</w:t>
      </w:r>
      <w:r>
        <w:rPr>
          <w:rFonts w:ascii="Times New Roman" w:hAnsi="Times New Roman"/>
          <w:sz w:val="28"/>
          <w:szCs w:val="28"/>
        </w:rPr>
        <w:t xml:space="preserve">. Среднегодовой рост данной категории ожидается на уровне 7% в период с 2012 по 2016 гг., который будет генерироваться в основном за счет растущего спроса в странах Ближнего Востока и Африки.  В силу того, что компания акцентирует свое внимание на производстве премиального светлого пива, присутствие </w:t>
      </w:r>
      <w:r w:rsidR="00DF2B8A">
        <w:rPr>
          <w:rFonts w:ascii="Times New Roman" w:hAnsi="Times New Roman"/>
          <w:sz w:val="28"/>
          <w:szCs w:val="28"/>
        </w:rPr>
        <w:t xml:space="preserve"> </w:t>
      </w:r>
      <w:r>
        <w:rPr>
          <w:rFonts w:ascii="Times New Roman" w:hAnsi="Times New Roman"/>
          <w:sz w:val="28"/>
          <w:szCs w:val="28"/>
          <w:lang w:val="en-US"/>
        </w:rPr>
        <w:t>Heineken</w:t>
      </w:r>
      <w:r w:rsidRPr="008B3129">
        <w:rPr>
          <w:rFonts w:ascii="Times New Roman" w:hAnsi="Times New Roman"/>
          <w:sz w:val="28"/>
          <w:szCs w:val="28"/>
        </w:rPr>
        <w:t xml:space="preserve"> </w:t>
      </w:r>
      <w:r>
        <w:rPr>
          <w:rFonts w:ascii="Times New Roman" w:hAnsi="Times New Roman"/>
          <w:sz w:val="28"/>
          <w:szCs w:val="28"/>
          <w:lang w:val="en-US"/>
        </w:rPr>
        <w:t>N</w:t>
      </w:r>
      <w:r w:rsidRPr="008B3129">
        <w:rPr>
          <w:rFonts w:ascii="Times New Roman" w:hAnsi="Times New Roman"/>
          <w:sz w:val="28"/>
          <w:szCs w:val="28"/>
        </w:rPr>
        <w:t>.</w:t>
      </w:r>
      <w:r>
        <w:rPr>
          <w:rFonts w:ascii="Times New Roman" w:hAnsi="Times New Roman"/>
          <w:sz w:val="28"/>
          <w:szCs w:val="28"/>
          <w:lang w:val="en-US"/>
        </w:rPr>
        <w:t>V</w:t>
      </w:r>
      <w:r w:rsidRPr="008B3129">
        <w:rPr>
          <w:rFonts w:ascii="Times New Roman" w:hAnsi="Times New Roman"/>
          <w:sz w:val="28"/>
          <w:szCs w:val="28"/>
        </w:rPr>
        <w:t xml:space="preserve">. </w:t>
      </w:r>
      <w:r>
        <w:rPr>
          <w:rFonts w:ascii="Times New Roman" w:hAnsi="Times New Roman"/>
          <w:sz w:val="28"/>
          <w:szCs w:val="28"/>
        </w:rPr>
        <w:t xml:space="preserve"> в категории </w:t>
      </w:r>
      <w:r w:rsidRPr="00E96C3B">
        <w:rPr>
          <w:rFonts w:ascii="Times New Roman" w:hAnsi="Times New Roman"/>
          <w:b/>
          <w:sz w:val="28"/>
          <w:szCs w:val="28"/>
        </w:rPr>
        <w:t>лагера эконом класса</w:t>
      </w:r>
      <w:r>
        <w:rPr>
          <w:rFonts w:ascii="Times New Roman" w:hAnsi="Times New Roman"/>
          <w:sz w:val="28"/>
          <w:szCs w:val="28"/>
        </w:rPr>
        <w:t xml:space="preserve">, являющейся 2-крупнейшей категорией, ограничено.  Данную категорию необходимо рассматривать, так как именно за счет нее можно привлечь большую аудиторию покупателей, которые не могут позволить себе пиво более дорогих марок (особенно в Азиатско-тихоокеанском регионе, на Ближнем Востоке и в Африке).  Категории </w:t>
      </w:r>
      <w:r w:rsidRPr="00E96C3B">
        <w:rPr>
          <w:rFonts w:ascii="Times New Roman" w:hAnsi="Times New Roman"/>
          <w:b/>
          <w:sz w:val="28"/>
          <w:szCs w:val="28"/>
        </w:rPr>
        <w:t>темного пива</w:t>
      </w:r>
      <w:r>
        <w:rPr>
          <w:rFonts w:ascii="Times New Roman" w:hAnsi="Times New Roman"/>
          <w:sz w:val="28"/>
          <w:szCs w:val="28"/>
        </w:rPr>
        <w:t xml:space="preserve"> и </w:t>
      </w:r>
      <w:r w:rsidRPr="00E96C3B">
        <w:rPr>
          <w:rFonts w:ascii="Times New Roman" w:hAnsi="Times New Roman"/>
          <w:b/>
          <w:sz w:val="28"/>
          <w:szCs w:val="28"/>
        </w:rPr>
        <w:t>стаута</w:t>
      </w:r>
      <w:r w:rsidRPr="00E96C3B">
        <w:rPr>
          <w:rFonts w:ascii="Times New Roman" w:hAnsi="Times New Roman"/>
          <w:sz w:val="28"/>
          <w:szCs w:val="28"/>
        </w:rPr>
        <w:t xml:space="preserve"> </w:t>
      </w:r>
      <w:r>
        <w:rPr>
          <w:rFonts w:ascii="Times New Roman" w:hAnsi="Times New Roman"/>
          <w:sz w:val="28"/>
          <w:szCs w:val="28"/>
        </w:rPr>
        <w:t xml:space="preserve">также являются источником роста продаж для компании, так как среднегодовой темп роста ожидается на уровне 2% и 3%, соответственно. </w:t>
      </w:r>
    </w:p>
    <w:p w:rsidR="000872B3" w:rsidRDefault="000872B3" w:rsidP="000872B3">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Основной стратегией компании является </w:t>
      </w:r>
      <w:r w:rsidRPr="00367180">
        <w:rPr>
          <w:rFonts w:ascii="Times New Roman" w:hAnsi="Times New Roman"/>
          <w:b/>
          <w:sz w:val="28"/>
          <w:szCs w:val="28"/>
        </w:rPr>
        <w:t>фокусирование на продаже высокодоходных брендов</w:t>
      </w:r>
      <w:r>
        <w:rPr>
          <w:rFonts w:ascii="Times New Roman" w:hAnsi="Times New Roman"/>
          <w:sz w:val="28"/>
          <w:szCs w:val="28"/>
        </w:rPr>
        <w:t xml:space="preserve">. </w:t>
      </w:r>
      <w:r>
        <w:rPr>
          <w:rFonts w:ascii="Times New Roman" w:hAnsi="Times New Roman"/>
          <w:sz w:val="28"/>
          <w:szCs w:val="28"/>
          <w:lang w:val="en-US"/>
        </w:rPr>
        <w:t>Heineken</w:t>
      </w:r>
      <w:r w:rsidRPr="00367180">
        <w:rPr>
          <w:rFonts w:ascii="Times New Roman" w:hAnsi="Times New Roman"/>
          <w:sz w:val="28"/>
          <w:szCs w:val="28"/>
        </w:rPr>
        <w:t xml:space="preserve"> </w:t>
      </w:r>
      <w:r>
        <w:rPr>
          <w:rFonts w:ascii="Times New Roman" w:hAnsi="Times New Roman"/>
          <w:sz w:val="28"/>
          <w:szCs w:val="28"/>
          <w:lang w:val="en-US"/>
        </w:rPr>
        <w:t>N</w:t>
      </w:r>
      <w:r w:rsidRPr="00367180">
        <w:rPr>
          <w:rFonts w:ascii="Times New Roman" w:hAnsi="Times New Roman"/>
          <w:sz w:val="28"/>
          <w:szCs w:val="28"/>
        </w:rPr>
        <w:t>.</w:t>
      </w:r>
      <w:r>
        <w:rPr>
          <w:rFonts w:ascii="Times New Roman" w:hAnsi="Times New Roman"/>
          <w:sz w:val="28"/>
          <w:szCs w:val="28"/>
          <w:lang w:val="en-US"/>
        </w:rPr>
        <w:t>V</w:t>
      </w:r>
      <w:r w:rsidRPr="00367180">
        <w:rPr>
          <w:rFonts w:ascii="Times New Roman" w:hAnsi="Times New Roman"/>
          <w:sz w:val="28"/>
          <w:szCs w:val="28"/>
        </w:rPr>
        <w:t xml:space="preserve">. </w:t>
      </w:r>
      <w:r>
        <w:rPr>
          <w:rFonts w:ascii="Times New Roman" w:hAnsi="Times New Roman"/>
          <w:sz w:val="28"/>
          <w:szCs w:val="28"/>
        </w:rPr>
        <w:t xml:space="preserve">обладает широким продуктовым портфелем с более чем 200 брендами премиального, регионального, локального пива и сидра. Тем не менее, стратегия бренда компании концентрируется в большей степени на бренде </w:t>
      </w:r>
      <w:r>
        <w:rPr>
          <w:rFonts w:ascii="Times New Roman" w:hAnsi="Times New Roman"/>
          <w:sz w:val="28"/>
          <w:szCs w:val="28"/>
          <w:lang w:val="en-US"/>
        </w:rPr>
        <w:t>Heineken</w:t>
      </w:r>
      <w:r w:rsidRPr="00367180">
        <w:rPr>
          <w:rFonts w:ascii="Times New Roman" w:hAnsi="Times New Roman"/>
          <w:sz w:val="28"/>
          <w:szCs w:val="28"/>
        </w:rPr>
        <w:t xml:space="preserve">, </w:t>
      </w:r>
      <w:r>
        <w:rPr>
          <w:rFonts w:ascii="Times New Roman" w:hAnsi="Times New Roman"/>
          <w:sz w:val="28"/>
          <w:szCs w:val="28"/>
        </w:rPr>
        <w:t xml:space="preserve">который составил 16% мирового объема продаж и более 50% объема продаж в категории премиального лагера в 2011 г. </w:t>
      </w:r>
      <w:r w:rsidR="00D16939">
        <w:rPr>
          <w:rFonts w:ascii="Times New Roman" w:hAnsi="Times New Roman"/>
          <w:sz w:val="28"/>
          <w:szCs w:val="28"/>
        </w:rPr>
        <w:t xml:space="preserve">Бренд </w:t>
      </w:r>
      <w:r>
        <w:rPr>
          <w:rFonts w:ascii="Times New Roman" w:hAnsi="Times New Roman"/>
          <w:sz w:val="28"/>
          <w:szCs w:val="28"/>
          <w:lang w:val="en-US"/>
        </w:rPr>
        <w:t>Heineken</w:t>
      </w:r>
      <w:r w:rsidRPr="00934B76">
        <w:rPr>
          <w:rFonts w:ascii="Times New Roman" w:hAnsi="Times New Roman"/>
          <w:sz w:val="28"/>
          <w:szCs w:val="28"/>
        </w:rPr>
        <w:t xml:space="preserve"> </w:t>
      </w:r>
      <w:r>
        <w:rPr>
          <w:rFonts w:ascii="Times New Roman" w:hAnsi="Times New Roman"/>
          <w:sz w:val="28"/>
          <w:szCs w:val="28"/>
        </w:rPr>
        <w:t xml:space="preserve">является наиболее интернациональным брендом компании, его продажи за пределами домашнего рынка составили 91% от общего объема продаж в 2011 г. Помимо бренда </w:t>
      </w:r>
      <w:r>
        <w:rPr>
          <w:rFonts w:ascii="Times New Roman" w:hAnsi="Times New Roman"/>
          <w:sz w:val="28"/>
          <w:szCs w:val="28"/>
          <w:lang w:val="en-US"/>
        </w:rPr>
        <w:t>Heineken</w:t>
      </w:r>
      <w:r w:rsidRPr="00934B76">
        <w:rPr>
          <w:rFonts w:ascii="Times New Roman" w:hAnsi="Times New Roman"/>
          <w:sz w:val="28"/>
          <w:szCs w:val="28"/>
        </w:rPr>
        <w:t xml:space="preserve">, </w:t>
      </w:r>
      <w:r>
        <w:rPr>
          <w:rFonts w:ascii="Times New Roman" w:hAnsi="Times New Roman"/>
          <w:sz w:val="28"/>
          <w:szCs w:val="28"/>
        </w:rPr>
        <w:t xml:space="preserve">стратегическими марками компании являются также  </w:t>
      </w:r>
      <w:r w:rsidRPr="00934B76">
        <w:rPr>
          <w:rFonts w:ascii="Times New Roman" w:hAnsi="Times New Roman"/>
          <w:sz w:val="28"/>
          <w:szCs w:val="28"/>
        </w:rPr>
        <w:t xml:space="preserve">Amstel, Desperados </w:t>
      </w:r>
      <w:r>
        <w:rPr>
          <w:rFonts w:ascii="Times New Roman" w:hAnsi="Times New Roman"/>
          <w:sz w:val="28"/>
          <w:szCs w:val="28"/>
        </w:rPr>
        <w:t>и</w:t>
      </w:r>
      <w:r w:rsidRPr="00934B76">
        <w:rPr>
          <w:rFonts w:ascii="Times New Roman" w:hAnsi="Times New Roman"/>
          <w:sz w:val="28"/>
          <w:szCs w:val="28"/>
        </w:rPr>
        <w:t xml:space="preserve"> Strongbow</w:t>
      </w:r>
      <w:r>
        <w:rPr>
          <w:rFonts w:ascii="Times New Roman" w:hAnsi="Times New Roman"/>
          <w:sz w:val="28"/>
          <w:szCs w:val="28"/>
        </w:rPr>
        <w:t xml:space="preserve">. </w:t>
      </w:r>
    </w:p>
    <w:p w:rsidR="000872B3" w:rsidRDefault="000872B3" w:rsidP="000872B3">
      <w:pPr>
        <w:spacing w:line="360" w:lineRule="auto"/>
        <w:ind w:firstLine="709"/>
        <w:jc w:val="both"/>
        <w:rPr>
          <w:rFonts w:ascii="Times New Roman" w:hAnsi="Times New Roman"/>
          <w:sz w:val="28"/>
          <w:szCs w:val="28"/>
        </w:rPr>
      </w:pPr>
      <w:r>
        <w:rPr>
          <w:rFonts w:ascii="Times New Roman" w:hAnsi="Times New Roman"/>
          <w:sz w:val="28"/>
          <w:szCs w:val="28"/>
        </w:rPr>
        <w:t xml:space="preserve">В 2010 г. </w:t>
      </w:r>
      <w:r>
        <w:rPr>
          <w:rFonts w:ascii="Times New Roman" w:hAnsi="Times New Roman"/>
          <w:sz w:val="28"/>
          <w:szCs w:val="28"/>
          <w:lang w:val="en-US"/>
        </w:rPr>
        <w:t>Heineken</w:t>
      </w:r>
      <w:r w:rsidRPr="00196994">
        <w:rPr>
          <w:rFonts w:ascii="Times New Roman" w:hAnsi="Times New Roman"/>
          <w:sz w:val="28"/>
          <w:szCs w:val="28"/>
        </w:rPr>
        <w:t xml:space="preserve"> </w:t>
      </w:r>
      <w:r>
        <w:rPr>
          <w:rFonts w:ascii="Times New Roman" w:hAnsi="Times New Roman"/>
          <w:sz w:val="28"/>
          <w:szCs w:val="28"/>
          <w:lang w:val="en-US"/>
        </w:rPr>
        <w:t>N</w:t>
      </w:r>
      <w:r w:rsidRPr="00196994">
        <w:rPr>
          <w:rFonts w:ascii="Times New Roman" w:hAnsi="Times New Roman"/>
          <w:sz w:val="28"/>
          <w:szCs w:val="28"/>
        </w:rPr>
        <w:t>.</w:t>
      </w:r>
      <w:r>
        <w:rPr>
          <w:rFonts w:ascii="Times New Roman" w:hAnsi="Times New Roman"/>
          <w:sz w:val="28"/>
          <w:szCs w:val="28"/>
          <w:lang w:val="en-US"/>
        </w:rPr>
        <w:t>V</w:t>
      </w:r>
      <w:r w:rsidRPr="00196994">
        <w:rPr>
          <w:rFonts w:ascii="Times New Roman" w:hAnsi="Times New Roman"/>
          <w:sz w:val="28"/>
          <w:szCs w:val="28"/>
        </w:rPr>
        <w:t>.</w:t>
      </w:r>
      <w:r>
        <w:rPr>
          <w:rFonts w:ascii="Times New Roman" w:hAnsi="Times New Roman"/>
          <w:sz w:val="28"/>
          <w:szCs w:val="28"/>
        </w:rPr>
        <w:t xml:space="preserve"> запустила маркетинговую кампанию под названием «</w:t>
      </w:r>
      <w:proofErr w:type="spellStart"/>
      <w:r w:rsidRPr="000836E4">
        <w:rPr>
          <w:rFonts w:ascii="Times New Roman" w:hAnsi="Times New Roman"/>
          <w:sz w:val="28"/>
          <w:szCs w:val="28"/>
        </w:rPr>
        <w:t>The</w:t>
      </w:r>
      <w:proofErr w:type="spellEnd"/>
      <w:r w:rsidRPr="000836E4">
        <w:rPr>
          <w:rFonts w:ascii="Times New Roman" w:hAnsi="Times New Roman"/>
          <w:sz w:val="28"/>
          <w:szCs w:val="28"/>
        </w:rPr>
        <w:t xml:space="preserve"> </w:t>
      </w:r>
      <w:proofErr w:type="spellStart"/>
      <w:r w:rsidRPr="000836E4">
        <w:rPr>
          <w:rFonts w:ascii="Times New Roman" w:hAnsi="Times New Roman"/>
          <w:sz w:val="28"/>
          <w:szCs w:val="28"/>
        </w:rPr>
        <w:t>Entrance</w:t>
      </w:r>
      <w:proofErr w:type="spellEnd"/>
      <w:r>
        <w:rPr>
          <w:rFonts w:ascii="Times New Roman" w:hAnsi="Times New Roman"/>
          <w:sz w:val="28"/>
          <w:szCs w:val="28"/>
        </w:rPr>
        <w:t>», построенную вокруг новой инициативы «</w:t>
      </w:r>
      <w:proofErr w:type="spellStart"/>
      <w:r w:rsidRPr="00196994">
        <w:rPr>
          <w:rFonts w:ascii="Times New Roman" w:hAnsi="Times New Roman"/>
          <w:sz w:val="28"/>
          <w:szCs w:val="28"/>
        </w:rPr>
        <w:t>Open</w:t>
      </w:r>
      <w:proofErr w:type="spellEnd"/>
      <w:r w:rsidRPr="00196994">
        <w:rPr>
          <w:rFonts w:ascii="Times New Roman" w:hAnsi="Times New Roman"/>
          <w:sz w:val="28"/>
          <w:szCs w:val="28"/>
        </w:rPr>
        <w:t xml:space="preserve"> </w:t>
      </w:r>
      <w:proofErr w:type="spellStart"/>
      <w:r w:rsidRPr="00196994">
        <w:rPr>
          <w:rFonts w:ascii="Times New Roman" w:hAnsi="Times New Roman"/>
          <w:sz w:val="28"/>
          <w:szCs w:val="28"/>
        </w:rPr>
        <w:t>your</w:t>
      </w:r>
      <w:proofErr w:type="spellEnd"/>
      <w:r w:rsidRPr="00196994">
        <w:rPr>
          <w:rFonts w:ascii="Times New Roman" w:hAnsi="Times New Roman"/>
          <w:sz w:val="28"/>
          <w:szCs w:val="28"/>
        </w:rPr>
        <w:t xml:space="preserve"> </w:t>
      </w:r>
      <w:proofErr w:type="spellStart"/>
      <w:r w:rsidRPr="00196994">
        <w:rPr>
          <w:rFonts w:ascii="Times New Roman" w:hAnsi="Times New Roman"/>
          <w:sz w:val="28"/>
          <w:szCs w:val="28"/>
        </w:rPr>
        <w:t>world</w:t>
      </w:r>
      <w:proofErr w:type="spellEnd"/>
      <w:r>
        <w:rPr>
          <w:rFonts w:ascii="Times New Roman" w:hAnsi="Times New Roman"/>
          <w:sz w:val="28"/>
          <w:szCs w:val="28"/>
        </w:rPr>
        <w:t xml:space="preserve">», направленной на поддержку бренда </w:t>
      </w:r>
      <w:r>
        <w:rPr>
          <w:rFonts w:ascii="Times New Roman" w:hAnsi="Times New Roman"/>
          <w:sz w:val="28"/>
          <w:szCs w:val="28"/>
          <w:lang w:val="en-US"/>
        </w:rPr>
        <w:t>Heineken</w:t>
      </w:r>
      <w:r w:rsidRPr="00196994">
        <w:rPr>
          <w:rFonts w:ascii="Times New Roman" w:hAnsi="Times New Roman"/>
          <w:sz w:val="28"/>
          <w:szCs w:val="28"/>
        </w:rPr>
        <w:t xml:space="preserve"> </w:t>
      </w:r>
      <w:r>
        <w:rPr>
          <w:rFonts w:ascii="Times New Roman" w:hAnsi="Times New Roman"/>
          <w:sz w:val="28"/>
          <w:szCs w:val="28"/>
        </w:rPr>
        <w:t xml:space="preserve">по всему миру. В числе мероприятий в рамках кампании, </w:t>
      </w:r>
      <w:r>
        <w:rPr>
          <w:rFonts w:ascii="Times New Roman" w:hAnsi="Times New Roman"/>
          <w:sz w:val="28"/>
          <w:szCs w:val="28"/>
          <w:lang w:val="en-US"/>
        </w:rPr>
        <w:t>Heineken</w:t>
      </w:r>
      <w:r w:rsidRPr="00196994">
        <w:rPr>
          <w:rFonts w:ascii="Times New Roman" w:hAnsi="Times New Roman"/>
          <w:sz w:val="28"/>
          <w:szCs w:val="28"/>
        </w:rPr>
        <w:t xml:space="preserve"> </w:t>
      </w:r>
      <w:r>
        <w:rPr>
          <w:rFonts w:ascii="Times New Roman" w:hAnsi="Times New Roman"/>
          <w:sz w:val="28"/>
          <w:szCs w:val="28"/>
          <w:lang w:val="en-US"/>
        </w:rPr>
        <w:t>N</w:t>
      </w:r>
      <w:r w:rsidRPr="00196994">
        <w:rPr>
          <w:rFonts w:ascii="Times New Roman" w:hAnsi="Times New Roman"/>
          <w:sz w:val="28"/>
          <w:szCs w:val="28"/>
        </w:rPr>
        <w:t>.</w:t>
      </w:r>
      <w:r>
        <w:rPr>
          <w:rFonts w:ascii="Times New Roman" w:hAnsi="Times New Roman"/>
          <w:sz w:val="28"/>
          <w:szCs w:val="28"/>
          <w:lang w:val="en-US"/>
        </w:rPr>
        <w:t>V</w:t>
      </w:r>
      <w:r w:rsidRPr="00196994">
        <w:rPr>
          <w:rFonts w:ascii="Times New Roman" w:hAnsi="Times New Roman"/>
          <w:sz w:val="28"/>
          <w:szCs w:val="28"/>
        </w:rPr>
        <w:t xml:space="preserve">. </w:t>
      </w:r>
      <w:r>
        <w:rPr>
          <w:rFonts w:ascii="Times New Roman" w:hAnsi="Times New Roman"/>
          <w:sz w:val="28"/>
          <w:szCs w:val="28"/>
        </w:rPr>
        <w:t xml:space="preserve">являлась официальным спонсором Олимпийских игр 2012 в Лондоне. Бренд компании </w:t>
      </w:r>
      <w:r>
        <w:rPr>
          <w:rFonts w:ascii="Times New Roman" w:hAnsi="Times New Roman"/>
          <w:sz w:val="28"/>
          <w:szCs w:val="28"/>
          <w:lang w:val="en-US"/>
        </w:rPr>
        <w:t>Desperados</w:t>
      </w:r>
      <w:r w:rsidRPr="001C723C">
        <w:rPr>
          <w:rFonts w:ascii="Times New Roman" w:hAnsi="Times New Roman"/>
          <w:sz w:val="28"/>
          <w:szCs w:val="28"/>
        </w:rPr>
        <w:t xml:space="preserve"> </w:t>
      </w:r>
      <w:r>
        <w:rPr>
          <w:rFonts w:ascii="Times New Roman" w:hAnsi="Times New Roman"/>
          <w:sz w:val="28"/>
          <w:szCs w:val="28"/>
        </w:rPr>
        <w:t xml:space="preserve">продемонстрировал высокий рост продаж в прошедшие годы, и вследствие этого, компания приняла решение о внедрении бренда на 10 новых рынках. </w:t>
      </w:r>
    </w:p>
    <w:p w:rsidR="000872B3" w:rsidRDefault="000872B3" w:rsidP="000872B3">
      <w:pPr>
        <w:spacing w:line="360" w:lineRule="auto"/>
        <w:ind w:firstLine="709"/>
        <w:jc w:val="both"/>
        <w:rPr>
          <w:rFonts w:ascii="Times New Roman" w:hAnsi="Times New Roman"/>
          <w:sz w:val="28"/>
          <w:szCs w:val="28"/>
        </w:rPr>
      </w:pPr>
      <w:r>
        <w:rPr>
          <w:rFonts w:ascii="Times New Roman" w:hAnsi="Times New Roman"/>
          <w:sz w:val="28"/>
          <w:szCs w:val="28"/>
        </w:rPr>
        <w:t xml:space="preserve">Кроме этого, компания активно продвигает свой основной бренд сидра, </w:t>
      </w:r>
      <w:r w:rsidRPr="0089041B">
        <w:rPr>
          <w:rFonts w:ascii="Times New Roman" w:hAnsi="Times New Roman"/>
          <w:b/>
          <w:sz w:val="28"/>
          <w:szCs w:val="28"/>
          <w:lang w:val="en-US"/>
        </w:rPr>
        <w:t>Strongbow</w:t>
      </w:r>
      <w:r w:rsidRPr="000258F3">
        <w:rPr>
          <w:rFonts w:ascii="Times New Roman" w:hAnsi="Times New Roman"/>
          <w:sz w:val="28"/>
          <w:szCs w:val="28"/>
        </w:rPr>
        <w:t xml:space="preserve">, </w:t>
      </w:r>
      <w:r>
        <w:rPr>
          <w:rFonts w:ascii="Times New Roman" w:hAnsi="Times New Roman"/>
          <w:sz w:val="28"/>
          <w:szCs w:val="28"/>
        </w:rPr>
        <w:t>и намерена осуществлять долгосрочные инвестиции с целью развития данной категории. Несмотря на то, что доля категории сидр в общем объеме продаж составила всего лишь 1% в 2011 г., а продажи сконцентрированы на небольшом количестве рынков, данная ниша оказалась более устойчивой к последствиям мирового финансового кризиса, чем категория пива в целом. Среднегодовой рост в период с 2012 по 2016 гг. ожидается на уровне 5%</w:t>
      </w:r>
      <w:r>
        <w:rPr>
          <w:rStyle w:val="a5"/>
          <w:rFonts w:ascii="Times New Roman" w:hAnsi="Times New Roman"/>
          <w:sz w:val="28"/>
          <w:szCs w:val="28"/>
        </w:rPr>
        <w:footnoteReference w:id="23"/>
      </w:r>
      <w:r>
        <w:rPr>
          <w:rFonts w:ascii="Times New Roman" w:hAnsi="Times New Roman"/>
          <w:sz w:val="28"/>
          <w:szCs w:val="28"/>
        </w:rPr>
        <w:t xml:space="preserve">. После приобретения компании </w:t>
      </w:r>
      <w:r>
        <w:rPr>
          <w:rFonts w:ascii="Times New Roman" w:hAnsi="Times New Roman"/>
          <w:sz w:val="28"/>
          <w:szCs w:val="28"/>
          <w:lang w:val="en-US"/>
        </w:rPr>
        <w:t>Scottish</w:t>
      </w:r>
      <w:r w:rsidRPr="00083A56">
        <w:rPr>
          <w:rFonts w:ascii="Times New Roman" w:hAnsi="Times New Roman"/>
          <w:sz w:val="28"/>
          <w:szCs w:val="28"/>
        </w:rPr>
        <w:t xml:space="preserve"> &amp; </w:t>
      </w:r>
      <w:r>
        <w:rPr>
          <w:rFonts w:ascii="Times New Roman" w:hAnsi="Times New Roman"/>
          <w:sz w:val="28"/>
          <w:szCs w:val="28"/>
          <w:lang w:val="en-US"/>
        </w:rPr>
        <w:t>Newcastle</w:t>
      </w:r>
      <w:r w:rsidRPr="00083A56">
        <w:rPr>
          <w:rFonts w:ascii="Times New Roman" w:hAnsi="Times New Roman"/>
          <w:sz w:val="28"/>
          <w:szCs w:val="28"/>
        </w:rPr>
        <w:t xml:space="preserve"> </w:t>
      </w:r>
      <w:r>
        <w:rPr>
          <w:rFonts w:ascii="Times New Roman" w:hAnsi="Times New Roman"/>
          <w:sz w:val="28"/>
          <w:szCs w:val="28"/>
          <w:lang w:val="en-US"/>
        </w:rPr>
        <w:t>Heineken</w:t>
      </w:r>
      <w:r w:rsidRPr="00083A56">
        <w:rPr>
          <w:rFonts w:ascii="Times New Roman" w:hAnsi="Times New Roman"/>
          <w:sz w:val="28"/>
          <w:szCs w:val="28"/>
        </w:rPr>
        <w:t xml:space="preserve"> </w:t>
      </w:r>
      <w:r>
        <w:rPr>
          <w:rFonts w:ascii="Times New Roman" w:hAnsi="Times New Roman"/>
          <w:sz w:val="28"/>
          <w:szCs w:val="28"/>
          <w:lang w:val="en-US"/>
        </w:rPr>
        <w:t>N</w:t>
      </w:r>
      <w:r w:rsidRPr="00083A56">
        <w:rPr>
          <w:rFonts w:ascii="Times New Roman" w:hAnsi="Times New Roman"/>
          <w:sz w:val="28"/>
          <w:szCs w:val="28"/>
        </w:rPr>
        <w:t>.</w:t>
      </w:r>
      <w:r>
        <w:rPr>
          <w:rFonts w:ascii="Times New Roman" w:hAnsi="Times New Roman"/>
          <w:sz w:val="28"/>
          <w:szCs w:val="28"/>
          <w:lang w:val="en-US"/>
        </w:rPr>
        <w:t>V</w:t>
      </w:r>
      <w:r w:rsidRPr="00083A56">
        <w:rPr>
          <w:rFonts w:ascii="Times New Roman" w:hAnsi="Times New Roman"/>
          <w:sz w:val="28"/>
          <w:szCs w:val="28"/>
        </w:rPr>
        <w:t>.</w:t>
      </w:r>
      <w:r>
        <w:rPr>
          <w:rFonts w:ascii="Times New Roman" w:hAnsi="Times New Roman"/>
          <w:sz w:val="28"/>
          <w:szCs w:val="28"/>
        </w:rPr>
        <w:t xml:space="preserve"> стала лидером по производству и сбыту яблочного и грушевого сидра</w:t>
      </w:r>
      <w:r w:rsidRPr="00083A56">
        <w:rPr>
          <w:rFonts w:ascii="Times New Roman" w:hAnsi="Times New Roman"/>
          <w:sz w:val="28"/>
          <w:szCs w:val="28"/>
        </w:rPr>
        <w:t xml:space="preserve"> </w:t>
      </w:r>
      <w:r>
        <w:rPr>
          <w:rFonts w:ascii="Times New Roman" w:hAnsi="Times New Roman"/>
          <w:sz w:val="28"/>
          <w:szCs w:val="28"/>
        </w:rPr>
        <w:t xml:space="preserve">и закрепила свои позиции на рынке Великобритании (30% от объема продаж 2011 г.). Рынок Великобритании является крупнейшим мировым рынком по потреблению сидра, доля которого составляет 51% от общемирового объема. </w:t>
      </w:r>
    </w:p>
    <w:p w:rsidR="000872B3" w:rsidRDefault="000872B3" w:rsidP="000872B3">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Основными конкурентами компании в данной категории являются </w:t>
      </w:r>
      <w:r w:rsidRPr="0089041B">
        <w:rPr>
          <w:rFonts w:ascii="Times New Roman" w:hAnsi="Times New Roman"/>
          <w:sz w:val="28"/>
          <w:szCs w:val="28"/>
        </w:rPr>
        <w:t xml:space="preserve">C&amp;C </w:t>
      </w:r>
      <w:proofErr w:type="spellStart"/>
      <w:r w:rsidRPr="0089041B">
        <w:rPr>
          <w:rFonts w:ascii="Times New Roman" w:hAnsi="Times New Roman"/>
          <w:sz w:val="28"/>
          <w:szCs w:val="28"/>
        </w:rPr>
        <w:t>Group</w:t>
      </w:r>
      <w:proofErr w:type="spellEnd"/>
      <w:r w:rsidRPr="0089041B">
        <w:rPr>
          <w:rFonts w:ascii="Times New Roman" w:hAnsi="Times New Roman"/>
          <w:sz w:val="28"/>
          <w:szCs w:val="28"/>
        </w:rPr>
        <w:t xml:space="preserve"> </w:t>
      </w:r>
      <w:r>
        <w:rPr>
          <w:rFonts w:ascii="Times New Roman" w:hAnsi="Times New Roman"/>
          <w:sz w:val="28"/>
          <w:szCs w:val="28"/>
        </w:rPr>
        <w:t>и</w:t>
      </w:r>
      <w:r w:rsidRPr="0089041B">
        <w:rPr>
          <w:rFonts w:ascii="Times New Roman" w:hAnsi="Times New Roman"/>
          <w:sz w:val="28"/>
          <w:szCs w:val="28"/>
        </w:rPr>
        <w:t xml:space="preserve"> </w:t>
      </w:r>
      <w:proofErr w:type="spellStart"/>
      <w:r w:rsidRPr="0089041B">
        <w:rPr>
          <w:rFonts w:ascii="Times New Roman" w:hAnsi="Times New Roman"/>
          <w:sz w:val="28"/>
          <w:szCs w:val="28"/>
        </w:rPr>
        <w:t>Distell</w:t>
      </w:r>
      <w:proofErr w:type="spellEnd"/>
      <w:r w:rsidRPr="0089041B">
        <w:rPr>
          <w:rFonts w:ascii="Times New Roman" w:hAnsi="Times New Roman"/>
          <w:sz w:val="28"/>
          <w:szCs w:val="28"/>
        </w:rPr>
        <w:t xml:space="preserve"> </w:t>
      </w:r>
      <w:proofErr w:type="spellStart"/>
      <w:r w:rsidRPr="0089041B">
        <w:rPr>
          <w:rFonts w:ascii="Times New Roman" w:hAnsi="Times New Roman"/>
          <w:sz w:val="28"/>
          <w:szCs w:val="28"/>
        </w:rPr>
        <w:t>Group</w:t>
      </w:r>
      <w:proofErr w:type="spellEnd"/>
      <w:r>
        <w:rPr>
          <w:rFonts w:ascii="Times New Roman" w:hAnsi="Times New Roman"/>
          <w:sz w:val="28"/>
          <w:szCs w:val="28"/>
        </w:rPr>
        <w:t xml:space="preserve">, однако также </w:t>
      </w:r>
      <w:r>
        <w:rPr>
          <w:rFonts w:ascii="Times New Roman" w:hAnsi="Times New Roman"/>
          <w:sz w:val="28"/>
          <w:szCs w:val="28"/>
          <w:lang w:val="en-US"/>
        </w:rPr>
        <w:t>Heineken</w:t>
      </w:r>
      <w:r w:rsidRPr="0089041B">
        <w:rPr>
          <w:rFonts w:ascii="Times New Roman" w:hAnsi="Times New Roman"/>
          <w:sz w:val="28"/>
          <w:szCs w:val="28"/>
        </w:rPr>
        <w:t xml:space="preserve"> </w:t>
      </w:r>
      <w:r>
        <w:rPr>
          <w:rFonts w:ascii="Times New Roman" w:hAnsi="Times New Roman"/>
          <w:sz w:val="28"/>
          <w:szCs w:val="28"/>
          <w:lang w:val="en-US"/>
        </w:rPr>
        <w:t>N</w:t>
      </w:r>
      <w:r w:rsidRPr="0089041B">
        <w:rPr>
          <w:rFonts w:ascii="Times New Roman" w:hAnsi="Times New Roman"/>
          <w:sz w:val="28"/>
          <w:szCs w:val="28"/>
        </w:rPr>
        <w:t>.</w:t>
      </w:r>
      <w:r>
        <w:rPr>
          <w:rFonts w:ascii="Times New Roman" w:hAnsi="Times New Roman"/>
          <w:sz w:val="28"/>
          <w:szCs w:val="28"/>
          <w:lang w:val="en-US"/>
        </w:rPr>
        <w:t>V</w:t>
      </w:r>
      <w:r w:rsidRPr="0089041B">
        <w:rPr>
          <w:rFonts w:ascii="Times New Roman" w:hAnsi="Times New Roman"/>
          <w:sz w:val="28"/>
          <w:szCs w:val="28"/>
        </w:rPr>
        <w:t xml:space="preserve">. </w:t>
      </w:r>
      <w:r>
        <w:rPr>
          <w:rFonts w:ascii="Times New Roman" w:hAnsi="Times New Roman"/>
          <w:sz w:val="28"/>
          <w:szCs w:val="28"/>
        </w:rPr>
        <w:t xml:space="preserve">конкурирует с множеством местных предприятий. Более того, конкуренция только усиливается: в 2011 г. лидер мирового производства пивоваренной промышленности </w:t>
      </w:r>
      <w:r>
        <w:rPr>
          <w:rFonts w:ascii="Times New Roman" w:hAnsi="Times New Roman"/>
          <w:sz w:val="28"/>
          <w:szCs w:val="28"/>
          <w:lang w:val="en-US"/>
        </w:rPr>
        <w:t>Anheuser</w:t>
      </w:r>
      <w:r w:rsidRPr="0089041B">
        <w:rPr>
          <w:rFonts w:ascii="Times New Roman" w:hAnsi="Times New Roman"/>
          <w:sz w:val="28"/>
          <w:szCs w:val="28"/>
        </w:rPr>
        <w:t xml:space="preserve"> </w:t>
      </w:r>
      <w:r>
        <w:rPr>
          <w:rFonts w:ascii="Times New Roman" w:hAnsi="Times New Roman"/>
          <w:sz w:val="28"/>
          <w:szCs w:val="28"/>
          <w:lang w:val="en-US"/>
        </w:rPr>
        <w:t>Busch</w:t>
      </w:r>
      <w:r w:rsidRPr="0089041B">
        <w:rPr>
          <w:rFonts w:ascii="Times New Roman" w:hAnsi="Times New Roman"/>
          <w:sz w:val="28"/>
          <w:szCs w:val="28"/>
        </w:rPr>
        <w:t xml:space="preserve"> </w:t>
      </w:r>
      <w:r>
        <w:rPr>
          <w:rFonts w:ascii="Times New Roman" w:hAnsi="Times New Roman"/>
          <w:sz w:val="28"/>
          <w:szCs w:val="28"/>
          <w:lang w:val="en-US"/>
        </w:rPr>
        <w:t>In</w:t>
      </w:r>
      <w:r w:rsidR="00D16939">
        <w:rPr>
          <w:rFonts w:ascii="Times New Roman" w:hAnsi="Times New Roman"/>
          <w:sz w:val="28"/>
          <w:szCs w:val="28"/>
        </w:rPr>
        <w:t>-</w:t>
      </w:r>
      <w:r>
        <w:rPr>
          <w:rFonts w:ascii="Times New Roman" w:hAnsi="Times New Roman"/>
          <w:sz w:val="28"/>
          <w:szCs w:val="28"/>
          <w:lang w:val="en-US"/>
        </w:rPr>
        <w:t>Bev</w:t>
      </w:r>
      <w:r w:rsidRPr="0089041B">
        <w:rPr>
          <w:rFonts w:ascii="Times New Roman" w:hAnsi="Times New Roman"/>
          <w:sz w:val="28"/>
          <w:szCs w:val="28"/>
        </w:rPr>
        <w:t xml:space="preserve"> </w:t>
      </w:r>
      <w:r>
        <w:rPr>
          <w:rFonts w:ascii="Times New Roman" w:hAnsi="Times New Roman"/>
          <w:sz w:val="28"/>
          <w:szCs w:val="28"/>
        </w:rPr>
        <w:t xml:space="preserve">запустил производство и сбыт сидра под своей торговой маркой </w:t>
      </w:r>
      <w:r>
        <w:rPr>
          <w:rFonts w:ascii="Times New Roman" w:hAnsi="Times New Roman"/>
          <w:sz w:val="28"/>
          <w:szCs w:val="28"/>
          <w:lang w:val="en-US"/>
        </w:rPr>
        <w:t>Stella</w:t>
      </w:r>
      <w:r w:rsidRPr="0089041B">
        <w:rPr>
          <w:rFonts w:ascii="Times New Roman" w:hAnsi="Times New Roman"/>
          <w:sz w:val="28"/>
          <w:szCs w:val="28"/>
        </w:rPr>
        <w:t xml:space="preserve"> </w:t>
      </w:r>
      <w:r>
        <w:rPr>
          <w:rFonts w:ascii="Times New Roman" w:hAnsi="Times New Roman"/>
          <w:sz w:val="28"/>
          <w:szCs w:val="28"/>
          <w:lang w:val="en-US"/>
        </w:rPr>
        <w:t>Artois</w:t>
      </w:r>
      <w:r w:rsidRPr="0089041B">
        <w:rPr>
          <w:rFonts w:ascii="Times New Roman" w:hAnsi="Times New Roman"/>
          <w:sz w:val="28"/>
          <w:szCs w:val="28"/>
        </w:rPr>
        <w:t xml:space="preserve"> </w:t>
      </w:r>
      <w:r>
        <w:rPr>
          <w:rFonts w:ascii="Times New Roman" w:hAnsi="Times New Roman"/>
          <w:sz w:val="28"/>
          <w:szCs w:val="28"/>
        </w:rPr>
        <w:t xml:space="preserve">в Великобритании с целью получения 3% рынка. </w:t>
      </w:r>
    </w:p>
    <w:p w:rsidR="00BE0219" w:rsidRPr="00BE0219" w:rsidRDefault="000872B3" w:rsidP="00BE0219">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одной из стратегических целей компании </w:t>
      </w:r>
      <w:r>
        <w:rPr>
          <w:rFonts w:ascii="Times New Roman" w:hAnsi="Times New Roman"/>
          <w:sz w:val="28"/>
          <w:szCs w:val="28"/>
          <w:lang w:val="en-US"/>
        </w:rPr>
        <w:t>Heineken</w:t>
      </w:r>
      <w:r w:rsidRPr="0089041B">
        <w:rPr>
          <w:rFonts w:ascii="Times New Roman" w:hAnsi="Times New Roman"/>
          <w:sz w:val="28"/>
          <w:szCs w:val="28"/>
        </w:rPr>
        <w:t xml:space="preserve"> </w:t>
      </w:r>
      <w:r>
        <w:rPr>
          <w:rFonts w:ascii="Times New Roman" w:hAnsi="Times New Roman"/>
          <w:sz w:val="28"/>
          <w:szCs w:val="28"/>
          <w:lang w:val="en-US"/>
        </w:rPr>
        <w:t>N</w:t>
      </w:r>
      <w:r w:rsidRPr="0089041B">
        <w:rPr>
          <w:rFonts w:ascii="Times New Roman" w:hAnsi="Times New Roman"/>
          <w:sz w:val="28"/>
          <w:szCs w:val="28"/>
        </w:rPr>
        <w:t>.</w:t>
      </w:r>
      <w:r>
        <w:rPr>
          <w:rFonts w:ascii="Times New Roman" w:hAnsi="Times New Roman"/>
          <w:sz w:val="28"/>
          <w:szCs w:val="28"/>
          <w:lang w:val="en-US"/>
        </w:rPr>
        <w:t>V</w:t>
      </w:r>
      <w:r w:rsidRPr="0089041B">
        <w:rPr>
          <w:rFonts w:ascii="Times New Roman" w:hAnsi="Times New Roman"/>
          <w:sz w:val="28"/>
          <w:szCs w:val="28"/>
        </w:rPr>
        <w:t xml:space="preserve">. </w:t>
      </w:r>
      <w:r>
        <w:rPr>
          <w:rFonts w:ascii="Times New Roman" w:hAnsi="Times New Roman"/>
          <w:sz w:val="28"/>
          <w:szCs w:val="28"/>
        </w:rPr>
        <w:t xml:space="preserve">является поиск альтернативных рынков сбыта в категории сидр. </w:t>
      </w:r>
      <w:proofErr w:type="gramStart"/>
      <w:r>
        <w:rPr>
          <w:rFonts w:ascii="Times New Roman" w:hAnsi="Times New Roman"/>
          <w:sz w:val="28"/>
          <w:szCs w:val="28"/>
        </w:rPr>
        <w:t xml:space="preserve">В 2009 г. компания запустила продажи брендов </w:t>
      </w:r>
      <w:proofErr w:type="spellStart"/>
      <w:r>
        <w:rPr>
          <w:rFonts w:ascii="Times New Roman" w:hAnsi="Times New Roman"/>
          <w:sz w:val="28"/>
          <w:szCs w:val="28"/>
          <w:lang w:val="en-US"/>
        </w:rPr>
        <w:t>Jillz</w:t>
      </w:r>
      <w:proofErr w:type="spellEnd"/>
      <w:r w:rsidRPr="00DC0E32">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lang w:val="en-US"/>
        </w:rPr>
        <w:t>Strongbow</w:t>
      </w:r>
      <w:proofErr w:type="spellEnd"/>
      <w:r w:rsidRPr="00DC0E32">
        <w:rPr>
          <w:rFonts w:ascii="Times New Roman" w:hAnsi="Times New Roman"/>
          <w:sz w:val="28"/>
          <w:szCs w:val="28"/>
        </w:rPr>
        <w:t xml:space="preserve"> </w:t>
      </w:r>
      <w:r>
        <w:rPr>
          <w:rFonts w:ascii="Times New Roman" w:hAnsi="Times New Roman"/>
          <w:sz w:val="28"/>
          <w:szCs w:val="28"/>
          <w:lang w:val="en-US"/>
        </w:rPr>
        <w:t>Gold</w:t>
      </w:r>
      <w:r w:rsidRPr="00DC0E32">
        <w:rPr>
          <w:rFonts w:ascii="Times New Roman" w:hAnsi="Times New Roman"/>
          <w:sz w:val="28"/>
          <w:szCs w:val="28"/>
        </w:rPr>
        <w:t xml:space="preserve"> </w:t>
      </w:r>
      <w:r>
        <w:rPr>
          <w:rFonts w:ascii="Times New Roman" w:hAnsi="Times New Roman"/>
          <w:sz w:val="28"/>
          <w:szCs w:val="28"/>
        </w:rPr>
        <w:t xml:space="preserve">на домашнем рынке в Нидерландах, в результате, объем продаж увеличился в 2 раза к 2011 г. В конце 2009 г. </w:t>
      </w:r>
      <w:r>
        <w:rPr>
          <w:rFonts w:ascii="Times New Roman" w:hAnsi="Times New Roman"/>
          <w:sz w:val="28"/>
          <w:szCs w:val="28"/>
          <w:lang w:val="en-US"/>
        </w:rPr>
        <w:t>Heineken</w:t>
      </w:r>
      <w:r w:rsidRPr="00DC0E32">
        <w:rPr>
          <w:rFonts w:ascii="Times New Roman" w:hAnsi="Times New Roman"/>
          <w:sz w:val="28"/>
          <w:szCs w:val="28"/>
        </w:rPr>
        <w:t xml:space="preserve"> </w:t>
      </w:r>
      <w:r>
        <w:rPr>
          <w:rFonts w:ascii="Times New Roman" w:hAnsi="Times New Roman"/>
          <w:sz w:val="28"/>
          <w:szCs w:val="28"/>
          <w:lang w:val="en-US"/>
        </w:rPr>
        <w:t>N</w:t>
      </w:r>
      <w:r w:rsidRPr="00DC0E32">
        <w:rPr>
          <w:rFonts w:ascii="Times New Roman" w:hAnsi="Times New Roman"/>
          <w:sz w:val="28"/>
          <w:szCs w:val="28"/>
        </w:rPr>
        <w:t>.</w:t>
      </w:r>
      <w:r>
        <w:rPr>
          <w:rFonts w:ascii="Times New Roman" w:hAnsi="Times New Roman"/>
          <w:sz w:val="28"/>
          <w:szCs w:val="28"/>
          <w:lang w:val="en-US"/>
        </w:rPr>
        <w:t>V</w:t>
      </w:r>
      <w:r w:rsidRPr="00DC0E32">
        <w:rPr>
          <w:rFonts w:ascii="Times New Roman" w:hAnsi="Times New Roman"/>
          <w:sz w:val="28"/>
          <w:szCs w:val="28"/>
        </w:rPr>
        <w:t xml:space="preserve">. </w:t>
      </w:r>
      <w:r>
        <w:rPr>
          <w:rFonts w:ascii="Times New Roman" w:hAnsi="Times New Roman"/>
          <w:sz w:val="28"/>
          <w:szCs w:val="28"/>
        </w:rPr>
        <w:t>также закрепи</w:t>
      </w:r>
      <w:r w:rsidR="00D16939">
        <w:rPr>
          <w:rFonts w:ascii="Times New Roman" w:hAnsi="Times New Roman"/>
          <w:sz w:val="28"/>
          <w:szCs w:val="28"/>
        </w:rPr>
        <w:t xml:space="preserve">ла свои позиции в Южной Африке – </w:t>
      </w:r>
      <w:r>
        <w:rPr>
          <w:rFonts w:ascii="Times New Roman" w:hAnsi="Times New Roman"/>
          <w:sz w:val="28"/>
          <w:szCs w:val="28"/>
        </w:rPr>
        <w:t xml:space="preserve">регионе, который является 2-ым по величине в рассматриваемой категории, а в 2011 г. запустила продажи бренда </w:t>
      </w:r>
      <w:r>
        <w:rPr>
          <w:rFonts w:ascii="Times New Roman" w:hAnsi="Times New Roman"/>
          <w:sz w:val="28"/>
          <w:szCs w:val="28"/>
          <w:lang w:val="en-US"/>
        </w:rPr>
        <w:t>Strongbow</w:t>
      </w:r>
      <w:r w:rsidRPr="00C61B32">
        <w:rPr>
          <w:rFonts w:ascii="Times New Roman" w:hAnsi="Times New Roman"/>
          <w:sz w:val="28"/>
          <w:szCs w:val="28"/>
        </w:rPr>
        <w:t xml:space="preserve"> </w:t>
      </w:r>
      <w:r>
        <w:rPr>
          <w:rFonts w:ascii="Times New Roman" w:hAnsi="Times New Roman"/>
          <w:sz w:val="28"/>
          <w:szCs w:val="28"/>
          <w:lang w:val="en-US"/>
        </w:rPr>
        <w:t>Gold</w:t>
      </w:r>
      <w:r w:rsidRPr="00C61B32">
        <w:rPr>
          <w:rFonts w:ascii="Times New Roman" w:hAnsi="Times New Roman"/>
          <w:sz w:val="28"/>
          <w:szCs w:val="28"/>
        </w:rPr>
        <w:t xml:space="preserve"> </w:t>
      </w:r>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рынке</w:t>
      </w:r>
      <w:proofErr w:type="gramEnd"/>
      <w:r>
        <w:rPr>
          <w:rFonts w:ascii="Times New Roman" w:hAnsi="Times New Roman"/>
          <w:sz w:val="28"/>
          <w:szCs w:val="28"/>
        </w:rPr>
        <w:t xml:space="preserve"> Италии, тем самым продолжив свою экспансию. Австралийский рынок является наиболее привлекательным с точки зрения среднегодового роста в период с 2012 по 2016 гг., который ожидается на уровне 21%. Помимо этого, рынок США также является хорошей перспективой в силу возросшей популярности сидра, а среднегодовой темп роста составит 11%</w:t>
      </w:r>
      <w:r>
        <w:rPr>
          <w:rStyle w:val="a5"/>
          <w:rFonts w:ascii="Times New Roman" w:hAnsi="Times New Roman"/>
          <w:sz w:val="28"/>
          <w:szCs w:val="28"/>
        </w:rPr>
        <w:footnoteReference w:id="24"/>
      </w:r>
      <w:r>
        <w:rPr>
          <w:rFonts w:ascii="Times New Roman" w:hAnsi="Times New Roman"/>
          <w:sz w:val="28"/>
          <w:szCs w:val="28"/>
        </w:rPr>
        <w:t xml:space="preserve">. </w:t>
      </w:r>
    </w:p>
    <w:p w:rsidR="00854993" w:rsidRPr="00F86AE5" w:rsidRDefault="00F86AE5" w:rsidP="00F86AE5">
      <w:pPr>
        <w:pStyle w:val="2"/>
        <w:spacing w:line="720" w:lineRule="auto"/>
        <w:jc w:val="center"/>
        <w:rPr>
          <w:rFonts w:ascii="Times New Roman" w:hAnsi="Times New Roman" w:cs="Times New Roman"/>
          <w:color w:val="auto"/>
          <w:sz w:val="28"/>
          <w:szCs w:val="28"/>
        </w:rPr>
      </w:pPr>
      <w:bookmarkStart w:id="30" w:name="_Toc356252012"/>
      <w:r w:rsidRPr="00F86AE5">
        <w:rPr>
          <w:rFonts w:ascii="Times New Roman" w:hAnsi="Times New Roman" w:cs="Times New Roman"/>
          <w:color w:val="auto"/>
          <w:sz w:val="28"/>
          <w:szCs w:val="28"/>
        </w:rPr>
        <w:t xml:space="preserve">2.3.5 </w:t>
      </w:r>
      <w:r w:rsidR="000872B3" w:rsidRPr="00F86AE5">
        <w:rPr>
          <w:rFonts w:ascii="Times New Roman" w:hAnsi="Times New Roman" w:cs="Times New Roman"/>
          <w:color w:val="auto"/>
          <w:sz w:val="28"/>
          <w:szCs w:val="28"/>
        </w:rPr>
        <w:t>SWOT Анализ</w:t>
      </w:r>
      <w:bookmarkEnd w:id="30"/>
    </w:p>
    <w:p w:rsidR="00854993" w:rsidRDefault="000872B3" w:rsidP="00854993">
      <w:pPr>
        <w:spacing w:line="360" w:lineRule="auto"/>
        <w:jc w:val="both"/>
        <w:rPr>
          <w:rFonts w:ascii="Times New Roman" w:hAnsi="Times New Roman"/>
          <w:sz w:val="28"/>
          <w:szCs w:val="28"/>
          <w:u w:val="single"/>
        </w:rPr>
      </w:pPr>
      <w:r w:rsidRPr="00A51704">
        <w:rPr>
          <w:rFonts w:ascii="Times New Roman" w:hAnsi="Times New Roman"/>
          <w:sz w:val="28"/>
          <w:szCs w:val="28"/>
          <w:u w:val="single"/>
        </w:rPr>
        <w:t>Сильные стороны:</w:t>
      </w:r>
    </w:p>
    <w:p w:rsidR="000872B3" w:rsidRPr="00854993" w:rsidRDefault="000872B3" w:rsidP="00854993">
      <w:pPr>
        <w:pStyle w:val="a6"/>
        <w:numPr>
          <w:ilvl w:val="0"/>
          <w:numId w:val="19"/>
        </w:numPr>
        <w:spacing w:line="360" w:lineRule="auto"/>
        <w:jc w:val="both"/>
        <w:rPr>
          <w:rFonts w:ascii="Times New Roman" w:hAnsi="Times New Roman"/>
          <w:sz w:val="28"/>
          <w:szCs w:val="28"/>
        </w:rPr>
      </w:pPr>
      <w:r w:rsidRPr="00854993">
        <w:rPr>
          <w:rFonts w:ascii="Times New Roman" w:hAnsi="Times New Roman"/>
          <w:b/>
          <w:sz w:val="28"/>
          <w:szCs w:val="28"/>
        </w:rPr>
        <w:t>Широкий географический разброс</w:t>
      </w:r>
      <w:r w:rsidRPr="00854993">
        <w:rPr>
          <w:rFonts w:ascii="Times New Roman" w:hAnsi="Times New Roman"/>
          <w:sz w:val="28"/>
          <w:szCs w:val="28"/>
        </w:rPr>
        <w:t xml:space="preserve">. </w:t>
      </w:r>
      <w:r w:rsidRPr="00854993">
        <w:rPr>
          <w:rFonts w:ascii="Times New Roman" w:hAnsi="Times New Roman"/>
          <w:sz w:val="28"/>
          <w:szCs w:val="28"/>
          <w:lang w:val="en-US"/>
        </w:rPr>
        <w:t>Heineken</w:t>
      </w:r>
      <w:r w:rsidRPr="00854993">
        <w:rPr>
          <w:rFonts w:ascii="Times New Roman" w:hAnsi="Times New Roman"/>
          <w:sz w:val="28"/>
          <w:szCs w:val="28"/>
        </w:rPr>
        <w:t xml:space="preserve"> </w:t>
      </w:r>
      <w:r w:rsidRPr="00854993">
        <w:rPr>
          <w:rFonts w:ascii="Times New Roman" w:hAnsi="Times New Roman"/>
          <w:sz w:val="28"/>
          <w:szCs w:val="28"/>
          <w:lang w:val="en-US"/>
        </w:rPr>
        <w:t>N</w:t>
      </w:r>
      <w:r w:rsidRPr="00854993">
        <w:rPr>
          <w:rFonts w:ascii="Times New Roman" w:hAnsi="Times New Roman"/>
          <w:sz w:val="28"/>
          <w:szCs w:val="28"/>
        </w:rPr>
        <w:t>.</w:t>
      </w:r>
      <w:r w:rsidRPr="00854993">
        <w:rPr>
          <w:rFonts w:ascii="Times New Roman" w:hAnsi="Times New Roman"/>
          <w:sz w:val="28"/>
          <w:szCs w:val="28"/>
          <w:lang w:val="en-US"/>
        </w:rPr>
        <w:t>V</w:t>
      </w:r>
      <w:r w:rsidRPr="00854993">
        <w:rPr>
          <w:rFonts w:ascii="Times New Roman" w:hAnsi="Times New Roman"/>
          <w:sz w:val="28"/>
          <w:szCs w:val="28"/>
        </w:rPr>
        <w:t>. характеризуется широким присутствием на всех основных рынках пива (за исключением рынка Китая), что является хорошей основой для будущего роста продаж и увеличения стоимости компании.</w:t>
      </w:r>
    </w:p>
    <w:p w:rsidR="000872B3" w:rsidRDefault="000872B3" w:rsidP="000872B3">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b/>
          <w:sz w:val="28"/>
          <w:szCs w:val="28"/>
        </w:rPr>
        <w:t>Мощный</w:t>
      </w:r>
      <w:r w:rsidRPr="00F71242">
        <w:rPr>
          <w:rFonts w:ascii="Times New Roman" w:hAnsi="Times New Roman" w:cs="Times New Roman"/>
          <w:b/>
          <w:sz w:val="28"/>
          <w:szCs w:val="28"/>
        </w:rPr>
        <w:t xml:space="preserve"> продуктовый портфель</w:t>
      </w:r>
      <w:r>
        <w:rPr>
          <w:rFonts w:ascii="Times New Roman" w:hAnsi="Times New Roman" w:cs="Times New Roman"/>
          <w:sz w:val="28"/>
          <w:szCs w:val="28"/>
        </w:rPr>
        <w:t xml:space="preserve">. Компания владеет широким товарным ассортиментом с сильными местными и региональными брендами, а также флагманским брендом </w:t>
      </w:r>
      <w:r>
        <w:rPr>
          <w:rFonts w:ascii="Times New Roman" w:hAnsi="Times New Roman" w:cs="Times New Roman"/>
          <w:sz w:val="28"/>
          <w:szCs w:val="28"/>
          <w:lang w:val="en-US"/>
        </w:rPr>
        <w:t>Heineken</w:t>
      </w:r>
      <w:r>
        <w:rPr>
          <w:rFonts w:ascii="Times New Roman" w:hAnsi="Times New Roman" w:cs="Times New Roman"/>
          <w:sz w:val="28"/>
          <w:szCs w:val="28"/>
        </w:rPr>
        <w:t>, который признается во всем мире и является самым продаваемым лагером премиум класса.</w:t>
      </w:r>
    </w:p>
    <w:p w:rsidR="000872B3" w:rsidRPr="00A51704" w:rsidRDefault="000872B3" w:rsidP="000872B3">
      <w:pPr>
        <w:spacing w:line="360" w:lineRule="auto"/>
        <w:jc w:val="both"/>
        <w:rPr>
          <w:rFonts w:ascii="Times New Roman" w:hAnsi="Times New Roman"/>
          <w:sz w:val="28"/>
          <w:szCs w:val="28"/>
          <w:u w:val="single"/>
        </w:rPr>
      </w:pPr>
      <w:r w:rsidRPr="00A51704">
        <w:rPr>
          <w:rFonts w:ascii="Times New Roman" w:hAnsi="Times New Roman"/>
          <w:sz w:val="28"/>
          <w:szCs w:val="28"/>
          <w:u w:val="single"/>
        </w:rPr>
        <w:t>Слабые стороны:</w:t>
      </w:r>
    </w:p>
    <w:p w:rsidR="000872B3" w:rsidRDefault="000872B3" w:rsidP="000872B3">
      <w:pPr>
        <w:pStyle w:val="a6"/>
        <w:numPr>
          <w:ilvl w:val="0"/>
          <w:numId w:val="5"/>
        </w:numPr>
        <w:spacing w:line="360" w:lineRule="auto"/>
        <w:jc w:val="both"/>
        <w:rPr>
          <w:rFonts w:ascii="Times New Roman" w:hAnsi="Times New Roman" w:cs="Times New Roman"/>
          <w:sz w:val="28"/>
          <w:szCs w:val="28"/>
        </w:rPr>
      </w:pPr>
      <w:r w:rsidRPr="00FB6251">
        <w:rPr>
          <w:rFonts w:ascii="Times New Roman" w:hAnsi="Times New Roman" w:cs="Times New Roman"/>
          <w:b/>
          <w:sz w:val="28"/>
          <w:szCs w:val="28"/>
        </w:rPr>
        <w:t>Ограниченное присутствие в Китае</w:t>
      </w:r>
      <w:r w:rsidRPr="00FB6251">
        <w:rPr>
          <w:rFonts w:ascii="Times New Roman" w:hAnsi="Times New Roman" w:cs="Times New Roman"/>
          <w:sz w:val="28"/>
          <w:szCs w:val="28"/>
        </w:rPr>
        <w:t xml:space="preserve">. </w:t>
      </w:r>
      <w:r>
        <w:rPr>
          <w:rFonts w:ascii="Times New Roman" w:hAnsi="Times New Roman" w:cs="Times New Roman"/>
          <w:sz w:val="28"/>
          <w:szCs w:val="28"/>
        </w:rPr>
        <w:t xml:space="preserve">Компания функционирует в Азиатско-тихоокеанском регионе только за счет учрежденных совместных предприятий, что не позволяет ей стать лидером на крупнейшем рынке мира.  </w:t>
      </w:r>
    </w:p>
    <w:p w:rsidR="000872B3" w:rsidRDefault="000872B3" w:rsidP="000872B3">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b/>
          <w:sz w:val="28"/>
          <w:szCs w:val="28"/>
        </w:rPr>
        <w:t>Высокая задолженность компании</w:t>
      </w:r>
      <w:r w:rsidRPr="00FB6251">
        <w:rPr>
          <w:rFonts w:ascii="Times New Roman" w:hAnsi="Times New Roman" w:cs="Times New Roman"/>
          <w:sz w:val="28"/>
          <w:szCs w:val="28"/>
        </w:rPr>
        <w:t>.</w:t>
      </w:r>
      <w:r>
        <w:rPr>
          <w:rFonts w:ascii="Times New Roman" w:hAnsi="Times New Roman" w:cs="Times New Roman"/>
          <w:sz w:val="28"/>
          <w:szCs w:val="28"/>
        </w:rPr>
        <w:t xml:space="preserve"> Агрессивная стратегия слияний и поглощений привела к высокому коэффициенту долгосрочной задолженности. </w:t>
      </w:r>
    </w:p>
    <w:p w:rsidR="000872B3" w:rsidRPr="00A51704" w:rsidRDefault="000872B3" w:rsidP="000872B3">
      <w:pPr>
        <w:spacing w:line="360" w:lineRule="auto"/>
        <w:jc w:val="both"/>
        <w:rPr>
          <w:rFonts w:ascii="Times New Roman" w:hAnsi="Times New Roman"/>
          <w:sz w:val="28"/>
          <w:szCs w:val="28"/>
          <w:u w:val="single"/>
        </w:rPr>
      </w:pPr>
      <w:r w:rsidRPr="00A51704">
        <w:rPr>
          <w:rFonts w:ascii="Times New Roman" w:hAnsi="Times New Roman"/>
          <w:sz w:val="28"/>
          <w:szCs w:val="28"/>
          <w:u w:val="single"/>
        </w:rPr>
        <w:t>Возможности:</w:t>
      </w:r>
    </w:p>
    <w:p w:rsidR="000872B3" w:rsidRDefault="000872B3" w:rsidP="000872B3">
      <w:pPr>
        <w:pStyle w:val="a6"/>
        <w:numPr>
          <w:ilvl w:val="0"/>
          <w:numId w:val="6"/>
        </w:numPr>
        <w:spacing w:line="360" w:lineRule="auto"/>
        <w:jc w:val="both"/>
        <w:rPr>
          <w:rFonts w:ascii="Times New Roman" w:hAnsi="Times New Roman" w:cs="Times New Roman"/>
          <w:sz w:val="28"/>
          <w:szCs w:val="28"/>
        </w:rPr>
      </w:pPr>
      <w:r w:rsidRPr="00641751">
        <w:rPr>
          <w:rFonts w:ascii="Times New Roman" w:hAnsi="Times New Roman" w:cs="Times New Roman"/>
          <w:b/>
          <w:sz w:val="28"/>
          <w:szCs w:val="28"/>
        </w:rPr>
        <w:t>Динамичный рост развивающихся рынков</w:t>
      </w:r>
      <w:r>
        <w:rPr>
          <w:rFonts w:ascii="Times New Roman" w:hAnsi="Times New Roman" w:cs="Times New Roman"/>
          <w:sz w:val="28"/>
          <w:szCs w:val="28"/>
        </w:rPr>
        <w:t>. Укрепление позиций на рынках Латинской Америки и Ближнего Востока будет способствовать увеличению продаж с 2012 по 2016 гг. за счет высоких темпов роста рынков.</w:t>
      </w:r>
    </w:p>
    <w:p w:rsidR="000872B3" w:rsidRDefault="000872B3" w:rsidP="000872B3">
      <w:pPr>
        <w:pStyle w:val="a6"/>
        <w:numPr>
          <w:ilvl w:val="0"/>
          <w:numId w:val="6"/>
        </w:numPr>
        <w:spacing w:line="360" w:lineRule="auto"/>
        <w:jc w:val="both"/>
        <w:rPr>
          <w:rFonts w:ascii="Times New Roman" w:hAnsi="Times New Roman" w:cs="Times New Roman"/>
          <w:sz w:val="28"/>
          <w:szCs w:val="28"/>
        </w:rPr>
      </w:pPr>
      <w:r>
        <w:rPr>
          <w:rFonts w:ascii="Times New Roman" w:hAnsi="Times New Roman" w:cs="Times New Roman"/>
          <w:b/>
          <w:sz w:val="28"/>
          <w:szCs w:val="28"/>
        </w:rPr>
        <w:t>Премиализация развивающихся рынков</w:t>
      </w:r>
      <w:r w:rsidRPr="00D6721D">
        <w:rPr>
          <w:rFonts w:ascii="Times New Roman" w:hAnsi="Times New Roman" w:cs="Times New Roman"/>
          <w:sz w:val="28"/>
          <w:szCs w:val="28"/>
        </w:rPr>
        <w:t>.</w:t>
      </w:r>
      <w:r>
        <w:rPr>
          <w:rFonts w:ascii="Times New Roman" w:hAnsi="Times New Roman" w:cs="Times New Roman"/>
          <w:sz w:val="28"/>
          <w:szCs w:val="28"/>
        </w:rPr>
        <w:t xml:space="preserve"> Помимо роста продаж, на развивающихся наблюдается тренд премиализации, в связи с чем, у компании появляется возможность получать прибыль от высокодоходных – премиальных торговых марок.</w:t>
      </w:r>
    </w:p>
    <w:p w:rsidR="000872B3" w:rsidRPr="00B07E06" w:rsidRDefault="000872B3" w:rsidP="000872B3">
      <w:pPr>
        <w:spacing w:line="360" w:lineRule="auto"/>
        <w:jc w:val="both"/>
        <w:rPr>
          <w:rFonts w:ascii="Times New Roman" w:hAnsi="Times New Roman"/>
          <w:sz w:val="28"/>
          <w:szCs w:val="28"/>
          <w:u w:val="single"/>
        </w:rPr>
      </w:pPr>
      <w:r w:rsidRPr="00B07E06">
        <w:rPr>
          <w:rFonts w:ascii="Times New Roman" w:hAnsi="Times New Roman"/>
          <w:sz w:val="28"/>
          <w:szCs w:val="28"/>
          <w:u w:val="single"/>
        </w:rPr>
        <w:t>Угрозы:</w:t>
      </w:r>
    </w:p>
    <w:p w:rsidR="000872B3" w:rsidRDefault="000872B3" w:rsidP="000872B3">
      <w:pPr>
        <w:pStyle w:val="a6"/>
        <w:numPr>
          <w:ilvl w:val="0"/>
          <w:numId w:val="7"/>
        </w:numPr>
        <w:spacing w:line="360" w:lineRule="auto"/>
        <w:jc w:val="both"/>
        <w:rPr>
          <w:rFonts w:ascii="Times New Roman" w:hAnsi="Times New Roman" w:cs="Times New Roman"/>
          <w:sz w:val="28"/>
          <w:szCs w:val="28"/>
        </w:rPr>
      </w:pPr>
      <w:r w:rsidRPr="00B07E06">
        <w:rPr>
          <w:rFonts w:ascii="Times New Roman" w:hAnsi="Times New Roman" w:cs="Times New Roman"/>
          <w:b/>
          <w:sz w:val="28"/>
          <w:szCs w:val="28"/>
        </w:rPr>
        <w:t>Застой развитых рынков</w:t>
      </w:r>
      <w:r>
        <w:rPr>
          <w:rFonts w:ascii="Times New Roman" w:hAnsi="Times New Roman" w:cs="Times New Roman"/>
          <w:sz w:val="28"/>
          <w:szCs w:val="28"/>
        </w:rPr>
        <w:t xml:space="preserve">. Большинство рынков Западной Европы и Северной Америки характеризуются низким уровнем экономической активности, таким образом, основной стратегической задачей производителя является удержание аудитории покупателей. </w:t>
      </w:r>
    </w:p>
    <w:p w:rsidR="000872B3" w:rsidRDefault="000872B3" w:rsidP="000872B3">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Рост цен на сырье и материалы</w:t>
      </w:r>
      <w:r w:rsidRPr="00B07E06">
        <w:rPr>
          <w:rFonts w:ascii="Times New Roman" w:hAnsi="Times New Roman" w:cs="Times New Roman"/>
          <w:sz w:val="28"/>
          <w:szCs w:val="28"/>
        </w:rPr>
        <w:t>.</w:t>
      </w:r>
      <w:r>
        <w:rPr>
          <w:rFonts w:ascii="Times New Roman" w:hAnsi="Times New Roman" w:cs="Times New Roman"/>
          <w:sz w:val="28"/>
          <w:szCs w:val="28"/>
        </w:rPr>
        <w:t xml:space="preserve"> Цены на сырье и материалы являются ключевым фактором снижения себестоимости. Рост цен не позволит компании сократить издержки, тем самым существует вероятность возникновения проблем с показателями прибыли.</w:t>
      </w:r>
    </w:p>
    <w:p w:rsidR="00563779" w:rsidRDefault="000872B3" w:rsidP="000872B3">
      <w:pPr>
        <w:spacing w:line="360" w:lineRule="auto"/>
        <w:ind w:firstLine="360"/>
        <w:jc w:val="both"/>
        <w:rPr>
          <w:rFonts w:ascii="Times New Roman" w:hAnsi="Times New Roman"/>
          <w:i/>
          <w:sz w:val="28"/>
          <w:szCs w:val="28"/>
          <w:lang w:val="en-US"/>
        </w:rPr>
      </w:pPr>
      <w:r w:rsidRPr="005328DC">
        <w:rPr>
          <w:rFonts w:ascii="Times New Roman" w:hAnsi="Times New Roman"/>
          <w:i/>
          <w:sz w:val="28"/>
          <w:szCs w:val="28"/>
        </w:rPr>
        <w:t xml:space="preserve">Основной проблемой компании является недостаточное присутствие на рынках Азиатско-Тихоокеанского региона. Несмотря на то, что </w:t>
      </w:r>
      <w:r w:rsidRPr="005328DC">
        <w:rPr>
          <w:rFonts w:ascii="Times New Roman" w:hAnsi="Times New Roman"/>
          <w:i/>
          <w:sz w:val="28"/>
          <w:szCs w:val="28"/>
          <w:lang w:val="en-US"/>
        </w:rPr>
        <w:t>Heineken</w:t>
      </w:r>
      <w:r w:rsidRPr="005328DC">
        <w:rPr>
          <w:rFonts w:ascii="Times New Roman" w:hAnsi="Times New Roman"/>
          <w:i/>
          <w:sz w:val="28"/>
          <w:szCs w:val="28"/>
        </w:rPr>
        <w:t xml:space="preserve"> </w:t>
      </w:r>
      <w:r w:rsidRPr="005328DC">
        <w:rPr>
          <w:rFonts w:ascii="Times New Roman" w:hAnsi="Times New Roman"/>
          <w:i/>
          <w:sz w:val="28"/>
          <w:szCs w:val="28"/>
          <w:lang w:val="en-US"/>
        </w:rPr>
        <w:t>N</w:t>
      </w:r>
      <w:r w:rsidRPr="005328DC">
        <w:rPr>
          <w:rFonts w:ascii="Times New Roman" w:hAnsi="Times New Roman"/>
          <w:i/>
          <w:sz w:val="28"/>
          <w:szCs w:val="28"/>
        </w:rPr>
        <w:t>.</w:t>
      </w:r>
      <w:r w:rsidRPr="005328DC">
        <w:rPr>
          <w:rFonts w:ascii="Times New Roman" w:hAnsi="Times New Roman"/>
          <w:i/>
          <w:sz w:val="28"/>
          <w:szCs w:val="28"/>
          <w:lang w:val="en-US"/>
        </w:rPr>
        <w:t>V</w:t>
      </w:r>
      <w:r w:rsidRPr="005328DC">
        <w:rPr>
          <w:rFonts w:ascii="Times New Roman" w:hAnsi="Times New Roman"/>
          <w:i/>
          <w:sz w:val="28"/>
          <w:szCs w:val="28"/>
        </w:rPr>
        <w:t>. учредила совместные предприятия с местными компаниями в Индии и Китае, это не позволяет ей стать беспрецедентным</w:t>
      </w:r>
      <w:r>
        <w:rPr>
          <w:rFonts w:ascii="Times New Roman" w:hAnsi="Times New Roman"/>
          <w:i/>
          <w:sz w:val="28"/>
          <w:szCs w:val="28"/>
        </w:rPr>
        <w:t xml:space="preserve"> лидером данного географического сегмента. Основной стратегической целью компании является укрепление своих позиций на </w:t>
      </w:r>
      <w:r w:rsidR="007E4CB7">
        <w:rPr>
          <w:rFonts w:ascii="Times New Roman" w:hAnsi="Times New Roman"/>
          <w:i/>
          <w:sz w:val="28"/>
          <w:szCs w:val="28"/>
        </w:rPr>
        <w:t>рынках региона</w:t>
      </w:r>
      <w:r>
        <w:rPr>
          <w:rFonts w:ascii="Times New Roman" w:hAnsi="Times New Roman"/>
          <w:i/>
          <w:sz w:val="28"/>
          <w:szCs w:val="28"/>
        </w:rPr>
        <w:t xml:space="preserve"> посредством увеличения продаж высокодоходных брендов.</w:t>
      </w:r>
    </w:p>
    <w:p w:rsidR="00563779" w:rsidRPr="0074514C" w:rsidRDefault="0074514C" w:rsidP="0074514C">
      <w:pPr>
        <w:pStyle w:val="2"/>
        <w:spacing w:line="720" w:lineRule="auto"/>
        <w:jc w:val="center"/>
        <w:rPr>
          <w:rFonts w:ascii="Times New Roman" w:hAnsi="Times New Roman"/>
          <w:i/>
          <w:sz w:val="28"/>
          <w:szCs w:val="28"/>
          <w:lang w:val="en-US"/>
        </w:rPr>
      </w:pPr>
      <w:bookmarkStart w:id="31" w:name="_Toc356252013"/>
      <w:r w:rsidRPr="0074514C">
        <w:rPr>
          <w:rFonts w:ascii="Times New Roman" w:hAnsi="Times New Roman" w:cs="Times New Roman"/>
          <w:color w:val="auto"/>
          <w:sz w:val="28"/>
          <w:szCs w:val="28"/>
          <w:lang w:val="en-US"/>
        </w:rPr>
        <w:t xml:space="preserve">2.3.6. </w:t>
      </w:r>
      <w:r w:rsidRPr="0074514C">
        <w:rPr>
          <w:rFonts w:ascii="Times New Roman" w:hAnsi="Times New Roman" w:cs="Times New Roman"/>
          <w:color w:val="auto"/>
          <w:sz w:val="28"/>
          <w:szCs w:val="28"/>
        </w:rPr>
        <w:t>Краткая</w:t>
      </w:r>
      <w:r w:rsidRPr="0074514C">
        <w:rPr>
          <w:rFonts w:ascii="Times New Roman" w:hAnsi="Times New Roman" w:cs="Times New Roman"/>
          <w:color w:val="auto"/>
          <w:sz w:val="28"/>
          <w:szCs w:val="28"/>
          <w:lang w:val="en-US"/>
        </w:rPr>
        <w:t xml:space="preserve"> </w:t>
      </w:r>
      <w:r w:rsidRPr="0074514C">
        <w:rPr>
          <w:rFonts w:ascii="Times New Roman" w:hAnsi="Times New Roman" w:cs="Times New Roman"/>
          <w:color w:val="auto"/>
          <w:sz w:val="28"/>
          <w:szCs w:val="28"/>
        </w:rPr>
        <w:t>характеристика</w:t>
      </w:r>
      <w:r w:rsidRPr="0074514C">
        <w:rPr>
          <w:rFonts w:ascii="Times New Roman" w:hAnsi="Times New Roman" w:cs="Times New Roman"/>
          <w:color w:val="auto"/>
          <w:sz w:val="28"/>
          <w:szCs w:val="28"/>
          <w:lang w:val="en-US"/>
        </w:rPr>
        <w:t xml:space="preserve"> Asia Pacific Breweries Ltd.</w:t>
      </w:r>
      <w:bookmarkEnd w:id="31"/>
    </w:p>
    <w:p w:rsidR="000872B3" w:rsidRPr="00790DE0" w:rsidRDefault="00790DE0" w:rsidP="000872B3">
      <w:pPr>
        <w:spacing w:line="360" w:lineRule="auto"/>
        <w:ind w:firstLine="360"/>
        <w:jc w:val="both"/>
        <w:rPr>
          <w:rFonts w:ascii="Times New Roman" w:hAnsi="Times New Roman"/>
          <w:sz w:val="28"/>
          <w:szCs w:val="28"/>
        </w:rPr>
      </w:pPr>
      <w:r>
        <w:rPr>
          <w:rFonts w:ascii="Times New Roman" w:hAnsi="Times New Roman"/>
          <w:sz w:val="28"/>
          <w:szCs w:val="28"/>
        </w:rPr>
        <w:t>Компания</w:t>
      </w:r>
      <w:r w:rsidRPr="0074514C">
        <w:rPr>
          <w:rFonts w:ascii="Times New Roman" w:hAnsi="Times New Roman"/>
          <w:sz w:val="28"/>
          <w:szCs w:val="28"/>
          <w:lang w:val="en-US"/>
        </w:rPr>
        <w:t xml:space="preserve"> </w:t>
      </w:r>
      <w:r w:rsidR="00073FB0">
        <w:rPr>
          <w:rFonts w:ascii="Times New Roman" w:hAnsi="Times New Roman"/>
          <w:sz w:val="28"/>
          <w:szCs w:val="28"/>
          <w:lang w:val="en-US"/>
        </w:rPr>
        <w:t>Asia</w:t>
      </w:r>
      <w:r w:rsidR="00073FB0" w:rsidRPr="0074514C">
        <w:rPr>
          <w:rFonts w:ascii="Times New Roman" w:hAnsi="Times New Roman"/>
          <w:sz w:val="28"/>
          <w:szCs w:val="28"/>
          <w:lang w:val="en-US"/>
        </w:rPr>
        <w:t xml:space="preserve"> </w:t>
      </w:r>
      <w:r w:rsidR="00073FB0">
        <w:rPr>
          <w:rFonts w:ascii="Times New Roman" w:hAnsi="Times New Roman"/>
          <w:sz w:val="28"/>
          <w:szCs w:val="28"/>
          <w:lang w:val="en-US"/>
        </w:rPr>
        <w:t>Pacific</w:t>
      </w:r>
      <w:r w:rsidR="00073FB0" w:rsidRPr="0074514C">
        <w:rPr>
          <w:rFonts w:ascii="Times New Roman" w:hAnsi="Times New Roman"/>
          <w:sz w:val="28"/>
          <w:szCs w:val="28"/>
          <w:lang w:val="en-US"/>
        </w:rPr>
        <w:t xml:space="preserve"> </w:t>
      </w:r>
      <w:r w:rsidR="00073FB0">
        <w:rPr>
          <w:rFonts w:ascii="Times New Roman" w:hAnsi="Times New Roman"/>
          <w:sz w:val="28"/>
          <w:szCs w:val="28"/>
          <w:lang w:val="en-US"/>
        </w:rPr>
        <w:t>Breweries</w:t>
      </w:r>
      <w:r w:rsidR="00073FB0" w:rsidRPr="0074514C">
        <w:rPr>
          <w:rFonts w:ascii="Times New Roman" w:hAnsi="Times New Roman"/>
          <w:sz w:val="28"/>
          <w:szCs w:val="28"/>
          <w:lang w:val="en-US"/>
        </w:rPr>
        <w:t xml:space="preserve"> </w:t>
      </w:r>
      <w:r w:rsidR="00073FB0">
        <w:rPr>
          <w:rFonts w:ascii="Times New Roman" w:hAnsi="Times New Roman"/>
          <w:sz w:val="28"/>
          <w:szCs w:val="28"/>
          <w:lang w:val="en-US"/>
        </w:rPr>
        <w:t>Ltd</w:t>
      </w:r>
      <w:r w:rsidR="00073FB0" w:rsidRPr="0074514C">
        <w:rPr>
          <w:rFonts w:ascii="Times New Roman" w:hAnsi="Times New Roman"/>
          <w:sz w:val="28"/>
          <w:szCs w:val="28"/>
          <w:lang w:val="en-US"/>
        </w:rPr>
        <w:t>.</w:t>
      </w:r>
      <w:r w:rsidRPr="0074514C">
        <w:rPr>
          <w:rFonts w:ascii="Times New Roman" w:hAnsi="Times New Roman"/>
          <w:sz w:val="28"/>
          <w:szCs w:val="28"/>
          <w:lang w:val="en-US"/>
        </w:rPr>
        <w:t xml:space="preserve">, </w:t>
      </w:r>
      <w:r>
        <w:rPr>
          <w:rFonts w:ascii="Times New Roman" w:hAnsi="Times New Roman"/>
          <w:sz w:val="28"/>
          <w:szCs w:val="28"/>
        </w:rPr>
        <w:t>созданная</w:t>
      </w:r>
      <w:r w:rsidRPr="0074514C">
        <w:rPr>
          <w:rFonts w:ascii="Times New Roman" w:hAnsi="Times New Roman"/>
          <w:sz w:val="28"/>
          <w:szCs w:val="28"/>
          <w:lang w:val="en-US"/>
        </w:rPr>
        <w:t xml:space="preserve"> </w:t>
      </w:r>
      <w:r>
        <w:rPr>
          <w:rFonts w:ascii="Times New Roman" w:hAnsi="Times New Roman"/>
          <w:sz w:val="28"/>
          <w:szCs w:val="28"/>
        </w:rPr>
        <w:t>как</w:t>
      </w:r>
      <w:r w:rsidRPr="0074514C">
        <w:rPr>
          <w:rFonts w:ascii="Times New Roman" w:hAnsi="Times New Roman"/>
          <w:sz w:val="28"/>
          <w:szCs w:val="28"/>
          <w:lang w:val="en-US"/>
        </w:rPr>
        <w:t xml:space="preserve"> </w:t>
      </w:r>
      <w:r>
        <w:rPr>
          <w:rFonts w:ascii="Times New Roman" w:hAnsi="Times New Roman"/>
          <w:sz w:val="28"/>
          <w:szCs w:val="28"/>
        </w:rPr>
        <w:t>совместное</w:t>
      </w:r>
      <w:r w:rsidRPr="0074514C">
        <w:rPr>
          <w:rFonts w:ascii="Times New Roman" w:hAnsi="Times New Roman"/>
          <w:sz w:val="28"/>
          <w:szCs w:val="28"/>
          <w:lang w:val="en-US"/>
        </w:rPr>
        <w:t xml:space="preserve"> </w:t>
      </w:r>
      <w:r>
        <w:rPr>
          <w:rFonts w:ascii="Times New Roman" w:hAnsi="Times New Roman"/>
          <w:sz w:val="28"/>
          <w:szCs w:val="28"/>
        </w:rPr>
        <w:t>предприятие</w:t>
      </w:r>
      <w:r w:rsidRPr="0074514C">
        <w:rPr>
          <w:rFonts w:ascii="Times New Roman" w:hAnsi="Times New Roman"/>
          <w:sz w:val="28"/>
          <w:szCs w:val="28"/>
          <w:lang w:val="en-US"/>
        </w:rPr>
        <w:t xml:space="preserve"> </w:t>
      </w:r>
      <w:r>
        <w:rPr>
          <w:rFonts w:ascii="Times New Roman" w:hAnsi="Times New Roman"/>
          <w:sz w:val="28"/>
          <w:szCs w:val="28"/>
        </w:rPr>
        <w:t>между</w:t>
      </w:r>
      <w:r w:rsidRPr="0074514C">
        <w:rPr>
          <w:rFonts w:ascii="Times New Roman" w:hAnsi="Times New Roman"/>
          <w:sz w:val="28"/>
          <w:szCs w:val="28"/>
          <w:lang w:val="en-US"/>
        </w:rPr>
        <w:t xml:space="preserve"> </w:t>
      </w:r>
      <w:r>
        <w:rPr>
          <w:rFonts w:ascii="Times New Roman" w:hAnsi="Times New Roman"/>
          <w:sz w:val="28"/>
          <w:szCs w:val="28"/>
          <w:lang w:val="en-US"/>
        </w:rPr>
        <w:t>Heineken</w:t>
      </w:r>
      <w:r w:rsidRPr="0074514C">
        <w:rPr>
          <w:rFonts w:ascii="Times New Roman" w:hAnsi="Times New Roman"/>
          <w:sz w:val="28"/>
          <w:szCs w:val="28"/>
          <w:lang w:val="en-US"/>
        </w:rPr>
        <w:t xml:space="preserve"> </w:t>
      </w:r>
      <w:r>
        <w:rPr>
          <w:rFonts w:ascii="Times New Roman" w:hAnsi="Times New Roman"/>
          <w:sz w:val="28"/>
          <w:szCs w:val="28"/>
          <w:lang w:val="en-US"/>
        </w:rPr>
        <w:t>N</w:t>
      </w:r>
      <w:r w:rsidRPr="0074514C">
        <w:rPr>
          <w:rFonts w:ascii="Times New Roman" w:hAnsi="Times New Roman"/>
          <w:sz w:val="28"/>
          <w:szCs w:val="28"/>
          <w:lang w:val="en-US"/>
        </w:rPr>
        <w:t>.</w:t>
      </w:r>
      <w:r>
        <w:rPr>
          <w:rFonts w:ascii="Times New Roman" w:hAnsi="Times New Roman"/>
          <w:sz w:val="28"/>
          <w:szCs w:val="28"/>
          <w:lang w:val="en-US"/>
        </w:rPr>
        <w:t>V</w:t>
      </w:r>
      <w:r w:rsidRPr="0074514C">
        <w:rPr>
          <w:rFonts w:ascii="Times New Roman" w:hAnsi="Times New Roman"/>
          <w:sz w:val="28"/>
          <w:szCs w:val="28"/>
          <w:lang w:val="en-US"/>
        </w:rPr>
        <w:t xml:space="preserve">. </w:t>
      </w:r>
      <w:r>
        <w:rPr>
          <w:rFonts w:ascii="Times New Roman" w:hAnsi="Times New Roman"/>
          <w:sz w:val="28"/>
          <w:szCs w:val="28"/>
        </w:rPr>
        <w:t>и</w:t>
      </w:r>
      <w:r w:rsidRPr="0074514C">
        <w:rPr>
          <w:rFonts w:ascii="Times New Roman" w:hAnsi="Times New Roman"/>
          <w:sz w:val="28"/>
          <w:szCs w:val="28"/>
          <w:lang w:val="en-US"/>
        </w:rPr>
        <w:t xml:space="preserve"> </w:t>
      </w:r>
      <w:r>
        <w:rPr>
          <w:rFonts w:ascii="Times New Roman" w:hAnsi="Times New Roman"/>
          <w:sz w:val="28"/>
          <w:szCs w:val="28"/>
          <w:lang w:val="en-US"/>
        </w:rPr>
        <w:t>Fraser</w:t>
      </w:r>
      <w:r w:rsidRPr="0074514C">
        <w:rPr>
          <w:rFonts w:ascii="Times New Roman" w:hAnsi="Times New Roman"/>
          <w:sz w:val="28"/>
          <w:szCs w:val="28"/>
          <w:lang w:val="en-US"/>
        </w:rPr>
        <w:t xml:space="preserve"> &amp; </w:t>
      </w:r>
      <w:proofErr w:type="spellStart"/>
      <w:r>
        <w:rPr>
          <w:rFonts w:ascii="Times New Roman" w:hAnsi="Times New Roman"/>
          <w:sz w:val="28"/>
          <w:szCs w:val="28"/>
          <w:lang w:val="en-US"/>
        </w:rPr>
        <w:t>Neave</w:t>
      </w:r>
      <w:proofErr w:type="spellEnd"/>
      <w:r w:rsidRPr="0074514C">
        <w:rPr>
          <w:rFonts w:ascii="Times New Roman" w:hAnsi="Times New Roman"/>
          <w:sz w:val="28"/>
          <w:szCs w:val="28"/>
          <w:lang w:val="en-US"/>
        </w:rPr>
        <w:t xml:space="preserve"> </w:t>
      </w:r>
      <w:r>
        <w:rPr>
          <w:rFonts w:ascii="Times New Roman" w:hAnsi="Times New Roman"/>
          <w:sz w:val="28"/>
          <w:szCs w:val="28"/>
        </w:rPr>
        <w:t>в</w:t>
      </w:r>
      <w:r w:rsidRPr="0074514C">
        <w:rPr>
          <w:rFonts w:ascii="Times New Roman" w:hAnsi="Times New Roman"/>
          <w:sz w:val="28"/>
          <w:szCs w:val="28"/>
          <w:lang w:val="en-US"/>
        </w:rPr>
        <w:t xml:space="preserve"> 1931 </w:t>
      </w:r>
      <w:r>
        <w:rPr>
          <w:rFonts w:ascii="Times New Roman" w:hAnsi="Times New Roman"/>
          <w:sz w:val="28"/>
          <w:szCs w:val="28"/>
        </w:rPr>
        <w:t>г</w:t>
      </w:r>
      <w:r w:rsidRPr="0074514C">
        <w:rPr>
          <w:rFonts w:ascii="Times New Roman" w:hAnsi="Times New Roman"/>
          <w:sz w:val="28"/>
          <w:szCs w:val="28"/>
          <w:lang w:val="en-US"/>
        </w:rPr>
        <w:t>.,</w:t>
      </w:r>
      <w:r w:rsidR="00073FB0" w:rsidRPr="0074514C">
        <w:rPr>
          <w:rFonts w:ascii="Times New Roman" w:hAnsi="Times New Roman"/>
          <w:sz w:val="28"/>
          <w:szCs w:val="28"/>
          <w:lang w:val="en-US"/>
        </w:rPr>
        <w:t xml:space="preserve"> </w:t>
      </w:r>
      <w:r w:rsidR="00073FB0">
        <w:rPr>
          <w:rFonts w:ascii="Times New Roman" w:hAnsi="Times New Roman"/>
          <w:sz w:val="28"/>
          <w:szCs w:val="28"/>
        </w:rPr>
        <w:t>является</w:t>
      </w:r>
      <w:r w:rsidR="00073FB0" w:rsidRPr="0074514C">
        <w:rPr>
          <w:rFonts w:ascii="Times New Roman" w:hAnsi="Times New Roman"/>
          <w:sz w:val="28"/>
          <w:szCs w:val="28"/>
          <w:lang w:val="en-US"/>
        </w:rPr>
        <w:t xml:space="preserve"> </w:t>
      </w:r>
      <w:r w:rsidR="00073FB0">
        <w:rPr>
          <w:rFonts w:ascii="Times New Roman" w:hAnsi="Times New Roman"/>
          <w:sz w:val="28"/>
          <w:szCs w:val="28"/>
        </w:rPr>
        <w:t>ключевым</w:t>
      </w:r>
      <w:r w:rsidR="00073FB0" w:rsidRPr="0074514C">
        <w:rPr>
          <w:rFonts w:ascii="Times New Roman" w:hAnsi="Times New Roman"/>
          <w:sz w:val="28"/>
          <w:szCs w:val="28"/>
          <w:lang w:val="en-US"/>
        </w:rPr>
        <w:t xml:space="preserve"> </w:t>
      </w:r>
      <w:r w:rsidR="00073FB0">
        <w:rPr>
          <w:rFonts w:ascii="Times New Roman" w:hAnsi="Times New Roman"/>
          <w:sz w:val="28"/>
          <w:szCs w:val="28"/>
        </w:rPr>
        <w:t>игроком</w:t>
      </w:r>
      <w:r w:rsidR="00073FB0" w:rsidRPr="0074514C">
        <w:rPr>
          <w:rFonts w:ascii="Times New Roman" w:hAnsi="Times New Roman"/>
          <w:sz w:val="28"/>
          <w:szCs w:val="28"/>
          <w:lang w:val="en-US"/>
        </w:rPr>
        <w:t xml:space="preserve"> </w:t>
      </w:r>
      <w:r w:rsidR="00073FB0">
        <w:rPr>
          <w:rFonts w:ascii="Times New Roman" w:hAnsi="Times New Roman"/>
          <w:sz w:val="28"/>
          <w:szCs w:val="28"/>
        </w:rPr>
        <w:t>на</w:t>
      </w:r>
      <w:r w:rsidR="00073FB0" w:rsidRPr="0074514C">
        <w:rPr>
          <w:rFonts w:ascii="Times New Roman" w:hAnsi="Times New Roman"/>
          <w:sz w:val="28"/>
          <w:szCs w:val="28"/>
          <w:lang w:val="en-US"/>
        </w:rPr>
        <w:t xml:space="preserve"> </w:t>
      </w:r>
      <w:r w:rsidR="00073FB0">
        <w:rPr>
          <w:rFonts w:ascii="Times New Roman" w:hAnsi="Times New Roman"/>
          <w:sz w:val="28"/>
          <w:szCs w:val="28"/>
        </w:rPr>
        <w:t>рынке</w:t>
      </w:r>
      <w:r w:rsidR="00073FB0" w:rsidRPr="0074514C">
        <w:rPr>
          <w:rFonts w:ascii="Times New Roman" w:hAnsi="Times New Roman"/>
          <w:sz w:val="28"/>
          <w:szCs w:val="28"/>
          <w:lang w:val="en-US"/>
        </w:rPr>
        <w:t xml:space="preserve"> </w:t>
      </w:r>
      <w:r w:rsidR="00073FB0">
        <w:rPr>
          <w:rFonts w:ascii="Times New Roman" w:hAnsi="Times New Roman"/>
          <w:sz w:val="28"/>
          <w:szCs w:val="28"/>
        </w:rPr>
        <w:t>пивоваренной</w:t>
      </w:r>
      <w:r w:rsidR="00073FB0" w:rsidRPr="0074514C">
        <w:rPr>
          <w:rFonts w:ascii="Times New Roman" w:hAnsi="Times New Roman"/>
          <w:sz w:val="28"/>
          <w:szCs w:val="28"/>
          <w:lang w:val="en-US"/>
        </w:rPr>
        <w:t xml:space="preserve"> </w:t>
      </w:r>
      <w:r w:rsidR="00073FB0">
        <w:rPr>
          <w:rFonts w:ascii="Times New Roman" w:hAnsi="Times New Roman"/>
          <w:sz w:val="28"/>
          <w:szCs w:val="28"/>
        </w:rPr>
        <w:t>промышленности</w:t>
      </w:r>
      <w:r w:rsidR="00073FB0" w:rsidRPr="0074514C">
        <w:rPr>
          <w:rFonts w:ascii="Times New Roman" w:hAnsi="Times New Roman"/>
          <w:sz w:val="28"/>
          <w:szCs w:val="28"/>
          <w:lang w:val="en-US"/>
        </w:rPr>
        <w:t xml:space="preserve"> </w:t>
      </w:r>
      <w:r w:rsidR="00073FB0">
        <w:rPr>
          <w:rFonts w:ascii="Times New Roman" w:hAnsi="Times New Roman"/>
          <w:sz w:val="28"/>
          <w:szCs w:val="28"/>
        </w:rPr>
        <w:t>в</w:t>
      </w:r>
      <w:r w:rsidR="00073FB0" w:rsidRPr="0074514C">
        <w:rPr>
          <w:rFonts w:ascii="Times New Roman" w:hAnsi="Times New Roman"/>
          <w:sz w:val="28"/>
          <w:szCs w:val="28"/>
          <w:lang w:val="en-US"/>
        </w:rPr>
        <w:t xml:space="preserve"> </w:t>
      </w:r>
      <w:proofErr w:type="spellStart"/>
      <w:r w:rsidR="00073FB0">
        <w:rPr>
          <w:rFonts w:ascii="Times New Roman" w:hAnsi="Times New Roman"/>
          <w:sz w:val="28"/>
          <w:szCs w:val="28"/>
        </w:rPr>
        <w:t>Азиатско</w:t>
      </w:r>
      <w:proofErr w:type="spellEnd"/>
      <w:r w:rsidR="00073FB0" w:rsidRPr="0074514C">
        <w:rPr>
          <w:rFonts w:ascii="Times New Roman" w:hAnsi="Times New Roman"/>
          <w:sz w:val="28"/>
          <w:szCs w:val="28"/>
          <w:lang w:val="en-US"/>
        </w:rPr>
        <w:t>-</w:t>
      </w:r>
      <w:r w:rsidR="00073FB0">
        <w:rPr>
          <w:rFonts w:ascii="Times New Roman" w:hAnsi="Times New Roman"/>
          <w:sz w:val="28"/>
          <w:szCs w:val="28"/>
        </w:rPr>
        <w:t>Тихоокеанском</w:t>
      </w:r>
      <w:r w:rsidR="00073FB0" w:rsidRPr="0074514C">
        <w:rPr>
          <w:rFonts w:ascii="Times New Roman" w:hAnsi="Times New Roman"/>
          <w:sz w:val="28"/>
          <w:szCs w:val="28"/>
          <w:lang w:val="en-US"/>
        </w:rPr>
        <w:t xml:space="preserve"> </w:t>
      </w:r>
      <w:r w:rsidR="00073FB0">
        <w:rPr>
          <w:rFonts w:ascii="Times New Roman" w:hAnsi="Times New Roman"/>
          <w:sz w:val="28"/>
          <w:szCs w:val="28"/>
        </w:rPr>
        <w:t>регионе</w:t>
      </w:r>
      <w:r w:rsidR="00073FB0" w:rsidRPr="0074514C">
        <w:rPr>
          <w:rFonts w:ascii="Times New Roman" w:hAnsi="Times New Roman"/>
          <w:sz w:val="28"/>
          <w:szCs w:val="28"/>
          <w:lang w:val="en-US"/>
        </w:rPr>
        <w:t xml:space="preserve">. </w:t>
      </w:r>
      <w:r w:rsidR="00301DFD">
        <w:rPr>
          <w:rFonts w:ascii="Times New Roman" w:hAnsi="Times New Roman"/>
          <w:sz w:val="28"/>
          <w:szCs w:val="28"/>
        </w:rPr>
        <w:t>Компания занимает 1-е место и 2-е место в 10 странах сегмента</w:t>
      </w:r>
      <w:r w:rsidR="00301DFD">
        <w:rPr>
          <w:rStyle w:val="a5"/>
          <w:rFonts w:ascii="Times New Roman" w:hAnsi="Times New Roman"/>
          <w:sz w:val="28"/>
          <w:szCs w:val="28"/>
        </w:rPr>
        <w:footnoteReference w:id="25"/>
      </w:r>
      <w:r w:rsidR="00301DFD">
        <w:rPr>
          <w:rFonts w:ascii="Times New Roman" w:hAnsi="Times New Roman"/>
          <w:sz w:val="28"/>
          <w:szCs w:val="28"/>
        </w:rPr>
        <w:t xml:space="preserve">. </w:t>
      </w:r>
      <w:r>
        <w:rPr>
          <w:rFonts w:ascii="Times New Roman" w:hAnsi="Times New Roman"/>
          <w:sz w:val="28"/>
          <w:szCs w:val="28"/>
        </w:rPr>
        <w:t xml:space="preserve">В 2012 г. </w:t>
      </w:r>
      <w:r>
        <w:rPr>
          <w:rFonts w:ascii="Times New Roman" w:hAnsi="Times New Roman"/>
          <w:sz w:val="28"/>
          <w:szCs w:val="28"/>
          <w:lang w:val="en-US"/>
        </w:rPr>
        <w:t>Fraser</w:t>
      </w:r>
      <w:r w:rsidRPr="00790DE0">
        <w:rPr>
          <w:rFonts w:ascii="Times New Roman" w:hAnsi="Times New Roman"/>
          <w:sz w:val="28"/>
          <w:szCs w:val="28"/>
        </w:rPr>
        <w:t xml:space="preserve"> &amp; </w:t>
      </w:r>
      <w:proofErr w:type="spellStart"/>
      <w:r>
        <w:rPr>
          <w:rFonts w:ascii="Times New Roman" w:hAnsi="Times New Roman"/>
          <w:sz w:val="28"/>
          <w:szCs w:val="28"/>
          <w:lang w:val="en-US"/>
        </w:rPr>
        <w:t>Neave</w:t>
      </w:r>
      <w:proofErr w:type="spellEnd"/>
      <w:r>
        <w:rPr>
          <w:rFonts w:ascii="Times New Roman" w:hAnsi="Times New Roman"/>
          <w:sz w:val="28"/>
          <w:szCs w:val="28"/>
        </w:rPr>
        <w:t xml:space="preserve"> объявил о согласии на продажу акций </w:t>
      </w:r>
      <w:r>
        <w:rPr>
          <w:rFonts w:ascii="Times New Roman" w:hAnsi="Times New Roman"/>
          <w:sz w:val="28"/>
          <w:szCs w:val="28"/>
          <w:lang w:val="en-US"/>
        </w:rPr>
        <w:t>APB</w:t>
      </w:r>
      <w:r w:rsidRPr="00790DE0">
        <w:rPr>
          <w:rFonts w:ascii="Times New Roman" w:hAnsi="Times New Roman"/>
          <w:sz w:val="28"/>
          <w:szCs w:val="28"/>
        </w:rPr>
        <w:t xml:space="preserve"> </w:t>
      </w:r>
      <w:r>
        <w:rPr>
          <w:rFonts w:ascii="Times New Roman" w:hAnsi="Times New Roman"/>
          <w:sz w:val="28"/>
          <w:szCs w:val="28"/>
          <w:lang w:val="en-US"/>
        </w:rPr>
        <w:t>Ltd</w:t>
      </w:r>
      <w:r w:rsidRPr="00790DE0">
        <w:rPr>
          <w:rFonts w:ascii="Times New Roman" w:hAnsi="Times New Roman"/>
          <w:sz w:val="28"/>
          <w:szCs w:val="28"/>
        </w:rPr>
        <w:t xml:space="preserve">. </w:t>
      </w:r>
      <w:r>
        <w:rPr>
          <w:rFonts w:ascii="Times New Roman" w:hAnsi="Times New Roman"/>
          <w:sz w:val="28"/>
          <w:szCs w:val="28"/>
        </w:rPr>
        <w:t xml:space="preserve">компании </w:t>
      </w:r>
      <w:r>
        <w:rPr>
          <w:rFonts w:ascii="Times New Roman" w:hAnsi="Times New Roman"/>
          <w:sz w:val="28"/>
          <w:szCs w:val="28"/>
          <w:lang w:val="en-US"/>
        </w:rPr>
        <w:t>Heineken</w:t>
      </w:r>
      <w:r w:rsidRPr="00790DE0">
        <w:rPr>
          <w:rFonts w:ascii="Times New Roman" w:hAnsi="Times New Roman"/>
          <w:sz w:val="28"/>
          <w:szCs w:val="28"/>
        </w:rPr>
        <w:t xml:space="preserve"> </w:t>
      </w:r>
      <w:r>
        <w:rPr>
          <w:rFonts w:ascii="Times New Roman" w:hAnsi="Times New Roman"/>
          <w:sz w:val="28"/>
          <w:szCs w:val="28"/>
          <w:lang w:val="en-US"/>
        </w:rPr>
        <w:t>N</w:t>
      </w:r>
      <w:r w:rsidRPr="00790DE0">
        <w:rPr>
          <w:rFonts w:ascii="Times New Roman" w:hAnsi="Times New Roman"/>
          <w:sz w:val="28"/>
          <w:szCs w:val="28"/>
        </w:rPr>
        <w:t>.</w:t>
      </w:r>
      <w:r>
        <w:rPr>
          <w:rFonts w:ascii="Times New Roman" w:hAnsi="Times New Roman"/>
          <w:sz w:val="28"/>
          <w:szCs w:val="28"/>
          <w:lang w:val="en-US"/>
        </w:rPr>
        <w:t>V</w:t>
      </w:r>
      <w:r w:rsidRPr="00790DE0">
        <w:rPr>
          <w:rFonts w:ascii="Times New Roman" w:hAnsi="Times New Roman"/>
          <w:sz w:val="28"/>
          <w:szCs w:val="28"/>
        </w:rPr>
        <w:t>.</w:t>
      </w:r>
    </w:p>
    <w:p w:rsidR="00635D98" w:rsidRDefault="00790DE0"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Азиатско-тихоокеанский регион является одним из самых многообещающих географических сегментов с благоприятными демографическими условиями и высокими темпами экономического развития. Штаб-квартира компании </w:t>
      </w:r>
      <w:r>
        <w:rPr>
          <w:rFonts w:ascii="Times New Roman" w:hAnsi="Times New Roman"/>
          <w:sz w:val="28"/>
          <w:szCs w:val="28"/>
          <w:lang w:val="en-US"/>
        </w:rPr>
        <w:t>APB</w:t>
      </w:r>
      <w:r w:rsidRPr="00790DE0">
        <w:rPr>
          <w:rFonts w:ascii="Times New Roman" w:hAnsi="Times New Roman"/>
          <w:sz w:val="28"/>
          <w:szCs w:val="28"/>
        </w:rPr>
        <w:t xml:space="preserve"> </w:t>
      </w:r>
      <w:r>
        <w:rPr>
          <w:rFonts w:ascii="Times New Roman" w:hAnsi="Times New Roman"/>
          <w:sz w:val="28"/>
          <w:szCs w:val="28"/>
          <w:lang w:val="en-US"/>
        </w:rPr>
        <w:t>Ltd</w:t>
      </w:r>
      <w:r w:rsidRPr="00790DE0">
        <w:rPr>
          <w:rFonts w:ascii="Times New Roman" w:hAnsi="Times New Roman"/>
          <w:sz w:val="28"/>
          <w:szCs w:val="28"/>
        </w:rPr>
        <w:t>.</w:t>
      </w:r>
      <w:r>
        <w:rPr>
          <w:rFonts w:ascii="Times New Roman" w:hAnsi="Times New Roman"/>
          <w:sz w:val="28"/>
          <w:szCs w:val="28"/>
        </w:rPr>
        <w:t xml:space="preserve"> расположена в Сингапуре, 24 </w:t>
      </w:r>
      <w:proofErr w:type="gramStart"/>
      <w:r>
        <w:rPr>
          <w:rFonts w:ascii="Times New Roman" w:hAnsi="Times New Roman"/>
          <w:sz w:val="28"/>
          <w:szCs w:val="28"/>
        </w:rPr>
        <w:t>производственных</w:t>
      </w:r>
      <w:proofErr w:type="gramEnd"/>
      <w:r>
        <w:rPr>
          <w:rFonts w:ascii="Times New Roman" w:hAnsi="Times New Roman"/>
          <w:sz w:val="28"/>
          <w:szCs w:val="28"/>
        </w:rPr>
        <w:t xml:space="preserve"> мощности рассредоточены по 14 странам региона: </w:t>
      </w:r>
      <w:proofErr w:type="gramStart"/>
      <w:r>
        <w:rPr>
          <w:rFonts w:ascii="Times New Roman" w:hAnsi="Times New Roman"/>
          <w:sz w:val="28"/>
          <w:szCs w:val="28"/>
        </w:rPr>
        <w:t>Сингапур, Камбоджа, Китай, Китай, Индонезия, Лаос, Малайзия, Монголия, Новая Зеландия, Папуа Новая Гвинея, Соломоновы острова, Новая Каледония, Шри-Ланка, Таиланд и Вьетнам.</w:t>
      </w:r>
      <w:proofErr w:type="gramEnd"/>
      <w:r>
        <w:rPr>
          <w:rFonts w:ascii="Times New Roman" w:hAnsi="Times New Roman"/>
          <w:sz w:val="28"/>
          <w:szCs w:val="28"/>
        </w:rPr>
        <w:t xml:space="preserve"> В продуктовый портфель компании входит более 40 торговых марок, включая такие как </w:t>
      </w:r>
      <w:r w:rsidRPr="00790DE0">
        <w:rPr>
          <w:rFonts w:ascii="Times New Roman" w:hAnsi="Times New Roman"/>
          <w:sz w:val="28"/>
          <w:szCs w:val="28"/>
        </w:rPr>
        <w:t xml:space="preserve">Tiger, Anchor, ABC Extra Stout </w:t>
      </w:r>
      <w:r w:rsidR="00301DFD">
        <w:rPr>
          <w:rFonts w:ascii="Times New Roman" w:hAnsi="Times New Roman"/>
          <w:sz w:val="28"/>
          <w:szCs w:val="28"/>
        </w:rPr>
        <w:t>и</w:t>
      </w:r>
      <w:r w:rsidRPr="00790DE0">
        <w:rPr>
          <w:rFonts w:ascii="Times New Roman" w:hAnsi="Times New Roman"/>
          <w:sz w:val="28"/>
          <w:szCs w:val="28"/>
        </w:rPr>
        <w:t xml:space="preserve"> Baron’s Strong Brew</w:t>
      </w:r>
      <w:r w:rsidR="00301DFD">
        <w:rPr>
          <w:rFonts w:ascii="Times New Roman" w:hAnsi="Times New Roman"/>
          <w:sz w:val="28"/>
          <w:szCs w:val="28"/>
        </w:rPr>
        <w:t xml:space="preserve">. Наряду с региональными брендами, </w:t>
      </w:r>
      <w:r w:rsidR="00301DFD">
        <w:rPr>
          <w:rFonts w:ascii="Times New Roman" w:hAnsi="Times New Roman"/>
          <w:sz w:val="28"/>
          <w:szCs w:val="28"/>
          <w:lang w:val="en-US"/>
        </w:rPr>
        <w:t>Asia</w:t>
      </w:r>
      <w:r w:rsidR="00301DFD" w:rsidRPr="00301DFD">
        <w:rPr>
          <w:rFonts w:ascii="Times New Roman" w:hAnsi="Times New Roman"/>
          <w:sz w:val="28"/>
          <w:szCs w:val="28"/>
        </w:rPr>
        <w:t xml:space="preserve"> </w:t>
      </w:r>
      <w:r w:rsidR="00301DFD">
        <w:rPr>
          <w:rFonts w:ascii="Times New Roman" w:hAnsi="Times New Roman"/>
          <w:sz w:val="28"/>
          <w:szCs w:val="28"/>
          <w:lang w:val="en-US"/>
        </w:rPr>
        <w:t>Pacific</w:t>
      </w:r>
      <w:r w:rsidR="00301DFD" w:rsidRPr="00301DFD">
        <w:rPr>
          <w:rFonts w:ascii="Times New Roman" w:hAnsi="Times New Roman"/>
          <w:sz w:val="28"/>
          <w:szCs w:val="28"/>
        </w:rPr>
        <w:t xml:space="preserve"> </w:t>
      </w:r>
      <w:r w:rsidR="00301DFD">
        <w:rPr>
          <w:rFonts w:ascii="Times New Roman" w:hAnsi="Times New Roman"/>
          <w:sz w:val="28"/>
          <w:szCs w:val="28"/>
          <w:lang w:val="en-US"/>
        </w:rPr>
        <w:t>Breweries</w:t>
      </w:r>
      <w:r w:rsidR="00301DFD" w:rsidRPr="00301DFD">
        <w:rPr>
          <w:rFonts w:ascii="Times New Roman" w:hAnsi="Times New Roman"/>
          <w:sz w:val="28"/>
          <w:szCs w:val="28"/>
        </w:rPr>
        <w:t xml:space="preserve"> </w:t>
      </w:r>
      <w:r w:rsidR="00301DFD">
        <w:rPr>
          <w:rFonts w:ascii="Times New Roman" w:hAnsi="Times New Roman"/>
          <w:sz w:val="28"/>
          <w:szCs w:val="28"/>
          <w:lang w:val="en-US"/>
        </w:rPr>
        <w:t>Ltd</w:t>
      </w:r>
      <w:r w:rsidR="00301DFD" w:rsidRPr="00301DFD">
        <w:rPr>
          <w:rFonts w:ascii="Times New Roman" w:hAnsi="Times New Roman"/>
          <w:sz w:val="28"/>
          <w:szCs w:val="28"/>
        </w:rPr>
        <w:t xml:space="preserve">. </w:t>
      </w:r>
      <w:r w:rsidR="00301DFD">
        <w:rPr>
          <w:rFonts w:ascii="Times New Roman" w:hAnsi="Times New Roman"/>
          <w:sz w:val="28"/>
          <w:szCs w:val="28"/>
        </w:rPr>
        <w:t xml:space="preserve">поставляет на рынки локальные бренды – </w:t>
      </w:r>
      <w:proofErr w:type="spellStart"/>
      <w:r w:rsidR="00301DFD" w:rsidRPr="00301DFD">
        <w:rPr>
          <w:rFonts w:ascii="Times New Roman" w:hAnsi="Times New Roman"/>
          <w:sz w:val="28"/>
          <w:szCs w:val="28"/>
        </w:rPr>
        <w:t>Bintang</w:t>
      </w:r>
      <w:proofErr w:type="spellEnd"/>
      <w:r w:rsidR="00301DFD">
        <w:rPr>
          <w:rFonts w:ascii="Times New Roman" w:hAnsi="Times New Roman"/>
          <w:sz w:val="28"/>
          <w:szCs w:val="28"/>
        </w:rPr>
        <w:t xml:space="preserve"> в Индонезии, </w:t>
      </w:r>
      <w:proofErr w:type="spellStart"/>
      <w:r w:rsidR="00301DFD" w:rsidRPr="00301DFD">
        <w:rPr>
          <w:rFonts w:ascii="Times New Roman" w:hAnsi="Times New Roman"/>
          <w:sz w:val="28"/>
          <w:szCs w:val="28"/>
        </w:rPr>
        <w:t>Gold</w:t>
      </w:r>
      <w:proofErr w:type="spellEnd"/>
      <w:r w:rsidR="00301DFD" w:rsidRPr="00301DFD">
        <w:rPr>
          <w:rFonts w:ascii="Times New Roman" w:hAnsi="Times New Roman"/>
          <w:sz w:val="28"/>
          <w:szCs w:val="28"/>
        </w:rPr>
        <w:t xml:space="preserve"> </w:t>
      </w:r>
      <w:proofErr w:type="spellStart"/>
      <w:r w:rsidR="00301DFD" w:rsidRPr="00301DFD">
        <w:rPr>
          <w:rFonts w:ascii="Times New Roman" w:hAnsi="Times New Roman"/>
          <w:sz w:val="28"/>
          <w:szCs w:val="28"/>
        </w:rPr>
        <w:t>Crown</w:t>
      </w:r>
      <w:proofErr w:type="spellEnd"/>
      <w:r w:rsidR="00301DFD">
        <w:rPr>
          <w:rFonts w:ascii="Times New Roman" w:hAnsi="Times New Roman"/>
          <w:sz w:val="28"/>
          <w:szCs w:val="28"/>
        </w:rPr>
        <w:t xml:space="preserve"> – в Камбодже, </w:t>
      </w:r>
      <w:r w:rsidR="00301DFD" w:rsidRPr="00301DFD">
        <w:rPr>
          <w:rFonts w:ascii="Times New Roman" w:hAnsi="Times New Roman"/>
          <w:sz w:val="28"/>
          <w:szCs w:val="28"/>
        </w:rPr>
        <w:t xml:space="preserve">SP </w:t>
      </w:r>
      <w:proofErr w:type="spellStart"/>
      <w:r w:rsidR="00301DFD" w:rsidRPr="00301DFD">
        <w:rPr>
          <w:rFonts w:ascii="Times New Roman" w:hAnsi="Times New Roman"/>
          <w:sz w:val="28"/>
          <w:szCs w:val="28"/>
        </w:rPr>
        <w:t>Lager</w:t>
      </w:r>
      <w:proofErr w:type="spellEnd"/>
      <w:r w:rsidR="00301DFD">
        <w:rPr>
          <w:rFonts w:ascii="Times New Roman" w:hAnsi="Times New Roman"/>
          <w:sz w:val="28"/>
          <w:szCs w:val="28"/>
        </w:rPr>
        <w:t xml:space="preserve"> – в Папуа Новая Гвинея, </w:t>
      </w:r>
      <w:proofErr w:type="spellStart"/>
      <w:r w:rsidR="00301DFD" w:rsidRPr="00301DFD">
        <w:rPr>
          <w:rFonts w:ascii="Times New Roman" w:hAnsi="Times New Roman"/>
          <w:sz w:val="28"/>
          <w:szCs w:val="28"/>
        </w:rPr>
        <w:t>Tu</w:t>
      </w:r>
      <w:r w:rsidR="00301DFD">
        <w:rPr>
          <w:rFonts w:ascii="Times New Roman" w:hAnsi="Times New Roman"/>
          <w:sz w:val="28"/>
          <w:szCs w:val="28"/>
          <w:lang w:val="en-US"/>
        </w:rPr>
        <w:t>i</w:t>
      </w:r>
      <w:proofErr w:type="spellEnd"/>
      <w:r w:rsidR="00301DFD" w:rsidRPr="00301DFD">
        <w:rPr>
          <w:rFonts w:ascii="Times New Roman" w:hAnsi="Times New Roman"/>
          <w:sz w:val="28"/>
          <w:szCs w:val="28"/>
        </w:rPr>
        <w:t xml:space="preserve"> </w:t>
      </w:r>
      <w:r w:rsidR="00301DFD">
        <w:rPr>
          <w:rFonts w:ascii="Times New Roman" w:hAnsi="Times New Roman"/>
          <w:sz w:val="28"/>
          <w:szCs w:val="28"/>
        </w:rPr>
        <w:t>–</w:t>
      </w:r>
      <w:r w:rsidR="00301DFD" w:rsidRPr="00301DFD">
        <w:rPr>
          <w:rFonts w:ascii="Times New Roman" w:hAnsi="Times New Roman"/>
          <w:sz w:val="28"/>
          <w:szCs w:val="28"/>
        </w:rPr>
        <w:t xml:space="preserve"> </w:t>
      </w:r>
      <w:r w:rsidR="00301DFD">
        <w:rPr>
          <w:rFonts w:ascii="Times New Roman" w:hAnsi="Times New Roman"/>
          <w:sz w:val="28"/>
          <w:szCs w:val="28"/>
        </w:rPr>
        <w:t xml:space="preserve">в Новой Зеландии, </w:t>
      </w:r>
      <w:proofErr w:type="spellStart"/>
      <w:r w:rsidR="00301DFD" w:rsidRPr="00301DFD">
        <w:rPr>
          <w:rFonts w:ascii="Times New Roman" w:hAnsi="Times New Roman"/>
          <w:sz w:val="28"/>
          <w:szCs w:val="28"/>
        </w:rPr>
        <w:t>Larue</w:t>
      </w:r>
      <w:proofErr w:type="spellEnd"/>
      <w:r w:rsidR="00301DFD">
        <w:rPr>
          <w:rFonts w:ascii="Times New Roman" w:hAnsi="Times New Roman"/>
          <w:sz w:val="28"/>
          <w:szCs w:val="28"/>
        </w:rPr>
        <w:t xml:space="preserve"> – во Вьетнаме. </w:t>
      </w:r>
    </w:p>
    <w:p w:rsidR="00790DE0" w:rsidRPr="00301DFD" w:rsidRDefault="00301DFD" w:rsidP="000872B3">
      <w:pPr>
        <w:spacing w:line="360" w:lineRule="auto"/>
        <w:ind w:firstLine="360"/>
        <w:jc w:val="both"/>
        <w:rPr>
          <w:rFonts w:ascii="Times New Roman" w:hAnsi="Times New Roman"/>
          <w:sz w:val="28"/>
          <w:szCs w:val="28"/>
        </w:rPr>
      </w:pPr>
      <w:r>
        <w:rPr>
          <w:rFonts w:ascii="Times New Roman" w:hAnsi="Times New Roman"/>
          <w:sz w:val="28"/>
          <w:szCs w:val="28"/>
        </w:rPr>
        <w:t xml:space="preserve">По оценкам компании </w:t>
      </w:r>
      <w:r>
        <w:rPr>
          <w:rFonts w:ascii="Times New Roman" w:hAnsi="Times New Roman"/>
          <w:sz w:val="28"/>
          <w:szCs w:val="28"/>
          <w:lang w:val="en-US"/>
        </w:rPr>
        <w:t>Heineken</w:t>
      </w:r>
      <w:r w:rsidRPr="00301DFD">
        <w:rPr>
          <w:rFonts w:ascii="Times New Roman" w:hAnsi="Times New Roman"/>
          <w:sz w:val="28"/>
          <w:szCs w:val="28"/>
        </w:rPr>
        <w:t xml:space="preserve"> </w:t>
      </w:r>
      <w:r>
        <w:rPr>
          <w:rFonts w:ascii="Times New Roman" w:hAnsi="Times New Roman"/>
          <w:sz w:val="28"/>
          <w:szCs w:val="28"/>
          <w:lang w:val="en-US"/>
        </w:rPr>
        <w:t>N</w:t>
      </w:r>
      <w:r w:rsidRPr="00301DFD">
        <w:rPr>
          <w:rFonts w:ascii="Times New Roman" w:hAnsi="Times New Roman"/>
          <w:sz w:val="28"/>
          <w:szCs w:val="28"/>
        </w:rPr>
        <w:t>.</w:t>
      </w:r>
      <w:r>
        <w:rPr>
          <w:rFonts w:ascii="Times New Roman" w:hAnsi="Times New Roman"/>
          <w:sz w:val="28"/>
          <w:szCs w:val="28"/>
          <w:lang w:val="en-US"/>
        </w:rPr>
        <w:t>V</w:t>
      </w:r>
      <w:r w:rsidRPr="00301DFD">
        <w:rPr>
          <w:rFonts w:ascii="Times New Roman" w:hAnsi="Times New Roman"/>
          <w:sz w:val="28"/>
          <w:szCs w:val="28"/>
        </w:rPr>
        <w:t xml:space="preserve">. </w:t>
      </w:r>
      <w:r>
        <w:rPr>
          <w:rFonts w:ascii="Times New Roman" w:hAnsi="Times New Roman"/>
          <w:sz w:val="28"/>
          <w:szCs w:val="28"/>
        </w:rPr>
        <w:t xml:space="preserve">поглощение </w:t>
      </w:r>
      <w:r>
        <w:rPr>
          <w:rFonts w:ascii="Times New Roman" w:hAnsi="Times New Roman"/>
          <w:sz w:val="28"/>
          <w:szCs w:val="28"/>
          <w:lang w:val="en-US"/>
        </w:rPr>
        <w:t>Asia</w:t>
      </w:r>
      <w:r w:rsidRPr="00073FB0">
        <w:rPr>
          <w:rFonts w:ascii="Times New Roman" w:hAnsi="Times New Roman"/>
          <w:sz w:val="28"/>
          <w:szCs w:val="28"/>
        </w:rPr>
        <w:t xml:space="preserve"> </w:t>
      </w:r>
      <w:r>
        <w:rPr>
          <w:rFonts w:ascii="Times New Roman" w:hAnsi="Times New Roman"/>
          <w:sz w:val="28"/>
          <w:szCs w:val="28"/>
          <w:lang w:val="en-US"/>
        </w:rPr>
        <w:t>Pacific</w:t>
      </w:r>
      <w:r w:rsidRPr="00073FB0">
        <w:rPr>
          <w:rFonts w:ascii="Times New Roman" w:hAnsi="Times New Roman"/>
          <w:sz w:val="28"/>
          <w:szCs w:val="28"/>
        </w:rPr>
        <w:t xml:space="preserve"> </w:t>
      </w:r>
      <w:r>
        <w:rPr>
          <w:rFonts w:ascii="Times New Roman" w:hAnsi="Times New Roman"/>
          <w:sz w:val="28"/>
          <w:szCs w:val="28"/>
          <w:lang w:val="en-US"/>
        </w:rPr>
        <w:t>Breweries</w:t>
      </w:r>
      <w:r w:rsidRPr="00073FB0">
        <w:rPr>
          <w:rFonts w:ascii="Times New Roman" w:hAnsi="Times New Roman"/>
          <w:sz w:val="28"/>
          <w:szCs w:val="28"/>
        </w:rPr>
        <w:t xml:space="preserve"> </w:t>
      </w:r>
      <w:r>
        <w:rPr>
          <w:rFonts w:ascii="Times New Roman" w:hAnsi="Times New Roman"/>
          <w:sz w:val="28"/>
          <w:szCs w:val="28"/>
          <w:lang w:val="en-US"/>
        </w:rPr>
        <w:t>Ltd</w:t>
      </w:r>
      <w:r>
        <w:rPr>
          <w:rFonts w:ascii="Times New Roman" w:hAnsi="Times New Roman"/>
          <w:sz w:val="28"/>
          <w:szCs w:val="28"/>
        </w:rPr>
        <w:t xml:space="preserve">. позволило увеличить консолидированный объем производства пива до 62%, а операционную прибыль </w:t>
      </w:r>
      <w:r>
        <w:rPr>
          <w:rFonts w:ascii="Times New Roman" w:hAnsi="Times New Roman"/>
          <w:sz w:val="28"/>
          <w:szCs w:val="28"/>
          <w:lang w:val="en-US"/>
        </w:rPr>
        <w:t>EBIT</w:t>
      </w:r>
      <w:r w:rsidRPr="00301DFD">
        <w:rPr>
          <w:rFonts w:ascii="Times New Roman" w:hAnsi="Times New Roman"/>
          <w:sz w:val="28"/>
          <w:szCs w:val="28"/>
        </w:rPr>
        <w:t xml:space="preserve"> </w:t>
      </w:r>
      <w:r>
        <w:rPr>
          <w:rFonts w:ascii="Times New Roman" w:hAnsi="Times New Roman"/>
          <w:sz w:val="28"/>
          <w:szCs w:val="28"/>
        </w:rPr>
        <w:t xml:space="preserve">до 55%  в регионе (по сравнению с 59% и 50%, соответственно, до покупки </w:t>
      </w:r>
      <w:r>
        <w:rPr>
          <w:rFonts w:ascii="Times New Roman" w:hAnsi="Times New Roman"/>
          <w:sz w:val="28"/>
          <w:szCs w:val="28"/>
          <w:lang w:val="en-US"/>
        </w:rPr>
        <w:t>APB</w:t>
      </w:r>
      <w:r>
        <w:rPr>
          <w:rStyle w:val="a5"/>
          <w:rFonts w:ascii="Times New Roman" w:hAnsi="Times New Roman"/>
          <w:sz w:val="28"/>
          <w:szCs w:val="28"/>
          <w:lang w:val="en-US"/>
        </w:rPr>
        <w:footnoteReference w:id="26"/>
      </w:r>
      <w:r w:rsidRPr="00301DFD">
        <w:rPr>
          <w:rFonts w:ascii="Times New Roman" w:hAnsi="Times New Roman"/>
          <w:sz w:val="28"/>
          <w:szCs w:val="28"/>
        </w:rPr>
        <w:t xml:space="preserve">). </w:t>
      </w:r>
    </w:p>
    <w:p w:rsidR="00D07FD8" w:rsidRDefault="00D07FD8" w:rsidP="000872B3">
      <w:pPr>
        <w:spacing w:line="360" w:lineRule="auto"/>
        <w:ind w:firstLine="360"/>
        <w:jc w:val="both"/>
        <w:rPr>
          <w:rFonts w:ascii="Times New Roman" w:hAnsi="Times New Roman"/>
          <w:sz w:val="28"/>
          <w:szCs w:val="28"/>
        </w:rPr>
      </w:pPr>
    </w:p>
    <w:p w:rsidR="00D07FD8" w:rsidRDefault="00D07FD8">
      <w:pPr>
        <w:rPr>
          <w:rFonts w:ascii="Times New Roman" w:hAnsi="Times New Roman"/>
          <w:sz w:val="28"/>
          <w:szCs w:val="28"/>
        </w:rPr>
      </w:pPr>
      <w:r>
        <w:rPr>
          <w:rFonts w:ascii="Times New Roman" w:hAnsi="Times New Roman"/>
          <w:sz w:val="28"/>
          <w:szCs w:val="28"/>
        </w:rPr>
        <w:br w:type="page"/>
      </w:r>
    </w:p>
    <w:p w:rsidR="00E73C72" w:rsidRPr="00006CBE" w:rsidRDefault="002C7537" w:rsidP="002C7537">
      <w:pPr>
        <w:pStyle w:val="1"/>
        <w:spacing w:line="360" w:lineRule="auto"/>
        <w:jc w:val="center"/>
        <w:rPr>
          <w:rFonts w:ascii="Times New Roman" w:hAnsi="Times New Roman" w:cs="Times New Roman"/>
          <w:color w:val="auto"/>
        </w:rPr>
      </w:pPr>
      <w:bookmarkStart w:id="32" w:name="_Toc356252014"/>
      <w:r w:rsidRPr="002C7537">
        <w:rPr>
          <w:rFonts w:ascii="Times New Roman" w:hAnsi="Times New Roman" w:cs="Times New Roman"/>
          <w:color w:val="auto"/>
        </w:rPr>
        <w:t xml:space="preserve">3. </w:t>
      </w:r>
      <w:r w:rsidR="00B34C78" w:rsidRPr="002C7537">
        <w:rPr>
          <w:rFonts w:ascii="Times New Roman" w:hAnsi="Times New Roman" w:cs="Times New Roman"/>
          <w:color w:val="auto"/>
        </w:rPr>
        <w:t xml:space="preserve">Оценка эффективности сделки </w:t>
      </w:r>
      <w:r w:rsidR="00B34C78" w:rsidRPr="002C7537">
        <w:rPr>
          <w:rFonts w:ascii="Times New Roman" w:hAnsi="Times New Roman" w:cs="Times New Roman"/>
          <w:color w:val="auto"/>
          <w:lang w:val="en-US"/>
        </w:rPr>
        <w:t>Heineken</w:t>
      </w:r>
      <w:r w:rsidR="00B34C78" w:rsidRPr="002C7537">
        <w:rPr>
          <w:rFonts w:ascii="Times New Roman" w:hAnsi="Times New Roman" w:cs="Times New Roman"/>
          <w:color w:val="auto"/>
        </w:rPr>
        <w:t xml:space="preserve"> </w:t>
      </w:r>
      <w:r w:rsidR="00B34C78" w:rsidRPr="002C7537">
        <w:rPr>
          <w:rFonts w:ascii="Times New Roman" w:hAnsi="Times New Roman" w:cs="Times New Roman"/>
          <w:color w:val="auto"/>
          <w:lang w:val="en-US"/>
        </w:rPr>
        <w:t>N</w:t>
      </w:r>
      <w:r w:rsidR="00B34C78" w:rsidRPr="002C7537">
        <w:rPr>
          <w:rFonts w:ascii="Times New Roman" w:hAnsi="Times New Roman" w:cs="Times New Roman"/>
          <w:color w:val="auto"/>
        </w:rPr>
        <w:t>.</w:t>
      </w:r>
      <w:r w:rsidR="00B34C78" w:rsidRPr="002C7537">
        <w:rPr>
          <w:rFonts w:ascii="Times New Roman" w:hAnsi="Times New Roman" w:cs="Times New Roman"/>
          <w:color w:val="auto"/>
          <w:lang w:val="en-US"/>
        </w:rPr>
        <w:t>V</w:t>
      </w:r>
      <w:r w:rsidR="00B34C78" w:rsidRPr="002C7537">
        <w:rPr>
          <w:rFonts w:ascii="Times New Roman" w:hAnsi="Times New Roman" w:cs="Times New Roman"/>
          <w:color w:val="auto"/>
        </w:rPr>
        <w:t xml:space="preserve">. и </w:t>
      </w:r>
      <w:r w:rsidR="00B34C78" w:rsidRPr="002C7537">
        <w:rPr>
          <w:rFonts w:ascii="Times New Roman" w:hAnsi="Times New Roman" w:cs="Times New Roman"/>
          <w:color w:val="auto"/>
          <w:lang w:val="en-US"/>
        </w:rPr>
        <w:t>Asia</w:t>
      </w:r>
      <w:r w:rsidR="00B34C78" w:rsidRPr="002C7537">
        <w:rPr>
          <w:rFonts w:ascii="Times New Roman" w:hAnsi="Times New Roman" w:cs="Times New Roman"/>
          <w:color w:val="auto"/>
        </w:rPr>
        <w:t xml:space="preserve"> </w:t>
      </w:r>
      <w:r w:rsidR="00B34C78" w:rsidRPr="002C7537">
        <w:rPr>
          <w:rFonts w:ascii="Times New Roman" w:hAnsi="Times New Roman" w:cs="Times New Roman"/>
          <w:color w:val="auto"/>
          <w:lang w:val="en-US"/>
        </w:rPr>
        <w:t>Pacific</w:t>
      </w:r>
      <w:r w:rsidR="00B34C78" w:rsidRPr="002C7537">
        <w:rPr>
          <w:rFonts w:ascii="Times New Roman" w:hAnsi="Times New Roman" w:cs="Times New Roman"/>
          <w:color w:val="auto"/>
        </w:rPr>
        <w:t xml:space="preserve"> </w:t>
      </w:r>
      <w:r w:rsidR="00B34C78" w:rsidRPr="002C7537">
        <w:rPr>
          <w:rFonts w:ascii="Times New Roman" w:hAnsi="Times New Roman" w:cs="Times New Roman"/>
          <w:color w:val="auto"/>
          <w:lang w:val="en-US"/>
        </w:rPr>
        <w:t>Breweries</w:t>
      </w:r>
      <w:r w:rsidR="00B34C78" w:rsidRPr="002C7537">
        <w:rPr>
          <w:rFonts w:ascii="Times New Roman" w:hAnsi="Times New Roman" w:cs="Times New Roman"/>
          <w:color w:val="auto"/>
        </w:rPr>
        <w:t xml:space="preserve"> </w:t>
      </w:r>
      <w:r w:rsidR="00B34C78" w:rsidRPr="002C7537">
        <w:rPr>
          <w:rFonts w:ascii="Times New Roman" w:hAnsi="Times New Roman" w:cs="Times New Roman"/>
          <w:color w:val="auto"/>
          <w:lang w:val="en-US"/>
        </w:rPr>
        <w:t>Ltd</w:t>
      </w:r>
      <w:r w:rsidR="00B34C78" w:rsidRPr="002C7537">
        <w:rPr>
          <w:rFonts w:ascii="Times New Roman" w:hAnsi="Times New Roman" w:cs="Times New Roman"/>
          <w:color w:val="auto"/>
        </w:rPr>
        <w:t>.</w:t>
      </w:r>
      <w:bookmarkEnd w:id="32"/>
    </w:p>
    <w:p w:rsidR="002C7537" w:rsidRPr="00006CBE" w:rsidRDefault="002C7537" w:rsidP="002C7537"/>
    <w:p w:rsidR="00700BC1" w:rsidRDefault="00F60401" w:rsidP="00700BC1">
      <w:pPr>
        <w:spacing w:line="360" w:lineRule="auto"/>
        <w:ind w:firstLine="360"/>
        <w:jc w:val="both"/>
        <w:rPr>
          <w:rFonts w:ascii="Times New Roman" w:hAnsi="Times New Roman"/>
          <w:sz w:val="28"/>
          <w:szCs w:val="28"/>
        </w:rPr>
      </w:pPr>
      <w:r>
        <w:rPr>
          <w:rFonts w:ascii="Times New Roman" w:hAnsi="Times New Roman"/>
          <w:sz w:val="28"/>
          <w:szCs w:val="28"/>
        </w:rPr>
        <w:t xml:space="preserve">С целью определения эффективности сделки </w:t>
      </w:r>
      <w:r>
        <w:rPr>
          <w:rFonts w:ascii="Times New Roman" w:hAnsi="Times New Roman"/>
          <w:sz w:val="28"/>
          <w:szCs w:val="28"/>
          <w:lang w:val="en-US"/>
        </w:rPr>
        <w:t>Heineken</w:t>
      </w:r>
      <w:r w:rsidRPr="00F60401">
        <w:rPr>
          <w:rFonts w:ascii="Times New Roman" w:hAnsi="Times New Roman"/>
          <w:sz w:val="28"/>
          <w:szCs w:val="28"/>
        </w:rPr>
        <w:t xml:space="preserve"> </w:t>
      </w:r>
      <w:r>
        <w:rPr>
          <w:rFonts w:ascii="Times New Roman" w:hAnsi="Times New Roman"/>
          <w:sz w:val="28"/>
          <w:szCs w:val="28"/>
          <w:lang w:val="en-US"/>
        </w:rPr>
        <w:t>N</w:t>
      </w:r>
      <w:r w:rsidRPr="00F60401">
        <w:rPr>
          <w:rFonts w:ascii="Times New Roman" w:hAnsi="Times New Roman"/>
          <w:sz w:val="28"/>
          <w:szCs w:val="28"/>
        </w:rPr>
        <w:t>.</w:t>
      </w:r>
      <w:r>
        <w:rPr>
          <w:rFonts w:ascii="Times New Roman" w:hAnsi="Times New Roman"/>
          <w:sz w:val="28"/>
          <w:szCs w:val="28"/>
          <w:lang w:val="en-US"/>
        </w:rPr>
        <w:t>V</w:t>
      </w:r>
      <w:r w:rsidRPr="00F60401">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Asia</w:t>
      </w:r>
      <w:r w:rsidRPr="00F60401">
        <w:rPr>
          <w:rFonts w:ascii="Times New Roman" w:hAnsi="Times New Roman"/>
          <w:sz w:val="28"/>
          <w:szCs w:val="28"/>
        </w:rPr>
        <w:t xml:space="preserve"> </w:t>
      </w:r>
      <w:r>
        <w:rPr>
          <w:rFonts w:ascii="Times New Roman" w:hAnsi="Times New Roman"/>
          <w:sz w:val="28"/>
          <w:szCs w:val="28"/>
          <w:lang w:val="en-US"/>
        </w:rPr>
        <w:t>Pacific</w:t>
      </w:r>
      <w:r w:rsidRPr="00F60401">
        <w:rPr>
          <w:rFonts w:ascii="Times New Roman" w:hAnsi="Times New Roman"/>
          <w:sz w:val="28"/>
          <w:szCs w:val="28"/>
        </w:rPr>
        <w:t xml:space="preserve"> </w:t>
      </w:r>
      <w:r>
        <w:rPr>
          <w:rFonts w:ascii="Times New Roman" w:hAnsi="Times New Roman"/>
          <w:sz w:val="28"/>
          <w:szCs w:val="28"/>
          <w:lang w:val="en-US"/>
        </w:rPr>
        <w:t>breweries</w:t>
      </w:r>
      <w:r w:rsidRPr="00F60401">
        <w:rPr>
          <w:rFonts w:ascii="Times New Roman" w:hAnsi="Times New Roman"/>
          <w:sz w:val="28"/>
          <w:szCs w:val="28"/>
        </w:rPr>
        <w:t xml:space="preserve"> </w:t>
      </w:r>
      <w:r>
        <w:rPr>
          <w:rFonts w:ascii="Times New Roman" w:hAnsi="Times New Roman"/>
          <w:sz w:val="28"/>
          <w:szCs w:val="28"/>
          <w:lang w:val="en-US"/>
        </w:rPr>
        <w:t>Ltd</w:t>
      </w:r>
      <w:r w:rsidRPr="00F60401">
        <w:rPr>
          <w:rFonts w:ascii="Times New Roman" w:hAnsi="Times New Roman"/>
          <w:sz w:val="28"/>
          <w:szCs w:val="28"/>
        </w:rPr>
        <w:t>.</w:t>
      </w:r>
      <w:r>
        <w:rPr>
          <w:rFonts w:ascii="Times New Roman" w:hAnsi="Times New Roman"/>
          <w:sz w:val="28"/>
          <w:szCs w:val="28"/>
        </w:rPr>
        <w:t xml:space="preserve"> была произведена оценка стоимости компании </w:t>
      </w:r>
      <w:r>
        <w:rPr>
          <w:rFonts w:ascii="Times New Roman" w:hAnsi="Times New Roman"/>
          <w:sz w:val="28"/>
          <w:szCs w:val="28"/>
          <w:lang w:val="en-US"/>
        </w:rPr>
        <w:t>Heineken</w:t>
      </w:r>
      <w:r w:rsidRPr="00F60401">
        <w:rPr>
          <w:rFonts w:ascii="Times New Roman" w:hAnsi="Times New Roman"/>
          <w:sz w:val="28"/>
          <w:szCs w:val="28"/>
        </w:rPr>
        <w:t xml:space="preserve"> </w:t>
      </w:r>
      <w:r>
        <w:rPr>
          <w:rFonts w:ascii="Times New Roman" w:hAnsi="Times New Roman"/>
          <w:sz w:val="28"/>
          <w:szCs w:val="28"/>
          <w:lang w:val="en-US"/>
        </w:rPr>
        <w:t>N</w:t>
      </w:r>
      <w:r w:rsidRPr="00F60401">
        <w:rPr>
          <w:rFonts w:ascii="Times New Roman" w:hAnsi="Times New Roman"/>
          <w:sz w:val="28"/>
          <w:szCs w:val="28"/>
        </w:rPr>
        <w:t>.</w:t>
      </w:r>
      <w:r>
        <w:rPr>
          <w:rFonts w:ascii="Times New Roman" w:hAnsi="Times New Roman"/>
          <w:sz w:val="28"/>
          <w:szCs w:val="28"/>
          <w:lang w:val="en-US"/>
        </w:rPr>
        <w:t>V</w:t>
      </w:r>
      <w:r w:rsidRPr="00F60401">
        <w:rPr>
          <w:rFonts w:ascii="Times New Roman" w:hAnsi="Times New Roman"/>
          <w:sz w:val="28"/>
          <w:szCs w:val="28"/>
        </w:rPr>
        <w:t xml:space="preserve">. </w:t>
      </w:r>
      <w:r>
        <w:rPr>
          <w:rFonts w:ascii="Times New Roman" w:hAnsi="Times New Roman"/>
          <w:sz w:val="28"/>
          <w:szCs w:val="28"/>
        </w:rPr>
        <w:t xml:space="preserve">по состоянию на 27 марта 2013 г. с учетом интегрированного бизнеса </w:t>
      </w:r>
      <w:r>
        <w:rPr>
          <w:rFonts w:ascii="Times New Roman" w:hAnsi="Times New Roman"/>
          <w:sz w:val="28"/>
          <w:szCs w:val="28"/>
          <w:lang w:val="en-US"/>
        </w:rPr>
        <w:t>Asia</w:t>
      </w:r>
      <w:r w:rsidRPr="00F60401">
        <w:rPr>
          <w:rFonts w:ascii="Times New Roman" w:hAnsi="Times New Roman"/>
          <w:sz w:val="28"/>
          <w:szCs w:val="28"/>
        </w:rPr>
        <w:t xml:space="preserve"> </w:t>
      </w:r>
      <w:r>
        <w:rPr>
          <w:rFonts w:ascii="Times New Roman" w:hAnsi="Times New Roman"/>
          <w:sz w:val="28"/>
          <w:szCs w:val="28"/>
          <w:lang w:val="en-US"/>
        </w:rPr>
        <w:t>Pacific</w:t>
      </w:r>
      <w:r w:rsidRPr="000C4F5A">
        <w:rPr>
          <w:rFonts w:ascii="Times New Roman" w:hAnsi="Times New Roman"/>
          <w:sz w:val="28"/>
          <w:szCs w:val="28"/>
        </w:rPr>
        <w:t xml:space="preserve"> </w:t>
      </w:r>
      <w:r>
        <w:rPr>
          <w:rFonts w:ascii="Times New Roman" w:hAnsi="Times New Roman"/>
          <w:sz w:val="28"/>
          <w:szCs w:val="28"/>
          <w:lang w:val="en-US"/>
        </w:rPr>
        <w:t>Breweries</w:t>
      </w:r>
      <w:r w:rsidRPr="000C4F5A">
        <w:rPr>
          <w:rFonts w:ascii="Times New Roman" w:hAnsi="Times New Roman"/>
          <w:sz w:val="28"/>
          <w:szCs w:val="28"/>
        </w:rPr>
        <w:t xml:space="preserve"> </w:t>
      </w:r>
      <w:r>
        <w:rPr>
          <w:rFonts w:ascii="Times New Roman" w:hAnsi="Times New Roman"/>
          <w:sz w:val="28"/>
          <w:szCs w:val="28"/>
          <w:lang w:val="en-US"/>
        </w:rPr>
        <w:t>Ltd</w:t>
      </w:r>
      <w:r w:rsidRPr="000C4F5A">
        <w:rPr>
          <w:rFonts w:ascii="Times New Roman" w:hAnsi="Times New Roman"/>
          <w:sz w:val="28"/>
          <w:szCs w:val="28"/>
        </w:rPr>
        <w:t xml:space="preserve">. </w:t>
      </w:r>
    </w:p>
    <w:p w:rsidR="00700BC1" w:rsidRPr="005439AF" w:rsidRDefault="00753778" w:rsidP="00700BC1">
      <w:pPr>
        <w:spacing w:line="360" w:lineRule="auto"/>
        <w:ind w:firstLine="360"/>
        <w:jc w:val="both"/>
        <w:rPr>
          <w:rFonts w:ascii="Times New Roman" w:hAnsi="Times New Roman"/>
          <w:sz w:val="28"/>
          <w:szCs w:val="28"/>
        </w:rPr>
      </w:pPr>
      <w:r>
        <w:rPr>
          <w:rFonts w:ascii="Times New Roman" w:hAnsi="Times New Roman"/>
          <w:sz w:val="28"/>
          <w:szCs w:val="28"/>
        </w:rPr>
        <w:t>Результат</w:t>
      </w:r>
      <w:r w:rsidRPr="00753778">
        <w:rPr>
          <w:rFonts w:ascii="Times New Roman" w:hAnsi="Times New Roman"/>
          <w:sz w:val="28"/>
          <w:szCs w:val="28"/>
        </w:rPr>
        <w:t xml:space="preserve"> проведенной оценки стоимости компании </w:t>
      </w:r>
      <w:r w:rsidRPr="00753778">
        <w:rPr>
          <w:rFonts w:ascii="Times New Roman" w:hAnsi="Times New Roman"/>
          <w:sz w:val="28"/>
          <w:szCs w:val="28"/>
          <w:lang w:val="en-US"/>
        </w:rPr>
        <w:t>Heineken</w:t>
      </w:r>
      <w:r w:rsidRPr="00753778">
        <w:rPr>
          <w:rFonts w:ascii="Times New Roman" w:hAnsi="Times New Roman"/>
          <w:sz w:val="28"/>
          <w:szCs w:val="28"/>
        </w:rPr>
        <w:t xml:space="preserve"> </w:t>
      </w:r>
      <w:r w:rsidRPr="00753778">
        <w:rPr>
          <w:rFonts w:ascii="Times New Roman" w:hAnsi="Times New Roman"/>
          <w:sz w:val="28"/>
          <w:szCs w:val="28"/>
          <w:lang w:val="en-US"/>
        </w:rPr>
        <w:t>N</w:t>
      </w:r>
      <w:r>
        <w:rPr>
          <w:rFonts w:ascii="Times New Roman" w:hAnsi="Times New Roman"/>
          <w:sz w:val="28"/>
          <w:szCs w:val="28"/>
        </w:rPr>
        <w:t>.</w:t>
      </w:r>
      <w:r w:rsidRPr="00753778">
        <w:rPr>
          <w:rFonts w:ascii="Times New Roman" w:hAnsi="Times New Roman"/>
          <w:sz w:val="28"/>
          <w:szCs w:val="28"/>
          <w:lang w:val="en-US"/>
        </w:rPr>
        <w:t>V</w:t>
      </w:r>
      <w:r>
        <w:rPr>
          <w:rFonts w:ascii="Times New Roman" w:hAnsi="Times New Roman"/>
          <w:sz w:val="28"/>
          <w:szCs w:val="28"/>
        </w:rPr>
        <w:t xml:space="preserve">. получен </w:t>
      </w:r>
      <w:r w:rsidRPr="005439AF">
        <w:rPr>
          <w:rFonts w:ascii="Times New Roman" w:hAnsi="Times New Roman"/>
          <w:sz w:val="28"/>
          <w:szCs w:val="28"/>
        </w:rPr>
        <w:t xml:space="preserve">путем согласования доходного и сравнительного подходов к оценке с присваиванием им следующих весов: доходный </w:t>
      </w:r>
      <w:r w:rsidR="009D7597" w:rsidRPr="005439AF">
        <w:rPr>
          <w:rFonts w:ascii="Times New Roman" w:hAnsi="Times New Roman"/>
          <w:sz w:val="28"/>
          <w:szCs w:val="28"/>
        </w:rPr>
        <w:t>метод</w:t>
      </w:r>
      <w:r w:rsidRPr="005439AF">
        <w:rPr>
          <w:rFonts w:ascii="Times New Roman" w:hAnsi="Times New Roman"/>
          <w:sz w:val="28"/>
          <w:szCs w:val="28"/>
        </w:rPr>
        <w:t xml:space="preserve"> – 55%, рыночный – 45%. </w:t>
      </w:r>
      <w:r w:rsidR="009D7597" w:rsidRPr="005439AF">
        <w:rPr>
          <w:rFonts w:ascii="Times New Roman" w:hAnsi="Times New Roman"/>
          <w:sz w:val="28"/>
          <w:szCs w:val="28"/>
        </w:rPr>
        <w:t xml:space="preserve">«Футбольное поле оценки» является результатом проведенного анализа и позволяет получить финальное обоснованное заключение о стоимости бизнеса. </w:t>
      </w:r>
      <w:r w:rsidR="00700BC1" w:rsidRPr="005439AF">
        <w:rPr>
          <w:rFonts w:ascii="Times New Roman" w:hAnsi="Times New Roman"/>
          <w:sz w:val="28"/>
          <w:szCs w:val="28"/>
        </w:rPr>
        <w:t xml:space="preserve"> </w:t>
      </w:r>
    </w:p>
    <w:p w:rsidR="00F60401" w:rsidRPr="005439AF" w:rsidRDefault="00700BC1" w:rsidP="00B46156">
      <w:pPr>
        <w:spacing w:line="360" w:lineRule="auto"/>
        <w:ind w:firstLine="360"/>
        <w:jc w:val="both"/>
        <w:rPr>
          <w:rFonts w:ascii="Times New Roman" w:hAnsi="Times New Roman"/>
          <w:sz w:val="28"/>
          <w:szCs w:val="28"/>
        </w:rPr>
      </w:pPr>
      <w:r w:rsidRPr="005439AF">
        <w:rPr>
          <w:rFonts w:ascii="Times New Roman" w:hAnsi="Times New Roman"/>
          <w:sz w:val="28"/>
          <w:szCs w:val="28"/>
        </w:rPr>
        <w:t xml:space="preserve">Также был проведен анализ </w:t>
      </w:r>
      <w:r w:rsidR="00B46156">
        <w:rPr>
          <w:rFonts w:ascii="Times New Roman" w:hAnsi="Times New Roman"/>
          <w:sz w:val="28"/>
          <w:szCs w:val="28"/>
        </w:rPr>
        <w:t xml:space="preserve">чистой </w:t>
      </w:r>
      <w:r w:rsidRPr="005439AF">
        <w:rPr>
          <w:rFonts w:ascii="Times New Roman" w:hAnsi="Times New Roman"/>
          <w:sz w:val="28"/>
          <w:szCs w:val="28"/>
        </w:rPr>
        <w:t>прибыли на акцию компании</w:t>
      </w:r>
      <w:r w:rsidR="00B46156">
        <w:rPr>
          <w:rFonts w:ascii="Times New Roman" w:hAnsi="Times New Roman"/>
          <w:sz w:val="28"/>
          <w:szCs w:val="28"/>
        </w:rPr>
        <w:t xml:space="preserve"> до и после объявления о сделке</w:t>
      </w:r>
      <w:r w:rsidRPr="005439AF">
        <w:rPr>
          <w:rFonts w:ascii="Times New Roman" w:hAnsi="Times New Roman"/>
          <w:sz w:val="28"/>
          <w:szCs w:val="28"/>
        </w:rPr>
        <w:t>.</w:t>
      </w:r>
    </w:p>
    <w:p w:rsidR="00700BC1" w:rsidRPr="00022ED2" w:rsidRDefault="002C7537" w:rsidP="00022ED2">
      <w:pPr>
        <w:pStyle w:val="2"/>
        <w:spacing w:line="720" w:lineRule="auto"/>
        <w:jc w:val="center"/>
        <w:rPr>
          <w:rFonts w:ascii="Times New Roman" w:hAnsi="Times New Roman" w:cs="Times New Roman"/>
          <w:color w:val="auto"/>
          <w:sz w:val="28"/>
          <w:szCs w:val="28"/>
        </w:rPr>
      </w:pPr>
      <w:bookmarkStart w:id="33" w:name="_Toc356252015"/>
      <w:r w:rsidRPr="00022ED2">
        <w:rPr>
          <w:rFonts w:ascii="Times New Roman" w:hAnsi="Times New Roman" w:cs="Times New Roman"/>
          <w:color w:val="auto"/>
          <w:sz w:val="28"/>
          <w:szCs w:val="28"/>
        </w:rPr>
        <w:t xml:space="preserve">3.1 </w:t>
      </w:r>
      <w:r w:rsidR="005439AF" w:rsidRPr="00022ED2">
        <w:rPr>
          <w:rFonts w:ascii="Times New Roman" w:hAnsi="Times New Roman" w:cs="Times New Roman"/>
          <w:color w:val="auto"/>
          <w:sz w:val="28"/>
          <w:szCs w:val="28"/>
        </w:rPr>
        <w:t>Построение модели Дисконтированных Денежных Потоков</w:t>
      </w:r>
      <w:r w:rsidR="00CC4B87" w:rsidRPr="00022ED2">
        <w:rPr>
          <w:rFonts w:ascii="Times New Roman" w:hAnsi="Times New Roman" w:cs="Times New Roman"/>
          <w:color w:val="auto"/>
          <w:sz w:val="28"/>
          <w:szCs w:val="28"/>
        </w:rPr>
        <w:t xml:space="preserve"> (ДДП)</w:t>
      </w:r>
      <w:bookmarkEnd w:id="33"/>
    </w:p>
    <w:p w:rsidR="005439AF" w:rsidRDefault="005439AF" w:rsidP="005439AF">
      <w:pPr>
        <w:spacing w:line="360" w:lineRule="auto"/>
        <w:ind w:firstLine="360"/>
        <w:jc w:val="both"/>
        <w:rPr>
          <w:rFonts w:ascii="Times New Roman" w:hAnsi="Times New Roman"/>
          <w:sz w:val="28"/>
          <w:szCs w:val="28"/>
        </w:rPr>
      </w:pPr>
      <w:r w:rsidRPr="005439AF">
        <w:rPr>
          <w:rFonts w:ascii="Times New Roman" w:hAnsi="Times New Roman"/>
          <w:sz w:val="28"/>
          <w:szCs w:val="28"/>
        </w:rPr>
        <w:t>Метод дисконтированных денежных потоков позволяет оценить текущую стоимость бизнеса, основываясь на предположениях, какой доход (размер денежных потоков) компания будет способна приносить в будущем</w:t>
      </w:r>
      <w:r>
        <w:rPr>
          <w:rFonts w:ascii="Times New Roman" w:hAnsi="Times New Roman"/>
          <w:sz w:val="28"/>
          <w:szCs w:val="28"/>
        </w:rPr>
        <w:t xml:space="preserve">. </w:t>
      </w:r>
    </w:p>
    <w:p w:rsidR="00446F24" w:rsidRDefault="00CC4B87" w:rsidP="005439AF">
      <w:pPr>
        <w:spacing w:line="360" w:lineRule="auto"/>
        <w:ind w:firstLine="360"/>
        <w:jc w:val="both"/>
        <w:rPr>
          <w:rFonts w:ascii="Times New Roman" w:hAnsi="Times New Roman"/>
          <w:sz w:val="28"/>
          <w:szCs w:val="28"/>
        </w:rPr>
      </w:pPr>
      <w:r>
        <w:rPr>
          <w:rFonts w:ascii="Times New Roman" w:hAnsi="Times New Roman"/>
          <w:sz w:val="28"/>
          <w:szCs w:val="28"/>
        </w:rPr>
        <w:t>Построение операционной ДДП модели связано в первую очередь с анализом исторической отчетности компании. На основании</w:t>
      </w:r>
      <w:r w:rsidR="00434FAB">
        <w:rPr>
          <w:rFonts w:ascii="Times New Roman" w:hAnsi="Times New Roman"/>
          <w:sz w:val="28"/>
          <w:szCs w:val="28"/>
        </w:rPr>
        <w:t xml:space="preserve"> </w:t>
      </w:r>
      <w:r w:rsidR="00446F24">
        <w:rPr>
          <w:rFonts w:ascii="Times New Roman" w:hAnsi="Times New Roman"/>
          <w:sz w:val="28"/>
          <w:szCs w:val="28"/>
        </w:rPr>
        <w:t xml:space="preserve">исторических данных </w:t>
      </w:r>
      <w:r w:rsidR="00446F24">
        <w:rPr>
          <w:rFonts w:ascii="Times New Roman" w:hAnsi="Times New Roman"/>
          <w:sz w:val="28"/>
          <w:szCs w:val="28"/>
          <w:lang w:val="en-US"/>
        </w:rPr>
        <w:t>Heineken</w:t>
      </w:r>
      <w:r w:rsidR="00446F24" w:rsidRPr="00446F24">
        <w:rPr>
          <w:rFonts w:ascii="Times New Roman" w:hAnsi="Times New Roman"/>
          <w:sz w:val="28"/>
          <w:szCs w:val="28"/>
        </w:rPr>
        <w:t xml:space="preserve"> </w:t>
      </w:r>
      <w:r w:rsidR="00446F24">
        <w:rPr>
          <w:rFonts w:ascii="Times New Roman" w:hAnsi="Times New Roman"/>
          <w:sz w:val="28"/>
          <w:szCs w:val="28"/>
          <w:lang w:val="en-US"/>
        </w:rPr>
        <w:t>N</w:t>
      </w:r>
      <w:r w:rsidR="00446F24" w:rsidRPr="00446F24">
        <w:rPr>
          <w:rFonts w:ascii="Times New Roman" w:hAnsi="Times New Roman"/>
          <w:sz w:val="28"/>
          <w:szCs w:val="28"/>
        </w:rPr>
        <w:t>.</w:t>
      </w:r>
      <w:r w:rsidR="00446F24">
        <w:rPr>
          <w:rFonts w:ascii="Times New Roman" w:hAnsi="Times New Roman"/>
          <w:sz w:val="28"/>
          <w:szCs w:val="28"/>
          <w:lang w:val="en-US"/>
        </w:rPr>
        <w:t>V</w:t>
      </w:r>
      <w:r w:rsidR="00446F24" w:rsidRPr="00446F24">
        <w:rPr>
          <w:rFonts w:ascii="Times New Roman" w:hAnsi="Times New Roman"/>
          <w:sz w:val="28"/>
          <w:szCs w:val="28"/>
        </w:rPr>
        <w:t xml:space="preserve">. </w:t>
      </w:r>
      <w:r w:rsidR="00446F24">
        <w:rPr>
          <w:rFonts w:ascii="Times New Roman" w:hAnsi="Times New Roman"/>
          <w:sz w:val="28"/>
          <w:szCs w:val="28"/>
        </w:rPr>
        <w:t>был сделан прогноз относительно основных издержек компании</w:t>
      </w:r>
      <w:r w:rsidR="00A3084D">
        <w:rPr>
          <w:rFonts w:ascii="Times New Roman" w:hAnsi="Times New Roman"/>
          <w:sz w:val="28"/>
          <w:szCs w:val="28"/>
        </w:rPr>
        <w:t xml:space="preserve">, </w:t>
      </w:r>
      <w:r w:rsidR="00557201">
        <w:rPr>
          <w:rFonts w:ascii="Times New Roman" w:hAnsi="Times New Roman"/>
          <w:sz w:val="28"/>
          <w:szCs w:val="28"/>
        </w:rPr>
        <w:t>чаще всего как фиксированный процент от выручки</w:t>
      </w:r>
      <w:r w:rsidR="00446F24">
        <w:rPr>
          <w:rFonts w:ascii="Times New Roman" w:hAnsi="Times New Roman"/>
          <w:sz w:val="28"/>
          <w:szCs w:val="28"/>
        </w:rPr>
        <w:t xml:space="preserve">. </w:t>
      </w:r>
    </w:p>
    <w:p w:rsidR="00EB3D0C" w:rsidRDefault="00EB3D0C" w:rsidP="00EB3D0C">
      <w:pPr>
        <w:spacing w:line="360" w:lineRule="auto"/>
        <w:ind w:firstLine="360"/>
        <w:jc w:val="both"/>
        <w:rPr>
          <w:rFonts w:ascii="Times New Roman" w:hAnsi="Times New Roman"/>
          <w:sz w:val="28"/>
          <w:szCs w:val="28"/>
        </w:rPr>
      </w:pPr>
      <w:r>
        <w:rPr>
          <w:rFonts w:ascii="Times New Roman" w:hAnsi="Times New Roman"/>
          <w:sz w:val="28"/>
          <w:szCs w:val="28"/>
        </w:rPr>
        <w:t>Основные предпосылки модели</w:t>
      </w:r>
      <w:r w:rsidR="002427C1">
        <w:rPr>
          <w:rStyle w:val="a5"/>
          <w:rFonts w:ascii="Times New Roman" w:hAnsi="Times New Roman"/>
          <w:sz w:val="28"/>
          <w:szCs w:val="28"/>
        </w:rPr>
        <w:footnoteReference w:id="27"/>
      </w:r>
      <w:r>
        <w:rPr>
          <w:rFonts w:ascii="Times New Roman" w:hAnsi="Times New Roman"/>
          <w:sz w:val="28"/>
          <w:szCs w:val="28"/>
        </w:rPr>
        <w:t>:</w:t>
      </w:r>
    </w:p>
    <w:p w:rsidR="002427C1" w:rsidRDefault="002427C1" w:rsidP="002427C1">
      <w:pPr>
        <w:pStyle w:val="a6"/>
        <w:numPr>
          <w:ilvl w:val="0"/>
          <w:numId w:val="24"/>
        </w:numPr>
        <w:spacing w:line="360" w:lineRule="auto"/>
        <w:jc w:val="both"/>
        <w:rPr>
          <w:rFonts w:ascii="Times New Roman" w:hAnsi="Times New Roman"/>
          <w:sz w:val="28"/>
          <w:szCs w:val="28"/>
        </w:rPr>
      </w:pPr>
      <w:r w:rsidRPr="002427C1">
        <w:rPr>
          <w:rFonts w:ascii="Times New Roman" w:hAnsi="Times New Roman"/>
          <w:sz w:val="28"/>
          <w:szCs w:val="28"/>
        </w:rPr>
        <w:t xml:space="preserve">Амортизационные отчисления прогнозируются как процент от основных средств компании </w:t>
      </w:r>
      <w:r>
        <w:rPr>
          <w:rFonts w:ascii="Times New Roman" w:hAnsi="Times New Roman"/>
          <w:sz w:val="28"/>
          <w:szCs w:val="28"/>
        </w:rPr>
        <w:t>на начало периода в размере 6%;</w:t>
      </w:r>
    </w:p>
    <w:p w:rsidR="002427C1" w:rsidRDefault="002427C1" w:rsidP="002427C1">
      <w:pPr>
        <w:pStyle w:val="a6"/>
        <w:numPr>
          <w:ilvl w:val="0"/>
          <w:numId w:val="24"/>
        </w:numPr>
        <w:spacing w:line="360" w:lineRule="auto"/>
        <w:jc w:val="both"/>
        <w:rPr>
          <w:rFonts w:ascii="Times New Roman" w:hAnsi="Times New Roman"/>
          <w:sz w:val="28"/>
          <w:szCs w:val="28"/>
        </w:rPr>
      </w:pPr>
      <w:r>
        <w:rPr>
          <w:rFonts w:ascii="Times New Roman" w:hAnsi="Times New Roman"/>
          <w:sz w:val="28"/>
          <w:szCs w:val="28"/>
        </w:rPr>
        <w:t>Дивиденды акционеров и миноритариев</w:t>
      </w:r>
      <w:r w:rsidRPr="002427C1">
        <w:rPr>
          <w:rFonts w:ascii="Times New Roman" w:hAnsi="Times New Roman"/>
          <w:sz w:val="28"/>
          <w:szCs w:val="28"/>
        </w:rPr>
        <w:t xml:space="preserve"> компании </w:t>
      </w:r>
      <w:r w:rsidRPr="002427C1">
        <w:rPr>
          <w:rFonts w:ascii="Times New Roman" w:hAnsi="Times New Roman"/>
          <w:sz w:val="28"/>
          <w:szCs w:val="28"/>
          <w:lang w:val="en-US"/>
        </w:rPr>
        <w:t>Heineken</w:t>
      </w:r>
      <w:r w:rsidRPr="002427C1">
        <w:rPr>
          <w:rFonts w:ascii="Times New Roman" w:hAnsi="Times New Roman"/>
          <w:sz w:val="28"/>
          <w:szCs w:val="28"/>
        </w:rPr>
        <w:t xml:space="preserve"> </w:t>
      </w:r>
      <w:r w:rsidRPr="002427C1">
        <w:rPr>
          <w:rFonts w:ascii="Times New Roman" w:hAnsi="Times New Roman"/>
          <w:sz w:val="28"/>
          <w:szCs w:val="28"/>
          <w:lang w:val="en-US"/>
        </w:rPr>
        <w:t>N</w:t>
      </w:r>
      <w:r w:rsidRPr="002427C1">
        <w:rPr>
          <w:rFonts w:ascii="Times New Roman" w:hAnsi="Times New Roman"/>
          <w:sz w:val="28"/>
          <w:szCs w:val="28"/>
        </w:rPr>
        <w:t>.</w:t>
      </w:r>
      <w:r w:rsidRPr="002427C1">
        <w:rPr>
          <w:rFonts w:ascii="Times New Roman" w:hAnsi="Times New Roman"/>
          <w:sz w:val="28"/>
          <w:szCs w:val="28"/>
          <w:lang w:val="en-US"/>
        </w:rPr>
        <w:t>V</w:t>
      </w:r>
      <w:r>
        <w:rPr>
          <w:rFonts w:ascii="Times New Roman" w:hAnsi="Times New Roman"/>
          <w:sz w:val="28"/>
          <w:szCs w:val="28"/>
        </w:rPr>
        <w:t>. прогнозируются в размере 30% от чистой прибыли в соответствии с политикой выплаты дивидендов</w:t>
      </w:r>
      <w:r>
        <w:rPr>
          <w:rStyle w:val="a5"/>
          <w:rFonts w:ascii="Times New Roman" w:hAnsi="Times New Roman"/>
          <w:sz w:val="28"/>
          <w:szCs w:val="28"/>
        </w:rPr>
        <w:footnoteReference w:id="28"/>
      </w:r>
      <w:r>
        <w:rPr>
          <w:rFonts w:ascii="Times New Roman" w:hAnsi="Times New Roman"/>
          <w:sz w:val="28"/>
          <w:szCs w:val="28"/>
        </w:rPr>
        <w:t>;</w:t>
      </w:r>
    </w:p>
    <w:p w:rsidR="000C238B" w:rsidRPr="000C238B" w:rsidRDefault="000C238B" w:rsidP="000C238B">
      <w:pPr>
        <w:pStyle w:val="a6"/>
        <w:numPr>
          <w:ilvl w:val="0"/>
          <w:numId w:val="24"/>
        </w:numPr>
        <w:spacing w:line="360" w:lineRule="auto"/>
        <w:jc w:val="both"/>
        <w:rPr>
          <w:rFonts w:ascii="Times New Roman" w:hAnsi="Times New Roman"/>
          <w:sz w:val="28"/>
          <w:szCs w:val="28"/>
        </w:rPr>
      </w:pPr>
      <w:r w:rsidRPr="000C238B">
        <w:rPr>
          <w:rFonts w:ascii="Times New Roman" w:hAnsi="Times New Roman"/>
          <w:sz w:val="28"/>
          <w:szCs w:val="28"/>
        </w:rPr>
        <w:t>Себестоимость произведенной продукции (</w:t>
      </w:r>
      <w:r w:rsidRPr="000C238B">
        <w:rPr>
          <w:rFonts w:ascii="Times New Roman" w:hAnsi="Times New Roman"/>
          <w:sz w:val="28"/>
          <w:szCs w:val="28"/>
          <w:lang w:val="en-US"/>
        </w:rPr>
        <w:t>cost</w:t>
      </w:r>
      <w:r w:rsidRPr="000C238B">
        <w:rPr>
          <w:rFonts w:ascii="Times New Roman" w:hAnsi="Times New Roman"/>
          <w:sz w:val="28"/>
          <w:szCs w:val="28"/>
        </w:rPr>
        <w:t xml:space="preserve"> </w:t>
      </w:r>
      <w:r w:rsidRPr="000C238B">
        <w:rPr>
          <w:rFonts w:ascii="Times New Roman" w:hAnsi="Times New Roman"/>
          <w:sz w:val="28"/>
          <w:szCs w:val="28"/>
          <w:lang w:val="en-US"/>
        </w:rPr>
        <w:t>of</w:t>
      </w:r>
      <w:r w:rsidRPr="000C238B">
        <w:rPr>
          <w:rFonts w:ascii="Times New Roman" w:hAnsi="Times New Roman"/>
          <w:sz w:val="28"/>
          <w:szCs w:val="28"/>
        </w:rPr>
        <w:t xml:space="preserve"> </w:t>
      </w:r>
      <w:r w:rsidRPr="000C238B">
        <w:rPr>
          <w:rFonts w:ascii="Times New Roman" w:hAnsi="Times New Roman"/>
          <w:sz w:val="28"/>
          <w:szCs w:val="28"/>
          <w:lang w:val="en-US"/>
        </w:rPr>
        <w:t>goods</w:t>
      </w:r>
      <w:r w:rsidRPr="000C238B">
        <w:rPr>
          <w:rFonts w:ascii="Times New Roman" w:hAnsi="Times New Roman"/>
          <w:sz w:val="28"/>
          <w:szCs w:val="28"/>
        </w:rPr>
        <w:t xml:space="preserve"> </w:t>
      </w:r>
      <w:r w:rsidRPr="000C238B">
        <w:rPr>
          <w:rFonts w:ascii="Times New Roman" w:hAnsi="Times New Roman"/>
          <w:sz w:val="28"/>
          <w:szCs w:val="28"/>
          <w:lang w:val="en-US"/>
        </w:rPr>
        <w:t>sold</w:t>
      </w:r>
      <w:r w:rsidRPr="000C238B">
        <w:rPr>
          <w:rFonts w:ascii="Times New Roman" w:hAnsi="Times New Roman"/>
          <w:sz w:val="28"/>
          <w:szCs w:val="28"/>
        </w:rPr>
        <w:t xml:space="preserve"> – </w:t>
      </w:r>
      <w:r w:rsidRPr="000C238B">
        <w:rPr>
          <w:rFonts w:ascii="Times New Roman" w:hAnsi="Times New Roman"/>
          <w:sz w:val="28"/>
          <w:szCs w:val="28"/>
          <w:lang w:val="en-US"/>
        </w:rPr>
        <w:t>COGS</w:t>
      </w:r>
      <w:r w:rsidRPr="000C238B">
        <w:rPr>
          <w:rFonts w:ascii="Times New Roman" w:hAnsi="Times New Roman"/>
          <w:sz w:val="28"/>
          <w:szCs w:val="28"/>
        </w:rPr>
        <w:t xml:space="preserve">) прогнозируется в размере 32%; </w:t>
      </w:r>
    </w:p>
    <w:p w:rsidR="000C238B" w:rsidRPr="000C238B" w:rsidRDefault="000C238B" w:rsidP="000C238B">
      <w:pPr>
        <w:pStyle w:val="a6"/>
        <w:numPr>
          <w:ilvl w:val="0"/>
          <w:numId w:val="24"/>
        </w:numPr>
        <w:spacing w:line="360" w:lineRule="auto"/>
        <w:jc w:val="both"/>
        <w:rPr>
          <w:rFonts w:ascii="Times New Roman" w:hAnsi="Times New Roman"/>
          <w:sz w:val="28"/>
          <w:szCs w:val="28"/>
        </w:rPr>
      </w:pPr>
      <w:r w:rsidRPr="000C238B">
        <w:rPr>
          <w:rFonts w:ascii="Times New Roman" w:hAnsi="Times New Roman"/>
          <w:sz w:val="28"/>
          <w:szCs w:val="28"/>
        </w:rPr>
        <w:t>Административно-хозяйственные расходы (</w:t>
      </w:r>
      <w:r w:rsidRPr="000C238B">
        <w:rPr>
          <w:rFonts w:ascii="Times New Roman" w:hAnsi="Times New Roman"/>
          <w:sz w:val="28"/>
          <w:szCs w:val="28"/>
          <w:lang w:val="en-US"/>
        </w:rPr>
        <w:t>SG</w:t>
      </w:r>
      <w:r w:rsidRPr="000C238B">
        <w:rPr>
          <w:rFonts w:ascii="Times New Roman" w:hAnsi="Times New Roman"/>
          <w:sz w:val="28"/>
          <w:szCs w:val="28"/>
        </w:rPr>
        <w:t>&amp;</w:t>
      </w:r>
      <w:r w:rsidRPr="000C238B">
        <w:rPr>
          <w:rFonts w:ascii="Times New Roman" w:hAnsi="Times New Roman"/>
          <w:sz w:val="28"/>
          <w:szCs w:val="28"/>
          <w:lang w:val="en-US"/>
        </w:rPr>
        <w:t>A</w:t>
      </w:r>
      <w:r w:rsidRPr="000C238B">
        <w:rPr>
          <w:rFonts w:ascii="Times New Roman" w:hAnsi="Times New Roman"/>
          <w:sz w:val="28"/>
          <w:szCs w:val="28"/>
        </w:rPr>
        <w:t>) –  в размере 44%.</w:t>
      </w:r>
    </w:p>
    <w:p w:rsidR="000C238B" w:rsidRDefault="00CB23B4" w:rsidP="00CB23B4">
      <w:pPr>
        <w:pStyle w:val="a6"/>
        <w:numPr>
          <w:ilvl w:val="0"/>
          <w:numId w:val="24"/>
        </w:numPr>
        <w:spacing w:line="360" w:lineRule="auto"/>
        <w:jc w:val="both"/>
        <w:rPr>
          <w:rFonts w:ascii="Times New Roman" w:hAnsi="Times New Roman"/>
          <w:sz w:val="28"/>
          <w:szCs w:val="28"/>
        </w:rPr>
      </w:pPr>
      <w:r w:rsidRPr="00CB23B4">
        <w:rPr>
          <w:rFonts w:ascii="Times New Roman" w:hAnsi="Times New Roman"/>
          <w:sz w:val="28"/>
          <w:szCs w:val="28"/>
        </w:rPr>
        <w:t>Дебиторская задолженность, прочие оборотные и внеоборотные активы, за исключением денежных средств, прогнозируются как исторический процент от продаж</w:t>
      </w:r>
      <w:r w:rsidR="000C238B">
        <w:rPr>
          <w:rFonts w:ascii="Times New Roman" w:hAnsi="Times New Roman"/>
          <w:sz w:val="28"/>
          <w:szCs w:val="28"/>
        </w:rPr>
        <w:t>;</w:t>
      </w:r>
    </w:p>
    <w:p w:rsidR="000C2089" w:rsidRPr="000C2089" w:rsidRDefault="000C238B" w:rsidP="000C2089">
      <w:pPr>
        <w:pStyle w:val="a6"/>
        <w:numPr>
          <w:ilvl w:val="0"/>
          <w:numId w:val="24"/>
        </w:numPr>
        <w:spacing w:line="360" w:lineRule="auto"/>
        <w:jc w:val="both"/>
        <w:rPr>
          <w:rFonts w:ascii="Times New Roman" w:hAnsi="Times New Roman"/>
          <w:sz w:val="28"/>
          <w:szCs w:val="28"/>
        </w:rPr>
      </w:pPr>
      <w:r>
        <w:rPr>
          <w:rFonts w:ascii="Times New Roman" w:hAnsi="Times New Roman"/>
          <w:sz w:val="28"/>
          <w:szCs w:val="28"/>
        </w:rPr>
        <w:t>К</w:t>
      </w:r>
      <w:r w:rsidR="00EB3D0C" w:rsidRPr="002427C1">
        <w:rPr>
          <w:rFonts w:ascii="Times New Roman" w:hAnsi="Times New Roman"/>
          <w:sz w:val="28"/>
          <w:szCs w:val="28"/>
        </w:rPr>
        <w:t>редиторская задолженность</w:t>
      </w:r>
      <w:r>
        <w:rPr>
          <w:rFonts w:ascii="Times New Roman" w:hAnsi="Times New Roman"/>
          <w:sz w:val="28"/>
          <w:szCs w:val="28"/>
        </w:rPr>
        <w:t xml:space="preserve"> и товарно-материальные запасы</w:t>
      </w:r>
      <w:r w:rsidR="00EB3D0C" w:rsidRPr="002427C1">
        <w:rPr>
          <w:rFonts w:ascii="Times New Roman" w:hAnsi="Times New Roman"/>
          <w:sz w:val="28"/>
          <w:szCs w:val="28"/>
        </w:rPr>
        <w:t xml:space="preserve"> </w:t>
      </w:r>
      <w:r>
        <w:rPr>
          <w:rFonts w:ascii="Times New Roman" w:hAnsi="Times New Roman"/>
          <w:sz w:val="28"/>
          <w:szCs w:val="28"/>
        </w:rPr>
        <w:t>оцениваю</w:t>
      </w:r>
      <w:r w:rsidR="00EB3D0C" w:rsidRPr="002427C1">
        <w:rPr>
          <w:rFonts w:ascii="Times New Roman" w:hAnsi="Times New Roman"/>
          <w:sz w:val="28"/>
          <w:szCs w:val="28"/>
        </w:rPr>
        <w:t>тся в размере 88,8%</w:t>
      </w:r>
      <w:r>
        <w:rPr>
          <w:rFonts w:ascii="Times New Roman" w:hAnsi="Times New Roman"/>
          <w:sz w:val="28"/>
          <w:szCs w:val="28"/>
        </w:rPr>
        <w:t xml:space="preserve"> и 26%, соответственно,</w:t>
      </w:r>
      <w:r w:rsidR="00EB3D0C" w:rsidRPr="002427C1">
        <w:rPr>
          <w:rFonts w:ascii="Times New Roman" w:hAnsi="Times New Roman"/>
          <w:sz w:val="28"/>
          <w:szCs w:val="28"/>
        </w:rPr>
        <w:t xml:space="preserve"> от </w:t>
      </w:r>
      <w:r w:rsidR="00EB3D0C" w:rsidRPr="002427C1">
        <w:rPr>
          <w:rFonts w:ascii="Times New Roman" w:hAnsi="Times New Roman"/>
          <w:i/>
          <w:sz w:val="28"/>
          <w:szCs w:val="28"/>
        </w:rPr>
        <w:t>себестоимости произведенной продукции</w:t>
      </w:r>
      <w:r w:rsidR="00EB3D0C" w:rsidRPr="002427C1">
        <w:rPr>
          <w:rFonts w:ascii="Times New Roman" w:hAnsi="Times New Roman"/>
          <w:sz w:val="28"/>
          <w:szCs w:val="28"/>
        </w:rPr>
        <w:t>.</w:t>
      </w:r>
    </w:p>
    <w:p w:rsidR="000C2089" w:rsidRPr="000C2089" w:rsidRDefault="000C2089" w:rsidP="000C2089">
      <w:pPr>
        <w:spacing w:line="360" w:lineRule="auto"/>
        <w:ind w:firstLine="360"/>
        <w:jc w:val="both"/>
        <w:rPr>
          <w:rFonts w:ascii="Times New Roman" w:hAnsi="Times New Roman"/>
          <w:sz w:val="28"/>
          <w:szCs w:val="28"/>
        </w:rPr>
      </w:pPr>
      <w:r w:rsidRPr="000C2089">
        <w:rPr>
          <w:rFonts w:ascii="Times New Roman" w:hAnsi="Times New Roman"/>
          <w:sz w:val="28"/>
          <w:szCs w:val="28"/>
        </w:rPr>
        <w:t>Продажи компании прогнозируются по географическим регионам – Западная, Центральная и Восточная Европа, Америка, Африка и Азиатско-Тихоокеанский регион. Основным драйвером продаж выступает рост рынка пивоваренной продукции в каждом из регионов</w:t>
      </w:r>
      <w:r>
        <w:rPr>
          <w:rStyle w:val="a5"/>
          <w:rFonts w:ascii="Times New Roman" w:hAnsi="Times New Roman"/>
          <w:sz w:val="28"/>
          <w:szCs w:val="28"/>
        </w:rPr>
        <w:footnoteReference w:id="29"/>
      </w:r>
      <w:r w:rsidRPr="000C2089">
        <w:rPr>
          <w:rFonts w:ascii="Times New Roman" w:hAnsi="Times New Roman"/>
          <w:sz w:val="28"/>
          <w:szCs w:val="28"/>
        </w:rPr>
        <w:t xml:space="preserve">. </w:t>
      </w:r>
    </w:p>
    <w:p w:rsidR="00557201" w:rsidRDefault="00896386" w:rsidP="002427C1">
      <w:pPr>
        <w:spacing w:line="360" w:lineRule="auto"/>
        <w:ind w:firstLine="360"/>
        <w:jc w:val="both"/>
        <w:rPr>
          <w:rFonts w:ascii="Times New Roman" w:hAnsi="Times New Roman"/>
          <w:sz w:val="28"/>
          <w:szCs w:val="28"/>
        </w:rPr>
      </w:pPr>
      <w:r w:rsidRPr="002427C1">
        <w:rPr>
          <w:rFonts w:ascii="Times New Roman" w:hAnsi="Times New Roman"/>
          <w:sz w:val="28"/>
          <w:szCs w:val="28"/>
        </w:rPr>
        <w:t>Что касается эффективной ставки налогообложения, то она взята на уровне 28% по предварительным прогнозам компании на 2013 г</w:t>
      </w:r>
      <w:r>
        <w:rPr>
          <w:rStyle w:val="a5"/>
          <w:rFonts w:ascii="Times New Roman" w:hAnsi="Times New Roman"/>
          <w:sz w:val="28"/>
          <w:szCs w:val="28"/>
        </w:rPr>
        <w:footnoteReference w:id="30"/>
      </w:r>
      <w:r w:rsidRPr="002427C1">
        <w:rPr>
          <w:rFonts w:ascii="Times New Roman" w:hAnsi="Times New Roman"/>
          <w:sz w:val="28"/>
          <w:szCs w:val="28"/>
        </w:rPr>
        <w:t>.</w:t>
      </w:r>
    </w:p>
    <w:p w:rsidR="00CB23B4" w:rsidRDefault="00CB23B4" w:rsidP="002427C1">
      <w:pPr>
        <w:spacing w:line="360" w:lineRule="auto"/>
        <w:ind w:firstLine="360"/>
        <w:jc w:val="both"/>
        <w:rPr>
          <w:rFonts w:ascii="Times New Roman" w:hAnsi="Times New Roman"/>
          <w:sz w:val="28"/>
          <w:szCs w:val="28"/>
        </w:rPr>
      </w:pPr>
      <w:r>
        <w:rPr>
          <w:rFonts w:ascii="Times New Roman" w:hAnsi="Times New Roman"/>
          <w:sz w:val="28"/>
          <w:szCs w:val="28"/>
        </w:rPr>
        <w:t>Особое место отводится прогнозу краткосрочной и долгосрочной задолженности. Предполагается, что краткосрочный долг компании</w:t>
      </w:r>
      <w:r w:rsidR="00874084">
        <w:rPr>
          <w:rFonts w:ascii="Times New Roman" w:hAnsi="Times New Roman"/>
          <w:sz w:val="28"/>
          <w:szCs w:val="28"/>
        </w:rPr>
        <w:t xml:space="preserve"> в размере 1 863 млн. евро</w:t>
      </w:r>
      <w:r>
        <w:rPr>
          <w:rFonts w:ascii="Times New Roman" w:hAnsi="Times New Roman"/>
          <w:sz w:val="28"/>
          <w:szCs w:val="28"/>
        </w:rPr>
        <w:t xml:space="preserve"> будет погашен в течение первого прогнозного года. При этом ставка</w:t>
      </w:r>
      <w:r w:rsidR="00874084">
        <w:rPr>
          <w:rFonts w:ascii="Times New Roman" w:hAnsi="Times New Roman"/>
          <w:sz w:val="28"/>
          <w:szCs w:val="28"/>
        </w:rPr>
        <w:t xml:space="preserve"> процента составит 4,5% по оценкам компании </w:t>
      </w:r>
      <w:r w:rsidR="00874084">
        <w:rPr>
          <w:rFonts w:ascii="Times New Roman" w:hAnsi="Times New Roman"/>
          <w:sz w:val="28"/>
          <w:szCs w:val="28"/>
          <w:lang w:val="en-US"/>
        </w:rPr>
        <w:t>Heineken</w:t>
      </w:r>
      <w:r w:rsidR="00874084" w:rsidRPr="00874084">
        <w:rPr>
          <w:rFonts w:ascii="Times New Roman" w:hAnsi="Times New Roman"/>
          <w:sz w:val="28"/>
          <w:szCs w:val="28"/>
        </w:rPr>
        <w:t xml:space="preserve"> </w:t>
      </w:r>
      <w:r w:rsidR="00874084">
        <w:rPr>
          <w:rFonts w:ascii="Times New Roman" w:hAnsi="Times New Roman"/>
          <w:sz w:val="28"/>
          <w:szCs w:val="28"/>
          <w:lang w:val="en-US"/>
        </w:rPr>
        <w:t>N</w:t>
      </w:r>
      <w:r w:rsidR="00874084" w:rsidRPr="00874084">
        <w:rPr>
          <w:rFonts w:ascii="Times New Roman" w:hAnsi="Times New Roman"/>
          <w:sz w:val="28"/>
          <w:szCs w:val="28"/>
        </w:rPr>
        <w:t>.</w:t>
      </w:r>
      <w:r w:rsidR="00874084">
        <w:rPr>
          <w:rFonts w:ascii="Times New Roman" w:hAnsi="Times New Roman"/>
          <w:sz w:val="28"/>
          <w:szCs w:val="28"/>
          <w:lang w:val="en-US"/>
        </w:rPr>
        <w:t>V</w:t>
      </w:r>
      <w:r w:rsidR="00874084" w:rsidRPr="00874084">
        <w:rPr>
          <w:rFonts w:ascii="Times New Roman" w:hAnsi="Times New Roman"/>
          <w:sz w:val="28"/>
          <w:szCs w:val="28"/>
        </w:rPr>
        <w:t>.</w:t>
      </w:r>
      <w:r w:rsidR="00874084">
        <w:rPr>
          <w:rStyle w:val="a5"/>
          <w:rFonts w:ascii="Times New Roman" w:hAnsi="Times New Roman"/>
          <w:sz w:val="28"/>
          <w:szCs w:val="28"/>
        </w:rPr>
        <w:footnoteReference w:id="31"/>
      </w:r>
      <w:r w:rsidR="00874084" w:rsidRPr="00874084">
        <w:rPr>
          <w:rFonts w:ascii="Times New Roman" w:hAnsi="Times New Roman"/>
          <w:sz w:val="28"/>
          <w:szCs w:val="28"/>
        </w:rPr>
        <w:t xml:space="preserve"> </w:t>
      </w:r>
      <w:r w:rsidR="00874084">
        <w:rPr>
          <w:rFonts w:ascii="Times New Roman" w:hAnsi="Times New Roman"/>
          <w:sz w:val="28"/>
          <w:szCs w:val="28"/>
        </w:rPr>
        <w:t xml:space="preserve">Долгосрочная задолженность </w:t>
      </w:r>
      <w:r w:rsidR="00874084" w:rsidRPr="00874084">
        <w:rPr>
          <w:rFonts w:ascii="Times New Roman" w:hAnsi="Times New Roman"/>
          <w:sz w:val="28"/>
          <w:szCs w:val="28"/>
        </w:rPr>
        <w:t xml:space="preserve">будет выплачиваться порционно в течение ближайших </w:t>
      </w:r>
      <w:r w:rsidR="00874084">
        <w:rPr>
          <w:rFonts w:ascii="Times New Roman" w:hAnsi="Times New Roman"/>
          <w:sz w:val="28"/>
          <w:szCs w:val="28"/>
        </w:rPr>
        <w:t>5</w:t>
      </w:r>
      <w:r w:rsidR="00874084" w:rsidRPr="00874084">
        <w:rPr>
          <w:rFonts w:ascii="Times New Roman" w:hAnsi="Times New Roman"/>
          <w:sz w:val="28"/>
          <w:szCs w:val="28"/>
        </w:rPr>
        <w:t xml:space="preserve"> лет в соответствии с графиком выплаты долгов, прописанном в </w:t>
      </w:r>
      <w:r w:rsidR="00874084">
        <w:rPr>
          <w:rFonts w:ascii="Times New Roman" w:hAnsi="Times New Roman"/>
          <w:sz w:val="28"/>
          <w:szCs w:val="28"/>
        </w:rPr>
        <w:t>ежегодном</w:t>
      </w:r>
      <w:r w:rsidR="00874084" w:rsidRPr="00874084">
        <w:rPr>
          <w:rFonts w:ascii="Times New Roman" w:hAnsi="Times New Roman"/>
          <w:sz w:val="28"/>
          <w:szCs w:val="28"/>
        </w:rPr>
        <w:t xml:space="preserve"> отчете </w:t>
      </w:r>
      <w:r w:rsidR="00874084">
        <w:rPr>
          <w:rFonts w:ascii="Times New Roman" w:hAnsi="Times New Roman"/>
          <w:sz w:val="28"/>
          <w:szCs w:val="28"/>
          <w:lang w:val="en-US"/>
        </w:rPr>
        <w:t>Heineken</w:t>
      </w:r>
      <w:r w:rsidR="00874084" w:rsidRPr="00874084">
        <w:rPr>
          <w:rFonts w:ascii="Times New Roman" w:hAnsi="Times New Roman"/>
          <w:sz w:val="28"/>
          <w:szCs w:val="28"/>
        </w:rPr>
        <w:t xml:space="preserve"> </w:t>
      </w:r>
      <w:r w:rsidR="00874084">
        <w:rPr>
          <w:rFonts w:ascii="Times New Roman" w:hAnsi="Times New Roman"/>
          <w:sz w:val="28"/>
          <w:szCs w:val="28"/>
          <w:lang w:val="en-US"/>
        </w:rPr>
        <w:t>N</w:t>
      </w:r>
      <w:r w:rsidR="00874084" w:rsidRPr="00874084">
        <w:rPr>
          <w:rFonts w:ascii="Times New Roman" w:hAnsi="Times New Roman"/>
          <w:sz w:val="28"/>
          <w:szCs w:val="28"/>
        </w:rPr>
        <w:t>.</w:t>
      </w:r>
      <w:r w:rsidR="00874084">
        <w:rPr>
          <w:rFonts w:ascii="Times New Roman" w:hAnsi="Times New Roman"/>
          <w:sz w:val="28"/>
          <w:szCs w:val="28"/>
          <w:lang w:val="en-US"/>
        </w:rPr>
        <w:t>V</w:t>
      </w:r>
      <w:r w:rsidR="00874084" w:rsidRPr="00874084">
        <w:rPr>
          <w:rFonts w:ascii="Times New Roman" w:hAnsi="Times New Roman"/>
          <w:sz w:val="28"/>
          <w:szCs w:val="28"/>
        </w:rPr>
        <w:t>.</w:t>
      </w:r>
      <w:r w:rsidR="00874084">
        <w:rPr>
          <w:rStyle w:val="a5"/>
          <w:rFonts w:ascii="Times New Roman" w:hAnsi="Times New Roman"/>
          <w:sz w:val="28"/>
          <w:szCs w:val="28"/>
        </w:rPr>
        <w:footnoteReference w:id="32"/>
      </w:r>
      <w:r w:rsidR="00874084" w:rsidRPr="00874084">
        <w:rPr>
          <w:rFonts w:ascii="Times New Roman" w:hAnsi="Times New Roman"/>
          <w:sz w:val="28"/>
          <w:szCs w:val="28"/>
        </w:rPr>
        <w:t xml:space="preserve"> </w:t>
      </w:r>
      <w:r w:rsidR="00874084">
        <w:rPr>
          <w:rFonts w:ascii="Times New Roman" w:hAnsi="Times New Roman"/>
          <w:sz w:val="28"/>
          <w:szCs w:val="28"/>
        </w:rPr>
        <w:t xml:space="preserve">На основании </w:t>
      </w:r>
      <w:r w:rsidR="00874084" w:rsidRPr="00874084">
        <w:rPr>
          <w:rFonts w:ascii="Times New Roman" w:hAnsi="Times New Roman"/>
          <w:sz w:val="28"/>
          <w:szCs w:val="28"/>
          <w:lang w:val="en-US"/>
        </w:rPr>
        <w:t>Terms</w:t>
      </w:r>
      <w:r w:rsidR="00874084" w:rsidRPr="00874084">
        <w:rPr>
          <w:rFonts w:ascii="Times New Roman" w:hAnsi="Times New Roman"/>
          <w:sz w:val="28"/>
          <w:szCs w:val="28"/>
        </w:rPr>
        <w:t xml:space="preserve"> </w:t>
      </w:r>
      <w:r w:rsidR="00874084" w:rsidRPr="00874084">
        <w:rPr>
          <w:rFonts w:ascii="Times New Roman" w:hAnsi="Times New Roman"/>
          <w:sz w:val="28"/>
          <w:szCs w:val="28"/>
          <w:lang w:val="en-US"/>
        </w:rPr>
        <w:t>and</w:t>
      </w:r>
      <w:r w:rsidR="00874084" w:rsidRPr="00874084">
        <w:rPr>
          <w:rFonts w:ascii="Times New Roman" w:hAnsi="Times New Roman"/>
          <w:sz w:val="28"/>
          <w:szCs w:val="28"/>
        </w:rPr>
        <w:t xml:space="preserve"> </w:t>
      </w:r>
      <w:r w:rsidR="00874084" w:rsidRPr="00874084">
        <w:rPr>
          <w:rFonts w:ascii="Times New Roman" w:hAnsi="Times New Roman"/>
          <w:sz w:val="28"/>
          <w:szCs w:val="28"/>
          <w:lang w:val="en-US"/>
        </w:rPr>
        <w:t>Debt</w:t>
      </w:r>
      <w:r w:rsidR="00874084" w:rsidRPr="00874084">
        <w:rPr>
          <w:rFonts w:ascii="Times New Roman" w:hAnsi="Times New Roman"/>
          <w:sz w:val="28"/>
          <w:szCs w:val="28"/>
        </w:rPr>
        <w:t xml:space="preserve"> </w:t>
      </w:r>
      <w:r w:rsidR="00874084" w:rsidRPr="00874084">
        <w:rPr>
          <w:rFonts w:ascii="Times New Roman" w:hAnsi="Times New Roman"/>
          <w:sz w:val="28"/>
          <w:szCs w:val="28"/>
          <w:lang w:val="en-US"/>
        </w:rPr>
        <w:t>Repayment</w:t>
      </w:r>
      <w:r w:rsidR="00874084" w:rsidRPr="00874084">
        <w:rPr>
          <w:rFonts w:ascii="Times New Roman" w:hAnsi="Times New Roman"/>
          <w:sz w:val="28"/>
          <w:szCs w:val="28"/>
        </w:rPr>
        <w:t xml:space="preserve"> </w:t>
      </w:r>
      <w:r w:rsidR="00874084" w:rsidRPr="00874084">
        <w:rPr>
          <w:rFonts w:ascii="Times New Roman" w:hAnsi="Times New Roman"/>
          <w:sz w:val="28"/>
          <w:szCs w:val="28"/>
          <w:lang w:val="en-US"/>
        </w:rPr>
        <w:t>Schedule</w:t>
      </w:r>
      <w:r w:rsidR="00874084" w:rsidRPr="00874084">
        <w:rPr>
          <w:rFonts w:ascii="Times New Roman" w:hAnsi="Times New Roman"/>
          <w:sz w:val="28"/>
          <w:szCs w:val="28"/>
        </w:rPr>
        <w:t xml:space="preserve"> </w:t>
      </w:r>
      <w:r w:rsidR="00874084">
        <w:rPr>
          <w:rFonts w:ascii="Times New Roman" w:hAnsi="Times New Roman"/>
          <w:sz w:val="28"/>
          <w:szCs w:val="28"/>
        </w:rPr>
        <w:t>компании была рассчитана средневзвешенная ставка процента по займам для каждого года. Среднее значение ставки составляет 4,13%.</w:t>
      </w:r>
    </w:p>
    <w:p w:rsidR="00786CA2" w:rsidRPr="00786CA2" w:rsidRDefault="003E7109" w:rsidP="00786CA2">
      <w:pPr>
        <w:spacing w:line="360" w:lineRule="auto"/>
        <w:ind w:firstLine="360"/>
        <w:jc w:val="both"/>
        <w:rPr>
          <w:rFonts w:ascii="Times New Roman" w:hAnsi="Times New Roman"/>
          <w:sz w:val="28"/>
          <w:szCs w:val="28"/>
        </w:rPr>
      </w:pPr>
      <w:r>
        <w:rPr>
          <w:rFonts w:ascii="Times New Roman" w:hAnsi="Times New Roman"/>
          <w:sz w:val="28"/>
          <w:szCs w:val="28"/>
        </w:rPr>
        <w:t>Рабочий капитал компании рассчитывает</w:t>
      </w:r>
      <w:r w:rsidR="00F625B3">
        <w:rPr>
          <w:rFonts w:ascii="Times New Roman" w:hAnsi="Times New Roman"/>
          <w:sz w:val="28"/>
          <w:szCs w:val="28"/>
        </w:rPr>
        <w:t>ся</w:t>
      </w:r>
      <w:r>
        <w:rPr>
          <w:rFonts w:ascii="Times New Roman" w:hAnsi="Times New Roman"/>
          <w:sz w:val="28"/>
          <w:szCs w:val="28"/>
        </w:rPr>
        <w:t xml:space="preserve"> как разность суммы текущих запасов и текущих обязательств (за исключением денежных средств и краткосрочного долга с банковским овердрафтом). </w:t>
      </w:r>
      <w:r w:rsidR="00F625B3">
        <w:rPr>
          <w:rFonts w:ascii="Times New Roman" w:hAnsi="Times New Roman"/>
          <w:sz w:val="28"/>
          <w:szCs w:val="28"/>
        </w:rPr>
        <w:t xml:space="preserve">Изменение рабочего капитала прогнозировалось как </w:t>
      </w:r>
      <w:r w:rsidR="00F625B3" w:rsidRPr="00F625B3">
        <w:rPr>
          <w:rFonts w:ascii="Times New Roman" w:hAnsi="Times New Roman"/>
          <w:sz w:val="28"/>
          <w:szCs w:val="28"/>
        </w:rPr>
        <w:t>разность между значением рабочего капитала в текущем периоде с его значением в предыдущем периоде</w:t>
      </w:r>
      <w:r w:rsidR="00F625B3">
        <w:rPr>
          <w:rFonts w:ascii="Times New Roman" w:hAnsi="Times New Roman"/>
          <w:sz w:val="28"/>
          <w:szCs w:val="28"/>
        </w:rPr>
        <w:t xml:space="preserve">. Для компании характерна ситуация </w:t>
      </w:r>
      <w:r w:rsidR="00F625B3" w:rsidRPr="00A40411">
        <w:rPr>
          <w:rFonts w:ascii="Times New Roman" w:hAnsi="Times New Roman"/>
          <w:i/>
          <w:sz w:val="28"/>
          <w:szCs w:val="28"/>
        </w:rPr>
        <w:t>отрицательного</w:t>
      </w:r>
      <w:r w:rsidR="00F625B3">
        <w:rPr>
          <w:rFonts w:ascii="Times New Roman" w:hAnsi="Times New Roman"/>
          <w:sz w:val="28"/>
          <w:szCs w:val="28"/>
        </w:rPr>
        <w:t xml:space="preserve"> рабочего капитала, как в исторический, так и в прогнозный период</w:t>
      </w:r>
      <w:r w:rsidR="00F625B3">
        <w:rPr>
          <w:rStyle w:val="a5"/>
          <w:rFonts w:ascii="Times New Roman" w:hAnsi="Times New Roman"/>
          <w:sz w:val="28"/>
          <w:szCs w:val="28"/>
        </w:rPr>
        <w:footnoteReference w:id="33"/>
      </w:r>
      <w:r w:rsidR="00F625B3">
        <w:rPr>
          <w:rFonts w:ascii="Times New Roman" w:hAnsi="Times New Roman"/>
          <w:sz w:val="28"/>
          <w:szCs w:val="28"/>
        </w:rPr>
        <w:t xml:space="preserve">. </w:t>
      </w:r>
    </w:p>
    <w:p w:rsidR="00786CA2" w:rsidRPr="00C1021B" w:rsidRDefault="00786CA2" w:rsidP="00786CA2">
      <w:pPr>
        <w:spacing w:line="360" w:lineRule="auto"/>
        <w:ind w:firstLine="360"/>
        <w:jc w:val="both"/>
        <w:rPr>
          <w:rFonts w:ascii="Times New Roman" w:hAnsi="Times New Roman"/>
          <w:sz w:val="28"/>
          <w:szCs w:val="28"/>
        </w:rPr>
      </w:pPr>
      <w:r>
        <w:rPr>
          <w:rFonts w:ascii="Times New Roman" w:hAnsi="Times New Roman"/>
          <w:sz w:val="28"/>
          <w:szCs w:val="28"/>
        </w:rPr>
        <w:t xml:space="preserve">Расчет </w:t>
      </w:r>
      <w:r w:rsidRPr="00C1021B">
        <w:rPr>
          <w:rFonts w:ascii="Times New Roman" w:hAnsi="Times New Roman"/>
          <w:i/>
          <w:sz w:val="28"/>
          <w:szCs w:val="28"/>
        </w:rPr>
        <w:t>операционного денежного потока</w:t>
      </w:r>
      <w:r>
        <w:rPr>
          <w:rFonts w:ascii="Times New Roman" w:hAnsi="Times New Roman"/>
          <w:sz w:val="28"/>
          <w:szCs w:val="28"/>
        </w:rPr>
        <w:t xml:space="preserve"> базируется на значениях чистой прибыли для акционеров и миноритариев компании </w:t>
      </w:r>
      <w:r>
        <w:rPr>
          <w:rFonts w:ascii="Times New Roman" w:hAnsi="Times New Roman"/>
          <w:sz w:val="28"/>
          <w:szCs w:val="28"/>
          <w:lang w:val="en-US"/>
        </w:rPr>
        <w:t>Heineken</w:t>
      </w:r>
      <w:r w:rsidRPr="00786CA2">
        <w:rPr>
          <w:rFonts w:ascii="Times New Roman" w:hAnsi="Times New Roman"/>
          <w:sz w:val="28"/>
          <w:szCs w:val="28"/>
        </w:rPr>
        <w:t xml:space="preserve"> </w:t>
      </w:r>
      <w:r>
        <w:rPr>
          <w:rFonts w:ascii="Times New Roman" w:hAnsi="Times New Roman"/>
          <w:sz w:val="28"/>
          <w:szCs w:val="28"/>
          <w:lang w:val="en-US"/>
        </w:rPr>
        <w:t>N</w:t>
      </w:r>
      <w:r w:rsidRPr="00786CA2">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w:t>
      </w:r>
      <w:r w:rsidRPr="00786CA2">
        <w:rPr>
          <w:rFonts w:ascii="Times New Roman" w:hAnsi="Times New Roman"/>
          <w:sz w:val="28"/>
          <w:szCs w:val="28"/>
        </w:rPr>
        <w:t xml:space="preserve">, </w:t>
      </w:r>
      <w:r w:rsidR="00C1021B">
        <w:rPr>
          <w:rFonts w:ascii="Times New Roman" w:hAnsi="Times New Roman"/>
          <w:sz w:val="28"/>
          <w:szCs w:val="28"/>
        </w:rPr>
        <w:t xml:space="preserve">амортизационных отчислениях, </w:t>
      </w:r>
      <w:r>
        <w:rPr>
          <w:rFonts w:ascii="Times New Roman" w:hAnsi="Times New Roman"/>
          <w:sz w:val="28"/>
          <w:szCs w:val="28"/>
        </w:rPr>
        <w:t>изменениях в рабочем капитале, долгосрочных активах и обязательствах компании.</w:t>
      </w:r>
      <w:r w:rsidR="00C1021B">
        <w:rPr>
          <w:rFonts w:ascii="Times New Roman" w:hAnsi="Times New Roman"/>
          <w:sz w:val="28"/>
          <w:szCs w:val="28"/>
        </w:rPr>
        <w:t xml:space="preserve"> </w:t>
      </w:r>
      <w:r w:rsidR="00C1021B" w:rsidRPr="00C1021B">
        <w:rPr>
          <w:rFonts w:ascii="Times New Roman" w:hAnsi="Times New Roman"/>
          <w:i/>
          <w:sz w:val="28"/>
          <w:szCs w:val="28"/>
        </w:rPr>
        <w:t>Инвестиционный поток</w:t>
      </w:r>
      <w:r w:rsidR="00C1021B">
        <w:rPr>
          <w:rFonts w:ascii="Times New Roman" w:hAnsi="Times New Roman"/>
          <w:sz w:val="28"/>
          <w:szCs w:val="28"/>
        </w:rPr>
        <w:t xml:space="preserve"> подразумевает капитальные затраты компании </w:t>
      </w:r>
      <w:r w:rsidR="00C1021B" w:rsidRPr="00C1021B">
        <w:rPr>
          <w:rFonts w:ascii="Times New Roman" w:hAnsi="Times New Roman"/>
          <w:sz w:val="28"/>
          <w:szCs w:val="28"/>
        </w:rPr>
        <w:t>(</w:t>
      </w:r>
      <w:r w:rsidR="00C1021B">
        <w:rPr>
          <w:rFonts w:ascii="Times New Roman" w:hAnsi="Times New Roman"/>
          <w:sz w:val="28"/>
          <w:szCs w:val="28"/>
          <w:lang w:val="en-US"/>
        </w:rPr>
        <w:t>CapEx</w:t>
      </w:r>
      <w:r w:rsidR="00C1021B" w:rsidRPr="00C1021B">
        <w:rPr>
          <w:rFonts w:ascii="Times New Roman" w:hAnsi="Times New Roman"/>
          <w:sz w:val="28"/>
          <w:szCs w:val="28"/>
        </w:rPr>
        <w:t xml:space="preserve">). </w:t>
      </w:r>
      <w:r w:rsidR="00C1021B">
        <w:rPr>
          <w:rFonts w:ascii="Times New Roman" w:hAnsi="Times New Roman"/>
          <w:sz w:val="28"/>
          <w:szCs w:val="28"/>
        </w:rPr>
        <w:t xml:space="preserve">В основу </w:t>
      </w:r>
      <w:r w:rsidR="00C1021B" w:rsidRPr="00C1021B">
        <w:rPr>
          <w:rFonts w:ascii="Times New Roman" w:hAnsi="Times New Roman"/>
          <w:i/>
          <w:sz w:val="28"/>
          <w:szCs w:val="28"/>
        </w:rPr>
        <w:t>финансового денежного потока</w:t>
      </w:r>
      <w:r w:rsidR="00C1021B">
        <w:rPr>
          <w:rFonts w:ascii="Times New Roman" w:hAnsi="Times New Roman"/>
          <w:sz w:val="28"/>
          <w:szCs w:val="28"/>
        </w:rPr>
        <w:t xml:space="preserve"> входят выплаты по обязательствам компании, а также выплата дивидендов акционерам и миноритариям. </w:t>
      </w:r>
      <w:r w:rsidR="00C1021B" w:rsidRPr="0087616A">
        <w:rPr>
          <w:rFonts w:ascii="Times New Roman" w:hAnsi="Times New Roman"/>
          <w:i/>
          <w:sz w:val="28"/>
          <w:szCs w:val="28"/>
        </w:rPr>
        <w:t>Общий денежный поток</w:t>
      </w:r>
      <w:r w:rsidR="00C1021B">
        <w:rPr>
          <w:rFonts w:ascii="Times New Roman" w:hAnsi="Times New Roman"/>
          <w:sz w:val="28"/>
          <w:szCs w:val="28"/>
        </w:rPr>
        <w:t xml:space="preserve"> представляет собой сумму </w:t>
      </w:r>
      <w:r w:rsidR="0087616A">
        <w:rPr>
          <w:rFonts w:ascii="Times New Roman" w:hAnsi="Times New Roman"/>
          <w:sz w:val="28"/>
          <w:szCs w:val="28"/>
        </w:rPr>
        <w:t>операционного, инвестиционного и финансового денежного потоков.</w:t>
      </w:r>
    </w:p>
    <w:p w:rsidR="00F259F1" w:rsidRDefault="00F259F1" w:rsidP="002427C1">
      <w:pPr>
        <w:spacing w:line="360" w:lineRule="auto"/>
        <w:ind w:firstLine="360"/>
        <w:jc w:val="both"/>
        <w:rPr>
          <w:rFonts w:ascii="Times New Roman" w:hAnsi="Times New Roman"/>
          <w:sz w:val="28"/>
          <w:szCs w:val="28"/>
        </w:rPr>
      </w:pPr>
      <w:r w:rsidRPr="00F259F1">
        <w:rPr>
          <w:rFonts w:ascii="Times New Roman" w:hAnsi="Times New Roman"/>
          <w:sz w:val="28"/>
          <w:szCs w:val="28"/>
        </w:rPr>
        <w:t>Стоимость компании (Enterprise Value) определяется по формуле чистой приведенной стоимости денежных потоков в период с 201</w:t>
      </w:r>
      <w:r>
        <w:rPr>
          <w:rFonts w:ascii="Times New Roman" w:hAnsi="Times New Roman"/>
          <w:sz w:val="28"/>
          <w:szCs w:val="28"/>
        </w:rPr>
        <w:t>3</w:t>
      </w:r>
      <w:r w:rsidRPr="00F259F1">
        <w:rPr>
          <w:rFonts w:ascii="Times New Roman" w:hAnsi="Times New Roman"/>
          <w:sz w:val="28"/>
          <w:szCs w:val="28"/>
        </w:rPr>
        <w:t xml:space="preserve"> по 201</w:t>
      </w:r>
      <w:r>
        <w:rPr>
          <w:rFonts w:ascii="Times New Roman" w:hAnsi="Times New Roman"/>
          <w:sz w:val="28"/>
          <w:szCs w:val="28"/>
        </w:rPr>
        <w:t>7</w:t>
      </w:r>
      <w:r w:rsidRPr="00F259F1">
        <w:rPr>
          <w:rFonts w:ascii="Times New Roman" w:hAnsi="Times New Roman"/>
          <w:sz w:val="28"/>
          <w:szCs w:val="28"/>
        </w:rPr>
        <w:t xml:space="preserve"> год и приведенной терминальной стоимости</w:t>
      </w:r>
      <w:r>
        <w:rPr>
          <w:rFonts w:ascii="Times New Roman" w:hAnsi="Times New Roman"/>
          <w:sz w:val="28"/>
          <w:szCs w:val="28"/>
        </w:rPr>
        <w:t>:</w:t>
      </w:r>
    </w:p>
    <w:p w:rsidR="00F259F1" w:rsidRPr="009F0D54" w:rsidRDefault="00F259F1" w:rsidP="00F93552">
      <w:pPr>
        <w:pStyle w:val="a6"/>
        <w:spacing w:line="360" w:lineRule="auto"/>
        <w:ind w:left="1070"/>
        <w:jc w:val="both"/>
        <w:rPr>
          <w:rFonts w:ascii="Times New Roman" w:hAnsi="Times New Roman"/>
          <w:noProof/>
          <w:sz w:val="28"/>
          <w:szCs w:val="28"/>
          <w:lang w:val="en-US" w:eastAsia="ru-RU"/>
        </w:rPr>
      </w:pPr>
      <w:r w:rsidRPr="00AB7454">
        <w:rPr>
          <w:rFonts w:ascii="Times New Roman" w:hAnsi="Times New Roman"/>
          <w:sz w:val="28"/>
          <w:szCs w:val="28"/>
          <w:lang w:val="en-US"/>
        </w:rPr>
        <w:t>NPV of FCFF</w:t>
      </w:r>
      <w:r w:rsidRPr="00AB7454">
        <w:rPr>
          <w:rFonts w:ascii="Times New Roman" w:hAnsi="Times New Roman"/>
          <w:sz w:val="24"/>
          <w:szCs w:val="24"/>
          <w:lang w:val="en-US"/>
        </w:rPr>
        <w:t xml:space="preserve"> =  </w:t>
      </w:r>
      <m:oMath>
        <m:nary>
          <m:naryPr>
            <m:chr m:val="∑"/>
            <m:limLoc m:val="undOvr"/>
            <m:ctrlPr>
              <w:rPr>
                <w:rFonts w:ascii="Cambria Math" w:hAnsi="Cambria Math"/>
                <w:i/>
                <w:sz w:val="36"/>
                <w:szCs w:val="36"/>
                <w:lang w:val="en-US"/>
              </w:rPr>
            </m:ctrlPr>
          </m:naryPr>
          <m:sub>
            <m:r>
              <w:rPr>
                <w:rFonts w:ascii="Cambria Math" w:hAnsi="Cambria Math"/>
                <w:sz w:val="36"/>
                <w:szCs w:val="36"/>
                <w:lang w:val="en-US"/>
              </w:rPr>
              <m:t>t=0</m:t>
            </m:r>
          </m:sub>
          <m:sup>
            <m:r>
              <w:rPr>
                <w:rFonts w:ascii="Cambria Math" w:hAnsi="Cambria Math"/>
                <w:sz w:val="36"/>
                <w:szCs w:val="36"/>
                <w:lang w:val="en-US"/>
              </w:rPr>
              <m:t>5</m:t>
            </m:r>
          </m:sup>
          <m:e>
            <m:f>
              <m:fPr>
                <m:ctrlPr>
                  <w:rPr>
                    <w:rFonts w:ascii="Cambria Math" w:hAnsi="Cambria Math"/>
                    <w:i/>
                    <w:sz w:val="36"/>
                    <w:szCs w:val="36"/>
                    <w:lang w:val="en-US"/>
                  </w:rPr>
                </m:ctrlPr>
              </m:fPr>
              <m:num>
                <m:sSub>
                  <m:sSubPr>
                    <m:ctrlPr>
                      <w:rPr>
                        <w:rFonts w:ascii="Cambria Math" w:hAnsi="Cambria Math"/>
                        <w:i/>
                        <w:sz w:val="36"/>
                        <w:szCs w:val="36"/>
                        <w:lang w:val="en-US"/>
                      </w:rPr>
                    </m:ctrlPr>
                  </m:sSubPr>
                  <m:e>
                    <m:r>
                      <w:rPr>
                        <w:rFonts w:ascii="Cambria Math" w:hAnsi="Cambria Math"/>
                        <w:sz w:val="36"/>
                        <w:szCs w:val="36"/>
                        <w:lang w:val="en-US"/>
                      </w:rPr>
                      <m:t>CF</m:t>
                    </m:r>
                  </m:e>
                  <m:sub>
                    <m:r>
                      <w:rPr>
                        <w:rFonts w:ascii="Cambria Math" w:hAnsi="Cambria Math"/>
                        <w:sz w:val="36"/>
                        <w:szCs w:val="36"/>
                        <w:lang w:val="en-US"/>
                      </w:rPr>
                      <m:t>t</m:t>
                    </m:r>
                  </m:sub>
                </m:sSub>
              </m:num>
              <m:den>
                <m:sSup>
                  <m:sSupPr>
                    <m:ctrlPr>
                      <w:rPr>
                        <w:rFonts w:ascii="Cambria Math" w:hAnsi="Cambria Math"/>
                        <w:i/>
                        <w:sz w:val="36"/>
                        <w:szCs w:val="36"/>
                        <w:lang w:val="en-US"/>
                      </w:rPr>
                    </m:ctrlPr>
                  </m:sSupPr>
                  <m:e>
                    <m:r>
                      <w:rPr>
                        <w:rFonts w:ascii="Cambria Math" w:hAnsi="Cambria Math"/>
                        <w:sz w:val="36"/>
                        <w:szCs w:val="36"/>
                        <w:lang w:val="en-US"/>
                      </w:rPr>
                      <m:t>(1+r)</m:t>
                    </m:r>
                  </m:e>
                  <m:sup>
                    <m:r>
                      <w:rPr>
                        <w:rFonts w:ascii="Cambria Math" w:hAnsi="Cambria Math"/>
                        <w:sz w:val="36"/>
                        <w:szCs w:val="36"/>
                        <w:lang w:val="en-US"/>
                      </w:rPr>
                      <m:t>t</m:t>
                    </m:r>
                  </m:sup>
                </m:sSup>
              </m:den>
            </m:f>
          </m:e>
        </m:nary>
      </m:oMath>
      <w:r w:rsidRPr="00AB7454">
        <w:rPr>
          <w:rFonts w:ascii="Times New Roman" w:hAnsi="Times New Roman"/>
          <w:sz w:val="36"/>
          <w:szCs w:val="36"/>
          <w:lang w:val="en-US"/>
        </w:rPr>
        <w:t xml:space="preserve"> </w:t>
      </w:r>
      <w:r w:rsidRPr="00AB7454">
        <w:rPr>
          <w:rFonts w:ascii="Times New Roman" w:hAnsi="Times New Roman"/>
          <w:sz w:val="28"/>
          <w:szCs w:val="28"/>
        </w:rPr>
        <w:t>и</w:t>
      </w:r>
      <w:r w:rsidRPr="00AB7454">
        <w:rPr>
          <w:rFonts w:ascii="Times New Roman" w:hAnsi="Times New Roman"/>
          <w:sz w:val="36"/>
          <w:szCs w:val="36"/>
          <w:lang w:val="en-US"/>
        </w:rPr>
        <w:t xml:space="preserve"> </w:t>
      </w:r>
      <w:r w:rsidRPr="00AB7454">
        <w:rPr>
          <w:rFonts w:ascii="Times New Roman" w:hAnsi="Times New Roman"/>
          <w:sz w:val="28"/>
          <w:szCs w:val="28"/>
          <w:lang w:val="en-US"/>
        </w:rPr>
        <w:t>TV</w:t>
      </w:r>
      <w:r w:rsidRPr="00AB7454">
        <w:rPr>
          <w:rFonts w:ascii="Times New Roman" w:hAnsi="Times New Roman"/>
          <w:noProof/>
          <w:sz w:val="24"/>
          <w:szCs w:val="24"/>
          <w:lang w:val="en-US" w:eastAsia="ru-RU"/>
        </w:rPr>
        <w:t xml:space="preserve"> = </w:t>
      </w:r>
      <m:oMath>
        <m:f>
          <m:fPr>
            <m:ctrlPr>
              <w:rPr>
                <w:rFonts w:ascii="Cambria Math" w:hAnsi="Cambria Math"/>
                <w:i/>
                <w:noProof/>
                <w:sz w:val="40"/>
                <w:szCs w:val="40"/>
                <w:lang w:val="en-US" w:eastAsia="ru-RU"/>
              </w:rPr>
            </m:ctrlPr>
          </m:fPr>
          <m:num>
            <m:sSub>
              <m:sSubPr>
                <m:ctrlPr>
                  <w:rPr>
                    <w:rFonts w:ascii="Cambria Math" w:hAnsi="Cambria Math"/>
                    <w:i/>
                    <w:noProof/>
                    <w:sz w:val="40"/>
                    <w:szCs w:val="40"/>
                    <w:lang w:val="en-US" w:eastAsia="ru-RU"/>
                  </w:rPr>
                </m:ctrlPr>
              </m:sSubPr>
              <m:e>
                <m:r>
                  <w:rPr>
                    <w:rFonts w:ascii="Cambria Math" w:hAnsi="Cambria Math"/>
                    <w:noProof/>
                    <w:sz w:val="40"/>
                    <w:szCs w:val="40"/>
                    <w:lang w:val="en-US" w:eastAsia="ru-RU"/>
                  </w:rPr>
                  <m:t>D</m:t>
                </m:r>
              </m:e>
              <m:sub>
                <m:r>
                  <w:rPr>
                    <w:rFonts w:ascii="Cambria Math" w:hAnsi="Cambria Math"/>
                    <w:noProof/>
                    <w:sz w:val="40"/>
                    <w:szCs w:val="40"/>
                    <w:lang w:val="en-US" w:eastAsia="ru-RU"/>
                  </w:rPr>
                  <m:t>5*(1+g)</m:t>
                </m:r>
              </m:sub>
            </m:sSub>
          </m:num>
          <m:den>
            <m:r>
              <w:rPr>
                <w:rFonts w:ascii="Cambria Math" w:hAnsi="Cambria Math"/>
                <w:noProof/>
                <w:sz w:val="40"/>
                <w:szCs w:val="40"/>
                <w:lang w:val="en-US" w:eastAsia="ru-RU"/>
              </w:rPr>
              <m:t>(r-g)</m:t>
            </m:r>
          </m:den>
        </m:f>
      </m:oMath>
      <w:r w:rsidRPr="00AB7454">
        <w:rPr>
          <w:rFonts w:ascii="Times New Roman" w:hAnsi="Times New Roman"/>
          <w:noProof/>
          <w:sz w:val="40"/>
          <w:szCs w:val="40"/>
          <w:lang w:val="en-US" w:eastAsia="ru-RU"/>
        </w:rPr>
        <w:t xml:space="preserve"> </w:t>
      </w:r>
      <w:r w:rsidR="009F0D54" w:rsidRPr="009F0D54">
        <w:rPr>
          <w:rFonts w:ascii="Times New Roman" w:hAnsi="Times New Roman"/>
          <w:noProof/>
          <w:sz w:val="28"/>
          <w:szCs w:val="28"/>
          <w:lang w:val="en-US" w:eastAsia="ru-RU"/>
        </w:rPr>
        <w:t xml:space="preserve">, </w:t>
      </w:r>
      <w:r w:rsidR="009F0D54">
        <w:rPr>
          <w:rFonts w:ascii="Times New Roman" w:hAnsi="Times New Roman"/>
          <w:noProof/>
          <w:sz w:val="28"/>
          <w:szCs w:val="28"/>
          <w:lang w:eastAsia="ru-RU"/>
        </w:rPr>
        <w:t>где</w:t>
      </w:r>
    </w:p>
    <w:p w:rsidR="009F0D54" w:rsidRPr="009F0D54" w:rsidRDefault="009F0D54" w:rsidP="009F0D54">
      <w:pPr>
        <w:pStyle w:val="a6"/>
        <w:numPr>
          <w:ilvl w:val="0"/>
          <w:numId w:val="30"/>
        </w:numPr>
        <w:spacing w:line="360" w:lineRule="auto"/>
        <w:jc w:val="both"/>
        <w:rPr>
          <w:rFonts w:ascii="Times New Roman" w:hAnsi="Times New Roman"/>
          <w:sz w:val="28"/>
          <w:szCs w:val="28"/>
        </w:rPr>
      </w:pPr>
      <w:r w:rsidRPr="009F0D54">
        <w:rPr>
          <w:rFonts w:ascii="Times New Roman" w:hAnsi="Times New Roman"/>
          <w:sz w:val="28"/>
          <w:szCs w:val="28"/>
        </w:rPr>
        <w:t>CF –</w:t>
      </w:r>
      <w:r>
        <w:rPr>
          <w:rFonts w:ascii="Times New Roman" w:hAnsi="Times New Roman"/>
          <w:sz w:val="28"/>
          <w:szCs w:val="28"/>
        </w:rPr>
        <w:t xml:space="preserve"> </w:t>
      </w:r>
      <w:r w:rsidRPr="009F0D54">
        <w:rPr>
          <w:rFonts w:ascii="Times New Roman" w:hAnsi="Times New Roman"/>
          <w:sz w:val="28"/>
          <w:szCs w:val="28"/>
        </w:rPr>
        <w:t>денежный поток в периоде t;</w:t>
      </w:r>
    </w:p>
    <w:p w:rsidR="009F0D54" w:rsidRPr="009F0D54" w:rsidRDefault="009F0D54" w:rsidP="009F0D54">
      <w:pPr>
        <w:pStyle w:val="a6"/>
        <w:numPr>
          <w:ilvl w:val="0"/>
          <w:numId w:val="30"/>
        </w:numPr>
        <w:spacing w:line="360" w:lineRule="auto"/>
        <w:jc w:val="both"/>
        <w:rPr>
          <w:rFonts w:ascii="Times New Roman" w:hAnsi="Times New Roman"/>
          <w:sz w:val="28"/>
          <w:szCs w:val="28"/>
        </w:rPr>
      </w:pPr>
      <w:r w:rsidRPr="009F0D54">
        <w:rPr>
          <w:rFonts w:ascii="Times New Roman" w:hAnsi="Times New Roman"/>
          <w:sz w:val="28"/>
          <w:szCs w:val="28"/>
        </w:rPr>
        <w:t>r – ставка дисконтирования;</w:t>
      </w:r>
    </w:p>
    <w:p w:rsidR="009F0D54" w:rsidRPr="009F0D54" w:rsidRDefault="009F0D54" w:rsidP="009F0D54">
      <w:pPr>
        <w:pStyle w:val="a6"/>
        <w:numPr>
          <w:ilvl w:val="0"/>
          <w:numId w:val="30"/>
        </w:numPr>
        <w:spacing w:line="360" w:lineRule="auto"/>
        <w:jc w:val="both"/>
        <w:rPr>
          <w:rFonts w:ascii="Times New Roman" w:hAnsi="Times New Roman"/>
          <w:sz w:val="28"/>
          <w:szCs w:val="28"/>
        </w:rPr>
      </w:pPr>
      <w:r w:rsidRPr="009F0D54">
        <w:rPr>
          <w:rFonts w:ascii="Times New Roman" w:hAnsi="Times New Roman"/>
          <w:sz w:val="28"/>
          <w:szCs w:val="28"/>
        </w:rPr>
        <w:t>g – темп роста в постпрогнозном периоде</w:t>
      </w:r>
      <w:r>
        <w:rPr>
          <w:rFonts w:ascii="Times New Roman" w:hAnsi="Times New Roman"/>
          <w:sz w:val="28"/>
          <w:szCs w:val="28"/>
        </w:rPr>
        <w:t>, равный 3%.</w:t>
      </w:r>
    </w:p>
    <w:p w:rsidR="00F259F1" w:rsidRDefault="00F259F1" w:rsidP="002427C1">
      <w:pPr>
        <w:spacing w:line="360" w:lineRule="auto"/>
        <w:ind w:firstLine="360"/>
        <w:jc w:val="both"/>
        <w:rPr>
          <w:rFonts w:ascii="Times New Roman" w:hAnsi="Times New Roman"/>
          <w:sz w:val="28"/>
          <w:szCs w:val="28"/>
        </w:rPr>
      </w:pPr>
      <w:r>
        <w:rPr>
          <w:rFonts w:ascii="Times New Roman" w:hAnsi="Times New Roman"/>
          <w:sz w:val="28"/>
          <w:szCs w:val="28"/>
        </w:rPr>
        <w:t>С</w:t>
      </w:r>
      <w:r w:rsidRPr="00F259F1">
        <w:rPr>
          <w:rFonts w:ascii="Times New Roman" w:hAnsi="Times New Roman"/>
          <w:sz w:val="28"/>
          <w:szCs w:val="28"/>
        </w:rPr>
        <w:t>редневзвешенная стоимость капитала (</w:t>
      </w:r>
      <w:r w:rsidRPr="00F259F1">
        <w:rPr>
          <w:rFonts w:ascii="Times New Roman" w:hAnsi="Times New Roman"/>
          <w:sz w:val="28"/>
          <w:szCs w:val="28"/>
          <w:lang w:val="en-US"/>
        </w:rPr>
        <w:t>WACC</w:t>
      </w:r>
      <w:r w:rsidRPr="00F259F1">
        <w:rPr>
          <w:rFonts w:ascii="Times New Roman" w:hAnsi="Times New Roman"/>
          <w:sz w:val="28"/>
          <w:szCs w:val="28"/>
        </w:rPr>
        <w:t>)</w:t>
      </w:r>
      <w:r>
        <w:rPr>
          <w:rFonts w:ascii="Times New Roman" w:hAnsi="Times New Roman"/>
          <w:sz w:val="28"/>
          <w:szCs w:val="28"/>
        </w:rPr>
        <w:t>, которая использовалась в качестве ставки дисконтирования,</w:t>
      </w:r>
      <w:r w:rsidRPr="00F259F1">
        <w:rPr>
          <w:rFonts w:ascii="Times New Roman" w:hAnsi="Times New Roman"/>
          <w:sz w:val="28"/>
          <w:szCs w:val="28"/>
        </w:rPr>
        <w:t xml:space="preserve"> определяется по следующей формуле:</w:t>
      </w:r>
    </w:p>
    <w:p w:rsidR="00F259F1" w:rsidRPr="006D409D" w:rsidRDefault="00F259F1" w:rsidP="00F93552">
      <w:pPr>
        <w:pStyle w:val="a6"/>
        <w:spacing w:line="360" w:lineRule="auto"/>
        <w:ind w:left="1080"/>
        <w:jc w:val="both"/>
        <w:rPr>
          <w:rFonts w:ascii="Times New Roman" w:hAnsi="Times New Roman"/>
          <w:sz w:val="28"/>
          <w:szCs w:val="28"/>
          <w:lang w:val="en-US"/>
        </w:rPr>
      </w:pPr>
      <w:r w:rsidRPr="00AB7454">
        <w:rPr>
          <w:rFonts w:ascii="Times New Roman" w:hAnsi="Times New Roman"/>
          <w:sz w:val="28"/>
          <w:szCs w:val="28"/>
          <w:lang w:val="en-US"/>
        </w:rPr>
        <w:t xml:space="preserve">WACC = Re*We + Rd* </w:t>
      </w:r>
      <w:proofErr w:type="gramStart"/>
      <w:r w:rsidRPr="00AB7454">
        <w:rPr>
          <w:rFonts w:ascii="Times New Roman" w:hAnsi="Times New Roman"/>
          <w:sz w:val="28"/>
          <w:szCs w:val="28"/>
          <w:lang w:val="en-US"/>
        </w:rPr>
        <w:t>Wd</w:t>
      </w:r>
      <w:proofErr w:type="gramEnd"/>
      <w:r w:rsidRPr="00AB7454">
        <w:rPr>
          <w:rFonts w:ascii="Times New Roman" w:hAnsi="Times New Roman"/>
          <w:sz w:val="28"/>
          <w:szCs w:val="28"/>
          <w:lang w:val="en-US"/>
        </w:rPr>
        <w:t>*(1-t</w:t>
      </w:r>
      <w:r w:rsidR="006D409D">
        <w:rPr>
          <w:rFonts w:ascii="Times New Roman" w:hAnsi="Times New Roman"/>
          <w:sz w:val="28"/>
          <w:szCs w:val="28"/>
          <w:lang w:val="en-US"/>
        </w:rPr>
        <w:t>)</w:t>
      </w:r>
      <w:r w:rsidR="006D409D" w:rsidRPr="006D409D">
        <w:rPr>
          <w:rFonts w:ascii="Times New Roman" w:hAnsi="Times New Roman"/>
          <w:sz w:val="28"/>
          <w:szCs w:val="28"/>
          <w:lang w:val="en-US"/>
        </w:rPr>
        <w:t>:</w:t>
      </w:r>
    </w:p>
    <w:p w:rsidR="006D409D" w:rsidRPr="006D409D" w:rsidRDefault="006D409D" w:rsidP="00F93552">
      <w:pPr>
        <w:pStyle w:val="a6"/>
        <w:spacing w:line="360" w:lineRule="auto"/>
        <w:ind w:left="1080"/>
        <w:jc w:val="both"/>
        <w:rPr>
          <w:rFonts w:ascii="Times New Roman" w:hAnsi="Times New Roman"/>
          <w:sz w:val="28"/>
          <w:szCs w:val="28"/>
          <w:lang w:val="en-US"/>
        </w:rPr>
      </w:pPr>
    </w:p>
    <w:p w:rsidR="00F259F1" w:rsidRPr="006D409D" w:rsidRDefault="003C69F8" w:rsidP="006D409D">
      <w:pPr>
        <w:pStyle w:val="a6"/>
        <w:numPr>
          <w:ilvl w:val="0"/>
          <w:numId w:val="29"/>
        </w:numPr>
        <w:spacing w:line="360" w:lineRule="auto"/>
        <w:jc w:val="both"/>
        <w:rPr>
          <w:rFonts w:ascii="Times New Roman" w:hAnsi="Times New Roman"/>
          <w:sz w:val="28"/>
          <w:szCs w:val="28"/>
        </w:rPr>
      </w:pPr>
      <w:r w:rsidRPr="006D409D">
        <w:rPr>
          <w:rFonts w:ascii="Times New Roman" w:hAnsi="Times New Roman"/>
          <w:sz w:val="28"/>
          <w:szCs w:val="28"/>
        </w:rPr>
        <w:t>По состоянию на 1 квартал 2013 г. сумма обязательств составляет 13 300 млн. евро, а собственный капитал компании – 11 691 млн. евро (</w:t>
      </w:r>
      <w:r w:rsidRPr="006D409D">
        <w:rPr>
          <w:rFonts w:ascii="Times New Roman" w:hAnsi="Times New Roman"/>
          <w:sz w:val="28"/>
          <w:szCs w:val="28"/>
          <w:lang w:val="en-US"/>
        </w:rPr>
        <w:t>Wd</w:t>
      </w:r>
      <w:r w:rsidRPr="006D409D">
        <w:rPr>
          <w:rFonts w:ascii="Times New Roman" w:hAnsi="Times New Roman"/>
          <w:sz w:val="28"/>
          <w:szCs w:val="28"/>
        </w:rPr>
        <w:t xml:space="preserve"> = 53,22% и </w:t>
      </w:r>
      <w:r w:rsidRPr="006D409D">
        <w:rPr>
          <w:rFonts w:ascii="Times New Roman" w:hAnsi="Times New Roman"/>
          <w:sz w:val="28"/>
          <w:szCs w:val="28"/>
          <w:lang w:val="en-US"/>
        </w:rPr>
        <w:t>We</w:t>
      </w:r>
      <w:r w:rsidRPr="006D409D">
        <w:rPr>
          <w:rFonts w:ascii="Times New Roman" w:hAnsi="Times New Roman"/>
          <w:sz w:val="28"/>
          <w:szCs w:val="28"/>
        </w:rPr>
        <w:t xml:space="preserve"> = </w:t>
      </w:r>
      <w:r w:rsidR="006D409D">
        <w:rPr>
          <w:rFonts w:ascii="Times New Roman" w:hAnsi="Times New Roman"/>
          <w:sz w:val="28"/>
          <w:szCs w:val="28"/>
        </w:rPr>
        <w:t>46,78%, соответственно);</w:t>
      </w:r>
    </w:p>
    <w:p w:rsidR="00F93552" w:rsidRPr="006D409D" w:rsidRDefault="00F93552" w:rsidP="006D409D">
      <w:pPr>
        <w:pStyle w:val="a6"/>
        <w:numPr>
          <w:ilvl w:val="0"/>
          <w:numId w:val="29"/>
        </w:numPr>
        <w:spacing w:line="360" w:lineRule="auto"/>
        <w:jc w:val="both"/>
        <w:rPr>
          <w:rFonts w:ascii="Times New Roman" w:hAnsi="Times New Roman"/>
          <w:sz w:val="28"/>
          <w:szCs w:val="28"/>
        </w:rPr>
      </w:pPr>
      <w:r w:rsidRPr="006D409D">
        <w:rPr>
          <w:rFonts w:ascii="Times New Roman" w:hAnsi="Times New Roman"/>
          <w:sz w:val="28"/>
          <w:szCs w:val="28"/>
        </w:rPr>
        <w:t xml:space="preserve">Стоимость заемного капитала компании рассчитана для каждого прогнозного периода как средневзвешенная ставка по кредитам, предоставленным компании. В результате, среднее значение по всем ставкам составляет </w:t>
      </w:r>
      <w:r w:rsidRPr="006D409D">
        <w:rPr>
          <w:rFonts w:ascii="Times New Roman" w:hAnsi="Times New Roman"/>
          <w:sz w:val="28"/>
          <w:szCs w:val="28"/>
          <w:lang w:val="en-US"/>
        </w:rPr>
        <w:t>Rd</w:t>
      </w:r>
      <w:r w:rsidRPr="006D409D">
        <w:rPr>
          <w:rFonts w:ascii="Times New Roman" w:hAnsi="Times New Roman"/>
          <w:sz w:val="28"/>
          <w:szCs w:val="28"/>
        </w:rPr>
        <w:t xml:space="preserve"> = 4,13%</w:t>
      </w:r>
      <w:r>
        <w:rPr>
          <w:rStyle w:val="a5"/>
          <w:rFonts w:ascii="Times New Roman" w:hAnsi="Times New Roman"/>
          <w:sz w:val="28"/>
          <w:szCs w:val="28"/>
        </w:rPr>
        <w:footnoteReference w:id="34"/>
      </w:r>
      <w:r w:rsidR="006D409D" w:rsidRPr="006D409D">
        <w:rPr>
          <w:rFonts w:ascii="Times New Roman" w:hAnsi="Times New Roman"/>
          <w:sz w:val="28"/>
          <w:szCs w:val="28"/>
        </w:rPr>
        <w:t>;</w:t>
      </w:r>
    </w:p>
    <w:p w:rsidR="00F93552" w:rsidRPr="006D409D" w:rsidRDefault="00F93552" w:rsidP="006D409D">
      <w:pPr>
        <w:pStyle w:val="a6"/>
        <w:numPr>
          <w:ilvl w:val="0"/>
          <w:numId w:val="29"/>
        </w:numPr>
        <w:spacing w:line="360" w:lineRule="auto"/>
        <w:jc w:val="both"/>
        <w:rPr>
          <w:rFonts w:ascii="Times New Roman" w:hAnsi="Times New Roman"/>
          <w:sz w:val="28"/>
          <w:szCs w:val="28"/>
        </w:rPr>
      </w:pPr>
      <w:r w:rsidRPr="006D409D">
        <w:rPr>
          <w:rFonts w:ascii="Times New Roman" w:hAnsi="Times New Roman"/>
          <w:sz w:val="28"/>
          <w:szCs w:val="28"/>
        </w:rPr>
        <w:t xml:space="preserve">Эффективная ставка налогообложения </w:t>
      </w:r>
      <w:r w:rsidR="006D409D">
        <w:rPr>
          <w:rFonts w:ascii="Times New Roman" w:hAnsi="Times New Roman"/>
          <w:sz w:val="28"/>
          <w:szCs w:val="28"/>
        </w:rPr>
        <w:t>(</w:t>
      </w:r>
      <w:r w:rsidR="006D409D">
        <w:rPr>
          <w:rFonts w:ascii="Times New Roman" w:hAnsi="Times New Roman"/>
          <w:sz w:val="28"/>
          <w:szCs w:val="28"/>
          <w:lang w:val="en-US"/>
        </w:rPr>
        <w:t>t</w:t>
      </w:r>
      <w:r w:rsidR="006D409D" w:rsidRPr="006D409D">
        <w:rPr>
          <w:rFonts w:ascii="Times New Roman" w:hAnsi="Times New Roman"/>
          <w:sz w:val="28"/>
          <w:szCs w:val="28"/>
        </w:rPr>
        <w:t xml:space="preserve">) </w:t>
      </w:r>
      <w:r w:rsidRPr="006D409D">
        <w:rPr>
          <w:rFonts w:ascii="Times New Roman" w:hAnsi="Times New Roman"/>
          <w:sz w:val="28"/>
          <w:szCs w:val="28"/>
        </w:rPr>
        <w:t xml:space="preserve">составляет 28%. </w:t>
      </w:r>
    </w:p>
    <w:p w:rsidR="00F93552" w:rsidRDefault="00AB7454" w:rsidP="00AB7454">
      <w:pPr>
        <w:spacing w:line="360" w:lineRule="auto"/>
        <w:ind w:firstLine="360"/>
        <w:jc w:val="both"/>
        <w:rPr>
          <w:rFonts w:ascii="Times New Roman" w:hAnsi="Times New Roman"/>
          <w:sz w:val="28"/>
          <w:szCs w:val="28"/>
        </w:rPr>
      </w:pPr>
      <w:r w:rsidRPr="00AB7454">
        <w:rPr>
          <w:rFonts w:ascii="Times New Roman" w:hAnsi="Times New Roman"/>
          <w:sz w:val="28"/>
          <w:szCs w:val="28"/>
        </w:rPr>
        <w:t>Модель CAPM, на основании которой рассчитывается стоимость собственного капитала, опирается на формулу:</w:t>
      </w:r>
    </w:p>
    <w:p w:rsidR="003C69F8" w:rsidRPr="00AB7454" w:rsidRDefault="003C69F8" w:rsidP="00AB7454">
      <w:pPr>
        <w:spacing w:line="360" w:lineRule="auto"/>
        <w:ind w:firstLine="360"/>
        <w:jc w:val="both"/>
        <w:rPr>
          <w:rFonts w:ascii="Times New Roman" w:hAnsi="Times New Roman"/>
          <w:sz w:val="28"/>
          <w:szCs w:val="28"/>
        </w:rPr>
      </w:pPr>
      <w:r w:rsidRPr="00AB7454">
        <w:rPr>
          <w:rFonts w:ascii="Times New Roman" w:hAnsi="Times New Roman"/>
          <w:sz w:val="28"/>
          <w:szCs w:val="28"/>
        </w:rPr>
        <w:t>Re = Rf + β*Rmp +α,</w:t>
      </w:r>
    </w:p>
    <w:p w:rsidR="003C69F8" w:rsidRPr="00AB7454" w:rsidRDefault="00324515" w:rsidP="00AB7454">
      <w:pPr>
        <w:pStyle w:val="a6"/>
        <w:numPr>
          <w:ilvl w:val="0"/>
          <w:numId w:val="25"/>
        </w:numPr>
        <w:spacing w:line="360" w:lineRule="auto"/>
        <w:jc w:val="both"/>
        <w:rPr>
          <w:rFonts w:ascii="Times New Roman" w:hAnsi="Times New Roman"/>
          <w:sz w:val="28"/>
          <w:szCs w:val="28"/>
        </w:rPr>
      </w:pPr>
      <w:r w:rsidRPr="00AB7454">
        <w:rPr>
          <w:rFonts w:ascii="Times New Roman" w:hAnsi="Times New Roman"/>
          <w:sz w:val="28"/>
          <w:szCs w:val="28"/>
          <w:lang w:val="en-US"/>
        </w:rPr>
        <w:t>Rf</w:t>
      </w:r>
      <w:r w:rsidRPr="00AB7454">
        <w:rPr>
          <w:rFonts w:ascii="Times New Roman" w:hAnsi="Times New Roman"/>
          <w:sz w:val="28"/>
          <w:szCs w:val="28"/>
        </w:rPr>
        <w:t xml:space="preserve"> – рассчитанная информационной системой </w:t>
      </w:r>
      <w:r w:rsidRPr="00AB7454">
        <w:rPr>
          <w:rFonts w:ascii="Times New Roman" w:hAnsi="Times New Roman"/>
          <w:sz w:val="28"/>
          <w:szCs w:val="28"/>
          <w:lang w:val="en-US"/>
        </w:rPr>
        <w:t>Bloomberg</w:t>
      </w:r>
      <w:r w:rsidRPr="00AB7454">
        <w:rPr>
          <w:rFonts w:ascii="Times New Roman" w:hAnsi="Times New Roman"/>
          <w:sz w:val="28"/>
          <w:szCs w:val="28"/>
        </w:rPr>
        <w:t xml:space="preserve"> безрисковая ставка</w:t>
      </w:r>
      <w:r w:rsidR="003C69F8" w:rsidRPr="00AB7454">
        <w:rPr>
          <w:rFonts w:ascii="Times New Roman" w:hAnsi="Times New Roman"/>
          <w:sz w:val="28"/>
          <w:szCs w:val="28"/>
        </w:rPr>
        <w:t xml:space="preserve"> в Ниде</w:t>
      </w:r>
      <w:r w:rsidRPr="00AB7454">
        <w:rPr>
          <w:rFonts w:ascii="Times New Roman" w:hAnsi="Times New Roman"/>
          <w:sz w:val="28"/>
          <w:szCs w:val="28"/>
        </w:rPr>
        <w:t>рландах – 1, 61%;</w:t>
      </w:r>
    </w:p>
    <w:p w:rsidR="00324515" w:rsidRPr="00AB7454" w:rsidRDefault="00324515" w:rsidP="00AB7454">
      <w:pPr>
        <w:pStyle w:val="a6"/>
        <w:numPr>
          <w:ilvl w:val="0"/>
          <w:numId w:val="25"/>
        </w:numPr>
        <w:spacing w:line="360" w:lineRule="auto"/>
        <w:jc w:val="both"/>
        <w:rPr>
          <w:rFonts w:ascii="Times New Roman" w:hAnsi="Times New Roman"/>
          <w:sz w:val="28"/>
          <w:szCs w:val="28"/>
        </w:rPr>
      </w:pPr>
      <w:r w:rsidRPr="00AB7454">
        <w:rPr>
          <w:rFonts w:ascii="Times New Roman" w:hAnsi="Times New Roman"/>
          <w:sz w:val="28"/>
          <w:szCs w:val="28"/>
        </w:rPr>
        <w:t xml:space="preserve">β – чувствительность отрасли к конъюнктурным колебаниям на рынке. Среднее значение, рассчитанное на основе оценок </w:t>
      </w:r>
      <w:r w:rsidRPr="00AB7454">
        <w:rPr>
          <w:rFonts w:ascii="Times New Roman" w:hAnsi="Times New Roman"/>
          <w:sz w:val="28"/>
          <w:szCs w:val="28"/>
          <w:lang w:val="en-US"/>
        </w:rPr>
        <w:t>Bloomberg</w:t>
      </w:r>
      <w:r w:rsidRPr="00AB7454">
        <w:rPr>
          <w:rFonts w:ascii="Times New Roman" w:hAnsi="Times New Roman"/>
          <w:sz w:val="28"/>
          <w:szCs w:val="28"/>
        </w:rPr>
        <w:t xml:space="preserve"> и </w:t>
      </w:r>
      <w:r w:rsidRPr="00AB7454">
        <w:rPr>
          <w:rFonts w:ascii="Times New Roman" w:hAnsi="Times New Roman"/>
          <w:sz w:val="28"/>
          <w:szCs w:val="28"/>
          <w:lang w:val="en-US"/>
        </w:rPr>
        <w:t>Damodaran</w:t>
      </w:r>
      <w:r w:rsidRPr="00AB7454">
        <w:rPr>
          <w:rFonts w:ascii="Times New Roman" w:hAnsi="Times New Roman"/>
          <w:sz w:val="28"/>
          <w:szCs w:val="28"/>
        </w:rPr>
        <w:t xml:space="preserve"> – 0,68;</w:t>
      </w:r>
    </w:p>
    <w:p w:rsidR="00324515" w:rsidRPr="00AB7454" w:rsidRDefault="00324515" w:rsidP="00AB7454">
      <w:pPr>
        <w:pStyle w:val="a6"/>
        <w:numPr>
          <w:ilvl w:val="0"/>
          <w:numId w:val="25"/>
        </w:numPr>
        <w:spacing w:line="360" w:lineRule="auto"/>
        <w:jc w:val="both"/>
        <w:rPr>
          <w:rFonts w:ascii="Times New Roman" w:hAnsi="Times New Roman"/>
          <w:sz w:val="28"/>
          <w:szCs w:val="28"/>
        </w:rPr>
      </w:pPr>
      <w:r w:rsidRPr="00AB7454">
        <w:rPr>
          <w:rFonts w:ascii="Times New Roman" w:hAnsi="Times New Roman"/>
          <w:sz w:val="28"/>
          <w:szCs w:val="28"/>
          <w:lang w:val="en-US"/>
        </w:rPr>
        <w:t>Rmp</w:t>
      </w:r>
      <w:r w:rsidRPr="00AB7454">
        <w:rPr>
          <w:rFonts w:ascii="Times New Roman" w:hAnsi="Times New Roman"/>
          <w:sz w:val="28"/>
          <w:szCs w:val="28"/>
        </w:rPr>
        <w:t xml:space="preserve"> – рыночная премия за риск по оценкам </w:t>
      </w:r>
      <w:r w:rsidRPr="00AB7454">
        <w:rPr>
          <w:rFonts w:ascii="Times New Roman" w:hAnsi="Times New Roman"/>
          <w:sz w:val="28"/>
          <w:szCs w:val="28"/>
          <w:lang w:val="en-US"/>
        </w:rPr>
        <w:t>Bloomberg</w:t>
      </w:r>
      <w:r w:rsidRPr="00AB7454">
        <w:rPr>
          <w:rFonts w:ascii="Times New Roman" w:hAnsi="Times New Roman"/>
          <w:sz w:val="28"/>
          <w:szCs w:val="28"/>
        </w:rPr>
        <w:t xml:space="preserve"> составляет 11, 11%;</w:t>
      </w:r>
    </w:p>
    <w:p w:rsidR="00324515" w:rsidRDefault="00324515" w:rsidP="00AB7454">
      <w:pPr>
        <w:pStyle w:val="a6"/>
        <w:numPr>
          <w:ilvl w:val="0"/>
          <w:numId w:val="25"/>
        </w:numPr>
        <w:spacing w:line="360" w:lineRule="auto"/>
        <w:jc w:val="both"/>
        <w:rPr>
          <w:rFonts w:ascii="Times New Roman" w:hAnsi="Times New Roman"/>
          <w:sz w:val="28"/>
          <w:szCs w:val="28"/>
        </w:rPr>
      </w:pPr>
      <w:r w:rsidRPr="00AB7454">
        <w:rPr>
          <w:rFonts w:ascii="Times New Roman" w:hAnsi="Times New Roman"/>
          <w:sz w:val="28"/>
          <w:szCs w:val="28"/>
        </w:rPr>
        <w:t xml:space="preserve">α – </w:t>
      </w:r>
      <w:r w:rsidR="00AB7454" w:rsidRPr="00AB7454">
        <w:rPr>
          <w:rFonts w:ascii="Times New Roman" w:hAnsi="Times New Roman"/>
          <w:sz w:val="28"/>
          <w:szCs w:val="28"/>
        </w:rPr>
        <w:t xml:space="preserve">потенциальный </w:t>
      </w:r>
      <w:r w:rsidRPr="00AB7454">
        <w:rPr>
          <w:rFonts w:ascii="Times New Roman" w:hAnsi="Times New Roman"/>
          <w:sz w:val="28"/>
          <w:szCs w:val="28"/>
        </w:rPr>
        <w:t xml:space="preserve">специфический </w:t>
      </w:r>
      <w:r w:rsidR="00AB7454" w:rsidRPr="00AB7454">
        <w:rPr>
          <w:rFonts w:ascii="Times New Roman" w:hAnsi="Times New Roman"/>
          <w:sz w:val="28"/>
          <w:szCs w:val="28"/>
        </w:rPr>
        <w:t xml:space="preserve">риск, свойственный компании </w:t>
      </w:r>
      <w:r w:rsidR="00AB7454" w:rsidRPr="00AB7454">
        <w:rPr>
          <w:rFonts w:ascii="Times New Roman" w:hAnsi="Times New Roman"/>
          <w:sz w:val="28"/>
          <w:szCs w:val="28"/>
          <w:lang w:val="en-US"/>
        </w:rPr>
        <w:t>Heineken</w:t>
      </w:r>
      <w:r w:rsidR="00AB7454" w:rsidRPr="00AB7454">
        <w:rPr>
          <w:rFonts w:ascii="Times New Roman" w:hAnsi="Times New Roman"/>
          <w:sz w:val="28"/>
          <w:szCs w:val="28"/>
        </w:rPr>
        <w:t xml:space="preserve"> </w:t>
      </w:r>
      <w:r w:rsidR="00AB7454" w:rsidRPr="00AB7454">
        <w:rPr>
          <w:rFonts w:ascii="Times New Roman" w:hAnsi="Times New Roman"/>
          <w:sz w:val="28"/>
          <w:szCs w:val="28"/>
          <w:lang w:val="en-US"/>
        </w:rPr>
        <w:t>N</w:t>
      </w:r>
      <w:r w:rsidR="00AB7454" w:rsidRPr="00AB7454">
        <w:rPr>
          <w:rFonts w:ascii="Times New Roman" w:hAnsi="Times New Roman"/>
          <w:sz w:val="28"/>
          <w:szCs w:val="28"/>
        </w:rPr>
        <w:t>.</w:t>
      </w:r>
      <w:r w:rsidR="00AB7454" w:rsidRPr="00AB7454">
        <w:rPr>
          <w:rFonts w:ascii="Times New Roman" w:hAnsi="Times New Roman"/>
          <w:sz w:val="28"/>
          <w:szCs w:val="28"/>
          <w:lang w:val="en-US"/>
        </w:rPr>
        <w:t>V</w:t>
      </w:r>
      <w:r w:rsidR="00AB7454" w:rsidRPr="00AB7454">
        <w:rPr>
          <w:rFonts w:ascii="Times New Roman" w:hAnsi="Times New Roman"/>
          <w:sz w:val="28"/>
          <w:szCs w:val="28"/>
        </w:rPr>
        <w:t>. составляет 0,5%.</w:t>
      </w:r>
    </w:p>
    <w:p w:rsidR="00AB7454" w:rsidRPr="00006CBE" w:rsidRDefault="00AB7454" w:rsidP="00AB7454">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стоимость собственного капитала компании составляет </w:t>
      </w:r>
      <w:r>
        <w:rPr>
          <w:rFonts w:ascii="Times New Roman" w:hAnsi="Times New Roman"/>
          <w:sz w:val="28"/>
          <w:szCs w:val="28"/>
          <w:lang w:val="en-US"/>
        </w:rPr>
        <w:t>Re</w:t>
      </w:r>
      <w:r w:rsidRPr="00AB7454">
        <w:rPr>
          <w:rFonts w:ascii="Times New Roman" w:hAnsi="Times New Roman"/>
          <w:sz w:val="28"/>
          <w:szCs w:val="28"/>
        </w:rPr>
        <w:t xml:space="preserve"> </w:t>
      </w:r>
      <w:r>
        <w:rPr>
          <w:rFonts w:ascii="Times New Roman" w:hAnsi="Times New Roman"/>
          <w:sz w:val="28"/>
          <w:szCs w:val="28"/>
        </w:rPr>
        <w:t>=</w:t>
      </w:r>
      <w:r w:rsidRPr="00AB7454">
        <w:rPr>
          <w:rFonts w:ascii="Times New Roman" w:hAnsi="Times New Roman"/>
          <w:sz w:val="28"/>
          <w:szCs w:val="28"/>
        </w:rPr>
        <w:t xml:space="preserve"> </w:t>
      </w:r>
      <w:r>
        <w:rPr>
          <w:rFonts w:ascii="Times New Roman" w:hAnsi="Times New Roman"/>
          <w:sz w:val="28"/>
          <w:szCs w:val="28"/>
        </w:rPr>
        <w:t>9,12%.</w:t>
      </w:r>
    </w:p>
    <w:p w:rsidR="00F93552" w:rsidRDefault="00F93552" w:rsidP="00AB7454">
      <w:pPr>
        <w:spacing w:line="360" w:lineRule="auto"/>
        <w:ind w:firstLine="708"/>
        <w:jc w:val="both"/>
        <w:rPr>
          <w:rFonts w:ascii="Times New Roman" w:hAnsi="Times New Roman"/>
          <w:i/>
          <w:sz w:val="28"/>
          <w:szCs w:val="28"/>
        </w:rPr>
      </w:pPr>
      <w:r w:rsidRPr="00F93552">
        <w:rPr>
          <w:rFonts w:ascii="Times New Roman" w:hAnsi="Times New Roman"/>
          <w:i/>
          <w:sz w:val="28"/>
          <w:szCs w:val="28"/>
        </w:rPr>
        <w:t>Опираясь на вышеописанные расчеты, средневзвешенная стоимость капитала компании (</w:t>
      </w:r>
      <w:r w:rsidRPr="00F93552">
        <w:rPr>
          <w:rFonts w:ascii="Times New Roman" w:hAnsi="Times New Roman"/>
          <w:i/>
          <w:sz w:val="28"/>
          <w:szCs w:val="28"/>
          <w:lang w:val="en-US"/>
        </w:rPr>
        <w:t>WACC</w:t>
      </w:r>
      <w:r w:rsidRPr="00F93552">
        <w:rPr>
          <w:rFonts w:ascii="Times New Roman" w:hAnsi="Times New Roman"/>
          <w:i/>
          <w:sz w:val="28"/>
          <w:szCs w:val="28"/>
        </w:rPr>
        <w:t>) составила</w:t>
      </w:r>
      <w:r w:rsidR="00A91D78">
        <w:rPr>
          <w:rFonts w:ascii="Times New Roman" w:hAnsi="Times New Roman"/>
          <w:i/>
          <w:sz w:val="28"/>
          <w:szCs w:val="28"/>
        </w:rPr>
        <w:t xml:space="preserve"> 6,</w:t>
      </w:r>
      <w:r w:rsidRPr="00F93552">
        <w:rPr>
          <w:rFonts w:ascii="Times New Roman" w:hAnsi="Times New Roman"/>
          <w:i/>
          <w:sz w:val="28"/>
          <w:szCs w:val="28"/>
        </w:rPr>
        <w:t>35%.</w:t>
      </w:r>
      <w:r>
        <w:rPr>
          <w:rFonts w:ascii="Times New Roman" w:hAnsi="Times New Roman"/>
          <w:i/>
          <w:sz w:val="28"/>
          <w:szCs w:val="28"/>
        </w:rPr>
        <w:t xml:space="preserve"> </w:t>
      </w:r>
      <w:r w:rsidR="00A91D78">
        <w:rPr>
          <w:rFonts w:ascii="Times New Roman" w:hAnsi="Times New Roman"/>
          <w:i/>
          <w:sz w:val="28"/>
          <w:szCs w:val="28"/>
        </w:rPr>
        <w:t>Чистая приведенная стоимость денежных потоков на дату оценки составила 7 836 млн. евро, а терминальная стоимость компании 44 158 млн. евро</w:t>
      </w:r>
      <w:r w:rsidR="00EB0D2D">
        <w:rPr>
          <w:rStyle w:val="a5"/>
          <w:rFonts w:ascii="Times New Roman" w:hAnsi="Times New Roman"/>
          <w:i/>
          <w:sz w:val="28"/>
          <w:szCs w:val="28"/>
        </w:rPr>
        <w:footnoteReference w:id="35"/>
      </w:r>
      <w:r w:rsidR="00A91D78">
        <w:rPr>
          <w:rFonts w:ascii="Times New Roman" w:hAnsi="Times New Roman"/>
          <w:i/>
          <w:sz w:val="28"/>
          <w:szCs w:val="28"/>
        </w:rPr>
        <w:t xml:space="preserve">. </w:t>
      </w:r>
    </w:p>
    <w:p w:rsidR="002957B9" w:rsidRPr="002957B9" w:rsidRDefault="00BE65BE" w:rsidP="002957B9">
      <w:pPr>
        <w:spacing w:line="360" w:lineRule="auto"/>
        <w:ind w:firstLine="708"/>
        <w:jc w:val="both"/>
        <w:rPr>
          <w:rFonts w:ascii="Times New Roman" w:hAnsi="Times New Roman"/>
          <w:sz w:val="28"/>
          <w:szCs w:val="28"/>
        </w:rPr>
      </w:pPr>
      <w:r>
        <w:rPr>
          <w:rFonts w:ascii="Times New Roman" w:hAnsi="Times New Roman"/>
          <w:i/>
          <w:sz w:val="28"/>
          <w:szCs w:val="28"/>
        </w:rPr>
        <w:t xml:space="preserve">В результате оценки стоимости бизнеса </w:t>
      </w:r>
      <w:r>
        <w:rPr>
          <w:rFonts w:ascii="Times New Roman" w:hAnsi="Times New Roman"/>
          <w:i/>
          <w:sz w:val="28"/>
          <w:szCs w:val="28"/>
          <w:lang w:val="en-US"/>
        </w:rPr>
        <w:t>Heineken</w:t>
      </w:r>
      <w:r w:rsidRPr="00BE65BE">
        <w:rPr>
          <w:rFonts w:ascii="Times New Roman" w:hAnsi="Times New Roman"/>
          <w:i/>
          <w:sz w:val="28"/>
          <w:szCs w:val="28"/>
        </w:rPr>
        <w:t xml:space="preserve"> </w:t>
      </w:r>
      <w:r>
        <w:rPr>
          <w:rFonts w:ascii="Times New Roman" w:hAnsi="Times New Roman"/>
          <w:i/>
          <w:sz w:val="28"/>
          <w:szCs w:val="28"/>
          <w:lang w:val="en-US"/>
        </w:rPr>
        <w:t>N</w:t>
      </w:r>
      <w:r w:rsidRPr="00BE65BE">
        <w:rPr>
          <w:rFonts w:ascii="Times New Roman" w:hAnsi="Times New Roman"/>
          <w:i/>
          <w:sz w:val="28"/>
          <w:szCs w:val="28"/>
        </w:rPr>
        <w:t>.</w:t>
      </w:r>
      <w:r>
        <w:rPr>
          <w:rFonts w:ascii="Times New Roman" w:hAnsi="Times New Roman"/>
          <w:i/>
          <w:sz w:val="28"/>
          <w:szCs w:val="28"/>
          <w:lang w:val="en-US"/>
        </w:rPr>
        <w:t>V</w:t>
      </w:r>
      <w:r w:rsidRPr="00BE65BE">
        <w:rPr>
          <w:rFonts w:ascii="Times New Roman" w:hAnsi="Times New Roman"/>
          <w:i/>
          <w:sz w:val="28"/>
          <w:szCs w:val="28"/>
        </w:rPr>
        <w:t xml:space="preserve">. </w:t>
      </w:r>
      <w:r>
        <w:rPr>
          <w:rFonts w:ascii="Times New Roman" w:hAnsi="Times New Roman"/>
          <w:i/>
          <w:sz w:val="28"/>
          <w:szCs w:val="28"/>
        </w:rPr>
        <w:t xml:space="preserve">была построена таблица чувствительности, в основе которой лежат отклонения </w:t>
      </w:r>
      <w:r>
        <w:rPr>
          <w:rFonts w:ascii="Times New Roman" w:hAnsi="Times New Roman"/>
          <w:i/>
          <w:sz w:val="28"/>
          <w:szCs w:val="28"/>
          <w:lang w:val="en-US"/>
        </w:rPr>
        <w:t>WACC</w:t>
      </w:r>
      <w:r w:rsidRPr="00BE65BE">
        <w:rPr>
          <w:rFonts w:ascii="Times New Roman" w:hAnsi="Times New Roman"/>
          <w:i/>
          <w:sz w:val="28"/>
          <w:szCs w:val="28"/>
        </w:rPr>
        <w:t xml:space="preserve"> </w:t>
      </w:r>
      <w:r>
        <w:rPr>
          <w:rFonts w:ascii="Times New Roman" w:hAnsi="Times New Roman"/>
          <w:i/>
          <w:sz w:val="28"/>
          <w:szCs w:val="28"/>
        </w:rPr>
        <w:t xml:space="preserve">и </w:t>
      </w:r>
      <w:r>
        <w:rPr>
          <w:rFonts w:ascii="Times New Roman" w:hAnsi="Times New Roman"/>
          <w:i/>
          <w:sz w:val="28"/>
          <w:szCs w:val="28"/>
          <w:lang w:val="en-US"/>
        </w:rPr>
        <w:t>Terminal</w:t>
      </w:r>
      <w:r w:rsidRPr="00BE65BE">
        <w:rPr>
          <w:rFonts w:ascii="Times New Roman" w:hAnsi="Times New Roman"/>
          <w:i/>
          <w:sz w:val="28"/>
          <w:szCs w:val="28"/>
        </w:rPr>
        <w:t xml:space="preserve"> </w:t>
      </w:r>
      <w:r>
        <w:rPr>
          <w:rFonts w:ascii="Times New Roman" w:hAnsi="Times New Roman"/>
          <w:i/>
          <w:sz w:val="28"/>
          <w:szCs w:val="28"/>
          <w:lang w:val="en-US"/>
        </w:rPr>
        <w:t>Growth</w:t>
      </w:r>
      <w:r w:rsidRPr="00BE65BE">
        <w:rPr>
          <w:rFonts w:ascii="Times New Roman" w:hAnsi="Times New Roman"/>
          <w:i/>
          <w:sz w:val="28"/>
          <w:szCs w:val="28"/>
        </w:rPr>
        <w:t xml:space="preserve"> </w:t>
      </w:r>
      <w:r>
        <w:rPr>
          <w:rFonts w:ascii="Times New Roman" w:hAnsi="Times New Roman"/>
          <w:i/>
          <w:sz w:val="28"/>
          <w:szCs w:val="28"/>
          <w:lang w:val="en-US"/>
        </w:rPr>
        <w:t>Rate</w:t>
      </w:r>
      <w:r w:rsidRPr="00BE65BE">
        <w:rPr>
          <w:rFonts w:ascii="Times New Roman" w:hAnsi="Times New Roman"/>
          <w:i/>
          <w:sz w:val="28"/>
          <w:szCs w:val="28"/>
        </w:rPr>
        <w:t xml:space="preserve"> </w:t>
      </w:r>
      <w:r>
        <w:rPr>
          <w:rFonts w:ascii="Times New Roman" w:hAnsi="Times New Roman"/>
          <w:i/>
          <w:sz w:val="28"/>
          <w:szCs w:val="28"/>
        </w:rPr>
        <w:t>от заданного уровня с амплитудой в 0,5%. Выбранн</w:t>
      </w:r>
      <w:r w:rsidR="00EB0D2D">
        <w:rPr>
          <w:rFonts w:ascii="Times New Roman" w:hAnsi="Times New Roman"/>
          <w:i/>
          <w:sz w:val="28"/>
          <w:szCs w:val="28"/>
        </w:rPr>
        <w:t>ая</w:t>
      </w:r>
      <w:r>
        <w:rPr>
          <w:rFonts w:ascii="Times New Roman" w:hAnsi="Times New Roman"/>
          <w:i/>
          <w:sz w:val="28"/>
          <w:szCs w:val="28"/>
        </w:rPr>
        <w:t xml:space="preserve"> по результатам оценки с помощью модели ДДП</w:t>
      </w:r>
      <w:r w:rsidR="00EB0D2D">
        <w:rPr>
          <w:rFonts w:ascii="Times New Roman" w:hAnsi="Times New Roman"/>
          <w:i/>
          <w:sz w:val="28"/>
          <w:szCs w:val="28"/>
        </w:rPr>
        <w:t xml:space="preserve"> стоимость активов компании составляет 51 994 млн. евро (стоимость с учетом чистого долга), при</w:t>
      </w:r>
      <w:r>
        <w:rPr>
          <w:rFonts w:ascii="Times New Roman" w:hAnsi="Times New Roman"/>
          <w:i/>
          <w:sz w:val="28"/>
          <w:szCs w:val="28"/>
        </w:rPr>
        <w:t xml:space="preserve"> </w:t>
      </w:r>
      <w:r w:rsidR="00A9022D">
        <w:rPr>
          <w:rFonts w:ascii="Times New Roman" w:hAnsi="Times New Roman"/>
          <w:i/>
          <w:sz w:val="28"/>
          <w:szCs w:val="28"/>
        </w:rPr>
        <w:t>рыночной стоимости акционерного капитала</w:t>
      </w:r>
      <w:r w:rsidR="00A9022D" w:rsidRPr="00A9022D">
        <w:rPr>
          <w:rFonts w:ascii="Times New Roman" w:hAnsi="Times New Roman"/>
          <w:i/>
          <w:sz w:val="28"/>
          <w:szCs w:val="28"/>
        </w:rPr>
        <w:t xml:space="preserve"> (</w:t>
      </w:r>
      <w:r w:rsidR="00A9022D">
        <w:rPr>
          <w:rFonts w:ascii="Times New Roman" w:hAnsi="Times New Roman"/>
          <w:i/>
          <w:sz w:val="28"/>
          <w:szCs w:val="28"/>
          <w:lang w:val="en-US"/>
        </w:rPr>
        <w:t>market</w:t>
      </w:r>
      <w:r w:rsidR="00A9022D" w:rsidRPr="00A9022D">
        <w:rPr>
          <w:rFonts w:ascii="Times New Roman" w:hAnsi="Times New Roman"/>
          <w:i/>
          <w:sz w:val="28"/>
          <w:szCs w:val="28"/>
        </w:rPr>
        <w:t xml:space="preserve"> </w:t>
      </w:r>
      <w:r w:rsidR="00A9022D">
        <w:rPr>
          <w:rFonts w:ascii="Times New Roman" w:hAnsi="Times New Roman"/>
          <w:i/>
          <w:sz w:val="28"/>
          <w:szCs w:val="28"/>
          <w:lang w:val="en-US"/>
        </w:rPr>
        <w:t>capitalization</w:t>
      </w:r>
      <w:r w:rsidR="00A9022D" w:rsidRPr="00A9022D">
        <w:rPr>
          <w:rFonts w:ascii="Times New Roman" w:hAnsi="Times New Roman"/>
          <w:i/>
          <w:sz w:val="28"/>
          <w:szCs w:val="28"/>
        </w:rPr>
        <w:t>)</w:t>
      </w:r>
      <w:r w:rsidR="00A9022D">
        <w:rPr>
          <w:rFonts w:ascii="Times New Roman" w:hAnsi="Times New Roman"/>
          <w:i/>
          <w:sz w:val="28"/>
          <w:szCs w:val="28"/>
        </w:rPr>
        <w:t xml:space="preserve">, равной </w:t>
      </w:r>
      <w:r w:rsidR="00A9022D" w:rsidRPr="00A9022D">
        <w:rPr>
          <w:rFonts w:ascii="Times New Roman" w:hAnsi="Times New Roman"/>
          <w:i/>
          <w:sz w:val="28"/>
          <w:szCs w:val="28"/>
        </w:rPr>
        <w:t>39</w:t>
      </w:r>
      <w:r w:rsidR="00A9022D">
        <w:rPr>
          <w:rFonts w:ascii="Times New Roman" w:hAnsi="Times New Roman"/>
          <w:i/>
          <w:sz w:val="28"/>
          <w:szCs w:val="28"/>
          <w:lang w:val="en-US"/>
        </w:rPr>
        <w:t> </w:t>
      </w:r>
      <w:r w:rsidR="00A9022D" w:rsidRPr="00A9022D">
        <w:rPr>
          <w:rFonts w:ascii="Times New Roman" w:hAnsi="Times New Roman"/>
          <w:i/>
          <w:sz w:val="28"/>
          <w:szCs w:val="28"/>
        </w:rPr>
        <w:t xml:space="preserve">731 </w:t>
      </w:r>
      <w:r w:rsidR="00A9022D">
        <w:rPr>
          <w:rFonts w:ascii="Times New Roman" w:hAnsi="Times New Roman"/>
          <w:i/>
          <w:sz w:val="28"/>
          <w:szCs w:val="28"/>
        </w:rPr>
        <w:t>млн. евро.</w:t>
      </w:r>
    </w:p>
    <w:p w:rsidR="00E61E56" w:rsidRPr="00022ED2" w:rsidRDefault="002C7537" w:rsidP="00022ED2">
      <w:pPr>
        <w:pStyle w:val="2"/>
        <w:spacing w:line="720" w:lineRule="auto"/>
        <w:jc w:val="center"/>
        <w:rPr>
          <w:rFonts w:ascii="Times New Roman" w:hAnsi="Times New Roman" w:cs="Times New Roman"/>
          <w:color w:val="auto"/>
          <w:sz w:val="28"/>
          <w:szCs w:val="28"/>
        </w:rPr>
      </w:pPr>
      <w:bookmarkStart w:id="34" w:name="_Toc356252016"/>
      <w:r w:rsidRPr="00022ED2">
        <w:rPr>
          <w:rFonts w:ascii="Times New Roman" w:hAnsi="Times New Roman" w:cs="Times New Roman"/>
          <w:color w:val="auto"/>
          <w:sz w:val="28"/>
          <w:szCs w:val="28"/>
        </w:rPr>
        <w:t xml:space="preserve">3.2. </w:t>
      </w:r>
      <w:r w:rsidR="00E61E56" w:rsidRPr="00022ED2">
        <w:rPr>
          <w:rFonts w:ascii="Times New Roman" w:hAnsi="Times New Roman" w:cs="Times New Roman"/>
          <w:color w:val="auto"/>
          <w:sz w:val="28"/>
          <w:szCs w:val="28"/>
        </w:rPr>
        <w:t>Сравнительный анализ мультипликаторов компаний-аналогов</w:t>
      </w:r>
      <w:bookmarkEnd w:id="34"/>
    </w:p>
    <w:p w:rsidR="00CC4B87" w:rsidRDefault="00E61E56" w:rsidP="005439AF">
      <w:pPr>
        <w:spacing w:line="360" w:lineRule="auto"/>
        <w:ind w:firstLine="360"/>
        <w:jc w:val="both"/>
        <w:rPr>
          <w:rFonts w:ascii="Times New Roman" w:hAnsi="Times New Roman"/>
          <w:sz w:val="28"/>
          <w:szCs w:val="28"/>
        </w:rPr>
      </w:pPr>
      <w:r w:rsidRPr="00E61E56">
        <w:rPr>
          <w:rFonts w:ascii="Times New Roman" w:hAnsi="Times New Roman"/>
          <w:sz w:val="28"/>
          <w:szCs w:val="28"/>
        </w:rPr>
        <w:t>Стоимость компании Heineken N</w:t>
      </w:r>
      <w:r>
        <w:rPr>
          <w:rFonts w:ascii="Times New Roman" w:hAnsi="Times New Roman"/>
          <w:sz w:val="28"/>
          <w:szCs w:val="28"/>
        </w:rPr>
        <w:t>.</w:t>
      </w:r>
      <w:r w:rsidRPr="00E61E56">
        <w:rPr>
          <w:rFonts w:ascii="Times New Roman" w:hAnsi="Times New Roman"/>
          <w:sz w:val="28"/>
          <w:szCs w:val="28"/>
        </w:rPr>
        <w:t>V</w:t>
      </w:r>
      <w:r>
        <w:rPr>
          <w:rFonts w:ascii="Times New Roman" w:hAnsi="Times New Roman"/>
          <w:sz w:val="28"/>
          <w:szCs w:val="28"/>
        </w:rPr>
        <w:t>.</w:t>
      </w:r>
      <w:r w:rsidRPr="00E61E56">
        <w:rPr>
          <w:rFonts w:ascii="Times New Roman" w:hAnsi="Times New Roman"/>
          <w:sz w:val="28"/>
          <w:szCs w:val="28"/>
        </w:rPr>
        <w:t xml:space="preserve"> определялась на основе данных, полученных из информационных систем Thomas Reuters и Bloom</w:t>
      </w:r>
      <w:r>
        <w:rPr>
          <w:rFonts w:ascii="Times New Roman" w:hAnsi="Times New Roman"/>
          <w:sz w:val="28"/>
          <w:szCs w:val="28"/>
        </w:rPr>
        <w:t xml:space="preserve">berg. Для сравнения были взяты </w:t>
      </w:r>
      <w:r w:rsidRPr="00E61E56">
        <w:rPr>
          <w:rFonts w:ascii="Times New Roman" w:hAnsi="Times New Roman"/>
          <w:sz w:val="28"/>
          <w:szCs w:val="28"/>
        </w:rPr>
        <w:t xml:space="preserve">6 компаний, одна из которых представляет российский рынок - ОАО Балтика, 3 - рынок развитых стран (Anheuser-Busch </w:t>
      </w:r>
      <w:r>
        <w:rPr>
          <w:rFonts w:ascii="Times New Roman" w:hAnsi="Times New Roman"/>
          <w:sz w:val="28"/>
          <w:szCs w:val="28"/>
          <w:lang w:val="en-US"/>
        </w:rPr>
        <w:t>In</w:t>
      </w:r>
      <w:r w:rsidRPr="00E61E56">
        <w:rPr>
          <w:rFonts w:ascii="Times New Roman" w:hAnsi="Times New Roman"/>
          <w:sz w:val="28"/>
          <w:szCs w:val="28"/>
        </w:rPr>
        <w:t xml:space="preserve"> </w:t>
      </w:r>
      <w:r>
        <w:rPr>
          <w:rFonts w:ascii="Times New Roman" w:hAnsi="Times New Roman"/>
          <w:sz w:val="28"/>
          <w:szCs w:val="28"/>
          <w:lang w:val="en-US"/>
        </w:rPr>
        <w:t>Bev</w:t>
      </w:r>
      <w:r>
        <w:rPr>
          <w:rFonts w:ascii="Times New Roman" w:hAnsi="Times New Roman"/>
          <w:sz w:val="28"/>
          <w:szCs w:val="28"/>
        </w:rPr>
        <w:t>, Boston Beer, SABMiller</w:t>
      </w:r>
      <w:r w:rsidRPr="00E61E56">
        <w:rPr>
          <w:rFonts w:ascii="Times New Roman" w:hAnsi="Times New Roman"/>
          <w:sz w:val="28"/>
          <w:szCs w:val="28"/>
        </w:rPr>
        <w:t xml:space="preserve"> </w:t>
      </w:r>
      <w:r>
        <w:rPr>
          <w:rFonts w:ascii="Times New Roman" w:hAnsi="Times New Roman"/>
          <w:sz w:val="28"/>
          <w:szCs w:val="28"/>
          <w:lang w:val="en-US"/>
        </w:rPr>
        <w:t>plc</w:t>
      </w:r>
      <w:r w:rsidRPr="00E61E56">
        <w:rPr>
          <w:rFonts w:ascii="Times New Roman" w:hAnsi="Times New Roman"/>
          <w:sz w:val="28"/>
          <w:szCs w:val="28"/>
        </w:rPr>
        <w:t>.) и 2 - рынок развивающихся стран (Companhia de Bebidas das Americas, Compania Cervecerias Unidas S.A). Из системы Bloomberg были взяты историческ</w:t>
      </w:r>
      <w:r>
        <w:rPr>
          <w:rFonts w:ascii="Times New Roman" w:hAnsi="Times New Roman"/>
          <w:sz w:val="28"/>
          <w:szCs w:val="28"/>
        </w:rPr>
        <w:t>ие мультипликаторы с 2009 по 20</w:t>
      </w:r>
      <w:r w:rsidR="00B46156">
        <w:rPr>
          <w:rFonts w:ascii="Times New Roman" w:hAnsi="Times New Roman"/>
          <w:sz w:val="28"/>
          <w:szCs w:val="28"/>
        </w:rPr>
        <w:t>12</w:t>
      </w:r>
      <w:r w:rsidRPr="00E61E56">
        <w:rPr>
          <w:rFonts w:ascii="Times New Roman" w:hAnsi="Times New Roman"/>
          <w:sz w:val="28"/>
          <w:szCs w:val="28"/>
        </w:rPr>
        <w:t xml:space="preserve"> год компаний-аналогов, такие как EV/Sales и EV/EBITDA. После этого были рассчитаны средние и медианные значения по каждому мультипликатору.</w:t>
      </w:r>
    </w:p>
    <w:p w:rsidR="00860229" w:rsidRDefault="00860229" w:rsidP="005439AF">
      <w:pPr>
        <w:spacing w:line="360" w:lineRule="auto"/>
        <w:ind w:firstLine="360"/>
        <w:jc w:val="both"/>
        <w:rPr>
          <w:rFonts w:ascii="Times New Roman" w:hAnsi="Times New Roman"/>
          <w:sz w:val="28"/>
          <w:szCs w:val="28"/>
          <w:lang w:val="en-US"/>
        </w:rPr>
      </w:pPr>
      <w:r w:rsidRPr="00860229">
        <w:rPr>
          <w:rFonts w:ascii="Times New Roman" w:hAnsi="Times New Roman"/>
          <w:sz w:val="28"/>
          <w:szCs w:val="28"/>
        </w:rPr>
        <w:t>В результате, средняя стоимость бизнеса, рассчитанная на основе этих показателей, для российского региона составляет 37386 млн. евро, рынка развитых стран – 45348 млн. евро, рынка развивающихся стран – 32407 млн. евро.</w:t>
      </w:r>
    </w:p>
    <w:p w:rsidR="005D1E85" w:rsidRPr="005D1E85" w:rsidRDefault="005D1E85" w:rsidP="005D1E85">
      <w:pPr>
        <w:pStyle w:val="2"/>
        <w:spacing w:line="360" w:lineRule="auto"/>
        <w:jc w:val="center"/>
        <w:rPr>
          <w:rFonts w:ascii="Times New Roman" w:hAnsi="Times New Roman" w:cs="Times New Roman"/>
          <w:color w:val="auto"/>
          <w:sz w:val="28"/>
          <w:szCs w:val="28"/>
          <w:lang w:val="en-US"/>
        </w:rPr>
      </w:pPr>
      <w:bookmarkStart w:id="35" w:name="_Toc356252017"/>
      <w:r w:rsidRPr="005D1E85">
        <w:rPr>
          <w:rFonts w:ascii="Times New Roman" w:hAnsi="Times New Roman" w:cs="Times New Roman"/>
          <w:color w:val="auto"/>
          <w:sz w:val="28"/>
          <w:szCs w:val="28"/>
        </w:rPr>
        <w:t>3.3 Футбольное поле оценки и итоговое заключение о стоимости компании Heineken N.V.</w:t>
      </w:r>
      <w:bookmarkEnd w:id="35"/>
    </w:p>
    <w:p w:rsidR="005D1E85" w:rsidRPr="005D1E85" w:rsidRDefault="005D1E85" w:rsidP="005D1E85">
      <w:pPr>
        <w:spacing w:line="360" w:lineRule="auto"/>
        <w:ind w:firstLine="360"/>
        <w:jc w:val="center"/>
        <w:rPr>
          <w:rFonts w:ascii="Times New Roman" w:eastAsiaTheme="majorEastAsia" w:hAnsi="Times New Roman"/>
          <w:b/>
          <w:bCs/>
          <w:sz w:val="28"/>
          <w:szCs w:val="28"/>
          <w:lang w:val="en-US"/>
        </w:rPr>
      </w:pPr>
    </w:p>
    <w:p w:rsidR="00E41D92" w:rsidRDefault="00860229" w:rsidP="005439AF">
      <w:pPr>
        <w:spacing w:line="360" w:lineRule="auto"/>
        <w:ind w:firstLine="360"/>
        <w:jc w:val="both"/>
        <w:rPr>
          <w:rFonts w:ascii="Times New Roman" w:hAnsi="Times New Roman"/>
          <w:sz w:val="28"/>
          <w:szCs w:val="28"/>
        </w:rPr>
      </w:pPr>
      <w:proofErr w:type="gramStart"/>
      <w:r w:rsidRPr="00860229">
        <w:rPr>
          <w:rFonts w:ascii="Times New Roman" w:hAnsi="Times New Roman"/>
          <w:sz w:val="28"/>
          <w:szCs w:val="28"/>
        </w:rPr>
        <w:t xml:space="preserve">В результате проведенной оценки стоимости компании были получены следующие значения: </w:t>
      </w:r>
      <w:r>
        <w:rPr>
          <w:rFonts w:ascii="Times New Roman" w:hAnsi="Times New Roman"/>
          <w:sz w:val="28"/>
          <w:szCs w:val="28"/>
        </w:rPr>
        <w:t>стоимость активов компании</w:t>
      </w:r>
      <w:r w:rsidRPr="00860229">
        <w:rPr>
          <w:rFonts w:ascii="Times New Roman" w:hAnsi="Times New Roman"/>
          <w:sz w:val="28"/>
          <w:szCs w:val="28"/>
        </w:rPr>
        <w:t xml:space="preserve"> – </w:t>
      </w:r>
      <w:r>
        <w:rPr>
          <w:rFonts w:ascii="Times New Roman" w:hAnsi="Times New Roman"/>
          <w:sz w:val="28"/>
          <w:szCs w:val="28"/>
        </w:rPr>
        <w:t>51 994</w:t>
      </w:r>
      <w:r w:rsidRPr="00860229">
        <w:rPr>
          <w:rFonts w:ascii="Times New Roman" w:hAnsi="Times New Roman"/>
          <w:sz w:val="28"/>
          <w:szCs w:val="28"/>
        </w:rPr>
        <w:t xml:space="preserve"> млн. евро, согласно DCF модели, 32407 млн. евро, исходя из торговых мультипликаторов на развивающихся рынках Бразилии и Чили, 37386 млн. евро в России и 45348 млн. евро на развитых рынках</w:t>
      </w:r>
      <w:r>
        <w:rPr>
          <w:rStyle w:val="a5"/>
          <w:rFonts w:ascii="Times New Roman" w:hAnsi="Times New Roman"/>
          <w:sz w:val="28"/>
          <w:szCs w:val="28"/>
        </w:rPr>
        <w:footnoteReference w:id="36"/>
      </w:r>
      <w:r w:rsidRPr="00860229">
        <w:rPr>
          <w:rFonts w:ascii="Times New Roman" w:hAnsi="Times New Roman"/>
          <w:sz w:val="28"/>
          <w:szCs w:val="28"/>
        </w:rPr>
        <w:t xml:space="preserve">. Более того, каждому методу был присвоен определенный вес: методу дисконтированных денежных потоков – 55%, </w:t>
      </w:r>
      <w:r>
        <w:rPr>
          <w:rFonts w:ascii="Times New Roman" w:hAnsi="Times New Roman"/>
          <w:sz w:val="28"/>
          <w:szCs w:val="28"/>
        </w:rPr>
        <w:t>в силу</w:t>
      </w:r>
      <w:proofErr w:type="gramEnd"/>
      <w:r>
        <w:rPr>
          <w:rFonts w:ascii="Times New Roman" w:hAnsi="Times New Roman"/>
          <w:sz w:val="28"/>
          <w:szCs w:val="28"/>
        </w:rPr>
        <w:t xml:space="preserve"> того, что</w:t>
      </w:r>
      <w:r w:rsidRPr="00860229">
        <w:rPr>
          <w:rFonts w:ascii="Times New Roman" w:hAnsi="Times New Roman"/>
          <w:sz w:val="28"/>
          <w:szCs w:val="28"/>
        </w:rPr>
        <w:t xml:space="preserve"> этот подход позволяет более точно определить фундаментальную стоимость бизнеса, </w:t>
      </w:r>
      <w:r>
        <w:rPr>
          <w:rFonts w:ascii="Times New Roman" w:hAnsi="Times New Roman"/>
          <w:sz w:val="28"/>
          <w:szCs w:val="28"/>
        </w:rPr>
        <w:t>так как</w:t>
      </w:r>
      <w:r w:rsidRPr="00860229">
        <w:rPr>
          <w:rFonts w:ascii="Times New Roman" w:hAnsi="Times New Roman"/>
          <w:sz w:val="28"/>
          <w:szCs w:val="28"/>
        </w:rPr>
        <w:t xml:space="preserve"> в наивысшей степени учитываются предпосылки, как внутренние, так и внешние, влияющие на способность компании </w:t>
      </w:r>
      <w:r>
        <w:rPr>
          <w:rFonts w:ascii="Times New Roman" w:hAnsi="Times New Roman"/>
          <w:sz w:val="28"/>
          <w:szCs w:val="28"/>
        </w:rPr>
        <w:t>генерировать</w:t>
      </w:r>
      <w:r w:rsidRPr="00860229">
        <w:rPr>
          <w:rFonts w:ascii="Times New Roman" w:hAnsi="Times New Roman"/>
          <w:sz w:val="28"/>
          <w:szCs w:val="28"/>
        </w:rPr>
        <w:t xml:space="preserve"> денежный поток. Сравнительный подход к оценке был разбит на 3 составляющих: торговые мультипликаторы развитых стран – 25% в общем весе, развивающихся стран – 15%, России – 5%.</w:t>
      </w:r>
      <w:r w:rsidR="00B033BE">
        <w:rPr>
          <w:rFonts w:ascii="Times New Roman" w:hAnsi="Times New Roman"/>
          <w:sz w:val="28"/>
          <w:szCs w:val="28"/>
        </w:rPr>
        <w:t xml:space="preserve"> </w:t>
      </w:r>
    </w:p>
    <w:p w:rsidR="00860229" w:rsidRDefault="00B033BE" w:rsidP="005439AF">
      <w:pPr>
        <w:spacing w:line="360" w:lineRule="auto"/>
        <w:ind w:firstLine="360"/>
        <w:jc w:val="both"/>
        <w:rPr>
          <w:rFonts w:ascii="Times New Roman" w:hAnsi="Times New Roman"/>
          <w:sz w:val="28"/>
          <w:szCs w:val="28"/>
        </w:rPr>
      </w:pPr>
      <w:r w:rsidRPr="00B033BE">
        <w:rPr>
          <w:rFonts w:ascii="Times New Roman" w:hAnsi="Times New Roman"/>
          <w:sz w:val="28"/>
          <w:szCs w:val="28"/>
        </w:rPr>
        <w:t>Такое распределение долей связано с наличием сопоставимых финансовых показателей и количеством компаний-аналогов на рынке пива. 5% присваивается российскому региону, так как на рынке данной продукции присутствует только одна публичная компания – ОАО Балтика. Кроме того, рыночная капитализация данного предприятия значительно меньше, чем у Heineken N</w:t>
      </w:r>
      <w:r w:rsidR="00E41D92">
        <w:rPr>
          <w:rFonts w:ascii="Times New Roman" w:hAnsi="Times New Roman"/>
          <w:sz w:val="28"/>
          <w:szCs w:val="28"/>
        </w:rPr>
        <w:t>.</w:t>
      </w:r>
      <w:r w:rsidRPr="00B033BE">
        <w:rPr>
          <w:rFonts w:ascii="Times New Roman" w:hAnsi="Times New Roman"/>
          <w:sz w:val="28"/>
          <w:szCs w:val="28"/>
        </w:rPr>
        <w:t xml:space="preserve">V. 25% присваивается значению торговых мультипликаторов развитого рынка, так как в этой выборке сосредоточены основные производители </w:t>
      </w:r>
      <w:r w:rsidR="00E41D92">
        <w:rPr>
          <w:rFonts w:ascii="Times New Roman" w:hAnsi="Times New Roman"/>
          <w:sz w:val="28"/>
          <w:szCs w:val="28"/>
        </w:rPr>
        <w:t xml:space="preserve">и лидеры пивоваренной продукции. </w:t>
      </w:r>
      <w:r w:rsidRPr="00B033BE">
        <w:rPr>
          <w:rFonts w:ascii="Times New Roman" w:hAnsi="Times New Roman"/>
          <w:sz w:val="28"/>
          <w:szCs w:val="28"/>
        </w:rPr>
        <w:t>Остальные 15% отдаются компаниям развивающегося рынка.</w:t>
      </w:r>
    </w:p>
    <w:p w:rsidR="00E41D92" w:rsidRPr="0006637D" w:rsidRDefault="00E41D92" w:rsidP="00E41D92">
      <w:pPr>
        <w:spacing w:line="360" w:lineRule="auto"/>
        <w:ind w:firstLine="360"/>
        <w:jc w:val="both"/>
        <w:rPr>
          <w:rFonts w:ascii="Times New Roman" w:hAnsi="Times New Roman"/>
          <w:i/>
          <w:sz w:val="28"/>
          <w:szCs w:val="28"/>
        </w:rPr>
      </w:pPr>
      <w:r w:rsidRPr="0006637D">
        <w:rPr>
          <w:rFonts w:ascii="Times New Roman" w:hAnsi="Times New Roman"/>
          <w:i/>
          <w:sz w:val="28"/>
          <w:szCs w:val="28"/>
        </w:rPr>
        <w:t>В результате проведенной оценки финальная стоимость компании определяется по формуле:</w:t>
      </w:r>
    </w:p>
    <w:p w:rsidR="00E41D92" w:rsidRPr="0006637D" w:rsidRDefault="00E41D92" w:rsidP="00E41D92">
      <w:pPr>
        <w:spacing w:line="360" w:lineRule="auto"/>
        <w:ind w:firstLine="360"/>
        <w:jc w:val="both"/>
        <w:rPr>
          <w:rFonts w:ascii="Times New Roman" w:hAnsi="Times New Roman"/>
          <w:b/>
          <w:i/>
          <w:sz w:val="28"/>
          <w:szCs w:val="28"/>
        </w:rPr>
      </w:pPr>
      <w:r w:rsidRPr="0006637D">
        <w:rPr>
          <w:rFonts w:ascii="Times New Roman" w:hAnsi="Times New Roman"/>
          <w:b/>
          <w:i/>
          <w:sz w:val="28"/>
          <w:szCs w:val="28"/>
        </w:rPr>
        <w:t>Стоимость компании = 0,55 * DCF + 0,45 * Метод сопоставимых компаний</w:t>
      </w:r>
    </w:p>
    <w:p w:rsidR="00BA14CC" w:rsidRPr="0006637D" w:rsidRDefault="005D1E85" w:rsidP="00E41D92">
      <w:pPr>
        <w:spacing w:line="360" w:lineRule="auto"/>
        <w:ind w:firstLine="360"/>
        <w:jc w:val="both"/>
        <w:rPr>
          <w:rFonts w:ascii="Times New Roman" w:hAnsi="Times New Roman"/>
          <w:i/>
          <w:sz w:val="28"/>
          <w:szCs w:val="28"/>
        </w:rPr>
      </w:pPr>
      <w:r w:rsidRPr="0006637D">
        <w:rPr>
          <w:rFonts w:ascii="Times New Roman" w:hAnsi="Times New Roman"/>
          <w:b/>
          <w:i/>
          <w:sz w:val="28"/>
          <w:szCs w:val="28"/>
          <w:lang w:val="en-US"/>
        </w:rPr>
        <w:t>EV</w:t>
      </w:r>
      <w:r w:rsidRPr="0006637D">
        <w:rPr>
          <w:rFonts w:ascii="Times New Roman" w:hAnsi="Times New Roman"/>
          <w:i/>
          <w:sz w:val="28"/>
          <w:szCs w:val="28"/>
          <w:lang w:val="en-US"/>
        </w:rPr>
        <w:t xml:space="preserve"> = 0</w:t>
      </w:r>
      <w:proofErr w:type="gramStart"/>
      <w:r w:rsidR="005B46D1" w:rsidRPr="0006637D">
        <w:rPr>
          <w:rFonts w:ascii="Times New Roman" w:hAnsi="Times New Roman"/>
          <w:i/>
          <w:sz w:val="28"/>
          <w:szCs w:val="28"/>
          <w:lang w:val="en-US"/>
        </w:rPr>
        <w:t>,5</w:t>
      </w:r>
      <w:proofErr w:type="gramEnd"/>
      <w:r w:rsidR="005B46D1" w:rsidRPr="0006637D">
        <w:rPr>
          <w:rFonts w:ascii="Times New Roman" w:hAnsi="Times New Roman"/>
          <w:i/>
          <w:sz w:val="28"/>
          <w:szCs w:val="28"/>
          <w:lang w:val="en-US"/>
        </w:rPr>
        <w:t xml:space="preserve"> *</w:t>
      </w:r>
      <w:r w:rsidRPr="0006637D">
        <w:rPr>
          <w:rFonts w:ascii="Times New Roman" w:hAnsi="Times New Roman"/>
          <w:i/>
          <w:sz w:val="28"/>
          <w:szCs w:val="28"/>
          <w:lang w:val="en-US"/>
        </w:rPr>
        <w:t>51 994 +</w:t>
      </w:r>
      <w:r w:rsidR="00BA14CC" w:rsidRPr="0006637D">
        <w:rPr>
          <w:rFonts w:ascii="Times New Roman" w:hAnsi="Times New Roman"/>
          <w:i/>
          <w:sz w:val="28"/>
          <w:szCs w:val="28"/>
        </w:rPr>
        <w:t xml:space="preserve"> </w:t>
      </w:r>
      <w:r w:rsidR="005B46D1" w:rsidRPr="0006637D">
        <w:rPr>
          <w:rFonts w:ascii="Times New Roman" w:hAnsi="Times New Roman"/>
          <w:i/>
          <w:sz w:val="28"/>
          <w:szCs w:val="28"/>
          <w:lang w:val="en-US"/>
        </w:rPr>
        <w:t>0,25</w:t>
      </w:r>
      <w:r w:rsidRPr="0006637D">
        <w:rPr>
          <w:rFonts w:ascii="Times New Roman" w:hAnsi="Times New Roman"/>
          <w:i/>
          <w:sz w:val="28"/>
          <w:szCs w:val="28"/>
          <w:lang w:val="en-US"/>
        </w:rPr>
        <w:t>*45 348 + 0,15</w:t>
      </w:r>
      <w:r w:rsidR="005B46D1" w:rsidRPr="0006637D">
        <w:rPr>
          <w:rFonts w:ascii="Times New Roman" w:hAnsi="Times New Roman"/>
          <w:i/>
          <w:sz w:val="28"/>
          <w:szCs w:val="28"/>
          <w:lang w:val="en-US"/>
        </w:rPr>
        <w:t>*</w:t>
      </w:r>
      <w:r w:rsidRPr="0006637D">
        <w:rPr>
          <w:rFonts w:ascii="Times New Roman" w:hAnsi="Times New Roman"/>
          <w:i/>
          <w:sz w:val="28"/>
          <w:szCs w:val="28"/>
          <w:lang w:val="en-US"/>
        </w:rPr>
        <w:t>37 386 + 0,05</w:t>
      </w:r>
      <w:r w:rsidR="005B46D1" w:rsidRPr="0006637D">
        <w:rPr>
          <w:rFonts w:ascii="Times New Roman" w:hAnsi="Times New Roman"/>
          <w:i/>
          <w:sz w:val="28"/>
          <w:szCs w:val="28"/>
          <w:lang w:val="en-US"/>
        </w:rPr>
        <w:t>*</w:t>
      </w:r>
      <w:r w:rsidRPr="0006637D">
        <w:rPr>
          <w:rFonts w:ascii="Times New Roman" w:hAnsi="Times New Roman"/>
          <w:i/>
          <w:sz w:val="28"/>
          <w:szCs w:val="28"/>
          <w:lang w:val="en-US"/>
        </w:rPr>
        <w:t xml:space="preserve">37 386 = </w:t>
      </w:r>
      <w:r w:rsidR="00F52B78" w:rsidRPr="0006637D">
        <w:rPr>
          <w:rFonts w:ascii="Times New Roman" w:hAnsi="Times New Roman"/>
          <w:i/>
          <w:sz w:val="28"/>
          <w:szCs w:val="28"/>
        </w:rPr>
        <w:t xml:space="preserve"> </w:t>
      </w:r>
      <w:r w:rsidR="00F52B78" w:rsidRPr="0006637D">
        <w:rPr>
          <w:rFonts w:ascii="Times New Roman" w:hAnsi="Times New Roman"/>
          <w:b/>
          <w:i/>
          <w:sz w:val="28"/>
          <w:szCs w:val="28"/>
        </w:rPr>
        <w:t>47 412</w:t>
      </w:r>
      <w:r w:rsidR="00F52B78" w:rsidRPr="0006637D">
        <w:rPr>
          <w:rFonts w:ascii="Times New Roman" w:hAnsi="Times New Roman"/>
          <w:i/>
          <w:sz w:val="28"/>
          <w:szCs w:val="28"/>
        </w:rPr>
        <w:t xml:space="preserve"> млн. евро</w:t>
      </w:r>
    </w:p>
    <w:p w:rsidR="00A91D78" w:rsidRPr="00006CBE" w:rsidRDefault="00A91D78" w:rsidP="00A91D78">
      <w:pPr>
        <w:rPr>
          <w:rFonts w:ascii="Times New Roman" w:hAnsi="Times New Roman"/>
          <w:b/>
          <w:sz w:val="28"/>
          <w:szCs w:val="28"/>
        </w:rPr>
      </w:pPr>
    </w:p>
    <w:p w:rsidR="00A91D78" w:rsidRDefault="00A91D78">
      <w:pPr>
        <w:rPr>
          <w:rFonts w:ascii="Times New Roman" w:hAnsi="Times New Roman"/>
          <w:b/>
          <w:sz w:val="28"/>
          <w:szCs w:val="28"/>
        </w:rPr>
      </w:pPr>
      <w:r>
        <w:rPr>
          <w:rFonts w:ascii="Times New Roman" w:hAnsi="Times New Roman"/>
          <w:b/>
          <w:sz w:val="28"/>
          <w:szCs w:val="28"/>
        </w:rPr>
        <w:br w:type="page"/>
      </w:r>
    </w:p>
    <w:p w:rsidR="00446F24" w:rsidRPr="00022ED2" w:rsidRDefault="004D596B" w:rsidP="00022ED2">
      <w:pPr>
        <w:pStyle w:val="1"/>
        <w:spacing w:line="720" w:lineRule="auto"/>
        <w:jc w:val="center"/>
        <w:rPr>
          <w:rFonts w:ascii="Times New Roman" w:hAnsi="Times New Roman" w:cs="Times New Roman"/>
          <w:color w:val="auto"/>
        </w:rPr>
      </w:pPr>
      <w:bookmarkStart w:id="36" w:name="_Toc356252018"/>
      <w:r w:rsidRPr="00022ED2">
        <w:rPr>
          <w:rFonts w:ascii="Times New Roman" w:hAnsi="Times New Roman" w:cs="Times New Roman"/>
          <w:color w:val="auto"/>
        </w:rPr>
        <w:t>Заключение</w:t>
      </w:r>
      <w:bookmarkEnd w:id="36"/>
    </w:p>
    <w:p w:rsidR="004D596B" w:rsidRDefault="004D596B" w:rsidP="004D596B">
      <w:pPr>
        <w:spacing w:line="360" w:lineRule="auto"/>
        <w:ind w:firstLine="708"/>
        <w:jc w:val="both"/>
        <w:rPr>
          <w:rFonts w:ascii="Times New Roman" w:hAnsi="Times New Roman"/>
          <w:sz w:val="28"/>
          <w:szCs w:val="28"/>
        </w:rPr>
      </w:pPr>
      <w:r>
        <w:rPr>
          <w:rFonts w:ascii="Times New Roman" w:hAnsi="Times New Roman"/>
          <w:sz w:val="28"/>
          <w:szCs w:val="28"/>
        </w:rPr>
        <w:t xml:space="preserve">В ходе выполнения дипломного проекта, были разобраны основные вопросы, касающиеся оценки эффективности трансграничных слияний и поглощений. Проведенный в процессе работы анализ показал, что основным мотивом для сделок слияний и поглощений выступает возможность достижения синергетического эффекта, который проявляется в виде операционной и финансовой синергии. </w:t>
      </w:r>
    </w:p>
    <w:p w:rsidR="00BA68CF" w:rsidRDefault="00E93E92" w:rsidP="004D596B">
      <w:pPr>
        <w:spacing w:line="360" w:lineRule="auto"/>
        <w:ind w:firstLine="708"/>
        <w:jc w:val="both"/>
        <w:rPr>
          <w:rFonts w:ascii="Times New Roman" w:hAnsi="Times New Roman"/>
          <w:sz w:val="28"/>
          <w:szCs w:val="28"/>
        </w:rPr>
      </w:pPr>
      <w:r>
        <w:rPr>
          <w:rFonts w:ascii="Times New Roman" w:hAnsi="Times New Roman"/>
          <w:sz w:val="28"/>
          <w:szCs w:val="28"/>
        </w:rPr>
        <w:t>О</w:t>
      </w:r>
      <w:r w:rsidR="004D596B">
        <w:rPr>
          <w:rFonts w:ascii="Times New Roman" w:hAnsi="Times New Roman"/>
          <w:sz w:val="28"/>
          <w:szCs w:val="28"/>
        </w:rPr>
        <w:t xml:space="preserve">перационная синергия подразумевает снижение издержек, и увеличение прибыли, достигаемые за счет экономии, обусловленной масштабами. Во-вторых, в силу получения доступа к определенным конкурентным преимуществам, новая компания увеличивает свое присутствие на рынке, и, следовательно, свою рыночную власть. Помимо этого, возрастает вероятность ускорения  темпов роста предприятия и увеличения периода времени, в течение которого новая компания может занимать доминирующую позицию. </w:t>
      </w:r>
    </w:p>
    <w:p w:rsidR="00BA68CF" w:rsidRDefault="004D596B" w:rsidP="004D596B">
      <w:pPr>
        <w:spacing w:line="360" w:lineRule="auto"/>
        <w:ind w:firstLine="708"/>
        <w:jc w:val="both"/>
        <w:rPr>
          <w:rFonts w:ascii="Times New Roman" w:hAnsi="Times New Roman"/>
          <w:sz w:val="28"/>
          <w:szCs w:val="28"/>
        </w:rPr>
      </w:pPr>
      <w:r>
        <w:rPr>
          <w:rFonts w:ascii="Times New Roman" w:hAnsi="Times New Roman"/>
          <w:sz w:val="28"/>
          <w:szCs w:val="28"/>
        </w:rPr>
        <w:t>Что касается финансовой синергии, то она способствует увеличению денежных потоков фирмы и снижению стоимости капитала. Более того, снижается стоимость заимствований вследствие повышения кредитоспособности предприятия. Также приобретающая компания может сократить свою налогооблагаемую базу за счет чистых операционных убытков компании-цели. И наконец, компания может получить доступ к избыточным денежным ресурсам приобретаемой фирмы и реализовывать новые проекты.</w:t>
      </w:r>
      <w:r w:rsidR="00E93E92">
        <w:rPr>
          <w:rFonts w:ascii="Times New Roman" w:hAnsi="Times New Roman"/>
          <w:sz w:val="28"/>
          <w:szCs w:val="28"/>
        </w:rPr>
        <w:t xml:space="preserve"> </w:t>
      </w:r>
    </w:p>
    <w:p w:rsidR="009E0843" w:rsidRDefault="004D596B" w:rsidP="004D596B">
      <w:pPr>
        <w:spacing w:line="360" w:lineRule="auto"/>
        <w:ind w:firstLine="708"/>
        <w:jc w:val="both"/>
        <w:rPr>
          <w:rFonts w:ascii="Times New Roman" w:hAnsi="Times New Roman"/>
          <w:sz w:val="28"/>
          <w:szCs w:val="28"/>
        </w:rPr>
      </w:pPr>
      <w:r>
        <w:rPr>
          <w:rFonts w:ascii="Times New Roman" w:hAnsi="Times New Roman"/>
          <w:sz w:val="28"/>
          <w:szCs w:val="28"/>
        </w:rPr>
        <w:t>Сделки слияний и поглощений будут эффективны в том случае, когда чистая приведенная стоимость новой компании будет выше расходов, связанных с приобретением компании-цели. Однако стоит иметь в виду, что на оценку стоимости компаний, вовлеченных в трансграничные сделки, могут оказать влияни</w:t>
      </w:r>
      <w:r w:rsidR="00E93E92">
        <w:rPr>
          <w:rFonts w:ascii="Times New Roman" w:hAnsi="Times New Roman"/>
          <w:sz w:val="28"/>
          <w:szCs w:val="28"/>
        </w:rPr>
        <w:t>е</w:t>
      </w:r>
      <w:r>
        <w:rPr>
          <w:rFonts w:ascii="Times New Roman" w:hAnsi="Times New Roman"/>
          <w:sz w:val="28"/>
          <w:szCs w:val="28"/>
        </w:rPr>
        <w:t xml:space="preserve"> некоторые существенные факторы. Наиболее существенные из них – это уровень налогообложения, в частности налог на прибыль; практика ведения бухгалтерской отчетности и расчета различных финансовых показателей; и процентные ставки по кратко- и долгосрочным займам.</w:t>
      </w:r>
    </w:p>
    <w:p w:rsidR="0074514C" w:rsidRDefault="00E74DB5" w:rsidP="004D596B">
      <w:pPr>
        <w:spacing w:line="360" w:lineRule="auto"/>
        <w:ind w:firstLine="708"/>
        <w:jc w:val="both"/>
        <w:rPr>
          <w:rFonts w:ascii="Times New Roman" w:hAnsi="Times New Roman"/>
          <w:sz w:val="28"/>
          <w:szCs w:val="28"/>
        </w:rPr>
      </w:pPr>
      <w:r>
        <w:rPr>
          <w:rFonts w:ascii="Times New Roman" w:hAnsi="Times New Roman"/>
          <w:sz w:val="28"/>
          <w:szCs w:val="28"/>
        </w:rPr>
        <w:t xml:space="preserve">На основании проведенного анализа рынка пивоваренной промышленности неоспоримым лидером рынка является </w:t>
      </w:r>
      <w:r>
        <w:rPr>
          <w:rFonts w:ascii="Times New Roman" w:hAnsi="Times New Roman"/>
          <w:sz w:val="28"/>
          <w:szCs w:val="28"/>
          <w:lang w:val="en-US"/>
        </w:rPr>
        <w:t>Anheuser</w:t>
      </w:r>
      <w:r w:rsidRPr="00E74DB5">
        <w:rPr>
          <w:rFonts w:ascii="Times New Roman" w:hAnsi="Times New Roman"/>
          <w:sz w:val="28"/>
          <w:szCs w:val="28"/>
        </w:rPr>
        <w:t xml:space="preserve"> </w:t>
      </w:r>
      <w:r>
        <w:rPr>
          <w:rFonts w:ascii="Times New Roman" w:hAnsi="Times New Roman"/>
          <w:sz w:val="28"/>
          <w:szCs w:val="28"/>
          <w:lang w:val="en-US"/>
        </w:rPr>
        <w:t>Busch</w:t>
      </w:r>
      <w:r w:rsidRPr="00E74DB5">
        <w:rPr>
          <w:rFonts w:ascii="Times New Roman" w:hAnsi="Times New Roman"/>
          <w:sz w:val="28"/>
          <w:szCs w:val="28"/>
        </w:rPr>
        <w:t xml:space="preserve"> </w:t>
      </w:r>
      <w:r>
        <w:rPr>
          <w:rFonts w:ascii="Times New Roman" w:hAnsi="Times New Roman"/>
          <w:sz w:val="28"/>
          <w:szCs w:val="28"/>
          <w:lang w:val="en-US"/>
        </w:rPr>
        <w:t>In</w:t>
      </w:r>
      <w:r w:rsidRPr="00E74DB5">
        <w:rPr>
          <w:rFonts w:ascii="Times New Roman" w:hAnsi="Times New Roman"/>
          <w:sz w:val="28"/>
          <w:szCs w:val="28"/>
        </w:rPr>
        <w:t>-</w:t>
      </w:r>
      <w:r>
        <w:rPr>
          <w:rFonts w:ascii="Times New Roman" w:hAnsi="Times New Roman"/>
          <w:sz w:val="28"/>
          <w:szCs w:val="28"/>
          <w:lang w:val="en-US"/>
        </w:rPr>
        <w:t>Bev</w:t>
      </w:r>
      <w:r w:rsidRPr="00E74DB5">
        <w:rPr>
          <w:rFonts w:ascii="Times New Roman" w:hAnsi="Times New Roman"/>
          <w:sz w:val="28"/>
          <w:szCs w:val="28"/>
        </w:rPr>
        <w:t>.</w:t>
      </w:r>
      <w:r>
        <w:rPr>
          <w:rFonts w:ascii="Times New Roman" w:hAnsi="Times New Roman"/>
          <w:sz w:val="28"/>
          <w:szCs w:val="28"/>
        </w:rPr>
        <w:t xml:space="preserve"> Компания превосходит своих конкурентов – </w:t>
      </w:r>
      <w:r>
        <w:rPr>
          <w:rFonts w:ascii="Times New Roman" w:hAnsi="Times New Roman"/>
          <w:sz w:val="28"/>
          <w:szCs w:val="28"/>
          <w:lang w:val="en-US"/>
        </w:rPr>
        <w:t>SABMiller</w:t>
      </w:r>
      <w:r w:rsidRPr="00E74DB5">
        <w:rPr>
          <w:rFonts w:ascii="Times New Roman" w:hAnsi="Times New Roman"/>
          <w:sz w:val="28"/>
          <w:szCs w:val="28"/>
        </w:rPr>
        <w:t xml:space="preserve">, </w:t>
      </w:r>
      <w:r>
        <w:rPr>
          <w:rFonts w:ascii="Times New Roman" w:hAnsi="Times New Roman"/>
          <w:sz w:val="28"/>
          <w:szCs w:val="28"/>
          <w:lang w:val="en-US"/>
        </w:rPr>
        <w:t>Carlsberg</w:t>
      </w:r>
      <w:r w:rsidRPr="00E74DB5">
        <w:rPr>
          <w:rFonts w:ascii="Times New Roman" w:hAnsi="Times New Roman"/>
          <w:sz w:val="28"/>
          <w:szCs w:val="28"/>
        </w:rPr>
        <w:t xml:space="preserve"> </w:t>
      </w:r>
      <w:r>
        <w:rPr>
          <w:rFonts w:ascii="Times New Roman" w:hAnsi="Times New Roman"/>
          <w:sz w:val="28"/>
          <w:szCs w:val="28"/>
          <w:lang w:val="en-US"/>
        </w:rPr>
        <w:t>AS</w:t>
      </w:r>
      <w:r w:rsidRPr="00E74DB5">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Heineken</w:t>
      </w:r>
      <w:r w:rsidRPr="00E74DB5">
        <w:rPr>
          <w:rFonts w:ascii="Times New Roman" w:hAnsi="Times New Roman"/>
          <w:sz w:val="28"/>
          <w:szCs w:val="28"/>
        </w:rPr>
        <w:t xml:space="preserve"> </w:t>
      </w:r>
      <w:r>
        <w:rPr>
          <w:rFonts w:ascii="Times New Roman" w:hAnsi="Times New Roman"/>
          <w:sz w:val="28"/>
          <w:szCs w:val="28"/>
          <w:lang w:val="en-US"/>
        </w:rPr>
        <w:t>N</w:t>
      </w:r>
      <w:r w:rsidRPr="00E74DB5">
        <w:rPr>
          <w:rFonts w:ascii="Times New Roman" w:hAnsi="Times New Roman"/>
          <w:sz w:val="28"/>
          <w:szCs w:val="28"/>
        </w:rPr>
        <w:t>.</w:t>
      </w:r>
      <w:r>
        <w:rPr>
          <w:rFonts w:ascii="Times New Roman" w:hAnsi="Times New Roman"/>
          <w:sz w:val="28"/>
          <w:szCs w:val="28"/>
          <w:lang w:val="en-US"/>
        </w:rPr>
        <w:t>V</w:t>
      </w:r>
      <w:r w:rsidRPr="00E74DB5">
        <w:rPr>
          <w:rFonts w:ascii="Times New Roman" w:hAnsi="Times New Roman"/>
          <w:sz w:val="28"/>
          <w:szCs w:val="28"/>
        </w:rPr>
        <w:t xml:space="preserve">. </w:t>
      </w:r>
      <w:r>
        <w:rPr>
          <w:rFonts w:ascii="Times New Roman" w:hAnsi="Times New Roman"/>
          <w:sz w:val="28"/>
          <w:szCs w:val="28"/>
        </w:rPr>
        <w:t xml:space="preserve">по всем финансовым показателям. Отличительной особенностью каждой из рассматриваемых компаний является географическая направленность бизнеса. </w:t>
      </w:r>
    </w:p>
    <w:p w:rsidR="00DE16DC" w:rsidRDefault="0074514C" w:rsidP="004D596B">
      <w:pPr>
        <w:spacing w:line="360" w:lineRule="auto"/>
        <w:ind w:firstLine="708"/>
        <w:jc w:val="both"/>
        <w:rPr>
          <w:rFonts w:ascii="Times New Roman" w:hAnsi="Times New Roman"/>
          <w:sz w:val="28"/>
          <w:szCs w:val="28"/>
        </w:rPr>
      </w:pPr>
      <w:r>
        <w:rPr>
          <w:rFonts w:ascii="Times New Roman" w:hAnsi="Times New Roman"/>
          <w:sz w:val="28"/>
          <w:szCs w:val="28"/>
        </w:rPr>
        <w:t xml:space="preserve">Стоит отметить, что </w:t>
      </w:r>
      <w:r w:rsidR="00DE16DC">
        <w:rPr>
          <w:rFonts w:ascii="Times New Roman" w:hAnsi="Times New Roman"/>
          <w:sz w:val="28"/>
          <w:szCs w:val="28"/>
        </w:rPr>
        <w:t xml:space="preserve">рассматриваемый </w:t>
      </w:r>
      <w:r>
        <w:rPr>
          <w:rFonts w:ascii="Times New Roman" w:hAnsi="Times New Roman"/>
          <w:sz w:val="28"/>
          <w:szCs w:val="28"/>
        </w:rPr>
        <w:t xml:space="preserve">Азиатско-Тихоокеанский регион освоен компаниями в меньшей степени, по сравнению с рынками стран Западной Европы, Северной и Латинской Америки и даже Африки. В силу благоприятных демографических условий и темпа роста экономического развития стран Юго-Восточной Азии,  поглощение </w:t>
      </w:r>
      <w:r>
        <w:rPr>
          <w:rFonts w:ascii="Times New Roman" w:hAnsi="Times New Roman"/>
          <w:sz w:val="28"/>
          <w:szCs w:val="28"/>
          <w:lang w:val="en-US"/>
        </w:rPr>
        <w:t>Asia</w:t>
      </w:r>
      <w:r w:rsidRPr="0074514C">
        <w:rPr>
          <w:rFonts w:ascii="Times New Roman" w:hAnsi="Times New Roman"/>
          <w:sz w:val="28"/>
          <w:szCs w:val="28"/>
        </w:rPr>
        <w:t xml:space="preserve"> </w:t>
      </w:r>
      <w:r>
        <w:rPr>
          <w:rFonts w:ascii="Times New Roman" w:hAnsi="Times New Roman"/>
          <w:sz w:val="28"/>
          <w:szCs w:val="28"/>
          <w:lang w:val="en-US"/>
        </w:rPr>
        <w:t>Pacific</w:t>
      </w:r>
      <w:r w:rsidRPr="0074514C">
        <w:rPr>
          <w:rFonts w:ascii="Times New Roman" w:hAnsi="Times New Roman"/>
          <w:sz w:val="28"/>
          <w:szCs w:val="28"/>
        </w:rPr>
        <w:t xml:space="preserve"> </w:t>
      </w:r>
      <w:r>
        <w:rPr>
          <w:rFonts w:ascii="Times New Roman" w:hAnsi="Times New Roman"/>
          <w:sz w:val="28"/>
          <w:szCs w:val="28"/>
          <w:lang w:val="en-US"/>
        </w:rPr>
        <w:t>Breweries</w:t>
      </w:r>
      <w:r w:rsidRPr="0074514C">
        <w:rPr>
          <w:rFonts w:ascii="Times New Roman" w:hAnsi="Times New Roman"/>
          <w:sz w:val="28"/>
          <w:szCs w:val="28"/>
        </w:rPr>
        <w:t xml:space="preserve"> </w:t>
      </w:r>
      <w:r>
        <w:rPr>
          <w:rFonts w:ascii="Times New Roman" w:hAnsi="Times New Roman"/>
          <w:sz w:val="28"/>
          <w:szCs w:val="28"/>
          <w:lang w:val="en-US"/>
        </w:rPr>
        <w:t>Ltd</w:t>
      </w:r>
      <w:r w:rsidRPr="0074514C">
        <w:rPr>
          <w:rFonts w:ascii="Times New Roman" w:hAnsi="Times New Roman"/>
          <w:sz w:val="28"/>
          <w:szCs w:val="28"/>
        </w:rPr>
        <w:t xml:space="preserve">. </w:t>
      </w:r>
      <w:r>
        <w:rPr>
          <w:rFonts w:ascii="Times New Roman" w:hAnsi="Times New Roman"/>
          <w:sz w:val="28"/>
          <w:szCs w:val="28"/>
        </w:rPr>
        <w:t xml:space="preserve">будет способствовать позитивному развитию </w:t>
      </w:r>
      <w:r>
        <w:rPr>
          <w:rFonts w:ascii="Times New Roman" w:hAnsi="Times New Roman"/>
          <w:sz w:val="28"/>
          <w:szCs w:val="28"/>
          <w:lang w:val="en-US"/>
        </w:rPr>
        <w:t>Heineken</w:t>
      </w:r>
      <w:r w:rsidRPr="0074514C">
        <w:rPr>
          <w:rFonts w:ascii="Times New Roman" w:hAnsi="Times New Roman"/>
          <w:sz w:val="28"/>
          <w:szCs w:val="28"/>
        </w:rPr>
        <w:t xml:space="preserve"> </w:t>
      </w:r>
      <w:r>
        <w:rPr>
          <w:rFonts w:ascii="Times New Roman" w:hAnsi="Times New Roman"/>
          <w:sz w:val="28"/>
          <w:szCs w:val="28"/>
          <w:lang w:val="en-US"/>
        </w:rPr>
        <w:t>N</w:t>
      </w:r>
      <w:r w:rsidRPr="0074514C">
        <w:rPr>
          <w:rFonts w:ascii="Times New Roman" w:hAnsi="Times New Roman"/>
          <w:sz w:val="28"/>
          <w:szCs w:val="28"/>
        </w:rPr>
        <w:t>.</w:t>
      </w:r>
      <w:r>
        <w:rPr>
          <w:rFonts w:ascii="Times New Roman" w:hAnsi="Times New Roman"/>
          <w:sz w:val="28"/>
          <w:szCs w:val="28"/>
          <w:lang w:val="en-US"/>
        </w:rPr>
        <w:t>V</w:t>
      </w:r>
      <w:r w:rsidRPr="0074514C">
        <w:rPr>
          <w:rFonts w:ascii="Times New Roman" w:hAnsi="Times New Roman"/>
          <w:sz w:val="28"/>
          <w:szCs w:val="28"/>
        </w:rPr>
        <w:t xml:space="preserve">. </w:t>
      </w:r>
      <w:r>
        <w:rPr>
          <w:rFonts w:ascii="Times New Roman" w:hAnsi="Times New Roman"/>
          <w:sz w:val="28"/>
          <w:szCs w:val="28"/>
        </w:rPr>
        <w:t>в данном географическом сегменте.</w:t>
      </w:r>
    </w:p>
    <w:p w:rsidR="00786CA2" w:rsidRDefault="0074514C" w:rsidP="004D596B">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F67C3C">
        <w:rPr>
          <w:rFonts w:ascii="Times New Roman" w:hAnsi="Times New Roman"/>
          <w:sz w:val="28"/>
          <w:szCs w:val="28"/>
        </w:rPr>
        <w:t xml:space="preserve">Компания </w:t>
      </w:r>
      <w:r>
        <w:rPr>
          <w:rFonts w:ascii="Times New Roman" w:hAnsi="Times New Roman"/>
          <w:sz w:val="28"/>
          <w:szCs w:val="28"/>
          <w:lang w:val="en-US"/>
        </w:rPr>
        <w:t>Heineken</w:t>
      </w:r>
      <w:r w:rsidRPr="0074514C">
        <w:rPr>
          <w:rFonts w:ascii="Times New Roman" w:hAnsi="Times New Roman"/>
          <w:sz w:val="28"/>
          <w:szCs w:val="28"/>
        </w:rPr>
        <w:t xml:space="preserve"> </w:t>
      </w:r>
      <w:r>
        <w:rPr>
          <w:rFonts w:ascii="Times New Roman" w:hAnsi="Times New Roman"/>
          <w:sz w:val="28"/>
          <w:szCs w:val="28"/>
          <w:lang w:val="en-US"/>
        </w:rPr>
        <w:t>N</w:t>
      </w:r>
      <w:r w:rsidRPr="0074514C">
        <w:rPr>
          <w:rFonts w:ascii="Times New Roman" w:hAnsi="Times New Roman"/>
          <w:sz w:val="28"/>
          <w:szCs w:val="28"/>
        </w:rPr>
        <w:t>.</w:t>
      </w:r>
      <w:r>
        <w:rPr>
          <w:rFonts w:ascii="Times New Roman" w:hAnsi="Times New Roman"/>
          <w:sz w:val="28"/>
          <w:szCs w:val="28"/>
          <w:lang w:val="en-US"/>
        </w:rPr>
        <w:t>V</w:t>
      </w:r>
      <w:r w:rsidRPr="0074514C">
        <w:rPr>
          <w:rFonts w:ascii="Times New Roman" w:hAnsi="Times New Roman"/>
          <w:sz w:val="28"/>
          <w:szCs w:val="28"/>
        </w:rPr>
        <w:t xml:space="preserve">. </w:t>
      </w:r>
      <w:r>
        <w:rPr>
          <w:rFonts w:ascii="Times New Roman" w:hAnsi="Times New Roman"/>
          <w:sz w:val="28"/>
          <w:szCs w:val="28"/>
        </w:rPr>
        <w:t>не только получила доступ к рынкам новых стран</w:t>
      </w:r>
      <w:r w:rsidR="00F67C3C">
        <w:rPr>
          <w:rFonts w:ascii="Times New Roman" w:hAnsi="Times New Roman"/>
          <w:sz w:val="28"/>
          <w:szCs w:val="28"/>
        </w:rPr>
        <w:t xml:space="preserve"> и производственные мощности поглощаемой компании, но и мощный портфель брендов компании, куда входит самая продаваемая торговая марка пива </w:t>
      </w:r>
      <w:r w:rsidR="00F67C3C">
        <w:rPr>
          <w:rFonts w:ascii="Times New Roman" w:hAnsi="Times New Roman"/>
          <w:sz w:val="28"/>
          <w:szCs w:val="28"/>
          <w:lang w:val="en-US"/>
        </w:rPr>
        <w:t>Tiger</w:t>
      </w:r>
      <w:r w:rsidR="00F67C3C" w:rsidRPr="00F67C3C">
        <w:rPr>
          <w:rFonts w:ascii="Times New Roman" w:hAnsi="Times New Roman"/>
          <w:sz w:val="28"/>
          <w:szCs w:val="28"/>
        </w:rPr>
        <w:t xml:space="preserve">. </w:t>
      </w:r>
      <w:r>
        <w:rPr>
          <w:rFonts w:ascii="Times New Roman" w:hAnsi="Times New Roman"/>
          <w:sz w:val="28"/>
          <w:szCs w:val="28"/>
        </w:rPr>
        <w:t xml:space="preserve">По результатам 2012 г., основываясь на </w:t>
      </w:r>
      <w:r>
        <w:rPr>
          <w:rFonts w:ascii="Times New Roman" w:hAnsi="Times New Roman"/>
          <w:sz w:val="28"/>
          <w:szCs w:val="28"/>
          <w:lang w:val="en-US"/>
        </w:rPr>
        <w:t>pro</w:t>
      </w:r>
      <w:r w:rsidRPr="0074514C">
        <w:rPr>
          <w:rFonts w:ascii="Times New Roman" w:hAnsi="Times New Roman"/>
          <w:sz w:val="28"/>
          <w:szCs w:val="28"/>
        </w:rPr>
        <w:t>-</w:t>
      </w:r>
      <w:r>
        <w:rPr>
          <w:rFonts w:ascii="Times New Roman" w:hAnsi="Times New Roman"/>
          <w:sz w:val="28"/>
          <w:szCs w:val="28"/>
          <w:lang w:val="en-US"/>
        </w:rPr>
        <w:t>forma</w:t>
      </w:r>
      <w:r w:rsidRPr="0074514C">
        <w:rPr>
          <w:rFonts w:ascii="Times New Roman" w:hAnsi="Times New Roman"/>
          <w:sz w:val="28"/>
          <w:szCs w:val="28"/>
        </w:rPr>
        <w:t xml:space="preserve"> </w:t>
      </w:r>
      <w:r>
        <w:rPr>
          <w:rFonts w:ascii="Times New Roman" w:hAnsi="Times New Roman"/>
          <w:sz w:val="28"/>
          <w:szCs w:val="28"/>
        </w:rPr>
        <w:t xml:space="preserve">анализе консолидированной отчетности компании уже с интегрированным в нее бизнесом </w:t>
      </w:r>
      <w:r>
        <w:rPr>
          <w:rFonts w:ascii="Times New Roman" w:hAnsi="Times New Roman"/>
          <w:sz w:val="28"/>
          <w:szCs w:val="28"/>
          <w:lang w:val="en-US"/>
        </w:rPr>
        <w:t>APB</w:t>
      </w:r>
      <w:r>
        <w:rPr>
          <w:rFonts w:ascii="Times New Roman" w:hAnsi="Times New Roman"/>
          <w:sz w:val="28"/>
          <w:szCs w:val="28"/>
        </w:rPr>
        <w:t xml:space="preserve">, очевидно, что приобретение сингапурской компании благоприятно сказалось на финансовых показателях </w:t>
      </w:r>
      <w:r>
        <w:rPr>
          <w:rFonts w:ascii="Times New Roman" w:hAnsi="Times New Roman"/>
          <w:sz w:val="28"/>
          <w:szCs w:val="28"/>
          <w:lang w:val="en-US"/>
        </w:rPr>
        <w:t>Heineken</w:t>
      </w:r>
      <w:r w:rsidRPr="0074514C">
        <w:rPr>
          <w:rFonts w:ascii="Times New Roman" w:hAnsi="Times New Roman"/>
          <w:sz w:val="28"/>
          <w:szCs w:val="28"/>
        </w:rPr>
        <w:t xml:space="preserve"> </w:t>
      </w:r>
      <w:r>
        <w:rPr>
          <w:rFonts w:ascii="Times New Roman" w:hAnsi="Times New Roman"/>
          <w:sz w:val="28"/>
          <w:szCs w:val="28"/>
          <w:lang w:val="en-US"/>
        </w:rPr>
        <w:t>N</w:t>
      </w:r>
      <w:r w:rsidRPr="0074514C">
        <w:rPr>
          <w:rFonts w:ascii="Times New Roman" w:hAnsi="Times New Roman"/>
          <w:sz w:val="28"/>
          <w:szCs w:val="28"/>
        </w:rPr>
        <w:t>.</w:t>
      </w:r>
      <w:r>
        <w:rPr>
          <w:rFonts w:ascii="Times New Roman" w:hAnsi="Times New Roman"/>
          <w:sz w:val="28"/>
          <w:szCs w:val="28"/>
          <w:lang w:val="en-US"/>
        </w:rPr>
        <w:t>V</w:t>
      </w:r>
      <w:r w:rsidRPr="0074514C">
        <w:rPr>
          <w:rFonts w:ascii="Times New Roman" w:hAnsi="Times New Roman"/>
          <w:sz w:val="28"/>
          <w:szCs w:val="28"/>
        </w:rPr>
        <w:t xml:space="preserve">. </w:t>
      </w:r>
      <w:r w:rsidR="00F67C3C">
        <w:rPr>
          <w:rFonts w:ascii="Times New Roman" w:hAnsi="Times New Roman"/>
          <w:sz w:val="28"/>
          <w:szCs w:val="28"/>
        </w:rPr>
        <w:t xml:space="preserve">Прирост выручки данного сегмента составил </w:t>
      </w:r>
      <w:r w:rsidR="00F67C3C" w:rsidRPr="00F67C3C">
        <w:rPr>
          <w:rFonts w:ascii="Times New Roman" w:hAnsi="Times New Roman"/>
          <w:sz w:val="28"/>
          <w:szCs w:val="28"/>
        </w:rPr>
        <w:t xml:space="preserve">144%, а консолидированный объем производства пива вырос на 8%. </w:t>
      </w:r>
    </w:p>
    <w:p w:rsidR="00DE16DC" w:rsidRPr="00412326" w:rsidRDefault="00DE16DC" w:rsidP="004D596B">
      <w:pPr>
        <w:spacing w:line="360" w:lineRule="auto"/>
        <w:ind w:firstLine="708"/>
        <w:jc w:val="both"/>
        <w:rPr>
          <w:rFonts w:ascii="Times New Roman" w:hAnsi="Times New Roman"/>
          <w:sz w:val="28"/>
          <w:szCs w:val="28"/>
        </w:rPr>
      </w:pPr>
      <w:r>
        <w:rPr>
          <w:rFonts w:ascii="Times New Roman" w:hAnsi="Times New Roman"/>
          <w:sz w:val="28"/>
          <w:szCs w:val="28"/>
        </w:rPr>
        <w:t>По результатам оценки стоимости компании</w:t>
      </w:r>
      <w:r w:rsidR="00412326">
        <w:rPr>
          <w:rFonts w:ascii="Times New Roman" w:hAnsi="Times New Roman"/>
          <w:sz w:val="28"/>
          <w:szCs w:val="28"/>
        </w:rPr>
        <w:t>,</w:t>
      </w:r>
      <w:r>
        <w:rPr>
          <w:rFonts w:ascii="Times New Roman" w:hAnsi="Times New Roman"/>
          <w:sz w:val="28"/>
          <w:szCs w:val="28"/>
        </w:rPr>
        <w:t xml:space="preserve"> чистая приведенная стоимость денежных потоков компании </w:t>
      </w:r>
      <w:r w:rsidR="00412326">
        <w:rPr>
          <w:rFonts w:ascii="Times New Roman" w:hAnsi="Times New Roman"/>
          <w:sz w:val="28"/>
          <w:szCs w:val="28"/>
        </w:rPr>
        <w:t>превышает затраты</w:t>
      </w:r>
      <w:r>
        <w:rPr>
          <w:rFonts w:ascii="Times New Roman" w:hAnsi="Times New Roman"/>
          <w:sz w:val="28"/>
          <w:szCs w:val="28"/>
        </w:rPr>
        <w:t xml:space="preserve"> на приобретение </w:t>
      </w:r>
      <w:r>
        <w:rPr>
          <w:rFonts w:ascii="Times New Roman" w:hAnsi="Times New Roman"/>
          <w:sz w:val="28"/>
          <w:szCs w:val="28"/>
          <w:lang w:val="en-US"/>
        </w:rPr>
        <w:t>APB</w:t>
      </w:r>
      <w:r w:rsidRPr="00DE16DC">
        <w:rPr>
          <w:rFonts w:ascii="Times New Roman" w:hAnsi="Times New Roman"/>
          <w:sz w:val="28"/>
          <w:szCs w:val="28"/>
        </w:rPr>
        <w:t xml:space="preserve"> </w:t>
      </w:r>
      <w:r>
        <w:rPr>
          <w:rFonts w:ascii="Times New Roman" w:hAnsi="Times New Roman"/>
          <w:sz w:val="28"/>
          <w:szCs w:val="28"/>
          <w:lang w:val="en-US"/>
        </w:rPr>
        <w:t>Ltd</w:t>
      </w:r>
      <w:r w:rsidRPr="00DE16DC">
        <w:rPr>
          <w:rFonts w:ascii="Times New Roman" w:hAnsi="Times New Roman"/>
          <w:sz w:val="28"/>
          <w:szCs w:val="28"/>
        </w:rPr>
        <w:t xml:space="preserve">. </w:t>
      </w:r>
      <w:r>
        <w:rPr>
          <w:rFonts w:ascii="Times New Roman" w:hAnsi="Times New Roman"/>
          <w:sz w:val="28"/>
          <w:szCs w:val="28"/>
        </w:rPr>
        <w:t xml:space="preserve">Кроме того, сделка способствует приращению </w:t>
      </w:r>
      <w:r w:rsidR="00412326">
        <w:rPr>
          <w:rFonts w:ascii="Times New Roman" w:hAnsi="Times New Roman"/>
          <w:sz w:val="28"/>
          <w:szCs w:val="28"/>
        </w:rPr>
        <w:t xml:space="preserve">чистой прибыли на акцию </w:t>
      </w:r>
      <w:r>
        <w:rPr>
          <w:rFonts w:ascii="Times New Roman" w:hAnsi="Times New Roman"/>
          <w:sz w:val="28"/>
          <w:szCs w:val="28"/>
        </w:rPr>
        <w:t xml:space="preserve">компании </w:t>
      </w:r>
      <w:r>
        <w:rPr>
          <w:rFonts w:ascii="Times New Roman" w:hAnsi="Times New Roman"/>
          <w:sz w:val="28"/>
          <w:szCs w:val="28"/>
          <w:lang w:val="en-US"/>
        </w:rPr>
        <w:t>Heineken</w:t>
      </w:r>
      <w:r w:rsidRPr="00DE16DC">
        <w:rPr>
          <w:rFonts w:ascii="Times New Roman" w:hAnsi="Times New Roman"/>
          <w:sz w:val="28"/>
          <w:szCs w:val="28"/>
        </w:rPr>
        <w:t xml:space="preserve"> </w:t>
      </w:r>
      <w:r>
        <w:rPr>
          <w:rFonts w:ascii="Times New Roman" w:hAnsi="Times New Roman"/>
          <w:sz w:val="28"/>
          <w:szCs w:val="28"/>
          <w:lang w:val="en-US"/>
        </w:rPr>
        <w:t>N</w:t>
      </w:r>
      <w:r w:rsidRPr="00DE16DC">
        <w:rPr>
          <w:rFonts w:ascii="Times New Roman" w:hAnsi="Times New Roman"/>
          <w:sz w:val="28"/>
          <w:szCs w:val="28"/>
        </w:rPr>
        <w:t>.</w:t>
      </w:r>
      <w:r>
        <w:rPr>
          <w:rFonts w:ascii="Times New Roman" w:hAnsi="Times New Roman"/>
          <w:sz w:val="28"/>
          <w:szCs w:val="28"/>
          <w:lang w:val="en-US"/>
        </w:rPr>
        <w:t>V</w:t>
      </w:r>
      <w:r w:rsidRPr="00DE16DC">
        <w:rPr>
          <w:rFonts w:ascii="Times New Roman" w:hAnsi="Times New Roman"/>
          <w:sz w:val="28"/>
          <w:szCs w:val="28"/>
        </w:rPr>
        <w:t xml:space="preserve">. </w:t>
      </w:r>
      <w:r w:rsidR="00412326">
        <w:rPr>
          <w:rFonts w:ascii="Times New Roman" w:hAnsi="Times New Roman"/>
          <w:sz w:val="28"/>
          <w:szCs w:val="28"/>
        </w:rPr>
        <w:t xml:space="preserve">Таким образом, принимая во внимание </w:t>
      </w:r>
      <w:r w:rsidR="00412326">
        <w:rPr>
          <w:rFonts w:ascii="Times New Roman" w:hAnsi="Times New Roman"/>
          <w:sz w:val="28"/>
          <w:szCs w:val="28"/>
          <w:lang w:val="en-US"/>
        </w:rPr>
        <w:t>pro</w:t>
      </w:r>
      <w:r w:rsidR="00412326" w:rsidRPr="00412326">
        <w:rPr>
          <w:rFonts w:ascii="Times New Roman" w:hAnsi="Times New Roman"/>
          <w:sz w:val="28"/>
          <w:szCs w:val="28"/>
        </w:rPr>
        <w:t>-</w:t>
      </w:r>
      <w:r w:rsidR="00412326">
        <w:rPr>
          <w:rFonts w:ascii="Times New Roman" w:hAnsi="Times New Roman"/>
          <w:sz w:val="28"/>
          <w:szCs w:val="28"/>
          <w:lang w:val="en-US"/>
        </w:rPr>
        <w:t>forma</w:t>
      </w:r>
      <w:r w:rsidR="00412326" w:rsidRPr="00412326">
        <w:rPr>
          <w:rFonts w:ascii="Times New Roman" w:hAnsi="Times New Roman"/>
          <w:sz w:val="28"/>
          <w:szCs w:val="28"/>
        </w:rPr>
        <w:t xml:space="preserve"> </w:t>
      </w:r>
      <w:r w:rsidR="00412326">
        <w:rPr>
          <w:rFonts w:ascii="Times New Roman" w:hAnsi="Times New Roman"/>
          <w:sz w:val="28"/>
          <w:szCs w:val="28"/>
        </w:rPr>
        <w:t xml:space="preserve">анализ финансовых показателей, </w:t>
      </w:r>
      <w:r w:rsidR="00412326">
        <w:rPr>
          <w:rFonts w:ascii="Times New Roman" w:hAnsi="Times New Roman"/>
          <w:sz w:val="28"/>
          <w:szCs w:val="28"/>
          <w:lang w:val="en-US"/>
        </w:rPr>
        <w:t>EPS</w:t>
      </w:r>
      <w:r w:rsidR="00412326" w:rsidRPr="00412326">
        <w:rPr>
          <w:rFonts w:ascii="Times New Roman" w:hAnsi="Times New Roman"/>
          <w:sz w:val="28"/>
          <w:szCs w:val="28"/>
        </w:rPr>
        <w:t xml:space="preserve"> </w:t>
      </w:r>
      <w:r w:rsidR="00412326">
        <w:rPr>
          <w:rFonts w:ascii="Times New Roman" w:hAnsi="Times New Roman"/>
          <w:sz w:val="28"/>
          <w:szCs w:val="28"/>
          <w:lang w:val="en-US"/>
        </w:rPr>
        <w:t>accretion</w:t>
      </w:r>
      <w:r w:rsidR="00412326" w:rsidRPr="00412326">
        <w:rPr>
          <w:rFonts w:ascii="Times New Roman" w:hAnsi="Times New Roman"/>
          <w:sz w:val="28"/>
          <w:szCs w:val="28"/>
        </w:rPr>
        <w:t>/</w:t>
      </w:r>
      <w:r w:rsidR="00412326">
        <w:rPr>
          <w:rFonts w:ascii="Times New Roman" w:hAnsi="Times New Roman"/>
          <w:sz w:val="28"/>
          <w:szCs w:val="28"/>
          <w:lang w:val="en-US"/>
        </w:rPr>
        <w:t>dilution</w:t>
      </w:r>
      <w:r w:rsidR="00412326" w:rsidRPr="00412326">
        <w:rPr>
          <w:rFonts w:ascii="Times New Roman" w:hAnsi="Times New Roman"/>
          <w:sz w:val="28"/>
          <w:szCs w:val="28"/>
        </w:rPr>
        <w:t xml:space="preserve"> </w:t>
      </w:r>
      <w:r w:rsidR="00412326">
        <w:rPr>
          <w:rFonts w:ascii="Times New Roman" w:hAnsi="Times New Roman"/>
          <w:sz w:val="28"/>
          <w:szCs w:val="28"/>
        </w:rPr>
        <w:t xml:space="preserve">анализ, а также оценку </w:t>
      </w:r>
      <w:r w:rsidR="00412326">
        <w:rPr>
          <w:rFonts w:ascii="Times New Roman" w:hAnsi="Times New Roman"/>
          <w:sz w:val="28"/>
          <w:szCs w:val="28"/>
          <w:lang w:val="en-US"/>
        </w:rPr>
        <w:t>FCFE</w:t>
      </w:r>
      <w:r w:rsidR="00412326" w:rsidRPr="00412326">
        <w:rPr>
          <w:rFonts w:ascii="Times New Roman" w:hAnsi="Times New Roman"/>
          <w:sz w:val="28"/>
          <w:szCs w:val="28"/>
        </w:rPr>
        <w:t xml:space="preserve"> </w:t>
      </w:r>
      <w:r w:rsidR="00412326">
        <w:rPr>
          <w:rFonts w:ascii="Times New Roman" w:hAnsi="Times New Roman"/>
          <w:sz w:val="28"/>
          <w:szCs w:val="28"/>
        </w:rPr>
        <w:t xml:space="preserve">сделку между </w:t>
      </w:r>
      <w:r w:rsidR="00412326">
        <w:rPr>
          <w:rFonts w:ascii="Times New Roman" w:hAnsi="Times New Roman"/>
          <w:sz w:val="28"/>
          <w:szCs w:val="28"/>
          <w:lang w:val="en-US"/>
        </w:rPr>
        <w:t>Heineken</w:t>
      </w:r>
      <w:r w:rsidR="00412326" w:rsidRPr="00412326">
        <w:rPr>
          <w:rFonts w:ascii="Times New Roman" w:hAnsi="Times New Roman"/>
          <w:sz w:val="28"/>
          <w:szCs w:val="28"/>
        </w:rPr>
        <w:t xml:space="preserve"> </w:t>
      </w:r>
      <w:r w:rsidR="00412326">
        <w:rPr>
          <w:rFonts w:ascii="Times New Roman" w:hAnsi="Times New Roman"/>
          <w:sz w:val="28"/>
          <w:szCs w:val="28"/>
          <w:lang w:val="en-US"/>
        </w:rPr>
        <w:t>N</w:t>
      </w:r>
      <w:r w:rsidR="00412326" w:rsidRPr="00412326">
        <w:rPr>
          <w:rFonts w:ascii="Times New Roman" w:hAnsi="Times New Roman"/>
          <w:sz w:val="28"/>
          <w:szCs w:val="28"/>
        </w:rPr>
        <w:t>.</w:t>
      </w:r>
      <w:r w:rsidR="00412326">
        <w:rPr>
          <w:rFonts w:ascii="Times New Roman" w:hAnsi="Times New Roman"/>
          <w:sz w:val="28"/>
          <w:szCs w:val="28"/>
          <w:lang w:val="en-US"/>
        </w:rPr>
        <w:t>V</w:t>
      </w:r>
      <w:r w:rsidR="00412326" w:rsidRPr="00412326">
        <w:rPr>
          <w:rFonts w:ascii="Times New Roman" w:hAnsi="Times New Roman"/>
          <w:sz w:val="28"/>
          <w:szCs w:val="28"/>
        </w:rPr>
        <w:t xml:space="preserve">. </w:t>
      </w:r>
      <w:r w:rsidR="00412326">
        <w:rPr>
          <w:rFonts w:ascii="Times New Roman" w:hAnsi="Times New Roman"/>
          <w:sz w:val="28"/>
          <w:szCs w:val="28"/>
        </w:rPr>
        <w:t xml:space="preserve">и </w:t>
      </w:r>
      <w:r w:rsidR="00412326">
        <w:rPr>
          <w:rFonts w:ascii="Times New Roman" w:hAnsi="Times New Roman"/>
          <w:sz w:val="28"/>
          <w:szCs w:val="28"/>
          <w:lang w:val="en-US"/>
        </w:rPr>
        <w:t>Asia</w:t>
      </w:r>
      <w:r w:rsidR="00412326" w:rsidRPr="00412326">
        <w:rPr>
          <w:rFonts w:ascii="Times New Roman" w:hAnsi="Times New Roman"/>
          <w:sz w:val="28"/>
          <w:szCs w:val="28"/>
        </w:rPr>
        <w:t xml:space="preserve"> </w:t>
      </w:r>
      <w:r w:rsidR="00412326">
        <w:rPr>
          <w:rFonts w:ascii="Times New Roman" w:hAnsi="Times New Roman"/>
          <w:sz w:val="28"/>
          <w:szCs w:val="28"/>
          <w:lang w:val="en-US"/>
        </w:rPr>
        <w:t>Pacific</w:t>
      </w:r>
      <w:r w:rsidR="00412326" w:rsidRPr="00412326">
        <w:rPr>
          <w:rFonts w:ascii="Times New Roman" w:hAnsi="Times New Roman"/>
          <w:sz w:val="28"/>
          <w:szCs w:val="28"/>
        </w:rPr>
        <w:t xml:space="preserve"> </w:t>
      </w:r>
      <w:r w:rsidR="00412326">
        <w:rPr>
          <w:rFonts w:ascii="Times New Roman" w:hAnsi="Times New Roman"/>
          <w:sz w:val="28"/>
          <w:szCs w:val="28"/>
          <w:lang w:val="en-US"/>
        </w:rPr>
        <w:t>Breweries</w:t>
      </w:r>
      <w:r w:rsidR="00412326" w:rsidRPr="00412326">
        <w:rPr>
          <w:rFonts w:ascii="Times New Roman" w:hAnsi="Times New Roman"/>
          <w:sz w:val="28"/>
          <w:szCs w:val="28"/>
        </w:rPr>
        <w:t xml:space="preserve"> </w:t>
      </w:r>
      <w:r w:rsidR="00412326">
        <w:rPr>
          <w:rFonts w:ascii="Times New Roman" w:hAnsi="Times New Roman"/>
          <w:sz w:val="28"/>
          <w:szCs w:val="28"/>
          <w:lang w:val="en-US"/>
        </w:rPr>
        <w:t>Ltd</w:t>
      </w:r>
      <w:r w:rsidR="00412326" w:rsidRPr="00412326">
        <w:rPr>
          <w:rFonts w:ascii="Times New Roman" w:hAnsi="Times New Roman"/>
          <w:sz w:val="28"/>
          <w:szCs w:val="28"/>
        </w:rPr>
        <w:t xml:space="preserve">. </w:t>
      </w:r>
      <w:r w:rsidR="00412326">
        <w:rPr>
          <w:rFonts w:ascii="Times New Roman" w:hAnsi="Times New Roman"/>
          <w:sz w:val="28"/>
          <w:szCs w:val="28"/>
        </w:rPr>
        <w:t>стоит расценивать как эффективную.</w:t>
      </w:r>
    </w:p>
    <w:p w:rsidR="00BA14CC" w:rsidRPr="00BA14CC" w:rsidRDefault="00BA14CC" w:rsidP="004D596B">
      <w:pPr>
        <w:spacing w:line="360" w:lineRule="auto"/>
        <w:ind w:firstLine="708"/>
        <w:jc w:val="both"/>
        <w:rPr>
          <w:rFonts w:ascii="Times New Roman" w:hAnsi="Times New Roman"/>
          <w:sz w:val="28"/>
          <w:szCs w:val="28"/>
        </w:rPr>
      </w:pPr>
    </w:p>
    <w:p w:rsidR="00786CA2" w:rsidRDefault="00786CA2">
      <w:pPr>
        <w:rPr>
          <w:rFonts w:ascii="Times New Roman" w:hAnsi="Times New Roman"/>
          <w:sz w:val="28"/>
          <w:szCs w:val="28"/>
        </w:rPr>
      </w:pPr>
      <w:r>
        <w:rPr>
          <w:rFonts w:ascii="Times New Roman" w:hAnsi="Times New Roman"/>
          <w:sz w:val="28"/>
          <w:szCs w:val="28"/>
        </w:rPr>
        <w:br w:type="page"/>
      </w:r>
    </w:p>
    <w:p w:rsidR="00786CA2" w:rsidRPr="006E37C7" w:rsidRDefault="00786CA2" w:rsidP="00786CA2">
      <w:pPr>
        <w:pStyle w:val="1"/>
        <w:spacing w:line="720" w:lineRule="auto"/>
        <w:jc w:val="center"/>
        <w:rPr>
          <w:rFonts w:ascii="Times New Roman" w:hAnsi="Times New Roman" w:cs="Times New Roman"/>
          <w:color w:val="auto"/>
          <w:lang w:val="en-US"/>
        </w:rPr>
      </w:pPr>
      <w:bookmarkStart w:id="37" w:name="_Toc356252019"/>
      <w:r w:rsidRPr="00786CA2">
        <w:rPr>
          <w:rFonts w:ascii="Times New Roman" w:hAnsi="Times New Roman" w:cs="Times New Roman"/>
          <w:color w:val="auto"/>
        </w:rPr>
        <w:t>Список</w:t>
      </w:r>
      <w:r w:rsidRPr="006E37C7">
        <w:rPr>
          <w:rFonts w:ascii="Times New Roman" w:hAnsi="Times New Roman" w:cs="Times New Roman"/>
          <w:color w:val="auto"/>
          <w:lang w:val="en-US"/>
        </w:rPr>
        <w:t xml:space="preserve"> </w:t>
      </w:r>
      <w:r w:rsidRPr="00786CA2">
        <w:rPr>
          <w:rFonts w:ascii="Times New Roman" w:hAnsi="Times New Roman" w:cs="Times New Roman"/>
          <w:color w:val="auto"/>
        </w:rPr>
        <w:t>литературы</w:t>
      </w:r>
      <w:bookmarkEnd w:id="37"/>
    </w:p>
    <w:p w:rsidR="006E37C7" w:rsidRPr="00786CA2" w:rsidRDefault="006E37C7" w:rsidP="006E37C7">
      <w:pPr>
        <w:spacing w:line="360" w:lineRule="auto"/>
        <w:ind w:firstLine="708"/>
        <w:jc w:val="both"/>
        <w:rPr>
          <w:rFonts w:ascii="Times New Roman" w:hAnsi="Times New Roman"/>
          <w:sz w:val="28"/>
          <w:szCs w:val="28"/>
        </w:rPr>
      </w:pPr>
      <w:proofErr w:type="spellStart"/>
      <w:r w:rsidRPr="002E7D28">
        <w:rPr>
          <w:rFonts w:ascii="Times New Roman" w:hAnsi="Times New Roman"/>
          <w:sz w:val="28"/>
          <w:szCs w:val="28"/>
        </w:rPr>
        <w:t>Брейли</w:t>
      </w:r>
      <w:proofErr w:type="spellEnd"/>
      <w:r w:rsidRPr="006E37C7">
        <w:rPr>
          <w:rFonts w:ascii="Times New Roman" w:hAnsi="Times New Roman"/>
          <w:sz w:val="28"/>
          <w:szCs w:val="28"/>
        </w:rPr>
        <w:t xml:space="preserve"> </w:t>
      </w:r>
      <w:r w:rsidRPr="002E7D28">
        <w:rPr>
          <w:rFonts w:ascii="Times New Roman" w:hAnsi="Times New Roman"/>
          <w:sz w:val="28"/>
          <w:szCs w:val="28"/>
        </w:rPr>
        <w:t>Р., Майерс</w:t>
      </w:r>
      <w:r w:rsidRPr="006E37C7">
        <w:rPr>
          <w:rFonts w:ascii="Times New Roman" w:hAnsi="Times New Roman"/>
          <w:sz w:val="28"/>
          <w:szCs w:val="28"/>
        </w:rPr>
        <w:t xml:space="preserve"> </w:t>
      </w:r>
      <w:r w:rsidRPr="002E7D28">
        <w:rPr>
          <w:rFonts w:ascii="Times New Roman" w:hAnsi="Times New Roman"/>
          <w:sz w:val="28"/>
          <w:szCs w:val="28"/>
        </w:rPr>
        <w:t>С. Принципы корпоративных финансов: Б 87</w:t>
      </w:r>
      <w:proofErr w:type="gramStart"/>
      <w:r w:rsidRPr="002E7D28">
        <w:rPr>
          <w:rFonts w:ascii="Times New Roman" w:hAnsi="Times New Roman"/>
          <w:sz w:val="28"/>
          <w:szCs w:val="28"/>
        </w:rPr>
        <w:t xml:space="preserve"> П</w:t>
      </w:r>
      <w:proofErr w:type="gramEnd"/>
      <w:r w:rsidRPr="002E7D28">
        <w:rPr>
          <w:rFonts w:ascii="Times New Roman" w:hAnsi="Times New Roman"/>
          <w:sz w:val="28"/>
          <w:szCs w:val="28"/>
        </w:rPr>
        <w:t>ер. С англ. – М.: ЗАО «Олимп Бизнес», 2008</w:t>
      </w:r>
    </w:p>
    <w:p w:rsidR="006E37C7" w:rsidRPr="00786CA2" w:rsidRDefault="006E37C7" w:rsidP="006E37C7">
      <w:pPr>
        <w:spacing w:line="360" w:lineRule="auto"/>
        <w:ind w:firstLine="708"/>
        <w:jc w:val="both"/>
        <w:rPr>
          <w:rFonts w:ascii="Times New Roman" w:hAnsi="Times New Roman"/>
          <w:sz w:val="28"/>
          <w:szCs w:val="28"/>
        </w:rPr>
      </w:pPr>
      <w:proofErr w:type="spellStart"/>
      <w:r w:rsidRPr="00786CA2">
        <w:rPr>
          <w:rFonts w:ascii="Times New Roman" w:hAnsi="Times New Roman"/>
          <w:sz w:val="28"/>
          <w:szCs w:val="28"/>
        </w:rPr>
        <w:t>Коупленд</w:t>
      </w:r>
      <w:proofErr w:type="spellEnd"/>
      <w:r w:rsidRPr="00786CA2">
        <w:rPr>
          <w:rFonts w:ascii="Times New Roman" w:hAnsi="Times New Roman"/>
          <w:sz w:val="28"/>
          <w:szCs w:val="28"/>
        </w:rPr>
        <w:t xml:space="preserve"> Т., </w:t>
      </w:r>
      <w:proofErr w:type="spellStart"/>
      <w:r w:rsidRPr="00786CA2">
        <w:rPr>
          <w:rFonts w:ascii="Times New Roman" w:hAnsi="Times New Roman"/>
          <w:sz w:val="28"/>
          <w:szCs w:val="28"/>
        </w:rPr>
        <w:t>Коллер</w:t>
      </w:r>
      <w:proofErr w:type="spellEnd"/>
      <w:r w:rsidRPr="00786CA2">
        <w:rPr>
          <w:rFonts w:ascii="Times New Roman" w:hAnsi="Times New Roman"/>
          <w:sz w:val="28"/>
          <w:szCs w:val="28"/>
        </w:rPr>
        <w:t xml:space="preserve"> Т., </w:t>
      </w:r>
      <w:proofErr w:type="spellStart"/>
      <w:r w:rsidRPr="00786CA2">
        <w:rPr>
          <w:rFonts w:ascii="Times New Roman" w:hAnsi="Times New Roman"/>
          <w:sz w:val="28"/>
          <w:szCs w:val="28"/>
        </w:rPr>
        <w:t>Муррин</w:t>
      </w:r>
      <w:proofErr w:type="spellEnd"/>
      <w:r w:rsidRPr="00786CA2">
        <w:rPr>
          <w:rFonts w:ascii="Times New Roman" w:hAnsi="Times New Roman"/>
          <w:sz w:val="28"/>
          <w:szCs w:val="28"/>
        </w:rPr>
        <w:t xml:space="preserve"> Дж. Стоимость компаний: оценка и управление. – 3-е изд., </w:t>
      </w:r>
      <w:proofErr w:type="spellStart"/>
      <w:r w:rsidRPr="00786CA2">
        <w:rPr>
          <w:rFonts w:ascii="Times New Roman" w:hAnsi="Times New Roman"/>
          <w:sz w:val="28"/>
          <w:szCs w:val="28"/>
        </w:rPr>
        <w:t>перераб</w:t>
      </w:r>
      <w:proofErr w:type="spellEnd"/>
      <w:r w:rsidRPr="00786CA2">
        <w:rPr>
          <w:rFonts w:ascii="Times New Roman" w:hAnsi="Times New Roman"/>
          <w:sz w:val="28"/>
          <w:szCs w:val="28"/>
        </w:rPr>
        <w:t>. и доп./Пер. с англ. – М.:ЗАО «Олимп-Бизнес», 2005. – 576 с.</w:t>
      </w:r>
    </w:p>
    <w:p w:rsidR="006E37C7" w:rsidRDefault="006E37C7" w:rsidP="006E37C7">
      <w:pPr>
        <w:spacing w:line="360" w:lineRule="auto"/>
        <w:ind w:firstLine="708"/>
        <w:jc w:val="both"/>
        <w:rPr>
          <w:rFonts w:ascii="Times New Roman" w:hAnsi="Times New Roman"/>
          <w:sz w:val="28"/>
          <w:szCs w:val="28"/>
        </w:rPr>
      </w:pPr>
      <w:r w:rsidRPr="00786CA2">
        <w:rPr>
          <w:rFonts w:ascii="Times New Roman" w:hAnsi="Times New Roman"/>
          <w:sz w:val="28"/>
          <w:szCs w:val="28"/>
        </w:rPr>
        <w:t>Приказ от 20 июля 2007 года N 256</w:t>
      </w:r>
      <w:proofErr w:type="gramStart"/>
      <w:r w:rsidRPr="00786CA2">
        <w:rPr>
          <w:rFonts w:ascii="Times New Roman" w:hAnsi="Times New Roman"/>
          <w:sz w:val="28"/>
          <w:szCs w:val="28"/>
        </w:rPr>
        <w:t xml:space="preserve"> О</w:t>
      </w:r>
      <w:proofErr w:type="gramEnd"/>
      <w:r w:rsidRPr="00786CA2">
        <w:rPr>
          <w:rFonts w:ascii="Times New Roman" w:hAnsi="Times New Roman"/>
          <w:sz w:val="28"/>
          <w:szCs w:val="28"/>
        </w:rPr>
        <w:t>б утверждении федерального стандарта оценки «Общие понятия оценки, подходы к оценке и требования к проведению оценки (ФСО №1)</w:t>
      </w:r>
    </w:p>
    <w:p w:rsidR="006E37C7" w:rsidRPr="00073FB0" w:rsidRDefault="006E37C7" w:rsidP="006E37C7">
      <w:pPr>
        <w:spacing w:line="360" w:lineRule="auto"/>
        <w:ind w:firstLine="708"/>
        <w:jc w:val="both"/>
        <w:rPr>
          <w:rFonts w:ascii="Times New Roman" w:hAnsi="Times New Roman"/>
          <w:sz w:val="28"/>
          <w:szCs w:val="28"/>
        </w:rPr>
      </w:pPr>
      <w:r w:rsidRPr="00786CA2">
        <w:rPr>
          <w:rFonts w:ascii="Times New Roman" w:hAnsi="Times New Roman"/>
          <w:sz w:val="28"/>
          <w:szCs w:val="28"/>
        </w:rPr>
        <w:t>Тихомиров Д.В. Оценка стоимости компаний при слияниях и поглощениях: Учебное пособие.– СПб</w:t>
      </w:r>
      <w:proofErr w:type="gramStart"/>
      <w:r w:rsidRPr="00073FB0">
        <w:rPr>
          <w:rFonts w:ascii="Times New Roman" w:hAnsi="Times New Roman"/>
          <w:sz w:val="28"/>
          <w:szCs w:val="28"/>
        </w:rPr>
        <w:t xml:space="preserve">.: </w:t>
      </w:r>
      <w:proofErr w:type="gramEnd"/>
      <w:r w:rsidRPr="00786CA2">
        <w:rPr>
          <w:rFonts w:ascii="Times New Roman" w:hAnsi="Times New Roman"/>
          <w:sz w:val="28"/>
          <w:szCs w:val="28"/>
        </w:rPr>
        <w:t>Изд</w:t>
      </w:r>
      <w:r w:rsidRPr="00073FB0">
        <w:rPr>
          <w:rFonts w:ascii="Times New Roman" w:hAnsi="Times New Roman"/>
          <w:sz w:val="28"/>
          <w:szCs w:val="28"/>
        </w:rPr>
        <w:t>-</w:t>
      </w:r>
      <w:r w:rsidRPr="00786CA2">
        <w:rPr>
          <w:rFonts w:ascii="Times New Roman" w:hAnsi="Times New Roman"/>
          <w:sz w:val="28"/>
          <w:szCs w:val="28"/>
        </w:rPr>
        <w:t>во</w:t>
      </w:r>
      <w:r w:rsidRPr="00073FB0">
        <w:rPr>
          <w:rFonts w:ascii="Times New Roman" w:hAnsi="Times New Roman"/>
          <w:sz w:val="28"/>
          <w:szCs w:val="28"/>
        </w:rPr>
        <w:t xml:space="preserve"> </w:t>
      </w:r>
      <w:proofErr w:type="spellStart"/>
      <w:r w:rsidRPr="00786CA2">
        <w:rPr>
          <w:rFonts w:ascii="Times New Roman" w:hAnsi="Times New Roman"/>
          <w:sz w:val="28"/>
          <w:szCs w:val="28"/>
        </w:rPr>
        <w:t>СПбГУЭФ</w:t>
      </w:r>
      <w:proofErr w:type="spellEnd"/>
      <w:r w:rsidRPr="00073FB0">
        <w:rPr>
          <w:rFonts w:ascii="Times New Roman" w:hAnsi="Times New Roman"/>
          <w:sz w:val="28"/>
          <w:szCs w:val="28"/>
        </w:rPr>
        <w:t xml:space="preserve">, 2009.– 132 </w:t>
      </w:r>
      <w:r w:rsidRPr="00786CA2">
        <w:rPr>
          <w:rFonts w:ascii="Times New Roman" w:hAnsi="Times New Roman"/>
          <w:sz w:val="28"/>
          <w:szCs w:val="28"/>
        </w:rPr>
        <w:t>с</w:t>
      </w:r>
      <w:r w:rsidRPr="00073FB0">
        <w:rPr>
          <w:rFonts w:ascii="Times New Roman" w:hAnsi="Times New Roman"/>
          <w:sz w:val="28"/>
          <w:szCs w:val="28"/>
        </w:rPr>
        <w:t>.</w:t>
      </w:r>
    </w:p>
    <w:p w:rsidR="006E37C7" w:rsidRPr="00D7135C" w:rsidRDefault="006E37C7" w:rsidP="006E37C7">
      <w:pPr>
        <w:spacing w:line="360" w:lineRule="auto"/>
        <w:ind w:firstLine="708"/>
        <w:jc w:val="both"/>
        <w:rPr>
          <w:rFonts w:ascii="Times New Roman" w:hAnsi="Times New Roman"/>
          <w:sz w:val="28"/>
          <w:szCs w:val="28"/>
        </w:rPr>
      </w:pPr>
      <w:r>
        <w:rPr>
          <w:rFonts w:ascii="Times New Roman" w:hAnsi="Times New Roman"/>
          <w:sz w:val="28"/>
          <w:szCs w:val="28"/>
        </w:rPr>
        <w:t>Электронные</w:t>
      </w:r>
      <w:r w:rsidRPr="00D7135C">
        <w:rPr>
          <w:rFonts w:ascii="Times New Roman" w:hAnsi="Times New Roman"/>
          <w:sz w:val="28"/>
          <w:szCs w:val="28"/>
        </w:rPr>
        <w:t xml:space="preserve"> </w:t>
      </w:r>
      <w:r>
        <w:rPr>
          <w:rFonts w:ascii="Times New Roman" w:hAnsi="Times New Roman"/>
          <w:sz w:val="28"/>
          <w:szCs w:val="28"/>
        </w:rPr>
        <w:t>ресурсы</w:t>
      </w:r>
      <w:r w:rsidRPr="00D7135C">
        <w:rPr>
          <w:rFonts w:ascii="Times New Roman" w:hAnsi="Times New Roman"/>
          <w:sz w:val="28"/>
          <w:szCs w:val="28"/>
        </w:rPr>
        <w:t>:</w:t>
      </w:r>
    </w:p>
    <w:p w:rsidR="00B00133" w:rsidRDefault="00B00133" w:rsidP="00B00133">
      <w:pPr>
        <w:spacing w:line="360" w:lineRule="auto"/>
        <w:jc w:val="both"/>
        <w:rPr>
          <w:rFonts w:ascii="Times New Roman" w:hAnsi="Times New Roman"/>
          <w:sz w:val="28"/>
          <w:szCs w:val="28"/>
          <w:lang w:val="en-US"/>
        </w:rPr>
      </w:pPr>
      <w:r w:rsidRPr="00B00133">
        <w:rPr>
          <w:rFonts w:ascii="Times New Roman" w:hAnsi="Times New Roman"/>
          <w:sz w:val="28"/>
          <w:szCs w:val="28"/>
          <w:lang w:val="en-US"/>
        </w:rPr>
        <w:t>www.datamonitor.com</w:t>
      </w:r>
    </w:p>
    <w:p w:rsidR="00D7135C" w:rsidRPr="00D7135C" w:rsidRDefault="00B00133" w:rsidP="00B00133">
      <w:pPr>
        <w:spacing w:line="360" w:lineRule="auto"/>
        <w:ind w:firstLine="708"/>
        <w:jc w:val="both"/>
        <w:rPr>
          <w:rFonts w:ascii="Times New Roman" w:hAnsi="Times New Roman"/>
          <w:sz w:val="28"/>
          <w:szCs w:val="28"/>
          <w:lang w:val="en-US"/>
        </w:rPr>
      </w:pPr>
      <w:r w:rsidRPr="00B00133">
        <w:rPr>
          <w:rFonts w:ascii="Times New Roman" w:hAnsi="Times New Roman"/>
          <w:sz w:val="28"/>
          <w:szCs w:val="28"/>
          <w:lang w:val="en-US"/>
        </w:rPr>
        <w:t xml:space="preserve"> </w:t>
      </w:r>
      <w:proofErr w:type="gramStart"/>
      <w:r>
        <w:rPr>
          <w:rFonts w:ascii="Times New Roman" w:hAnsi="Times New Roman"/>
          <w:sz w:val="28"/>
          <w:szCs w:val="28"/>
          <w:lang w:val="en-US"/>
        </w:rPr>
        <w:t>Beer</w:t>
      </w:r>
      <w:r w:rsidRPr="00D7135C">
        <w:rPr>
          <w:rFonts w:ascii="Times New Roman" w:hAnsi="Times New Roman"/>
          <w:sz w:val="28"/>
          <w:szCs w:val="28"/>
          <w:lang w:val="en-US"/>
        </w:rPr>
        <w:t xml:space="preserve"> </w:t>
      </w:r>
      <w:r>
        <w:rPr>
          <w:rFonts w:ascii="Times New Roman" w:hAnsi="Times New Roman"/>
          <w:sz w:val="28"/>
          <w:szCs w:val="28"/>
          <w:lang w:val="en-US"/>
        </w:rPr>
        <w:t>in</w:t>
      </w:r>
      <w:r w:rsidRPr="00D7135C">
        <w:rPr>
          <w:rFonts w:ascii="Times New Roman" w:hAnsi="Times New Roman"/>
          <w:sz w:val="28"/>
          <w:szCs w:val="28"/>
          <w:lang w:val="en-US"/>
        </w:rPr>
        <w:t xml:space="preserve"> </w:t>
      </w:r>
      <w:r>
        <w:rPr>
          <w:rFonts w:ascii="Times New Roman" w:hAnsi="Times New Roman"/>
          <w:sz w:val="28"/>
          <w:szCs w:val="28"/>
          <w:lang w:val="en-US"/>
        </w:rPr>
        <w:t>China</w:t>
      </w:r>
      <w:r w:rsidR="0005764F">
        <w:rPr>
          <w:rFonts w:ascii="Times New Roman" w:hAnsi="Times New Roman"/>
          <w:sz w:val="28"/>
          <w:szCs w:val="28"/>
          <w:lang w:val="en-US"/>
        </w:rPr>
        <w:t>.</w:t>
      </w:r>
      <w:proofErr w:type="gramEnd"/>
      <w:r w:rsidR="0005764F">
        <w:rPr>
          <w:rFonts w:ascii="Times New Roman" w:hAnsi="Times New Roman"/>
          <w:sz w:val="28"/>
          <w:szCs w:val="28"/>
          <w:lang w:val="en-US"/>
        </w:rPr>
        <w:t xml:space="preserve"> December 2011</w:t>
      </w:r>
    </w:p>
    <w:p w:rsidR="00B00133" w:rsidRDefault="00B00133" w:rsidP="00B00133">
      <w:pPr>
        <w:spacing w:line="360" w:lineRule="auto"/>
        <w:jc w:val="both"/>
        <w:rPr>
          <w:rFonts w:ascii="Times New Roman" w:hAnsi="Times New Roman"/>
          <w:sz w:val="28"/>
          <w:szCs w:val="28"/>
          <w:lang w:val="en-US"/>
        </w:rPr>
      </w:pPr>
      <w:r w:rsidRPr="00B00133">
        <w:rPr>
          <w:rFonts w:ascii="Times New Roman" w:hAnsi="Times New Roman"/>
          <w:sz w:val="28"/>
          <w:szCs w:val="28"/>
          <w:lang w:val="en-US"/>
        </w:rPr>
        <w:t>www.euromonitor.com</w:t>
      </w:r>
      <w:r>
        <w:rPr>
          <w:rFonts w:ascii="Times New Roman" w:hAnsi="Times New Roman"/>
          <w:sz w:val="28"/>
          <w:szCs w:val="28"/>
          <w:lang w:val="en-US"/>
        </w:rPr>
        <w:t>:</w:t>
      </w:r>
    </w:p>
    <w:p w:rsidR="00B00133" w:rsidRPr="0005764F" w:rsidRDefault="00B00133" w:rsidP="00B00133">
      <w:pPr>
        <w:spacing w:line="360" w:lineRule="auto"/>
        <w:ind w:firstLine="708"/>
        <w:jc w:val="both"/>
        <w:rPr>
          <w:rFonts w:ascii="Times New Roman" w:hAnsi="Times New Roman"/>
          <w:sz w:val="28"/>
          <w:szCs w:val="28"/>
          <w:lang w:val="en-US"/>
        </w:rPr>
      </w:pPr>
      <w:r w:rsidRPr="0006637D">
        <w:rPr>
          <w:rFonts w:ascii="Times New Roman" w:hAnsi="Times New Roman"/>
          <w:sz w:val="28"/>
          <w:szCs w:val="28"/>
          <w:lang w:val="en-US"/>
        </w:rPr>
        <w:t>Company profile</w:t>
      </w:r>
      <w:r w:rsidR="0005764F">
        <w:rPr>
          <w:rFonts w:ascii="Times New Roman" w:hAnsi="Times New Roman"/>
          <w:sz w:val="28"/>
          <w:szCs w:val="28"/>
          <w:lang w:val="en-US"/>
        </w:rPr>
        <w:t xml:space="preserve"> Anheuser Busch </w:t>
      </w:r>
      <w:proofErr w:type="gramStart"/>
      <w:r w:rsidR="0005764F">
        <w:rPr>
          <w:rFonts w:ascii="Times New Roman" w:hAnsi="Times New Roman"/>
          <w:sz w:val="28"/>
          <w:szCs w:val="28"/>
          <w:lang w:val="en-US"/>
        </w:rPr>
        <w:t>In</w:t>
      </w:r>
      <w:proofErr w:type="gramEnd"/>
      <w:r w:rsidR="0005764F">
        <w:rPr>
          <w:rFonts w:ascii="Times New Roman" w:hAnsi="Times New Roman"/>
          <w:sz w:val="28"/>
          <w:szCs w:val="28"/>
          <w:lang w:val="en-US"/>
        </w:rPr>
        <w:t xml:space="preserve"> Bev</w:t>
      </w:r>
      <w:r w:rsidR="0005764F" w:rsidRPr="0005764F">
        <w:rPr>
          <w:rFonts w:ascii="Times New Roman" w:hAnsi="Times New Roman"/>
          <w:sz w:val="28"/>
          <w:szCs w:val="28"/>
          <w:lang w:val="en-US"/>
        </w:rPr>
        <w:t xml:space="preserve">. </w:t>
      </w:r>
      <w:r w:rsidR="0005764F">
        <w:rPr>
          <w:rFonts w:ascii="Times New Roman" w:hAnsi="Times New Roman"/>
          <w:sz w:val="28"/>
          <w:szCs w:val="28"/>
          <w:lang w:val="en-US"/>
        </w:rPr>
        <w:t>January 2013</w:t>
      </w:r>
    </w:p>
    <w:p w:rsidR="00B00133" w:rsidRDefault="00B00133" w:rsidP="00B00133">
      <w:pPr>
        <w:spacing w:line="360" w:lineRule="auto"/>
        <w:ind w:firstLine="708"/>
        <w:jc w:val="both"/>
        <w:rPr>
          <w:rFonts w:ascii="Times New Roman" w:hAnsi="Times New Roman"/>
          <w:sz w:val="28"/>
          <w:szCs w:val="28"/>
          <w:lang w:val="en-US"/>
        </w:rPr>
      </w:pPr>
      <w:r w:rsidRPr="0006637D">
        <w:rPr>
          <w:rFonts w:ascii="Times New Roman" w:hAnsi="Times New Roman"/>
          <w:sz w:val="28"/>
          <w:szCs w:val="28"/>
          <w:lang w:val="en-US"/>
        </w:rPr>
        <w:t>Company profile Carlsberg A/S</w:t>
      </w:r>
      <w:r w:rsidR="0005764F" w:rsidRPr="0005764F">
        <w:rPr>
          <w:rFonts w:ascii="Times New Roman" w:hAnsi="Times New Roman"/>
          <w:sz w:val="28"/>
          <w:szCs w:val="28"/>
          <w:lang w:val="en-US"/>
        </w:rPr>
        <w:t xml:space="preserve">. </w:t>
      </w:r>
      <w:r w:rsidR="0005764F">
        <w:rPr>
          <w:rFonts w:ascii="Times New Roman" w:hAnsi="Times New Roman"/>
          <w:sz w:val="28"/>
          <w:szCs w:val="28"/>
          <w:lang w:val="en-US"/>
        </w:rPr>
        <w:t>January 2013</w:t>
      </w:r>
    </w:p>
    <w:p w:rsidR="00B00133" w:rsidRDefault="00B00133" w:rsidP="00B00133">
      <w:pPr>
        <w:spacing w:line="360" w:lineRule="auto"/>
        <w:ind w:firstLine="708"/>
        <w:jc w:val="both"/>
        <w:rPr>
          <w:rFonts w:ascii="Times New Roman" w:hAnsi="Times New Roman"/>
          <w:sz w:val="28"/>
          <w:szCs w:val="28"/>
          <w:lang w:val="en-US"/>
        </w:rPr>
      </w:pPr>
      <w:r w:rsidRPr="0006637D">
        <w:rPr>
          <w:rFonts w:ascii="Times New Roman" w:hAnsi="Times New Roman"/>
          <w:sz w:val="28"/>
          <w:szCs w:val="28"/>
          <w:lang w:val="en-US"/>
        </w:rPr>
        <w:t>Company profile</w:t>
      </w:r>
      <w:r>
        <w:rPr>
          <w:rFonts w:ascii="Times New Roman" w:hAnsi="Times New Roman"/>
          <w:sz w:val="28"/>
          <w:szCs w:val="28"/>
          <w:lang w:val="en-US"/>
        </w:rPr>
        <w:t xml:space="preserve"> SABMiller plc. </w:t>
      </w:r>
      <w:r w:rsidR="0005764F">
        <w:rPr>
          <w:rFonts w:ascii="Times New Roman" w:hAnsi="Times New Roman"/>
          <w:sz w:val="28"/>
          <w:szCs w:val="28"/>
          <w:lang w:val="en-US"/>
        </w:rPr>
        <w:t>March 2013</w:t>
      </w:r>
    </w:p>
    <w:p w:rsidR="00B00133" w:rsidRDefault="00B00133" w:rsidP="00B00133">
      <w:pPr>
        <w:spacing w:line="360" w:lineRule="auto"/>
        <w:ind w:firstLine="708"/>
        <w:jc w:val="both"/>
        <w:rPr>
          <w:rFonts w:ascii="Times New Roman" w:hAnsi="Times New Roman"/>
          <w:sz w:val="28"/>
          <w:szCs w:val="28"/>
          <w:lang w:val="en-US"/>
        </w:rPr>
      </w:pPr>
      <w:proofErr w:type="gramStart"/>
      <w:r w:rsidRPr="00F67901">
        <w:rPr>
          <w:rFonts w:ascii="Times New Roman" w:hAnsi="Times New Roman"/>
          <w:sz w:val="28"/>
          <w:szCs w:val="28"/>
          <w:lang w:val="en-US"/>
        </w:rPr>
        <w:t>Global</w:t>
      </w:r>
      <w:r w:rsidRPr="00B00133">
        <w:rPr>
          <w:rFonts w:ascii="Times New Roman" w:hAnsi="Times New Roman"/>
          <w:sz w:val="28"/>
          <w:szCs w:val="28"/>
          <w:lang w:val="en-US"/>
        </w:rPr>
        <w:t xml:space="preserve"> </w:t>
      </w:r>
      <w:r w:rsidRPr="00F67901">
        <w:rPr>
          <w:rFonts w:ascii="Times New Roman" w:hAnsi="Times New Roman"/>
          <w:sz w:val="28"/>
          <w:szCs w:val="28"/>
          <w:lang w:val="en-US"/>
        </w:rPr>
        <w:t>Performance</w:t>
      </w:r>
      <w:r w:rsidRPr="00B00133">
        <w:rPr>
          <w:rFonts w:ascii="Times New Roman" w:hAnsi="Times New Roman"/>
          <w:sz w:val="28"/>
          <w:szCs w:val="28"/>
          <w:lang w:val="en-US"/>
        </w:rPr>
        <w:t xml:space="preserve"> </w:t>
      </w:r>
      <w:r w:rsidRPr="00F67901">
        <w:rPr>
          <w:rFonts w:ascii="Times New Roman" w:hAnsi="Times New Roman"/>
          <w:sz w:val="28"/>
          <w:szCs w:val="28"/>
          <w:lang w:val="en-US"/>
        </w:rPr>
        <w:t>and</w:t>
      </w:r>
      <w:r w:rsidRPr="00B00133">
        <w:rPr>
          <w:rFonts w:ascii="Times New Roman" w:hAnsi="Times New Roman"/>
          <w:sz w:val="28"/>
          <w:szCs w:val="28"/>
          <w:lang w:val="en-US"/>
        </w:rPr>
        <w:t xml:space="preserve"> </w:t>
      </w:r>
      <w:r w:rsidRPr="00F67901">
        <w:rPr>
          <w:rFonts w:ascii="Times New Roman" w:hAnsi="Times New Roman"/>
          <w:sz w:val="28"/>
          <w:szCs w:val="28"/>
          <w:lang w:val="en-US"/>
        </w:rPr>
        <w:t>Prospects</w:t>
      </w:r>
      <w:r w:rsidRPr="00B00133">
        <w:rPr>
          <w:rFonts w:ascii="Times New Roman" w:hAnsi="Times New Roman"/>
          <w:sz w:val="28"/>
          <w:szCs w:val="28"/>
          <w:lang w:val="en-US"/>
        </w:rPr>
        <w:t xml:space="preserve"> </w:t>
      </w:r>
      <w:r w:rsidRPr="00F67901">
        <w:rPr>
          <w:rFonts w:ascii="Times New Roman" w:hAnsi="Times New Roman"/>
          <w:sz w:val="28"/>
          <w:szCs w:val="28"/>
          <w:lang w:val="en-US"/>
        </w:rPr>
        <w:t>for</w:t>
      </w:r>
      <w:r w:rsidRPr="00B00133">
        <w:rPr>
          <w:rFonts w:ascii="Times New Roman" w:hAnsi="Times New Roman"/>
          <w:sz w:val="28"/>
          <w:szCs w:val="28"/>
          <w:lang w:val="en-US"/>
        </w:rPr>
        <w:t xml:space="preserve"> </w:t>
      </w:r>
      <w:r w:rsidRPr="00F67901">
        <w:rPr>
          <w:rFonts w:ascii="Times New Roman" w:hAnsi="Times New Roman"/>
          <w:sz w:val="28"/>
          <w:szCs w:val="28"/>
          <w:lang w:val="en-US"/>
        </w:rPr>
        <w:t>Beer</w:t>
      </w:r>
      <w:r w:rsidRPr="00B00133">
        <w:rPr>
          <w:rFonts w:ascii="Times New Roman" w:hAnsi="Times New Roman"/>
          <w:sz w:val="28"/>
          <w:szCs w:val="28"/>
          <w:lang w:val="en-US"/>
        </w:rPr>
        <w:t>.</w:t>
      </w:r>
      <w:proofErr w:type="gramEnd"/>
      <w:r w:rsidRPr="00B00133">
        <w:rPr>
          <w:rFonts w:ascii="Times New Roman" w:hAnsi="Times New Roman"/>
          <w:sz w:val="28"/>
          <w:szCs w:val="28"/>
          <w:lang w:val="en-US"/>
        </w:rPr>
        <w:t xml:space="preserve"> </w:t>
      </w:r>
      <w:r>
        <w:rPr>
          <w:rFonts w:ascii="Times New Roman" w:hAnsi="Times New Roman"/>
          <w:sz w:val="28"/>
          <w:szCs w:val="28"/>
          <w:lang w:val="en-US"/>
        </w:rPr>
        <w:t>July 2011</w:t>
      </w:r>
    </w:p>
    <w:p w:rsidR="00B00133" w:rsidRDefault="00B00133" w:rsidP="00B00133">
      <w:pPr>
        <w:spacing w:line="360" w:lineRule="auto"/>
        <w:ind w:firstLine="708"/>
        <w:jc w:val="both"/>
        <w:rPr>
          <w:rFonts w:ascii="Times New Roman" w:hAnsi="Times New Roman"/>
          <w:sz w:val="28"/>
          <w:szCs w:val="28"/>
          <w:lang w:val="en-US"/>
        </w:rPr>
      </w:pPr>
      <w:proofErr w:type="gramStart"/>
      <w:r w:rsidRPr="00B00133">
        <w:rPr>
          <w:rFonts w:ascii="Times New Roman" w:hAnsi="Times New Roman"/>
          <w:sz w:val="28"/>
          <w:szCs w:val="28"/>
          <w:lang w:val="en-US"/>
        </w:rPr>
        <w:t>Growth Opportunities for Beer Suppliers</w:t>
      </w:r>
      <w:r>
        <w:rPr>
          <w:rFonts w:ascii="Times New Roman" w:hAnsi="Times New Roman"/>
          <w:sz w:val="28"/>
          <w:szCs w:val="28"/>
          <w:lang w:val="en-US"/>
        </w:rPr>
        <w:t>.</w:t>
      </w:r>
      <w:proofErr w:type="gramEnd"/>
      <w:r>
        <w:rPr>
          <w:rFonts w:ascii="Times New Roman" w:hAnsi="Times New Roman"/>
          <w:sz w:val="28"/>
          <w:szCs w:val="28"/>
          <w:lang w:val="en-US"/>
        </w:rPr>
        <w:t xml:space="preserve"> January 2011</w:t>
      </w:r>
    </w:p>
    <w:p w:rsidR="00B00133" w:rsidRDefault="00B00133" w:rsidP="00B00133">
      <w:pPr>
        <w:spacing w:line="360" w:lineRule="auto"/>
        <w:ind w:firstLine="708"/>
        <w:jc w:val="both"/>
        <w:rPr>
          <w:rFonts w:ascii="Times New Roman" w:hAnsi="Times New Roman"/>
          <w:sz w:val="28"/>
          <w:szCs w:val="28"/>
          <w:lang w:val="en-US"/>
        </w:rPr>
      </w:pPr>
      <w:proofErr w:type="gramStart"/>
      <w:r w:rsidRPr="00F67901">
        <w:rPr>
          <w:rFonts w:ascii="Times New Roman" w:hAnsi="Times New Roman"/>
          <w:sz w:val="28"/>
          <w:szCs w:val="28"/>
          <w:lang w:val="en-US"/>
        </w:rPr>
        <w:t>Strategies for Growth in an Increasingly Consolidated Global Beer Market</w:t>
      </w:r>
      <w:r>
        <w:rPr>
          <w:rFonts w:ascii="Times New Roman" w:hAnsi="Times New Roman"/>
          <w:sz w:val="28"/>
          <w:szCs w:val="28"/>
          <w:lang w:val="en-US"/>
        </w:rPr>
        <w:t>.</w:t>
      </w:r>
      <w:proofErr w:type="gramEnd"/>
      <w:r>
        <w:rPr>
          <w:rFonts w:ascii="Times New Roman" w:hAnsi="Times New Roman"/>
          <w:sz w:val="28"/>
          <w:szCs w:val="28"/>
          <w:lang w:val="en-US"/>
        </w:rPr>
        <w:t xml:space="preserve"> February</w:t>
      </w:r>
      <w:r w:rsidRPr="00B00133">
        <w:rPr>
          <w:rFonts w:ascii="Times New Roman" w:hAnsi="Times New Roman"/>
          <w:sz w:val="28"/>
          <w:szCs w:val="28"/>
          <w:lang w:val="en-US"/>
        </w:rPr>
        <w:t xml:space="preserve"> 2010</w:t>
      </w:r>
    </w:p>
    <w:p w:rsidR="00B00133" w:rsidRDefault="00B00133" w:rsidP="00B00133">
      <w:pPr>
        <w:spacing w:line="360" w:lineRule="auto"/>
        <w:ind w:firstLine="708"/>
        <w:jc w:val="both"/>
        <w:rPr>
          <w:rFonts w:ascii="Times New Roman" w:hAnsi="Times New Roman"/>
          <w:sz w:val="28"/>
          <w:szCs w:val="28"/>
          <w:lang w:val="en-US"/>
        </w:rPr>
      </w:pPr>
    </w:p>
    <w:p w:rsidR="00B00133" w:rsidRPr="0006637D" w:rsidRDefault="00B00133" w:rsidP="00B00133">
      <w:pPr>
        <w:spacing w:line="360" w:lineRule="auto"/>
        <w:jc w:val="both"/>
        <w:rPr>
          <w:rFonts w:ascii="Times New Roman" w:hAnsi="Times New Roman"/>
          <w:sz w:val="28"/>
          <w:szCs w:val="28"/>
          <w:lang w:val="en-US"/>
        </w:rPr>
      </w:pPr>
    </w:p>
    <w:p w:rsidR="00D7135C" w:rsidRDefault="006E37C7" w:rsidP="00D7135C">
      <w:pPr>
        <w:spacing w:line="360" w:lineRule="auto"/>
        <w:ind w:firstLine="708"/>
        <w:jc w:val="both"/>
        <w:rPr>
          <w:rFonts w:ascii="Times New Roman" w:hAnsi="Times New Roman"/>
          <w:sz w:val="28"/>
          <w:szCs w:val="28"/>
          <w:lang w:val="en-US"/>
        </w:rPr>
      </w:pPr>
      <w:r w:rsidRPr="00073FB0">
        <w:rPr>
          <w:rFonts w:ascii="Times New Roman" w:hAnsi="Times New Roman"/>
          <w:sz w:val="28"/>
          <w:szCs w:val="28"/>
          <w:lang w:val="en-US"/>
        </w:rPr>
        <w:t xml:space="preserve">Damodaran, A. (2005, October). </w:t>
      </w:r>
      <w:proofErr w:type="gramStart"/>
      <w:r w:rsidRPr="00073FB0">
        <w:rPr>
          <w:rFonts w:ascii="Times New Roman" w:hAnsi="Times New Roman"/>
          <w:sz w:val="28"/>
          <w:szCs w:val="28"/>
          <w:lang w:val="en-US"/>
        </w:rPr>
        <w:t>The value of synergy.</w:t>
      </w:r>
      <w:proofErr w:type="gramEnd"/>
      <w:r w:rsidRPr="00073FB0">
        <w:rPr>
          <w:rFonts w:ascii="Times New Roman" w:hAnsi="Times New Roman"/>
          <w:sz w:val="28"/>
          <w:szCs w:val="28"/>
          <w:lang w:val="en-US"/>
        </w:rPr>
        <w:t xml:space="preserve"> </w:t>
      </w:r>
      <w:proofErr w:type="gramStart"/>
      <w:r w:rsidRPr="00073FB0">
        <w:rPr>
          <w:rFonts w:ascii="Times New Roman" w:hAnsi="Times New Roman"/>
          <w:sz w:val="28"/>
          <w:szCs w:val="28"/>
          <w:lang w:val="en-US"/>
        </w:rPr>
        <w:t>In NYU Stern School of</w:t>
      </w:r>
      <w:r w:rsidR="00D7135C">
        <w:rPr>
          <w:rFonts w:ascii="Times New Roman" w:hAnsi="Times New Roman"/>
          <w:sz w:val="28"/>
          <w:szCs w:val="28"/>
          <w:lang w:val="en-US"/>
        </w:rPr>
        <w:t xml:space="preserve"> </w:t>
      </w:r>
      <w:r w:rsidRPr="00073FB0">
        <w:rPr>
          <w:rFonts w:ascii="Times New Roman" w:hAnsi="Times New Roman"/>
          <w:sz w:val="28"/>
          <w:szCs w:val="28"/>
          <w:lang w:val="en-US"/>
        </w:rPr>
        <w:t>business.</w:t>
      </w:r>
      <w:proofErr w:type="gramEnd"/>
      <w:r w:rsidRPr="00073FB0">
        <w:rPr>
          <w:rFonts w:ascii="Times New Roman" w:hAnsi="Times New Roman"/>
          <w:sz w:val="28"/>
          <w:szCs w:val="28"/>
          <w:lang w:val="en-US"/>
        </w:rPr>
        <w:t xml:space="preserve"> </w:t>
      </w:r>
    </w:p>
    <w:p w:rsidR="006E37C7" w:rsidRPr="00073FB0" w:rsidRDefault="006E37C7" w:rsidP="00D7135C">
      <w:pPr>
        <w:spacing w:line="360" w:lineRule="auto"/>
        <w:jc w:val="both"/>
        <w:rPr>
          <w:rFonts w:ascii="Times New Roman" w:hAnsi="Times New Roman"/>
          <w:sz w:val="28"/>
          <w:szCs w:val="28"/>
          <w:lang w:val="en-US"/>
        </w:rPr>
      </w:pPr>
      <w:r w:rsidRPr="00073FB0">
        <w:rPr>
          <w:rFonts w:ascii="Times New Roman" w:hAnsi="Times New Roman"/>
          <w:sz w:val="28"/>
          <w:szCs w:val="28"/>
          <w:lang w:val="en-US"/>
        </w:rPr>
        <w:t>http://pages.stern.nyu.edu/~adamodar/pdfiles/papers/synergy.pdf?referer=www.clickfind.com.au</w:t>
      </w:r>
    </w:p>
    <w:p w:rsidR="00D7135C" w:rsidRDefault="006E37C7" w:rsidP="00B00133">
      <w:pPr>
        <w:spacing w:line="360" w:lineRule="auto"/>
        <w:ind w:firstLine="708"/>
        <w:jc w:val="both"/>
        <w:rPr>
          <w:rFonts w:ascii="Times New Roman" w:hAnsi="Times New Roman"/>
          <w:sz w:val="28"/>
          <w:szCs w:val="28"/>
          <w:lang w:val="en-US"/>
        </w:rPr>
      </w:pPr>
      <w:r w:rsidRPr="006E37C7">
        <w:rPr>
          <w:rFonts w:ascii="Times New Roman" w:hAnsi="Times New Roman"/>
          <w:sz w:val="28"/>
          <w:szCs w:val="28"/>
          <w:lang w:val="en-US"/>
        </w:rPr>
        <w:t xml:space="preserve">Damodaran, A. Acquisition Valuation. </w:t>
      </w:r>
      <w:proofErr w:type="gramStart"/>
      <w:r w:rsidRPr="006E37C7">
        <w:rPr>
          <w:rFonts w:ascii="Times New Roman" w:hAnsi="Times New Roman"/>
          <w:sz w:val="28"/>
          <w:szCs w:val="28"/>
          <w:lang w:val="en-US"/>
        </w:rPr>
        <w:t>In NYU Stern School of business.</w:t>
      </w:r>
      <w:proofErr w:type="gramEnd"/>
      <w:r w:rsidRPr="006E37C7">
        <w:rPr>
          <w:rFonts w:ascii="Times New Roman" w:hAnsi="Times New Roman"/>
          <w:sz w:val="28"/>
          <w:szCs w:val="28"/>
          <w:lang w:val="en-US"/>
        </w:rPr>
        <w:t xml:space="preserve"> http://people.stern.nyu.edu/adamo</w:t>
      </w:r>
      <w:r w:rsidR="00B00133">
        <w:rPr>
          <w:rFonts w:ascii="Times New Roman" w:hAnsi="Times New Roman"/>
          <w:sz w:val="28"/>
          <w:szCs w:val="28"/>
          <w:lang w:val="en-US"/>
        </w:rPr>
        <w:t>dar/pdfiles/eqnotes/AcqValn.pdf</w:t>
      </w:r>
    </w:p>
    <w:p w:rsidR="00D7135C" w:rsidRDefault="006E37C7" w:rsidP="00073FB0">
      <w:pPr>
        <w:spacing w:line="360" w:lineRule="auto"/>
        <w:ind w:firstLine="708"/>
        <w:jc w:val="both"/>
        <w:rPr>
          <w:rFonts w:ascii="Times New Roman" w:hAnsi="Times New Roman"/>
          <w:sz w:val="28"/>
          <w:szCs w:val="28"/>
          <w:lang w:val="en-US"/>
        </w:rPr>
      </w:pPr>
      <w:proofErr w:type="gramStart"/>
      <w:r w:rsidRPr="006E37C7">
        <w:rPr>
          <w:rFonts w:ascii="Times New Roman" w:hAnsi="Times New Roman"/>
          <w:sz w:val="28"/>
          <w:szCs w:val="28"/>
          <w:lang w:val="en-US"/>
        </w:rPr>
        <w:t>DCF Analysis.</w:t>
      </w:r>
      <w:proofErr w:type="gramEnd"/>
      <w:r w:rsidRPr="006E37C7">
        <w:rPr>
          <w:rFonts w:ascii="Times New Roman" w:hAnsi="Times New Roman"/>
          <w:sz w:val="28"/>
          <w:szCs w:val="28"/>
          <w:lang w:val="en-US"/>
        </w:rPr>
        <w:t xml:space="preserve"> </w:t>
      </w:r>
      <w:r w:rsidRPr="00073FB0">
        <w:rPr>
          <w:rFonts w:ascii="Times New Roman" w:hAnsi="Times New Roman"/>
          <w:sz w:val="28"/>
          <w:szCs w:val="28"/>
          <w:lang w:val="en-US"/>
        </w:rPr>
        <w:t xml:space="preserve">In </w:t>
      </w:r>
      <w:proofErr w:type="spellStart"/>
      <w:r w:rsidR="00D7135C">
        <w:rPr>
          <w:rFonts w:ascii="Times New Roman" w:hAnsi="Times New Roman"/>
          <w:sz w:val="28"/>
          <w:szCs w:val="28"/>
          <w:lang w:val="en-US"/>
        </w:rPr>
        <w:t>Investopedia</w:t>
      </w:r>
      <w:proofErr w:type="spellEnd"/>
    </w:p>
    <w:p w:rsidR="006E37C7" w:rsidRPr="00073FB0" w:rsidRDefault="006E37C7" w:rsidP="00D7135C">
      <w:pPr>
        <w:spacing w:line="360" w:lineRule="auto"/>
        <w:jc w:val="both"/>
        <w:rPr>
          <w:rFonts w:ascii="Times New Roman" w:hAnsi="Times New Roman"/>
          <w:sz w:val="28"/>
          <w:szCs w:val="28"/>
          <w:lang w:val="en-US"/>
        </w:rPr>
      </w:pPr>
      <w:r w:rsidRPr="00073FB0">
        <w:rPr>
          <w:rFonts w:ascii="Times New Roman" w:hAnsi="Times New Roman"/>
          <w:sz w:val="28"/>
          <w:szCs w:val="28"/>
          <w:lang w:val="en-US"/>
        </w:rPr>
        <w:t xml:space="preserve"> http://www.investopedia.com/university/dcf/default.asp#axzz1kHbGEcyf</w:t>
      </w:r>
    </w:p>
    <w:p w:rsidR="00D7135C" w:rsidRDefault="006E37C7" w:rsidP="00073FB0">
      <w:pPr>
        <w:spacing w:line="360" w:lineRule="auto"/>
        <w:ind w:firstLine="708"/>
        <w:jc w:val="both"/>
        <w:rPr>
          <w:rFonts w:ascii="Times New Roman" w:hAnsi="Times New Roman"/>
          <w:sz w:val="28"/>
          <w:szCs w:val="28"/>
          <w:lang w:val="en-US"/>
        </w:rPr>
      </w:pPr>
      <w:proofErr w:type="gramStart"/>
      <w:r w:rsidRPr="00073FB0">
        <w:rPr>
          <w:rFonts w:ascii="Times New Roman" w:hAnsi="Times New Roman"/>
          <w:sz w:val="28"/>
          <w:szCs w:val="28"/>
          <w:lang w:val="en-US"/>
        </w:rPr>
        <w:t>Enterprise-Value-to-Sales.</w:t>
      </w:r>
      <w:proofErr w:type="gramEnd"/>
      <w:r>
        <w:rPr>
          <w:rFonts w:ascii="Times New Roman" w:hAnsi="Times New Roman"/>
          <w:sz w:val="28"/>
          <w:szCs w:val="28"/>
          <w:lang w:val="en-US"/>
        </w:rPr>
        <w:t xml:space="preserve"> </w:t>
      </w:r>
      <w:r w:rsidRPr="00073FB0">
        <w:rPr>
          <w:rFonts w:ascii="Times New Roman" w:hAnsi="Times New Roman"/>
          <w:sz w:val="28"/>
          <w:szCs w:val="28"/>
          <w:lang w:val="en-US"/>
        </w:rPr>
        <w:t>In</w:t>
      </w:r>
      <w:r>
        <w:rPr>
          <w:rFonts w:ascii="Times New Roman" w:hAnsi="Times New Roman"/>
          <w:sz w:val="28"/>
          <w:szCs w:val="28"/>
          <w:lang w:val="en-US"/>
        </w:rPr>
        <w:t xml:space="preserve"> </w:t>
      </w:r>
      <w:proofErr w:type="spellStart"/>
      <w:r w:rsidRPr="00073FB0">
        <w:rPr>
          <w:rFonts w:ascii="Times New Roman" w:hAnsi="Times New Roman"/>
          <w:sz w:val="28"/>
          <w:szCs w:val="28"/>
          <w:lang w:val="en-US"/>
        </w:rPr>
        <w:t>Investopedia</w:t>
      </w:r>
      <w:proofErr w:type="spellEnd"/>
    </w:p>
    <w:p w:rsidR="006E37C7" w:rsidRPr="00073FB0" w:rsidRDefault="006E37C7" w:rsidP="00D7135C">
      <w:pPr>
        <w:spacing w:line="360" w:lineRule="auto"/>
        <w:jc w:val="both"/>
        <w:rPr>
          <w:rFonts w:ascii="Times New Roman" w:hAnsi="Times New Roman"/>
          <w:sz w:val="28"/>
          <w:szCs w:val="28"/>
          <w:lang w:val="en-US"/>
        </w:rPr>
      </w:pPr>
      <w:r w:rsidRPr="00073FB0">
        <w:rPr>
          <w:rFonts w:ascii="Times New Roman" w:hAnsi="Times New Roman"/>
          <w:sz w:val="28"/>
          <w:szCs w:val="28"/>
          <w:lang w:val="en-US"/>
        </w:rPr>
        <w:t>http://www.investopedia.com/terms/e/enterprisevaluesales.asp#axzz1kHbGEcyf</w:t>
      </w:r>
    </w:p>
    <w:p w:rsidR="006E37C7" w:rsidRPr="006E37C7" w:rsidRDefault="006E37C7" w:rsidP="00073FB0">
      <w:pPr>
        <w:spacing w:line="360" w:lineRule="auto"/>
        <w:ind w:firstLine="708"/>
        <w:jc w:val="both"/>
        <w:rPr>
          <w:rFonts w:ascii="Times New Roman" w:hAnsi="Times New Roman"/>
          <w:sz w:val="28"/>
          <w:szCs w:val="28"/>
          <w:lang w:val="en-US"/>
        </w:rPr>
      </w:pPr>
      <w:proofErr w:type="spellStart"/>
      <w:r w:rsidRPr="006E37C7">
        <w:rPr>
          <w:rFonts w:ascii="Times New Roman" w:hAnsi="Times New Roman"/>
          <w:sz w:val="28"/>
          <w:szCs w:val="28"/>
          <w:lang w:val="en-US"/>
        </w:rPr>
        <w:t>Gaughan</w:t>
      </w:r>
      <w:proofErr w:type="spellEnd"/>
      <w:r w:rsidRPr="006E37C7">
        <w:rPr>
          <w:rFonts w:ascii="Times New Roman" w:hAnsi="Times New Roman"/>
          <w:sz w:val="28"/>
          <w:szCs w:val="28"/>
          <w:lang w:val="en-US"/>
        </w:rPr>
        <w:t xml:space="preserve">, P. (2010). Mergers, Acquisitions and Corporate Restructurings (5th ed., pp. 132-156). New York: John </w:t>
      </w:r>
      <w:proofErr w:type="spellStart"/>
      <w:r w:rsidRPr="006E37C7">
        <w:rPr>
          <w:rFonts w:ascii="Times New Roman" w:hAnsi="Times New Roman"/>
          <w:sz w:val="28"/>
          <w:szCs w:val="28"/>
          <w:lang w:val="en-US"/>
        </w:rPr>
        <w:t>Wiley&amp;Sons</w:t>
      </w:r>
      <w:proofErr w:type="spellEnd"/>
      <w:r w:rsidRPr="006E37C7">
        <w:rPr>
          <w:rFonts w:ascii="Times New Roman" w:hAnsi="Times New Roman"/>
          <w:sz w:val="28"/>
          <w:szCs w:val="28"/>
          <w:lang w:val="en-US"/>
        </w:rPr>
        <w:t>, Inc.</w:t>
      </w:r>
    </w:p>
    <w:p w:rsidR="006E37C7" w:rsidRPr="00786CA2" w:rsidRDefault="006E37C7" w:rsidP="00073FB0">
      <w:pPr>
        <w:spacing w:line="360" w:lineRule="auto"/>
        <w:ind w:firstLine="708"/>
        <w:jc w:val="both"/>
        <w:rPr>
          <w:rFonts w:ascii="Times New Roman" w:hAnsi="Times New Roman"/>
          <w:sz w:val="28"/>
          <w:szCs w:val="28"/>
          <w:lang w:val="en-US"/>
        </w:rPr>
      </w:pPr>
      <w:proofErr w:type="spellStart"/>
      <w:proofErr w:type="gramStart"/>
      <w:r w:rsidRPr="00786CA2">
        <w:rPr>
          <w:rFonts w:ascii="Times New Roman" w:hAnsi="Times New Roman"/>
          <w:sz w:val="28"/>
          <w:szCs w:val="28"/>
          <w:lang w:val="en-US"/>
        </w:rPr>
        <w:t>Higgings</w:t>
      </w:r>
      <w:proofErr w:type="spellEnd"/>
      <w:r w:rsidRPr="00786CA2">
        <w:rPr>
          <w:rFonts w:ascii="Times New Roman" w:hAnsi="Times New Roman"/>
          <w:sz w:val="28"/>
          <w:szCs w:val="28"/>
          <w:lang w:val="en-US"/>
        </w:rPr>
        <w:t xml:space="preserve">, R. C., &amp; </w:t>
      </w:r>
      <w:proofErr w:type="spellStart"/>
      <w:r w:rsidRPr="00786CA2">
        <w:rPr>
          <w:rFonts w:ascii="Times New Roman" w:hAnsi="Times New Roman"/>
          <w:sz w:val="28"/>
          <w:szCs w:val="28"/>
          <w:lang w:val="en-US"/>
        </w:rPr>
        <w:t>Schall</w:t>
      </w:r>
      <w:proofErr w:type="spellEnd"/>
      <w:r w:rsidRPr="00786CA2">
        <w:rPr>
          <w:rFonts w:ascii="Times New Roman" w:hAnsi="Times New Roman"/>
          <w:sz w:val="28"/>
          <w:szCs w:val="28"/>
          <w:lang w:val="en-US"/>
        </w:rPr>
        <w:t>, L. C. (1975, March).</w:t>
      </w:r>
      <w:proofErr w:type="gramEnd"/>
      <w:r w:rsidRPr="00786CA2">
        <w:rPr>
          <w:rFonts w:ascii="Times New Roman" w:hAnsi="Times New Roman"/>
          <w:sz w:val="28"/>
          <w:szCs w:val="28"/>
          <w:lang w:val="en-US"/>
        </w:rPr>
        <w:t xml:space="preserve"> </w:t>
      </w:r>
      <w:proofErr w:type="gramStart"/>
      <w:r w:rsidRPr="00786CA2">
        <w:rPr>
          <w:rFonts w:ascii="Times New Roman" w:hAnsi="Times New Roman"/>
          <w:sz w:val="28"/>
          <w:szCs w:val="28"/>
          <w:lang w:val="en-US"/>
        </w:rPr>
        <w:t xml:space="preserve">Corporate </w:t>
      </w:r>
      <w:proofErr w:type="spellStart"/>
      <w:r w:rsidRPr="00786CA2">
        <w:rPr>
          <w:rFonts w:ascii="Times New Roman" w:hAnsi="Times New Roman"/>
          <w:sz w:val="28"/>
          <w:szCs w:val="28"/>
          <w:lang w:val="en-US"/>
        </w:rPr>
        <w:t>Bankrupcy</w:t>
      </w:r>
      <w:proofErr w:type="spellEnd"/>
      <w:r w:rsidRPr="00786CA2">
        <w:rPr>
          <w:rFonts w:ascii="Times New Roman" w:hAnsi="Times New Roman"/>
          <w:sz w:val="28"/>
          <w:szCs w:val="28"/>
          <w:lang w:val="en-US"/>
        </w:rPr>
        <w:t xml:space="preserve"> and Conglomerate Mergers.</w:t>
      </w:r>
      <w:proofErr w:type="gramEnd"/>
      <w:r w:rsidRPr="00786CA2">
        <w:rPr>
          <w:rFonts w:ascii="Times New Roman" w:hAnsi="Times New Roman"/>
          <w:sz w:val="28"/>
          <w:szCs w:val="28"/>
          <w:lang w:val="en-US"/>
        </w:rPr>
        <w:t xml:space="preserve"> Journal of Finance, 30, 93-113.</w:t>
      </w:r>
    </w:p>
    <w:p w:rsidR="006E37C7" w:rsidRPr="00786CA2" w:rsidRDefault="006E37C7" w:rsidP="00073FB0">
      <w:pPr>
        <w:spacing w:line="360" w:lineRule="auto"/>
        <w:jc w:val="both"/>
        <w:rPr>
          <w:rFonts w:ascii="Times New Roman" w:hAnsi="Times New Roman"/>
          <w:sz w:val="28"/>
          <w:szCs w:val="28"/>
          <w:lang w:val="en-US"/>
        </w:rPr>
      </w:pPr>
      <w:r w:rsidRPr="00786CA2">
        <w:rPr>
          <w:rFonts w:ascii="Times New Roman" w:hAnsi="Times New Roman"/>
          <w:sz w:val="28"/>
          <w:szCs w:val="28"/>
          <w:lang w:val="en-US"/>
        </w:rPr>
        <w:t>http://www.economywatch.com/mergers-acquisitions/international/valuation.html</w:t>
      </w:r>
    </w:p>
    <w:p w:rsidR="00D7135C" w:rsidRDefault="006E37C7" w:rsidP="00D7135C">
      <w:pPr>
        <w:spacing w:line="36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Liquidation Value.</w:t>
      </w:r>
      <w:proofErr w:type="gramEnd"/>
      <w:r>
        <w:rPr>
          <w:rFonts w:ascii="Times New Roman" w:hAnsi="Times New Roman"/>
          <w:sz w:val="28"/>
          <w:szCs w:val="28"/>
          <w:lang w:val="en-US"/>
        </w:rPr>
        <w:t xml:space="preserve"> In </w:t>
      </w:r>
      <w:proofErr w:type="spellStart"/>
      <w:r w:rsidRPr="00786CA2">
        <w:rPr>
          <w:rFonts w:ascii="Times New Roman" w:hAnsi="Times New Roman"/>
          <w:sz w:val="28"/>
          <w:szCs w:val="28"/>
          <w:lang w:val="en-US"/>
        </w:rPr>
        <w:t>Investopedia</w:t>
      </w:r>
      <w:proofErr w:type="spellEnd"/>
    </w:p>
    <w:p w:rsidR="006E37C7" w:rsidRPr="00786CA2" w:rsidRDefault="006E37C7" w:rsidP="00D7135C">
      <w:pPr>
        <w:spacing w:line="360" w:lineRule="auto"/>
        <w:jc w:val="both"/>
        <w:rPr>
          <w:rFonts w:ascii="Times New Roman" w:hAnsi="Times New Roman"/>
          <w:sz w:val="28"/>
          <w:szCs w:val="28"/>
          <w:lang w:val="en-US"/>
        </w:rPr>
      </w:pPr>
      <w:r w:rsidRPr="00786CA2">
        <w:rPr>
          <w:rFonts w:ascii="Times New Roman" w:hAnsi="Times New Roman"/>
          <w:sz w:val="28"/>
          <w:szCs w:val="28"/>
          <w:lang w:val="en-US"/>
        </w:rPr>
        <w:t xml:space="preserve"> http://www.investopedia.com/terms/l/liquidation-value.asp#axzz1kHbGEcyf</w:t>
      </w:r>
    </w:p>
    <w:p w:rsidR="00D7135C" w:rsidRDefault="006E37C7" w:rsidP="00D7135C">
      <w:pPr>
        <w:spacing w:line="360" w:lineRule="auto"/>
        <w:ind w:firstLine="708"/>
        <w:jc w:val="both"/>
        <w:rPr>
          <w:rFonts w:ascii="Times New Roman" w:hAnsi="Times New Roman"/>
          <w:sz w:val="28"/>
          <w:szCs w:val="28"/>
          <w:lang w:val="en-US"/>
        </w:rPr>
      </w:pPr>
      <w:r w:rsidRPr="00786CA2">
        <w:rPr>
          <w:rFonts w:ascii="Times New Roman" w:hAnsi="Times New Roman"/>
          <w:sz w:val="28"/>
          <w:szCs w:val="28"/>
          <w:lang w:val="en-US"/>
        </w:rPr>
        <w:t xml:space="preserve">M&amp;A Index, Q4 </w:t>
      </w:r>
      <w:r w:rsidR="00D7135C">
        <w:rPr>
          <w:rFonts w:ascii="Times New Roman" w:hAnsi="Times New Roman"/>
          <w:sz w:val="28"/>
          <w:szCs w:val="28"/>
          <w:lang w:val="en-US"/>
        </w:rPr>
        <w:t>2011</w:t>
      </w:r>
    </w:p>
    <w:p w:rsidR="006E37C7" w:rsidRPr="00786CA2" w:rsidRDefault="006E37C7" w:rsidP="00D7135C">
      <w:pPr>
        <w:spacing w:line="360" w:lineRule="auto"/>
        <w:jc w:val="both"/>
        <w:rPr>
          <w:rFonts w:ascii="Times New Roman" w:hAnsi="Times New Roman"/>
          <w:sz w:val="28"/>
          <w:szCs w:val="28"/>
          <w:lang w:val="en-US"/>
        </w:rPr>
      </w:pPr>
      <w:r w:rsidRPr="00786CA2">
        <w:rPr>
          <w:rFonts w:ascii="Times New Roman" w:hAnsi="Times New Roman"/>
          <w:sz w:val="28"/>
          <w:szCs w:val="28"/>
          <w:lang w:val="en-US"/>
        </w:rPr>
        <w:t xml:space="preserve"> http://www.allenovery.com/AOWeb/binaries/65104.PDF</w:t>
      </w:r>
    </w:p>
    <w:p w:rsidR="006E37C7" w:rsidRPr="00786CA2" w:rsidRDefault="006E37C7" w:rsidP="00073FB0">
      <w:pPr>
        <w:spacing w:line="360" w:lineRule="auto"/>
        <w:ind w:firstLine="708"/>
        <w:jc w:val="both"/>
        <w:rPr>
          <w:rFonts w:ascii="Times New Roman" w:hAnsi="Times New Roman"/>
          <w:sz w:val="28"/>
          <w:szCs w:val="28"/>
          <w:lang w:val="en-US"/>
        </w:rPr>
      </w:pPr>
      <w:r w:rsidRPr="00786CA2">
        <w:rPr>
          <w:rFonts w:ascii="Times New Roman" w:hAnsi="Times New Roman"/>
          <w:sz w:val="28"/>
          <w:szCs w:val="28"/>
          <w:lang w:val="en-US"/>
        </w:rPr>
        <w:t xml:space="preserve">Mergers and Acquisitions: Valuation Matters. </w:t>
      </w:r>
      <w:proofErr w:type="gramStart"/>
      <w:r w:rsidRPr="00786CA2">
        <w:rPr>
          <w:rFonts w:ascii="Times New Roman" w:hAnsi="Times New Roman"/>
          <w:sz w:val="28"/>
          <w:szCs w:val="28"/>
          <w:lang w:val="en-US"/>
        </w:rPr>
        <w:t xml:space="preserve">In </w:t>
      </w:r>
      <w:proofErr w:type="spellStart"/>
      <w:r>
        <w:rPr>
          <w:rFonts w:ascii="Times New Roman" w:hAnsi="Times New Roman"/>
          <w:sz w:val="28"/>
          <w:szCs w:val="28"/>
          <w:lang w:val="en-US"/>
        </w:rPr>
        <w:t>Investopedia</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r w:rsidRPr="00786CA2">
        <w:rPr>
          <w:rFonts w:ascii="Times New Roman" w:hAnsi="Times New Roman"/>
          <w:sz w:val="28"/>
          <w:szCs w:val="28"/>
          <w:lang w:val="en-US"/>
        </w:rPr>
        <w:t>http://www.investopedia.com/university/mergers/mergers2.asp#axzz1kHbGEcyf</w:t>
      </w:r>
    </w:p>
    <w:p w:rsidR="006E37C7" w:rsidRDefault="006E37C7" w:rsidP="00073FB0">
      <w:pPr>
        <w:spacing w:line="360" w:lineRule="auto"/>
        <w:ind w:firstLine="708"/>
        <w:jc w:val="both"/>
        <w:rPr>
          <w:rFonts w:ascii="Times New Roman" w:hAnsi="Times New Roman"/>
          <w:sz w:val="28"/>
          <w:szCs w:val="28"/>
          <w:lang w:val="en-US"/>
        </w:rPr>
      </w:pPr>
      <w:r w:rsidRPr="00786CA2">
        <w:rPr>
          <w:rFonts w:ascii="Times New Roman" w:hAnsi="Times New Roman"/>
          <w:sz w:val="28"/>
          <w:szCs w:val="28"/>
          <w:lang w:val="en-US"/>
        </w:rPr>
        <w:t xml:space="preserve">Valuation related to Mergers and Acquisitions (2010, </w:t>
      </w:r>
      <w:r>
        <w:rPr>
          <w:rFonts w:ascii="Times New Roman" w:hAnsi="Times New Roman"/>
          <w:sz w:val="28"/>
          <w:szCs w:val="28"/>
          <w:lang w:val="en-US"/>
        </w:rPr>
        <w:t xml:space="preserve">July 17). </w:t>
      </w:r>
      <w:proofErr w:type="gramStart"/>
      <w:r>
        <w:rPr>
          <w:rFonts w:ascii="Times New Roman" w:hAnsi="Times New Roman"/>
          <w:sz w:val="28"/>
          <w:szCs w:val="28"/>
          <w:lang w:val="en-US"/>
        </w:rPr>
        <w:t>In Economy Watch.</w:t>
      </w:r>
      <w:proofErr w:type="gramEnd"/>
    </w:p>
    <w:p w:rsidR="00B00133" w:rsidRPr="00B00133" w:rsidRDefault="00B00133" w:rsidP="00073FB0">
      <w:pPr>
        <w:spacing w:line="360" w:lineRule="auto"/>
        <w:ind w:firstLine="708"/>
        <w:jc w:val="both"/>
        <w:rPr>
          <w:rFonts w:ascii="Times New Roman" w:hAnsi="Times New Roman"/>
          <w:sz w:val="28"/>
          <w:szCs w:val="28"/>
          <w:lang w:val="en-US"/>
        </w:rPr>
      </w:pPr>
    </w:p>
    <w:p w:rsidR="009E0843" w:rsidRPr="00B00133" w:rsidRDefault="009E0843" w:rsidP="00073FB0">
      <w:pPr>
        <w:jc w:val="both"/>
        <w:rPr>
          <w:rFonts w:ascii="Times New Roman" w:hAnsi="Times New Roman"/>
          <w:sz w:val="28"/>
          <w:szCs w:val="28"/>
          <w:lang w:val="en-US"/>
        </w:rPr>
      </w:pPr>
      <w:r w:rsidRPr="00B00133">
        <w:rPr>
          <w:rFonts w:ascii="Times New Roman" w:hAnsi="Times New Roman"/>
          <w:sz w:val="28"/>
          <w:szCs w:val="28"/>
          <w:lang w:val="en-US"/>
        </w:rPr>
        <w:br w:type="page"/>
      </w:r>
    </w:p>
    <w:p w:rsidR="004D596B" w:rsidRPr="00006CBE" w:rsidRDefault="009E0843" w:rsidP="009E0843">
      <w:pPr>
        <w:pStyle w:val="1"/>
        <w:spacing w:line="720" w:lineRule="auto"/>
        <w:jc w:val="center"/>
        <w:rPr>
          <w:rFonts w:ascii="Times New Roman" w:hAnsi="Times New Roman" w:cs="Times New Roman"/>
          <w:color w:val="auto"/>
        </w:rPr>
      </w:pPr>
      <w:bookmarkStart w:id="38" w:name="_Toc356252020"/>
      <w:r w:rsidRPr="009E0843">
        <w:rPr>
          <w:rFonts w:ascii="Times New Roman" w:hAnsi="Times New Roman" w:cs="Times New Roman"/>
          <w:color w:val="auto"/>
        </w:rPr>
        <w:t>Приложения</w:t>
      </w:r>
      <w:bookmarkEnd w:id="38"/>
    </w:p>
    <w:p w:rsidR="009E0843" w:rsidRDefault="009E0843" w:rsidP="009E0843">
      <w:pPr>
        <w:jc w:val="right"/>
        <w:rPr>
          <w:rFonts w:ascii="Times New Roman" w:hAnsi="Times New Roman"/>
          <w:sz w:val="28"/>
          <w:szCs w:val="28"/>
        </w:rPr>
      </w:pPr>
      <w:r>
        <w:rPr>
          <w:rFonts w:ascii="Times New Roman" w:hAnsi="Times New Roman"/>
          <w:sz w:val="28"/>
          <w:szCs w:val="28"/>
        </w:rPr>
        <w:t>Приложение 1</w:t>
      </w:r>
    </w:p>
    <w:p w:rsidR="009E0843" w:rsidRPr="009E0843" w:rsidRDefault="009E0843" w:rsidP="009E0843">
      <w:pPr>
        <w:jc w:val="both"/>
        <w:rPr>
          <w:rFonts w:ascii="Times New Roman" w:hAnsi="Times New Roman"/>
          <w:b/>
          <w:sz w:val="28"/>
          <w:szCs w:val="28"/>
        </w:rPr>
      </w:pPr>
      <w:r w:rsidRPr="009E0843">
        <w:rPr>
          <w:rFonts w:ascii="Times New Roman" w:hAnsi="Times New Roman"/>
          <w:b/>
          <w:sz w:val="28"/>
          <w:szCs w:val="28"/>
        </w:rPr>
        <w:t xml:space="preserve">Организационная структура и руководящие органы компании </w:t>
      </w:r>
      <w:r w:rsidRPr="009E0843">
        <w:rPr>
          <w:rFonts w:ascii="Times New Roman" w:hAnsi="Times New Roman"/>
          <w:b/>
          <w:sz w:val="28"/>
          <w:szCs w:val="28"/>
          <w:lang w:val="en-US"/>
        </w:rPr>
        <w:t>Heineken</w:t>
      </w:r>
      <w:r w:rsidRPr="009E0843">
        <w:rPr>
          <w:rFonts w:ascii="Times New Roman" w:hAnsi="Times New Roman"/>
          <w:b/>
          <w:sz w:val="28"/>
          <w:szCs w:val="28"/>
        </w:rPr>
        <w:t xml:space="preserve"> </w:t>
      </w:r>
      <w:r w:rsidRPr="009E0843">
        <w:rPr>
          <w:rFonts w:ascii="Times New Roman" w:hAnsi="Times New Roman"/>
          <w:b/>
          <w:sz w:val="28"/>
          <w:szCs w:val="28"/>
          <w:lang w:val="en-US"/>
        </w:rPr>
        <w:t>N</w:t>
      </w:r>
      <w:r w:rsidRPr="009E0843">
        <w:rPr>
          <w:rFonts w:ascii="Times New Roman" w:hAnsi="Times New Roman"/>
          <w:b/>
          <w:sz w:val="28"/>
          <w:szCs w:val="28"/>
        </w:rPr>
        <w:t>.</w:t>
      </w:r>
      <w:r w:rsidRPr="009E0843">
        <w:rPr>
          <w:rFonts w:ascii="Times New Roman" w:hAnsi="Times New Roman"/>
          <w:b/>
          <w:sz w:val="28"/>
          <w:szCs w:val="28"/>
          <w:lang w:val="en-US"/>
        </w:rPr>
        <w:t>V</w:t>
      </w:r>
      <w:r w:rsidRPr="009E0843">
        <w:rPr>
          <w:rFonts w:ascii="Times New Roman" w:hAnsi="Times New Roman"/>
          <w:b/>
          <w:sz w:val="28"/>
          <w:szCs w:val="28"/>
        </w:rPr>
        <w:t>.</w:t>
      </w:r>
    </w:p>
    <w:p w:rsidR="00721EF1" w:rsidRDefault="009E0843" w:rsidP="004D596B">
      <w:pPr>
        <w:spacing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974EA6F" wp14:editId="15529864">
            <wp:extent cx="5108175" cy="5844209"/>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7466" cy="5843398"/>
                    </a:xfrm>
                    <a:prstGeom prst="rect">
                      <a:avLst/>
                    </a:prstGeom>
                    <a:noFill/>
                  </pic:spPr>
                </pic:pic>
              </a:graphicData>
            </a:graphic>
          </wp:inline>
        </w:drawing>
      </w:r>
    </w:p>
    <w:p w:rsidR="0003172F" w:rsidRDefault="0003172F" w:rsidP="004D596B">
      <w:pPr>
        <w:spacing w:line="360" w:lineRule="auto"/>
        <w:ind w:firstLine="360"/>
        <w:jc w:val="both"/>
        <w:rPr>
          <w:rFonts w:ascii="Times New Roman" w:hAnsi="Times New Roman"/>
          <w:sz w:val="28"/>
          <w:szCs w:val="28"/>
        </w:rPr>
      </w:pPr>
    </w:p>
    <w:p w:rsidR="00190255" w:rsidRDefault="00190255">
      <w:pPr>
        <w:rPr>
          <w:rFonts w:ascii="Times New Roman" w:hAnsi="Times New Roman"/>
          <w:sz w:val="28"/>
          <w:szCs w:val="28"/>
        </w:rPr>
      </w:pPr>
    </w:p>
    <w:p w:rsidR="00190255" w:rsidRPr="00190255" w:rsidRDefault="00190255" w:rsidP="00190255">
      <w:pPr>
        <w:rPr>
          <w:rFonts w:ascii="Times New Roman" w:hAnsi="Times New Roman"/>
          <w:sz w:val="28"/>
          <w:szCs w:val="28"/>
        </w:rPr>
      </w:pPr>
    </w:p>
    <w:p w:rsidR="00190255" w:rsidRPr="00190255" w:rsidRDefault="00190255" w:rsidP="00190255">
      <w:pPr>
        <w:rPr>
          <w:rFonts w:ascii="Times New Roman" w:hAnsi="Times New Roman"/>
          <w:sz w:val="28"/>
          <w:szCs w:val="28"/>
        </w:rPr>
      </w:pPr>
    </w:p>
    <w:p w:rsidR="00190255" w:rsidRDefault="009E0843" w:rsidP="00B92D9E">
      <w:pPr>
        <w:jc w:val="right"/>
        <w:rPr>
          <w:rFonts w:ascii="Times New Roman" w:hAnsi="Times New Roman"/>
          <w:sz w:val="28"/>
          <w:szCs w:val="28"/>
        </w:rPr>
      </w:pPr>
      <w:r>
        <w:rPr>
          <w:rFonts w:ascii="Times New Roman" w:hAnsi="Times New Roman"/>
          <w:sz w:val="28"/>
          <w:szCs w:val="28"/>
        </w:rPr>
        <w:t>Приложение 2</w:t>
      </w:r>
    </w:p>
    <w:p w:rsidR="009E0843" w:rsidRPr="00B92D9E" w:rsidRDefault="00B92D9E" w:rsidP="00BF4890">
      <w:pPr>
        <w:jc w:val="both"/>
        <w:rPr>
          <w:rFonts w:ascii="Times New Roman" w:hAnsi="Times New Roman"/>
          <w:b/>
          <w:sz w:val="28"/>
          <w:szCs w:val="28"/>
        </w:rPr>
      </w:pPr>
      <w:r w:rsidRPr="00B92D9E">
        <w:rPr>
          <w:rFonts w:ascii="Times New Roman" w:hAnsi="Times New Roman"/>
          <w:b/>
          <w:sz w:val="28"/>
          <w:szCs w:val="28"/>
        </w:rPr>
        <w:t xml:space="preserve">Анализ выручки и операционной прибыли компании </w:t>
      </w:r>
      <w:r w:rsidRPr="00B92D9E">
        <w:rPr>
          <w:rFonts w:ascii="Times New Roman" w:hAnsi="Times New Roman"/>
          <w:b/>
          <w:sz w:val="28"/>
          <w:szCs w:val="28"/>
          <w:lang w:val="en-US"/>
        </w:rPr>
        <w:t>Heineken</w:t>
      </w:r>
      <w:r w:rsidRPr="00B92D9E">
        <w:rPr>
          <w:rFonts w:ascii="Times New Roman" w:hAnsi="Times New Roman"/>
          <w:b/>
          <w:sz w:val="28"/>
          <w:szCs w:val="28"/>
        </w:rPr>
        <w:t xml:space="preserve"> </w:t>
      </w:r>
      <w:r w:rsidRPr="00B92D9E">
        <w:rPr>
          <w:rFonts w:ascii="Times New Roman" w:hAnsi="Times New Roman"/>
          <w:b/>
          <w:sz w:val="28"/>
          <w:szCs w:val="28"/>
          <w:lang w:val="en-US"/>
        </w:rPr>
        <w:t>N</w:t>
      </w:r>
      <w:r w:rsidRPr="00B92D9E">
        <w:rPr>
          <w:rFonts w:ascii="Times New Roman" w:hAnsi="Times New Roman"/>
          <w:b/>
          <w:sz w:val="28"/>
          <w:szCs w:val="28"/>
        </w:rPr>
        <w:t>.</w:t>
      </w:r>
      <w:r w:rsidRPr="00B92D9E">
        <w:rPr>
          <w:rFonts w:ascii="Times New Roman" w:hAnsi="Times New Roman"/>
          <w:b/>
          <w:sz w:val="28"/>
          <w:szCs w:val="28"/>
          <w:lang w:val="en-US"/>
        </w:rPr>
        <w:t>V</w:t>
      </w:r>
      <w:r w:rsidRPr="00B92D9E">
        <w:rPr>
          <w:rFonts w:ascii="Times New Roman" w:hAnsi="Times New Roman"/>
          <w:b/>
          <w:sz w:val="28"/>
          <w:szCs w:val="28"/>
        </w:rPr>
        <w:t>.</w:t>
      </w:r>
    </w:p>
    <w:p w:rsidR="009E0843" w:rsidRPr="009E0843" w:rsidRDefault="009E0843" w:rsidP="00190255">
      <w:pPr>
        <w:rPr>
          <w:rFonts w:ascii="Times New Roman" w:hAnsi="Times New Roman"/>
          <w:sz w:val="28"/>
          <w:szCs w:val="28"/>
        </w:rPr>
      </w:pPr>
      <w:r>
        <w:rPr>
          <w:noProof/>
          <w:lang w:eastAsia="ru-RU"/>
        </w:rPr>
        <w:drawing>
          <wp:inline distT="0" distB="0" distL="0" distR="0" wp14:anchorId="1CACF5BE" wp14:editId="325C4374">
            <wp:extent cx="5247861" cy="3101009"/>
            <wp:effectExtent l="0" t="0" r="10160" b="234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0255" w:rsidRPr="00190255" w:rsidRDefault="00190255" w:rsidP="00190255">
      <w:pPr>
        <w:rPr>
          <w:rFonts w:ascii="Times New Roman" w:hAnsi="Times New Roman"/>
          <w:sz w:val="28"/>
          <w:szCs w:val="28"/>
        </w:rPr>
      </w:pPr>
    </w:p>
    <w:p w:rsidR="00190255" w:rsidRDefault="00B92D9E" w:rsidP="00B92D9E">
      <w:pPr>
        <w:jc w:val="right"/>
        <w:rPr>
          <w:rFonts w:ascii="Times New Roman" w:hAnsi="Times New Roman"/>
          <w:sz w:val="28"/>
          <w:szCs w:val="28"/>
        </w:rPr>
      </w:pPr>
      <w:r>
        <w:rPr>
          <w:rFonts w:ascii="Times New Roman" w:hAnsi="Times New Roman"/>
          <w:sz w:val="28"/>
          <w:szCs w:val="28"/>
        </w:rPr>
        <w:t>Приложение 3</w:t>
      </w:r>
    </w:p>
    <w:p w:rsidR="00B92D9E" w:rsidRPr="00B92D9E" w:rsidRDefault="00B92D9E" w:rsidP="00BF4890">
      <w:pPr>
        <w:jc w:val="both"/>
        <w:rPr>
          <w:rFonts w:ascii="Times New Roman" w:hAnsi="Times New Roman"/>
          <w:b/>
          <w:sz w:val="28"/>
          <w:szCs w:val="28"/>
        </w:rPr>
      </w:pPr>
      <w:r w:rsidRPr="00B92D9E">
        <w:rPr>
          <w:rFonts w:ascii="Times New Roman" w:hAnsi="Times New Roman"/>
          <w:b/>
          <w:sz w:val="28"/>
          <w:szCs w:val="28"/>
        </w:rPr>
        <w:t xml:space="preserve">Анализ выручки компании </w:t>
      </w:r>
      <w:r w:rsidRPr="00B92D9E">
        <w:rPr>
          <w:rFonts w:ascii="Times New Roman" w:hAnsi="Times New Roman"/>
          <w:b/>
          <w:sz w:val="28"/>
          <w:szCs w:val="28"/>
          <w:lang w:val="en-US"/>
        </w:rPr>
        <w:t>Heineken</w:t>
      </w:r>
      <w:r w:rsidRPr="00B92D9E">
        <w:rPr>
          <w:rFonts w:ascii="Times New Roman" w:hAnsi="Times New Roman"/>
          <w:b/>
          <w:sz w:val="28"/>
          <w:szCs w:val="28"/>
        </w:rPr>
        <w:t xml:space="preserve"> </w:t>
      </w:r>
      <w:r w:rsidRPr="00B92D9E">
        <w:rPr>
          <w:rFonts w:ascii="Times New Roman" w:hAnsi="Times New Roman"/>
          <w:b/>
          <w:sz w:val="28"/>
          <w:szCs w:val="28"/>
          <w:lang w:val="en-US"/>
        </w:rPr>
        <w:t>N</w:t>
      </w:r>
      <w:r w:rsidRPr="00B92D9E">
        <w:rPr>
          <w:rFonts w:ascii="Times New Roman" w:hAnsi="Times New Roman"/>
          <w:b/>
          <w:sz w:val="28"/>
          <w:szCs w:val="28"/>
        </w:rPr>
        <w:t>.</w:t>
      </w:r>
      <w:r w:rsidRPr="00B92D9E">
        <w:rPr>
          <w:rFonts w:ascii="Times New Roman" w:hAnsi="Times New Roman"/>
          <w:b/>
          <w:sz w:val="28"/>
          <w:szCs w:val="28"/>
          <w:lang w:val="en-US"/>
        </w:rPr>
        <w:t>V</w:t>
      </w:r>
      <w:r w:rsidRPr="00B92D9E">
        <w:rPr>
          <w:rFonts w:ascii="Times New Roman" w:hAnsi="Times New Roman"/>
          <w:b/>
          <w:sz w:val="28"/>
          <w:szCs w:val="28"/>
        </w:rPr>
        <w:t>. в соответствии с географической сегментацией</w:t>
      </w:r>
    </w:p>
    <w:p w:rsidR="00B92D9E" w:rsidRPr="00190255" w:rsidRDefault="00B92D9E" w:rsidP="00190255">
      <w:pPr>
        <w:rPr>
          <w:rFonts w:ascii="Times New Roman" w:hAnsi="Times New Roman"/>
          <w:sz w:val="28"/>
          <w:szCs w:val="28"/>
        </w:rPr>
      </w:pPr>
      <w:r>
        <w:rPr>
          <w:noProof/>
          <w:lang w:eastAsia="ru-RU"/>
        </w:rPr>
        <w:drawing>
          <wp:inline distT="0" distB="0" distL="0" distR="0" wp14:anchorId="18949348" wp14:editId="16E2F857">
            <wp:extent cx="5429251" cy="29908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255" w:rsidRPr="00190255" w:rsidRDefault="00190255" w:rsidP="00190255">
      <w:pPr>
        <w:rPr>
          <w:rFonts w:ascii="Times New Roman" w:hAnsi="Times New Roman"/>
          <w:sz w:val="28"/>
          <w:szCs w:val="28"/>
        </w:rPr>
      </w:pPr>
    </w:p>
    <w:p w:rsidR="00190255" w:rsidRPr="00190255" w:rsidRDefault="00190255" w:rsidP="00190255">
      <w:pPr>
        <w:rPr>
          <w:rFonts w:ascii="Times New Roman" w:hAnsi="Times New Roman"/>
          <w:sz w:val="28"/>
          <w:szCs w:val="28"/>
        </w:rPr>
      </w:pPr>
    </w:p>
    <w:p w:rsidR="00190255" w:rsidRDefault="00B92D9E" w:rsidP="00B92D9E">
      <w:pPr>
        <w:jc w:val="right"/>
        <w:rPr>
          <w:rFonts w:ascii="Times New Roman" w:hAnsi="Times New Roman"/>
          <w:sz w:val="28"/>
          <w:szCs w:val="28"/>
        </w:rPr>
      </w:pPr>
      <w:r>
        <w:rPr>
          <w:rFonts w:ascii="Times New Roman" w:hAnsi="Times New Roman"/>
          <w:sz w:val="28"/>
          <w:szCs w:val="28"/>
        </w:rPr>
        <w:t>Приложение 4</w:t>
      </w:r>
    </w:p>
    <w:p w:rsidR="00B92D9E" w:rsidRPr="00BF4890" w:rsidRDefault="00B92D9E" w:rsidP="00BF4890">
      <w:pPr>
        <w:rPr>
          <w:rFonts w:ascii="Times New Roman" w:hAnsi="Times New Roman"/>
          <w:b/>
          <w:sz w:val="28"/>
          <w:szCs w:val="28"/>
        </w:rPr>
      </w:pPr>
      <w:r w:rsidRPr="00BF4890">
        <w:rPr>
          <w:rFonts w:ascii="Times New Roman" w:hAnsi="Times New Roman"/>
          <w:b/>
          <w:sz w:val="28"/>
          <w:szCs w:val="28"/>
        </w:rPr>
        <w:t xml:space="preserve">Ожидаемый </w:t>
      </w:r>
      <w:r w:rsidR="00BF4890" w:rsidRPr="00BF4890">
        <w:rPr>
          <w:rFonts w:ascii="Times New Roman" w:hAnsi="Times New Roman"/>
          <w:b/>
          <w:sz w:val="28"/>
          <w:szCs w:val="28"/>
        </w:rPr>
        <w:t xml:space="preserve">среднегодовой </w:t>
      </w:r>
      <w:r w:rsidRPr="00BF4890">
        <w:rPr>
          <w:rFonts w:ascii="Times New Roman" w:hAnsi="Times New Roman"/>
          <w:b/>
          <w:sz w:val="28"/>
          <w:szCs w:val="28"/>
        </w:rPr>
        <w:t xml:space="preserve">темп роста компании </w:t>
      </w:r>
      <w:r w:rsidRPr="00BF4890">
        <w:rPr>
          <w:rFonts w:ascii="Times New Roman" w:hAnsi="Times New Roman"/>
          <w:b/>
          <w:sz w:val="28"/>
          <w:szCs w:val="28"/>
          <w:lang w:val="en-US"/>
        </w:rPr>
        <w:t>Heineken</w:t>
      </w:r>
      <w:r w:rsidRPr="00BF4890">
        <w:rPr>
          <w:rFonts w:ascii="Times New Roman" w:hAnsi="Times New Roman"/>
          <w:b/>
          <w:sz w:val="28"/>
          <w:szCs w:val="28"/>
        </w:rPr>
        <w:t xml:space="preserve"> </w:t>
      </w:r>
      <w:r w:rsidRPr="00BF4890">
        <w:rPr>
          <w:rFonts w:ascii="Times New Roman" w:hAnsi="Times New Roman"/>
          <w:b/>
          <w:sz w:val="28"/>
          <w:szCs w:val="28"/>
          <w:lang w:val="en-US"/>
        </w:rPr>
        <w:t>N</w:t>
      </w:r>
      <w:r w:rsidRPr="00BF4890">
        <w:rPr>
          <w:rFonts w:ascii="Times New Roman" w:hAnsi="Times New Roman"/>
          <w:b/>
          <w:sz w:val="28"/>
          <w:szCs w:val="28"/>
        </w:rPr>
        <w:t>.</w:t>
      </w:r>
      <w:r w:rsidRPr="00BF4890">
        <w:rPr>
          <w:rFonts w:ascii="Times New Roman" w:hAnsi="Times New Roman"/>
          <w:b/>
          <w:sz w:val="28"/>
          <w:szCs w:val="28"/>
          <w:lang w:val="en-US"/>
        </w:rPr>
        <w:t>V</w:t>
      </w:r>
      <w:r w:rsidRPr="00BF4890">
        <w:rPr>
          <w:rFonts w:ascii="Times New Roman" w:hAnsi="Times New Roman"/>
          <w:b/>
          <w:sz w:val="28"/>
          <w:szCs w:val="28"/>
        </w:rPr>
        <w:t xml:space="preserve">. </w:t>
      </w:r>
      <w:r w:rsidR="00BF4890" w:rsidRPr="00BF4890">
        <w:rPr>
          <w:rFonts w:ascii="Times New Roman" w:hAnsi="Times New Roman"/>
          <w:b/>
          <w:sz w:val="28"/>
          <w:szCs w:val="28"/>
        </w:rPr>
        <w:t>по нишам рынка</w:t>
      </w:r>
    </w:p>
    <w:p w:rsidR="00B92D9E" w:rsidRPr="00B92D9E" w:rsidRDefault="00B92D9E" w:rsidP="00190255">
      <w:pPr>
        <w:rPr>
          <w:rFonts w:ascii="Times New Roman" w:hAnsi="Times New Roman"/>
          <w:sz w:val="28"/>
          <w:szCs w:val="28"/>
        </w:rPr>
      </w:pPr>
      <w:r>
        <w:rPr>
          <w:rFonts w:ascii="Times New Roman" w:hAnsi="Times New Roman"/>
          <w:noProof/>
          <w:sz w:val="28"/>
          <w:szCs w:val="28"/>
          <w:lang w:eastAsia="ru-RU"/>
        </w:rPr>
        <w:drawing>
          <wp:inline distT="0" distB="0" distL="0" distR="0" wp14:anchorId="1C5DEA83" wp14:editId="59FA7350">
            <wp:extent cx="6389370" cy="1657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9370" cy="1657985"/>
                    </a:xfrm>
                    <a:prstGeom prst="rect">
                      <a:avLst/>
                    </a:prstGeom>
                    <a:noFill/>
                  </pic:spPr>
                </pic:pic>
              </a:graphicData>
            </a:graphic>
          </wp:inline>
        </w:drawing>
      </w:r>
    </w:p>
    <w:p w:rsidR="00744D35" w:rsidRDefault="00744D35" w:rsidP="00744D35">
      <w:pPr>
        <w:tabs>
          <w:tab w:val="left" w:pos="1144"/>
        </w:tabs>
        <w:jc w:val="right"/>
        <w:rPr>
          <w:rFonts w:ascii="Times New Roman" w:hAnsi="Times New Roman"/>
          <w:sz w:val="28"/>
          <w:szCs w:val="28"/>
        </w:rPr>
      </w:pPr>
    </w:p>
    <w:p w:rsidR="00744D35" w:rsidRDefault="00744D35" w:rsidP="00744D35">
      <w:pPr>
        <w:tabs>
          <w:tab w:val="left" w:pos="1144"/>
        </w:tabs>
        <w:jc w:val="right"/>
        <w:rPr>
          <w:rFonts w:ascii="Times New Roman" w:hAnsi="Times New Roman"/>
          <w:sz w:val="28"/>
          <w:szCs w:val="28"/>
        </w:rPr>
      </w:pPr>
      <w:r>
        <w:rPr>
          <w:rFonts w:ascii="Times New Roman" w:hAnsi="Times New Roman"/>
          <w:sz w:val="28"/>
          <w:szCs w:val="28"/>
        </w:rPr>
        <w:t>Приложение 5</w:t>
      </w:r>
    </w:p>
    <w:p w:rsidR="00744D35" w:rsidRDefault="00744D35" w:rsidP="00744D35">
      <w:pPr>
        <w:tabs>
          <w:tab w:val="left" w:pos="1144"/>
        </w:tabs>
        <w:jc w:val="right"/>
        <w:rPr>
          <w:rFonts w:ascii="Times New Roman" w:hAnsi="Times New Roman"/>
          <w:sz w:val="28"/>
          <w:szCs w:val="28"/>
        </w:rPr>
      </w:pPr>
    </w:p>
    <w:p w:rsidR="00190255" w:rsidRDefault="00190255" w:rsidP="00190255">
      <w:pPr>
        <w:tabs>
          <w:tab w:val="left" w:pos="1144"/>
        </w:tabs>
        <w:rPr>
          <w:rFonts w:ascii="Times New Roman" w:hAnsi="Times New Roman"/>
          <w:sz w:val="28"/>
          <w:szCs w:val="28"/>
        </w:rPr>
      </w:pPr>
      <w:r>
        <w:rPr>
          <w:rFonts w:ascii="Times New Roman" w:hAnsi="Times New Roman"/>
          <w:sz w:val="28"/>
          <w:szCs w:val="28"/>
        </w:rPr>
        <w:tab/>
      </w:r>
      <w:r w:rsidR="00744D35">
        <w:rPr>
          <w:rFonts w:ascii="Times New Roman" w:hAnsi="Times New Roman"/>
          <w:noProof/>
          <w:sz w:val="28"/>
          <w:szCs w:val="28"/>
          <w:lang w:eastAsia="ru-RU"/>
        </w:rPr>
        <w:drawing>
          <wp:inline distT="0" distB="0" distL="0" distR="0" wp14:anchorId="7826A817" wp14:editId="7E0B66FF">
            <wp:extent cx="4974590" cy="2536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4590" cy="2536190"/>
                    </a:xfrm>
                    <a:prstGeom prst="rect">
                      <a:avLst/>
                    </a:prstGeom>
                    <a:noFill/>
                  </pic:spPr>
                </pic:pic>
              </a:graphicData>
            </a:graphic>
          </wp:inline>
        </w:drawing>
      </w:r>
    </w:p>
    <w:p w:rsidR="00744D35" w:rsidRDefault="00744D35" w:rsidP="00744D35">
      <w:pPr>
        <w:jc w:val="right"/>
        <w:rPr>
          <w:rFonts w:ascii="Times New Roman" w:hAnsi="Times New Roman"/>
          <w:sz w:val="28"/>
          <w:szCs w:val="28"/>
        </w:rPr>
      </w:pPr>
      <w:r>
        <w:rPr>
          <w:rFonts w:ascii="Times New Roman" w:hAnsi="Times New Roman"/>
          <w:sz w:val="28"/>
          <w:szCs w:val="28"/>
        </w:rPr>
        <w:t>Приложение 6</w:t>
      </w:r>
    </w:p>
    <w:p w:rsidR="00744D35" w:rsidRDefault="00744D35" w:rsidP="00744D35">
      <w:pPr>
        <w:jc w:val="right"/>
        <w:rPr>
          <w:rFonts w:ascii="Times New Roman" w:hAnsi="Times New Roman"/>
          <w:sz w:val="28"/>
          <w:szCs w:val="28"/>
        </w:rPr>
      </w:pPr>
    </w:p>
    <w:p w:rsidR="00190255" w:rsidRDefault="00744D35">
      <w:pPr>
        <w:rPr>
          <w:rFonts w:ascii="Times New Roman" w:hAnsi="Times New Roman"/>
          <w:sz w:val="28"/>
          <w:szCs w:val="28"/>
        </w:rPr>
      </w:pPr>
      <w:r>
        <w:rPr>
          <w:rFonts w:ascii="Times New Roman" w:hAnsi="Times New Roman"/>
          <w:noProof/>
          <w:sz w:val="28"/>
          <w:szCs w:val="28"/>
          <w:lang w:eastAsia="ru-RU"/>
        </w:rPr>
        <w:drawing>
          <wp:inline distT="0" distB="0" distL="0" distR="0" wp14:anchorId="167B5361" wp14:editId="143A64C4">
            <wp:extent cx="6474460" cy="162179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4460" cy="1621790"/>
                    </a:xfrm>
                    <a:prstGeom prst="rect">
                      <a:avLst/>
                    </a:prstGeom>
                    <a:noFill/>
                  </pic:spPr>
                </pic:pic>
              </a:graphicData>
            </a:graphic>
          </wp:inline>
        </w:drawing>
      </w:r>
      <w:r w:rsidR="00190255">
        <w:rPr>
          <w:rFonts w:ascii="Times New Roman" w:hAnsi="Times New Roman"/>
          <w:sz w:val="28"/>
          <w:szCs w:val="28"/>
        </w:rPr>
        <w:br w:type="page"/>
      </w:r>
    </w:p>
    <w:p w:rsidR="00190255" w:rsidRDefault="00190255" w:rsidP="00190255">
      <w:pPr>
        <w:tabs>
          <w:tab w:val="left" w:pos="1144"/>
        </w:tabs>
        <w:rPr>
          <w:rFonts w:ascii="Times New Roman" w:hAnsi="Times New Roman"/>
          <w:sz w:val="28"/>
          <w:szCs w:val="28"/>
        </w:rPr>
        <w:sectPr w:rsidR="00190255" w:rsidSect="00C1070F">
          <w:headerReference w:type="default" r:id="rId15"/>
          <w:footnotePr>
            <w:numRestart w:val="eachPage"/>
          </w:footnotePr>
          <w:pgSz w:w="11906" w:h="16838" w:code="9"/>
          <w:pgMar w:top="1134" w:right="851" w:bottom="1134" w:left="1418" w:header="709" w:footer="709" w:gutter="0"/>
          <w:pgNumType w:start="0"/>
          <w:cols w:space="708"/>
          <w:titlePg/>
          <w:docGrid w:linePitch="360"/>
        </w:sectPr>
      </w:pPr>
    </w:p>
    <w:p w:rsidR="008E3A88" w:rsidRDefault="00190255" w:rsidP="009B0319">
      <w:pPr>
        <w:tabs>
          <w:tab w:val="left" w:pos="1144"/>
        </w:tabs>
        <w:jc w:val="right"/>
        <w:rPr>
          <w:rFonts w:ascii="Times New Roman" w:hAnsi="Times New Roman"/>
        </w:rPr>
      </w:pPr>
      <w:r w:rsidRPr="009B0319">
        <w:rPr>
          <w:rFonts w:ascii="Times New Roman" w:hAnsi="Times New Roman"/>
          <w:noProof/>
          <w:sz w:val="28"/>
          <w:szCs w:val="28"/>
          <w:lang w:eastAsia="ru-RU"/>
        </w:rPr>
        <w:drawing>
          <wp:anchor distT="0" distB="0" distL="114300" distR="114300" simplePos="0" relativeHeight="251658240" behindDoc="0" locked="0" layoutInCell="1" allowOverlap="1" wp14:anchorId="1F387358" wp14:editId="53ADBD07">
            <wp:simplePos x="0" y="0"/>
            <wp:positionH relativeFrom="margin">
              <wp:posOffset>46355</wp:posOffset>
            </wp:positionH>
            <wp:positionV relativeFrom="margin">
              <wp:posOffset>516890</wp:posOffset>
            </wp:positionV>
            <wp:extent cx="9210040" cy="59137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0040" cy="591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19">
        <w:rPr>
          <w:rFonts w:ascii="Times New Roman" w:hAnsi="Times New Roman"/>
          <w:sz w:val="28"/>
          <w:szCs w:val="28"/>
        </w:rPr>
        <w:t xml:space="preserve">Приложение </w:t>
      </w:r>
      <w:r w:rsidR="009B0319">
        <w:rPr>
          <w:rFonts w:ascii="Times New Roman" w:hAnsi="Times New Roman"/>
          <w:sz w:val="28"/>
          <w:szCs w:val="28"/>
        </w:rPr>
        <w:t>7</w:t>
      </w: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BF4890" w:rsidRDefault="00BF4890">
      <w:pPr>
        <w:rPr>
          <w:rFonts w:ascii="Times New Roman" w:hAnsi="Times New Roman"/>
          <w:sz w:val="28"/>
          <w:szCs w:val="28"/>
        </w:rPr>
      </w:pPr>
    </w:p>
    <w:p w:rsidR="009B0319" w:rsidRDefault="008E3A88" w:rsidP="009B0319">
      <w:pPr>
        <w:jc w:val="right"/>
        <w:rPr>
          <w:rFonts w:ascii="Times New Roman" w:hAnsi="Times New Roman"/>
          <w:sz w:val="28"/>
          <w:szCs w:val="28"/>
        </w:rPr>
      </w:pPr>
      <w:r w:rsidRPr="009F0D54">
        <w:rPr>
          <w:rFonts w:ascii="Times New Roman" w:hAnsi="Times New Roman"/>
          <w:sz w:val="28"/>
          <w:szCs w:val="28"/>
        </w:rPr>
        <w:t>Приложение</w:t>
      </w:r>
      <w:r w:rsidR="0057364B">
        <w:rPr>
          <w:rFonts w:ascii="Times New Roman" w:hAnsi="Times New Roman"/>
          <w:sz w:val="28"/>
          <w:szCs w:val="28"/>
        </w:rPr>
        <w:t xml:space="preserve"> </w:t>
      </w:r>
      <w:r w:rsidR="009B0319">
        <w:rPr>
          <w:rFonts w:ascii="Times New Roman" w:hAnsi="Times New Roman"/>
          <w:sz w:val="28"/>
          <w:szCs w:val="28"/>
        </w:rPr>
        <w:t>8</w:t>
      </w:r>
    </w:p>
    <w:p w:rsidR="008E3A88" w:rsidRPr="009F0D54" w:rsidRDefault="0057364B">
      <w:pPr>
        <w:rPr>
          <w:rFonts w:ascii="Times New Roman" w:hAnsi="Times New Roman"/>
          <w:sz w:val="28"/>
          <w:szCs w:val="28"/>
        </w:rPr>
      </w:pPr>
      <w:r w:rsidRPr="0057364B">
        <w:rPr>
          <w:rFonts w:ascii="Times New Roman" w:hAnsi="Times New Roman"/>
          <w:b/>
          <w:sz w:val="28"/>
          <w:szCs w:val="28"/>
        </w:rPr>
        <w:t>Прогноз продаж компании по бизнес сегментам</w:t>
      </w:r>
    </w:p>
    <w:p w:rsidR="008E3A88" w:rsidRDefault="008E3A88">
      <w:pPr>
        <w:rPr>
          <w:rFonts w:ascii="Times New Roman" w:hAnsi="Times New Roman"/>
        </w:rPr>
      </w:pPr>
      <w:r w:rsidRPr="008E3A88">
        <w:rPr>
          <w:noProof/>
          <w:lang w:eastAsia="ru-RU"/>
        </w:rPr>
        <w:drawing>
          <wp:inline distT="0" distB="0" distL="0" distR="0" wp14:anchorId="4B398903" wp14:editId="794A1F43">
            <wp:extent cx="9720197" cy="4108537"/>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2049" cy="4109320"/>
                    </a:xfrm>
                    <a:prstGeom prst="rect">
                      <a:avLst/>
                    </a:prstGeom>
                    <a:noFill/>
                    <a:ln>
                      <a:noFill/>
                    </a:ln>
                  </pic:spPr>
                </pic:pic>
              </a:graphicData>
            </a:graphic>
          </wp:inline>
        </w:drawing>
      </w:r>
      <w:r w:rsidRPr="008E3A88">
        <w:t xml:space="preserve"> </w:t>
      </w:r>
      <w:r>
        <w:rPr>
          <w:rFonts w:ascii="Times New Roman" w:hAnsi="Times New Roman"/>
        </w:rPr>
        <w:br w:type="page"/>
      </w:r>
    </w:p>
    <w:p w:rsidR="009B0319" w:rsidRDefault="003C69F8" w:rsidP="009B0319">
      <w:pPr>
        <w:tabs>
          <w:tab w:val="left" w:pos="1144"/>
        </w:tabs>
        <w:jc w:val="right"/>
        <w:rPr>
          <w:rFonts w:ascii="Times New Roman" w:hAnsi="Times New Roman"/>
          <w:sz w:val="28"/>
          <w:szCs w:val="28"/>
        </w:rPr>
      </w:pPr>
      <w:r>
        <w:rPr>
          <w:rFonts w:ascii="Times New Roman" w:hAnsi="Times New Roman"/>
          <w:sz w:val="28"/>
          <w:szCs w:val="28"/>
        </w:rPr>
        <w:t xml:space="preserve">Приложение </w:t>
      </w:r>
      <w:r w:rsidR="009B0319">
        <w:rPr>
          <w:rFonts w:ascii="Times New Roman" w:hAnsi="Times New Roman"/>
          <w:sz w:val="28"/>
          <w:szCs w:val="28"/>
        </w:rPr>
        <w:t>9</w:t>
      </w:r>
    </w:p>
    <w:p w:rsidR="00190255" w:rsidRPr="003C69F8" w:rsidRDefault="003C69F8" w:rsidP="00190255">
      <w:pPr>
        <w:tabs>
          <w:tab w:val="left" w:pos="1144"/>
        </w:tabs>
        <w:rPr>
          <w:rFonts w:ascii="Times New Roman" w:hAnsi="Times New Roman"/>
          <w:sz w:val="28"/>
          <w:szCs w:val="28"/>
        </w:rPr>
      </w:pPr>
      <w:r w:rsidRPr="009F0D54">
        <w:rPr>
          <w:rFonts w:ascii="Times New Roman" w:hAnsi="Times New Roman"/>
          <w:b/>
          <w:sz w:val="28"/>
          <w:szCs w:val="28"/>
        </w:rPr>
        <w:t xml:space="preserve">Расчет стоимости собственного капитала компании </w:t>
      </w:r>
      <w:r w:rsidRPr="009F0D54">
        <w:rPr>
          <w:rFonts w:ascii="Times New Roman" w:hAnsi="Times New Roman"/>
          <w:b/>
          <w:sz w:val="28"/>
          <w:szCs w:val="28"/>
          <w:lang w:val="en-US"/>
        </w:rPr>
        <w:t>Heineken</w:t>
      </w:r>
      <w:r w:rsidRPr="009F0D54">
        <w:rPr>
          <w:rFonts w:ascii="Times New Roman" w:hAnsi="Times New Roman"/>
          <w:b/>
          <w:sz w:val="28"/>
          <w:szCs w:val="28"/>
        </w:rPr>
        <w:t xml:space="preserve"> </w:t>
      </w:r>
      <w:r w:rsidRPr="009F0D54">
        <w:rPr>
          <w:rFonts w:ascii="Times New Roman" w:hAnsi="Times New Roman"/>
          <w:b/>
          <w:sz w:val="28"/>
          <w:szCs w:val="28"/>
          <w:lang w:val="en-US"/>
        </w:rPr>
        <w:t>N</w:t>
      </w:r>
      <w:r w:rsidRPr="009F0D54">
        <w:rPr>
          <w:rFonts w:ascii="Times New Roman" w:hAnsi="Times New Roman"/>
          <w:b/>
          <w:sz w:val="28"/>
          <w:szCs w:val="28"/>
        </w:rPr>
        <w:t>.</w:t>
      </w:r>
      <w:r w:rsidRPr="009F0D54">
        <w:rPr>
          <w:rFonts w:ascii="Times New Roman" w:hAnsi="Times New Roman"/>
          <w:b/>
          <w:sz w:val="28"/>
          <w:szCs w:val="28"/>
          <w:lang w:val="en-US"/>
        </w:rPr>
        <w:t>V</w:t>
      </w:r>
      <w:r w:rsidRPr="009F0D54">
        <w:rPr>
          <w:rFonts w:ascii="Times New Roman" w:hAnsi="Times New Roman"/>
          <w:b/>
          <w:sz w:val="28"/>
          <w:szCs w:val="28"/>
        </w:rPr>
        <w:t>.</w:t>
      </w:r>
    </w:p>
    <w:p w:rsidR="003C69F8" w:rsidRDefault="00AB7454" w:rsidP="00190255">
      <w:pPr>
        <w:tabs>
          <w:tab w:val="left" w:pos="1144"/>
        </w:tabs>
        <w:rPr>
          <w:rFonts w:ascii="Times New Roman" w:hAnsi="Times New Roman"/>
          <w:sz w:val="28"/>
          <w:szCs w:val="28"/>
          <w:lang w:val="en-US"/>
        </w:rPr>
      </w:pPr>
      <w:r w:rsidRPr="00AB7454">
        <w:rPr>
          <w:noProof/>
          <w:lang w:eastAsia="ru-RU"/>
        </w:rPr>
        <w:drawing>
          <wp:inline distT="0" distB="0" distL="0" distR="0" wp14:anchorId="2B9E521D" wp14:editId="73C0F747">
            <wp:extent cx="4218569" cy="258183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0107" cy="2607257"/>
                    </a:xfrm>
                    <a:prstGeom prst="rect">
                      <a:avLst/>
                    </a:prstGeom>
                    <a:noFill/>
                    <a:ln>
                      <a:noFill/>
                    </a:ln>
                  </pic:spPr>
                </pic:pic>
              </a:graphicData>
            </a:graphic>
          </wp:inline>
        </w:drawing>
      </w:r>
    </w:p>
    <w:p w:rsidR="009B0319" w:rsidRDefault="00BF6D2E" w:rsidP="009B0319">
      <w:pPr>
        <w:tabs>
          <w:tab w:val="left" w:pos="1144"/>
        </w:tabs>
        <w:jc w:val="right"/>
        <w:rPr>
          <w:rFonts w:ascii="Times New Roman" w:hAnsi="Times New Roman"/>
          <w:sz w:val="28"/>
          <w:szCs w:val="28"/>
        </w:rPr>
      </w:pPr>
      <w:r>
        <w:rPr>
          <w:rFonts w:ascii="Times New Roman" w:hAnsi="Times New Roman"/>
          <w:sz w:val="28"/>
          <w:szCs w:val="28"/>
        </w:rPr>
        <w:t>Приложение</w:t>
      </w:r>
      <w:r w:rsidR="009B0319">
        <w:rPr>
          <w:rFonts w:ascii="Times New Roman" w:hAnsi="Times New Roman"/>
          <w:sz w:val="28"/>
          <w:szCs w:val="28"/>
        </w:rPr>
        <w:t xml:space="preserve"> 10</w:t>
      </w:r>
    </w:p>
    <w:p w:rsidR="003C69F8" w:rsidRPr="009B0319" w:rsidRDefault="00BF6D2E" w:rsidP="00190255">
      <w:pPr>
        <w:tabs>
          <w:tab w:val="left" w:pos="1144"/>
        </w:tabs>
        <w:rPr>
          <w:rFonts w:ascii="Times New Roman" w:hAnsi="Times New Roman"/>
          <w:b/>
          <w:sz w:val="28"/>
          <w:szCs w:val="28"/>
        </w:rPr>
      </w:pPr>
      <w:r>
        <w:rPr>
          <w:rFonts w:ascii="Times New Roman" w:hAnsi="Times New Roman"/>
          <w:sz w:val="28"/>
          <w:szCs w:val="28"/>
        </w:rPr>
        <w:t xml:space="preserve"> </w:t>
      </w:r>
      <w:r w:rsidRPr="009F0D54">
        <w:rPr>
          <w:rFonts w:ascii="Times New Roman" w:hAnsi="Times New Roman"/>
          <w:b/>
          <w:sz w:val="28"/>
          <w:szCs w:val="28"/>
        </w:rPr>
        <w:t xml:space="preserve">Расчет стоимости заемного капитала компании </w:t>
      </w:r>
      <w:r w:rsidRPr="009F0D54">
        <w:rPr>
          <w:rFonts w:ascii="Times New Roman" w:hAnsi="Times New Roman"/>
          <w:b/>
          <w:sz w:val="28"/>
          <w:szCs w:val="28"/>
          <w:lang w:val="en-US"/>
        </w:rPr>
        <w:t>Heineken</w:t>
      </w:r>
      <w:r w:rsidRPr="009F0D54">
        <w:rPr>
          <w:rFonts w:ascii="Times New Roman" w:hAnsi="Times New Roman"/>
          <w:b/>
          <w:sz w:val="28"/>
          <w:szCs w:val="28"/>
        </w:rPr>
        <w:t xml:space="preserve"> </w:t>
      </w:r>
      <w:r w:rsidRPr="009F0D54">
        <w:rPr>
          <w:rFonts w:ascii="Times New Roman" w:hAnsi="Times New Roman"/>
          <w:b/>
          <w:sz w:val="28"/>
          <w:szCs w:val="28"/>
          <w:lang w:val="en-US"/>
        </w:rPr>
        <w:t>N</w:t>
      </w:r>
      <w:r w:rsidRPr="009F0D54">
        <w:rPr>
          <w:rFonts w:ascii="Times New Roman" w:hAnsi="Times New Roman"/>
          <w:b/>
          <w:sz w:val="28"/>
          <w:szCs w:val="28"/>
        </w:rPr>
        <w:t>.</w:t>
      </w:r>
      <w:r w:rsidRPr="009F0D54">
        <w:rPr>
          <w:rFonts w:ascii="Times New Roman" w:hAnsi="Times New Roman"/>
          <w:b/>
          <w:sz w:val="28"/>
          <w:szCs w:val="28"/>
          <w:lang w:val="en-US"/>
        </w:rPr>
        <w:t>V</w:t>
      </w:r>
      <w:r w:rsidRPr="009F0D54">
        <w:rPr>
          <w:rFonts w:ascii="Times New Roman" w:hAnsi="Times New Roman"/>
          <w:b/>
          <w:sz w:val="28"/>
          <w:szCs w:val="28"/>
        </w:rPr>
        <w:t>.</w:t>
      </w:r>
    </w:p>
    <w:p w:rsidR="00A91D78" w:rsidRDefault="009A5308" w:rsidP="00190255">
      <w:pPr>
        <w:tabs>
          <w:tab w:val="left" w:pos="1144"/>
        </w:tabs>
        <w:rPr>
          <w:rFonts w:ascii="Times New Roman" w:hAnsi="Times New Roman"/>
          <w:sz w:val="28"/>
          <w:szCs w:val="28"/>
        </w:rPr>
      </w:pPr>
      <w:r w:rsidRPr="009A5308">
        <w:rPr>
          <w:noProof/>
          <w:lang w:eastAsia="ru-RU"/>
        </w:rPr>
        <w:drawing>
          <wp:inline distT="0" distB="0" distL="0" distR="0" wp14:anchorId="4CDB4957" wp14:editId="139973B0">
            <wp:extent cx="4262718" cy="1957682"/>
            <wp:effectExtent l="0" t="0" r="508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1225" cy="1961589"/>
                    </a:xfrm>
                    <a:prstGeom prst="rect">
                      <a:avLst/>
                    </a:prstGeom>
                    <a:noFill/>
                    <a:ln>
                      <a:noFill/>
                    </a:ln>
                  </pic:spPr>
                </pic:pic>
              </a:graphicData>
            </a:graphic>
          </wp:inline>
        </w:drawing>
      </w:r>
    </w:p>
    <w:p w:rsidR="009B0319" w:rsidRDefault="00A91D78" w:rsidP="009B0319">
      <w:pPr>
        <w:jc w:val="right"/>
        <w:rPr>
          <w:rFonts w:ascii="Times New Roman" w:hAnsi="Times New Roman"/>
          <w:sz w:val="28"/>
          <w:szCs w:val="28"/>
        </w:rPr>
      </w:pPr>
      <w:r>
        <w:rPr>
          <w:rFonts w:ascii="Times New Roman" w:hAnsi="Times New Roman"/>
          <w:sz w:val="28"/>
          <w:szCs w:val="28"/>
        </w:rPr>
        <w:br w:type="page"/>
      </w:r>
      <w:r w:rsidR="002957B9">
        <w:rPr>
          <w:rFonts w:ascii="Times New Roman" w:hAnsi="Times New Roman"/>
          <w:sz w:val="28"/>
          <w:szCs w:val="28"/>
        </w:rPr>
        <w:t xml:space="preserve">Приложение </w:t>
      </w:r>
      <w:r w:rsidR="009B0319">
        <w:rPr>
          <w:rFonts w:ascii="Times New Roman" w:hAnsi="Times New Roman"/>
          <w:sz w:val="28"/>
          <w:szCs w:val="28"/>
        </w:rPr>
        <w:t>11</w:t>
      </w:r>
    </w:p>
    <w:p w:rsidR="003C69F8" w:rsidRDefault="002957B9" w:rsidP="00190255">
      <w:pPr>
        <w:tabs>
          <w:tab w:val="left" w:pos="1144"/>
        </w:tabs>
        <w:rPr>
          <w:rFonts w:ascii="Times New Roman" w:hAnsi="Times New Roman"/>
          <w:sz w:val="28"/>
          <w:szCs w:val="28"/>
        </w:rPr>
      </w:pPr>
      <w:r w:rsidRPr="009F0D54">
        <w:rPr>
          <w:rFonts w:ascii="Times New Roman" w:hAnsi="Times New Roman"/>
          <w:b/>
          <w:sz w:val="28"/>
          <w:szCs w:val="28"/>
        </w:rPr>
        <w:t>Модель ДДП</w:t>
      </w:r>
    </w:p>
    <w:p w:rsidR="002957B9" w:rsidRDefault="009F0D54" w:rsidP="00190255">
      <w:pPr>
        <w:tabs>
          <w:tab w:val="left" w:pos="1144"/>
        </w:tabs>
        <w:rPr>
          <w:rFonts w:ascii="Times New Roman" w:hAnsi="Times New Roman"/>
          <w:sz w:val="28"/>
          <w:szCs w:val="28"/>
        </w:rPr>
      </w:pPr>
      <w:r w:rsidRPr="009F0D54">
        <w:rPr>
          <w:noProof/>
          <w:lang w:eastAsia="ru-RU"/>
        </w:rPr>
        <w:drawing>
          <wp:inline distT="0" distB="0" distL="0" distR="0" wp14:anchorId="00F7DBB1" wp14:editId="3FB3C3FB">
            <wp:extent cx="8746435" cy="5290363"/>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57735" cy="5297198"/>
                    </a:xfrm>
                    <a:prstGeom prst="rect">
                      <a:avLst/>
                    </a:prstGeom>
                    <a:noFill/>
                    <a:ln>
                      <a:noFill/>
                    </a:ln>
                  </pic:spPr>
                </pic:pic>
              </a:graphicData>
            </a:graphic>
          </wp:inline>
        </w:drawing>
      </w:r>
    </w:p>
    <w:p w:rsidR="009B0319" w:rsidRDefault="00F625B3" w:rsidP="009B0319">
      <w:pPr>
        <w:tabs>
          <w:tab w:val="left" w:pos="1144"/>
        </w:tabs>
        <w:jc w:val="right"/>
        <w:rPr>
          <w:rFonts w:ascii="Times New Roman" w:hAnsi="Times New Roman"/>
          <w:sz w:val="28"/>
          <w:szCs w:val="28"/>
        </w:rPr>
      </w:pPr>
      <w:r>
        <w:rPr>
          <w:rFonts w:ascii="Times New Roman" w:hAnsi="Times New Roman"/>
          <w:sz w:val="28"/>
          <w:szCs w:val="28"/>
        </w:rPr>
        <w:t xml:space="preserve">Приложение </w:t>
      </w:r>
      <w:r w:rsidR="009B0319">
        <w:rPr>
          <w:rFonts w:ascii="Times New Roman" w:hAnsi="Times New Roman"/>
          <w:sz w:val="28"/>
          <w:szCs w:val="28"/>
        </w:rPr>
        <w:t>12</w:t>
      </w:r>
    </w:p>
    <w:p w:rsidR="00F625B3" w:rsidRDefault="00F625B3" w:rsidP="00190255">
      <w:pPr>
        <w:tabs>
          <w:tab w:val="left" w:pos="1144"/>
        </w:tabs>
        <w:rPr>
          <w:rFonts w:ascii="Times New Roman" w:hAnsi="Times New Roman"/>
          <w:b/>
          <w:sz w:val="28"/>
          <w:szCs w:val="28"/>
        </w:rPr>
      </w:pPr>
      <w:r w:rsidRPr="00F625B3">
        <w:rPr>
          <w:rFonts w:ascii="Times New Roman" w:hAnsi="Times New Roman"/>
          <w:b/>
          <w:sz w:val="28"/>
          <w:szCs w:val="28"/>
        </w:rPr>
        <w:t xml:space="preserve">Расчет </w:t>
      </w:r>
      <w:r w:rsidR="00645B5B">
        <w:rPr>
          <w:rFonts w:ascii="Times New Roman" w:hAnsi="Times New Roman"/>
          <w:b/>
          <w:sz w:val="28"/>
          <w:szCs w:val="28"/>
        </w:rPr>
        <w:t xml:space="preserve">основных средств, нематериальных активов и </w:t>
      </w:r>
      <w:r w:rsidRPr="00F625B3">
        <w:rPr>
          <w:rFonts w:ascii="Times New Roman" w:hAnsi="Times New Roman"/>
          <w:b/>
          <w:sz w:val="28"/>
          <w:szCs w:val="28"/>
        </w:rPr>
        <w:t>рабочего капитала компании</w:t>
      </w:r>
    </w:p>
    <w:p w:rsidR="00B033BE" w:rsidRDefault="00F625B3" w:rsidP="00190255">
      <w:pPr>
        <w:tabs>
          <w:tab w:val="left" w:pos="1144"/>
        </w:tabs>
        <w:rPr>
          <w:rFonts w:ascii="Times New Roman" w:hAnsi="Times New Roman"/>
          <w:sz w:val="28"/>
          <w:szCs w:val="28"/>
        </w:rPr>
      </w:pPr>
      <w:r w:rsidRPr="00F625B3">
        <w:rPr>
          <w:noProof/>
          <w:lang w:eastAsia="ru-RU"/>
        </w:rPr>
        <w:drawing>
          <wp:inline distT="0" distB="0" distL="0" distR="0" wp14:anchorId="6E72543E" wp14:editId="3316AE95">
            <wp:extent cx="9805981" cy="4972832"/>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06466" cy="4973078"/>
                    </a:xfrm>
                    <a:prstGeom prst="rect">
                      <a:avLst/>
                    </a:prstGeom>
                    <a:noFill/>
                    <a:ln>
                      <a:noFill/>
                    </a:ln>
                  </pic:spPr>
                </pic:pic>
              </a:graphicData>
            </a:graphic>
          </wp:inline>
        </w:drawing>
      </w:r>
    </w:p>
    <w:p w:rsidR="00B033BE" w:rsidRDefault="00B033BE">
      <w:pPr>
        <w:rPr>
          <w:rFonts w:ascii="Times New Roman" w:hAnsi="Times New Roman"/>
          <w:sz w:val="28"/>
          <w:szCs w:val="28"/>
        </w:rPr>
      </w:pPr>
      <w:r>
        <w:rPr>
          <w:rFonts w:ascii="Times New Roman" w:hAnsi="Times New Roman"/>
          <w:sz w:val="28"/>
          <w:szCs w:val="28"/>
        </w:rPr>
        <w:br w:type="page"/>
      </w:r>
    </w:p>
    <w:p w:rsidR="00F625B3" w:rsidRDefault="00B033BE" w:rsidP="00B033BE">
      <w:pPr>
        <w:tabs>
          <w:tab w:val="left" w:pos="1144"/>
        </w:tabs>
        <w:jc w:val="right"/>
        <w:rPr>
          <w:rFonts w:ascii="Times New Roman" w:hAnsi="Times New Roman"/>
          <w:sz w:val="28"/>
          <w:szCs w:val="28"/>
        </w:rPr>
      </w:pPr>
      <w:r>
        <w:rPr>
          <w:rFonts w:ascii="Times New Roman" w:hAnsi="Times New Roman"/>
          <w:sz w:val="28"/>
          <w:szCs w:val="28"/>
        </w:rPr>
        <w:t>Приложение 13</w:t>
      </w:r>
    </w:p>
    <w:p w:rsidR="00B033BE" w:rsidRDefault="00B033BE" w:rsidP="00B033BE">
      <w:pPr>
        <w:tabs>
          <w:tab w:val="left" w:pos="1144"/>
        </w:tabs>
        <w:rPr>
          <w:rFonts w:ascii="Times New Roman" w:hAnsi="Times New Roman"/>
          <w:b/>
          <w:sz w:val="28"/>
          <w:szCs w:val="28"/>
        </w:rPr>
      </w:pPr>
      <w:r w:rsidRPr="00B033BE">
        <w:rPr>
          <w:rFonts w:ascii="Times New Roman" w:hAnsi="Times New Roman"/>
          <w:b/>
          <w:sz w:val="28"/>
          <w:szCs w:val="28"/>
        </w:rPr>
        <w:t xml:space="preserve">Футбольное поле оценки стоимости компании </w:t>
      </w:r>
      <w:r w:rsidRPr="00B033BE">
        <w:rPr>
          <w:rFonts w:ascii="Times New Roman" w:hAnsi="Times New Roman"/>
          <w:b/>
          <w:sz w:val="28"/>
          <w:szCs w:val="28"/>
          <w:lang w:val="en-US"/>
        </w:rPr>
        <w:t>Heineken</w:t>
      </w:r>
      <w:r w:rsidRPr="00B033BE">
        <w:rPr>
          <w:rFonts w:ascii="Times New Roman" w:hAnsi="Times New Roman"/>
          <w:b/>
          <w:sz w:val="28"/>
          <w:szCs w:val="28"/>
        </w:rPr>
        <w:t xml:space="preserve"> </w:t>
      </w:r>
      <w:r w:rsidRPr="00B033BE">
        <w:rPr>
          <w:rFonts w:ascii="Times New Roman" w:hAnsi="Times New Roman"/>
          <w:b/>
          <w:sz w:val="28"/>
          <w:szCs w:val="28"/>
          <w:lang w:val="en-US"/>
        </w:rPr>
        <w:t>N</w:t>
      </w:r>
      <w:r w:rsidRPr="00B033BE">
        <w:rPr>
          <w:rFonts w:ascii="Times New Roman" w:hAnsi="Times New Roman"/>
          <w:b/>
          <w:sz w:val="28"/>
          <w:szCs w:val="28"/>
        </w:rPr>
        <w:t>.</w:t>
      </w:r>
      <w:r w:rsidRPr="00B033BE">
        <w:rPr>
          <w:rFonts w:ascii="Times New Roman" w:hAnsi="Times New Roman"/>
          <w:b/>
          <w:sz w:val="28"/>
          <w:szCs w:val="28"/>
          <w:lang w:val="en-US"/>
        </w:rPr>
        <w:t>V</w:t>
      </w:r>
      <w:r w:rsidRPr="00B033BE">
        <w:rPr>
          <w:rFonts w:ascii="Times New Roman" w:hAnsi="Times New Roman"/>
          <w:b/>
          <w:sz w:val="28"/>
          <w:szCs w:val="28"/>
        </w:rPr>
        <w:t>.</w:t>
      </w:r>
    </w:p>
    <w:p w:rsidR="00E41D92" w:rsidRPr="00B033BE" w:rsidRDefault="00E41D92" w:rsidP="00B033BE">
      <w:pPr>
        <w:tabs>
          <w:tab w:val="left" w:pos="1144"/>
        </w:tabs>
        <w:rPr>
          <w:rFonts w:ascii="Times New Roman" w:hAnsi="Times New Roman"/>
          <w:b/>
          <w:sz w:val="28"/>
          <w:szCs w:val="28"/>
        </w:rPr>
      </w:pPr>
      <w:r w:rsidRPr="00635453">
        <w:rPr>
          <w:rFonts w:ascii="Times New Roman" w:hAnsi="Times New Roman"/>
          <w:noProof/>
          <w:sz w:val="24"/>
          <w:szCs w:val="24"/>
          <w:lang w:eastAsia="ru-RU"/>
        </w:rPr>
        <w:drawing>
          <wp:inline distT="0" distB="0" distL="0" distR="0" wp14:anchorId="10F7DF92" wp14:editId="1048A6CE">
            <wp:extent cx="5533451" cy="3260992"/>
            <wp:effectExtent l="19050" t="0" r="10099"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E41D92" w:rsidRPr="00B033BE" w:rsidSect="008E3A88">
      <w:footnotePr>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7D" w:rsidRDefault="0006637D" w:rsidP="000872B3">
      <w:pPr>
        <w:spacing w:after="0" w:line="240" w:lineRule="auto"/>
      </w:pPr>
      <w:r>
        <w:separator/>
      </w:r>
    </w:p>
  </w:endnote>
  <w:endnote w:type="continuationSeparator" w:id="0">
    <w:p w:rsidR="0006637D" w:rsidRDefault="0006637D" w:rsidP="0008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7D" w:rsidRDefault="0006637D" w:rsidP="000872B3">
      <w:pPr>
        <w:spacing w:after="0" w:line="240" w:lineRule="auto"/>
      </w:pPr>
      <w:r>
        <w:separator/>
      </w:r>
    </w:p>
  </w:footnote>
  <w:footnote w:type="continuationSeparator" w:id="0">
    <w:p w:rsidR="0006637D" w:rsidRDefault="0006637D" w:rsidP="000872B3">
      <w:pPr>
        <w:spacing w:after="0" w:line="240" w:lineRule="auto"/>
      </w:pPr>
      <w:r>
        <w:continuationSeparator/>
      </w:r>
    </w:p>
  </w:footnote>
  <w:footnote w:id="1">
    <w:p w:rsidR="0006637D" w:rsidRPr="009E0843" w:rsidRDefault="0006637D" w:rsidP="000872B3">
      <w:pPr>
        <w:pStyle w:val="a3"/>
        <w:rPr>
          <w:rFonts w:ascii="Times New Roman" w:hAnsi="Times New Roman"/>
          <w:lang w:val="en-US"/>
        </w:rPr>
      </w:pPr>
      <w:r w:rsidRPr="009E0843">
        <w:rPr>
          <w:rStyle w:val="a5"/>
          <w:rFonts w:ascii="Times New Roman" w:hAnsi="Times New Roman"/>
        </w:rPr>
        <w:footnoteRef/>
      </w:r>
      <w:r w:rsidRPr="00AE352B">
        <w:rPr>
          <w:rFonts w:ascii="Times New Roman" w:hAnsi="Times New Roman"/>
          <w:lang w:val="en-US"/>
        </w:rPr>
        <w:t xml:space="preserve"> </w:t>
      </w:r>
      <w:r w:rsidRPr="009E0843">
        <w:rPr>
          <w:rFonts w:ascii="Times New Roman" w:hAnsi="Times New Roman"/>
          <w:lang w:val="en-US"/>
        </w:rPr>
        <w:t>Damodaran</w:t>
      </w:r>
      <w:r w:rsidRPr="00AE352B">
        <w:rPr>
          <w:rFonts w:ascii="Times New Roman" w:hAnsi="Times New Roman"/>
          <w:lang w:val="en-US"/>
        </w:rPr>
        <w:t xml:space="preserve">, </w:t>
      </w:r>
      <w:r w:rsidRPr="009E0843">
        <w:rPr>
          <w:rFonts w:ascii="Times New Roman" w:hAnsi="Times New Roman"/>
          <w:lang w:val="en-US"/>
        </w:rPr>
        <w:t>A</w:t>
      </w:r>
      <w:r w:rsidRPr="00AE352B">
        <w:rPr>
          <w:rFonts w:ascii="Times New Roman" w:hAnsi="Times New Roman"/>
          <w:lang w:val="en-US"/>
        </w:rPr>
        <w:t xml:space="preserve">. (2005, </w:t>
      </w:r>
      <w:r w:rsidRPr="009E0843">
        <w:rPr>
          <w:rFonts w:ascii="Times New Roman" w:hAnsi="Times New Roman"/>
          <w:lang w:val="en-US"/>
        </w:rPr>
        <w:t>October</w:t>
      </w:r>
      <w:r w:rsidRPr="00AE352B">
        <w:rPr>
          <w:rFonts w:ascii="Times New Roman" w:hAnsi="Times New Roman"/>
          <w:lang w:val="en-US"/>
        </w:rPr>
        <w:t xml:space="preserve">). </w:t>
      </w:r>
      <w:proofErr w:type="gramStart"/>
      <w:r w:rsidRPr="009E0843">
        <w:rPr>
          <w:rFonts w:ascii="Times New Roman" w:hAnsi="Times New Roman"/>
          <w:lang w:val="en-US"/>
        </w:rPr>
        <w:t>The value of synergy.</w:t>
      </w:r>
      <w:proofErr w:type="gramEnd"/>
      <w:r w:rsidRPr="009E0843">
        <w:rPr>
          <w:rFonts w:ascii="Times New Roman" w:hAnsi="Times New Roman"/>
          <w:lang w:val="en-US"/>
        </w:rPr>
        <w:t xml:space="preserve"> In NYU Stern School of business</w:t>
      </w:r>
    </w:p>
  </w:footnote>
  <w:footnote w:id="2">
    <w:p w:rsidR="0006637D" w:rsidRPr="0036536A" w:rsidRDefault="0006637D">
      <w:pPr>
        <w:pStyle w:val="a3"/>
        <w:rPr>
          <w:rFonts w:ascii="Times New Roman" w:hAnsi="Times New Roman"/>
        </w:rPr>
      </w:pPr>
      <w:r w:rsidRPr="0036536A">
        <w:rPr>
          <w:rStyle w:val="a5"/>
          <w:rFonts w:ascii="Times New Roman" w:hAnsi="Times New Roman"/>
        </w:rPr>
        <w:footnoteRef/>
      </w:r>
      <w:r w:rsidRPr="00DE7762">
        <w:rPr>
          <w:rFonts w:ascii="Times New Roman" w:hAnsi="Times New Roman"/>
        </w:rPr>
        <w:t xml:space="preserve"> </w:t>
      </w:r>
      <w:r w:rsidRPr="0036536A">
        <w:rPr>
          <w:rFonts w:ascii="Times New Roman" w:hAnsi="Times New Roman"/>
        </w:rPr>
        <w:t>Р</w:t>
      </w:r>
      <w:r w:rsidRPr="00DE7762">
        <w:rPr>
          <w:rFonts w:ascii="Times New Roman" w:hAnsi="Times New Roman"/>
        </w:rPr>
        <w:t xml:space="preserve">. </w:t>
      </w:r>
      <w:proofErr w:type="spellStart"/>
      <w:r w:rsidRPr="0036536A">
        <w:rPr>
          <w:rFonts w:ascii="Times New Roman" w:hAnsi="Times New Roman"/>
        </w:rPr>
        <w:t>Брейли</w:t>
      </w:r>
      <w:proofErr w:type="spellEnd"/>
      <w:r w:rsidRPr="00DE7762">
        <w:rPr>
          <w:rFonts w:ascii="Times New Roman" w:hAnsi="Times New Roman"/>
        </w:rPr>
        <w:t xml:space="preserve">, </w:t>
      </w:r>
      <w:r w:rsidRPr="0036536A">
        <w:rPr>
          <w:rFonts w:ascii="Times New Roman" w:hAnsi="Times New Roman"/>
        </w:rPr>
        <w:t>С</w:t>
      </w:r>
      <w:r w:rsidRPr="00DE7762">
        <w:rPr>
          <w:rFonts w:ascii="Times New Roman" w:hAnsi="Times New Roman"/>
        </w:rPr>
        <w:t xml:space="preserve">. </w:t>
      </w:r>
      <w:r w:rsidRPr="0036536A">
        <w:rPr>
          <w:rFonts w:ascii="Times New Roman" w:hAnsi="Times New Roman"/>
        </w:rPr>
        <w:t>Майерс</w:t>
      </w:r>
      <w:r w:rsidRPr="00DE7762">
        <w:rPr>
          <w:rFonts w:ascii="Times New Roman" w:hAnsi="Times New Roman"/>
        </w:rPr>
        <w:t xml:space="preserve">. </w:t>
      </w:r>
      <w:r w:rsidRPr="0036536A">
        <w:rPr>
          <w:rFonts w:ascii="Times New Roman" w:hAnsi="Times New Roman"/>
        </w:rPr>
        <w:t>Принципы</w:t>
      </w:r>
      <w:r w:rsidRPr="00DE7762">
        <w:rPr>
          <w:rFonts w:ascii="Times New Roman" w:hAnsi="Times New Roman"/>
        </w:rPr>
        <w:t xml:space="preserve"> </w:t>
      </w:r>
      <w:r w:rsidRPr="0036536A">
        <w:rPr>
          <w:rFonts w:ascii="Times New Roman" w:hAnsi="Times New Roman"/>
        </w:rPr>
        <w:t>корпоративных</w:t>
      </w:r>
      <w:r w:rsidRPr="00DE7762">
        <w:rPr>
          <w:rFonts w:ascii="Times New Roman" w:hAnsi="Times New Roman"/>
        </w:rPr>
        <w:t xml:space="preserve"> </w:t>
      </w:r>
      <w:r w:rsidRPr="0036536A">
        <w:rPr>
          <w:rFonts w:ascii="Times New Roman" w:hAnsi="Times New Roman"/>
        </w:rPr>
        <w:t>финансов</w:t>
      </w:r>
      <w:r w:rsidRPr="00DE7762">
        <w:rPr>
          <w:rFonts w:ascii="Times New Roman" w:hAnsi="Times New Roman"/>
        </w:rPr>
        <w:t xml:space="preserve">: </w:t>
      </w:r>
      <w:r w:rsidRPr="0036536A">
        <w:rPr>
          <w:rFonts w:ascii="Times New Roman" w:hAnsi="Times New Roman"/>
        </w:rPr>
        <w:t>Б</w:t>
      </w:r>
      <w:r w:rsidRPr="00DE7762">
        <w:rPr>
          <w:rFonts w:ascii="Times New Roman" w:hAnsi="Times New Roman"/>
        </w:rPr>
        <w:t xml:space="preserve"> 87</w:t>
      </w:r>
      <w:proofErr w:type="gramStart"/>
      <w:r w:rsidRPr="00DE7762">
        <w:rPr>
          <w:rFonts w:ascii="Times New Roman" w:hAnsi="Times New Roman"/>
        </w:rPr>
        <w:t xml:space="preserve"> </w:t>
      </w:r>
      <w:r w:rsidRPr="0036536A">
        <w:rPr>
          <w:rFonts w:ascii="Times New Roman" w:hAnsi="Times New Roman"/>
        </w:rPr>
        <w:t>П</w:t>
      </w:r>
      <w:proofErr w:type="gramEnd"/>
      <w:r w:rsidRPr="0036536A">
        <w:rPr>
          <w:rFonts w:ascii="Times New Roman" w:hAnsi="Times New Roman"/>
        </w:rPr>
        <w:t>ер</w:t>
      </w:r>
      <w:r w:rsidRPr="00DE7762">
        <w:rPr>
          <w:rFonts w:ascii="Times New Roman" w:hAnsi="Times New Roman"/>
        </w:rPr>
        <w:t xml:space="preserve">. </w:t>
      </w:r>
      <w:r w:rsidRPr="0036536A">
        <w:rPr>
          <w:rFonts w:ascii="Times New Roman" w:hAnsi="Times New Roman"/>
        </w:rPr>
        <w:t xml:space="preserve">С англ. – М.: ЗАО «Олимп Бизнес», </w:t>
      </w:r>
      <w:r>
        <w:rPr>
          <w:rFonts w:ascii="Times New Roman" w:hAnsi="Times New Roman"/>
        </w:rPr>
        <w:t>2008</w:t>
      </w:r>
      <w:r w:rsidRPr="0036536A">
        <w:rPr>
          <w:rFonts w:ascii="Times New Roman" w:hAnsi="Times New Roman"/>
        </w:rPr>
        <w:t>, стр. 904-905</w:t>
      </w:r>
    </w:p>
  </w:footnote>
  <w:footnote w:id="3">
    <w:p w:rsidR="0006637D" w:rsidRPr="009E0843" w:rsidRDefault="0006637D">
      <w:pPr>
        <w:pStyle w:val="a3"/>
        <w:rPr>
          <w:rFonts w:ascii="Times New Roman" w:hAnsi="Times New Roman"/>
          <w:lang w:val="en-US"/>
        </w:rPr>
      </w:pPr>
      <w:r w:rsidRPr="009E0843">
        <w:rPr>
          <w:rStyle w:val="a5"/>
          <w:rFonts w:ascii="Times New Roman" w:hAnsi="Times New Roman"/>
        </w:rPr>
        <w:footnoteRef/>
      </w:r>
      <w:r w:rsidRPr="009E0843">
        <w:rPr>
          <w:rFonts w:ascii="Times New Roman" w:hAnsi="Times New Roman"/>
        </w:rPr>
        <w:t xml:space="preserve"> Р. </w:t>
      </w:r>
      <w:proofErr w:type="spellStart"/>
      <w:r w:rsidRPr="009E0843">
        <w:rPr>
          <w:rFonts w:ascii="Times New Roman" w:hAnsi="Times New Roman"/>
        </w:rPr>
        <w:t>Брейли</w:t>
      </w:r>
      <w:proofErr w:type="spellEnd"/>
      <w:r w:rsidRPr="009E0843">
        <w:rPr>
          <w:rFonts w:ascii="Times New Roman" w:hAnsi="Times New Roman"/>
        </w:rPr>
        <w:t>, С. Майерс. Принципы корпоративных финансов: Б 87</w:t>
      </w:r>
      <w:proofErr w:type="gramStart"/>
      <w:r w:rsidRPr="009E0843">
        <w:rPr>
          <w:rFonts w:ascii="Times New Roman" w:hAnsi="Times New Roman"/>
        </w:rPr>
        <w:t xml:space="preserve"> П</w:t>
      </w:r>
      <w:proofErr w:type="gramEnd"/>
      <w:r w:rsidRPr="009E0843">
        <w:rPr>
          <w:rFonts w:ascii="Times New Roman" w:hAnsi="Times New Roman"/>
        </w:rPr>
        <w:t>ер. С</w:t>
      </w:r>
      <w:r w:rsidRPr="009E0843">
        <w:rPr>
          <w:rFonts w:ascii="Times New Roman" w:hAnsi="Times New Roman"/>
          <w:lang w:val="en-US"/>
        </w:rPr>
        <w:t xml:space="preserve"> </w:t>
      </w:r>
      <w:proofErr w:type="spellStart"/>
      <w:r w:rsidRPr="009E0843">
        <w:rPr>
          <w:rFonts w:ascii="Times New Roman" w:hAnsi="Times New Roman"/>
        </w:rPr>
        <w:t>англ</w:t>
      </w:r>
      <w:proofErr w:type="spellEnd"/>
      <w:r w:rsidRPr="009E0843">
        <w:rPr>
          <w:rFonts w:ascii="Times New Roman" w:hAnsi="Times New Roman"/>
          <w:lang w:val="en-US"/>
        </w:rPr>
        <w:t xml:space="preserve">. – </w:t>
      </w:r>
      <w:r w:rsidRPr="009E0843">
        <w:rPr>
          <w:rFonts w:ascii="Times New Roman" w:hAnsi="Times New Roman"/>
        </w:rPr>
        <w:t>М</w:t>
      </w:r>
      <w:r w:rsidRPr="009E0843">
        <w:rPr>
          <w:rFonts w:ascii="Times New Roman" w:hAnsi="Times New Roman"/>
          <w:lang w:val="en-US"/>
        </w:rPr>
        <w:t xml:space="preserve">.: </w:t>
      </w:r>
      <w:r w:rsidRPr="009E0843">
        <w:rPr>
          <w:rFonts w:ascii="Times New Roman" w:hAnsi="Times New Roman"/>
        </w:rPr>
        <w:t>ЗАО</w:t>
      </w:r>
      <w:r w:rsidRPr="009E0843">
        <w:rPr>
          <w:rFonts w:ascii="Times New Roman" w:hAnsi="Times New Roman"/>
          <w:lang w:val="en-US"/>
        </w:rPr>
        <w:t xml:space="preserve"> «</w:t>
      </w:r>
      <w:r w:rsidRPr="009E0843">
        <w:rPr>
          <w:rFonts w:ascii="Times New Roman" w:hAnsi="Times New Roman"/>
        </w:rPr>
        <w:t>Олимп</w:t>
      </w:r>
      <w:r w:rsidRPr="009E0843">
        <w:rPr>
          <w:rFonts w:ascii="Times New Roman" w:hAnsi="Times New Roman"/>
          <w:lang w:val="en-US"/>
        </w:rPr>
        <w:t xml:space="preserve"> </w:t>
      </w:r>
      <w:r w:rsidRPr="009E0843">
        <w:rPr>
          <w:rFonts w:ascii="Times New Roman" w:hAnsi="Times New Roman"/>
        </w:rPr>
        <w:t>Бизнес</w:t>
      </w:r>
      <w:r w:rsidRPr="009E0843">
        <w:rPr>
          <w:rFonts w:ascii="Times New Roman" w:hAnsi="Times New Roman"/>
          <w:lang w:val="en-US"/>
        </w:rPr>
        <w:t xml:space="preserve">», 2008, </w:t>
      </w:r>
      <w:proofErr w:type="spellStart"/>
      <w:r w:rsidRPr="009E0843">
        <w:rPr>
          <w:rFonts w:ascii="Times New Roman" w:hAnsi="Times New Roman"/>
        </w:rPr>
        <w:t>стр</w:t>
      </w:r>
      <w:proofErr w:type="spellEnd"/>
      <w:r w:rsidRPr="009E0843">
        <w:rPr>
          <w:rFonts w:ascii="Times New Roman" w:hAnsi="Times New Roman"/>
          <w:lang w:val="en-US"/>
        </w:rPr>
        <w:t>. 906-908</w:t>
      </w:r>
    </w:p>
  </w:footnote>
  <w:footnote w:id="4">
    <w:p w:rsidR="0006637D" w:rsidRPr="00B773C8" w:rsidRDefault="0006637D" w:rsidP="000872B3">
      <w:pPr>
        <w:pStyle w:val="a3"/>
        <w:rPr>
          <w:lang w:val="en-US"/>
        </w:rPr>
      </w:pPr>
      <w:r w:rsidRPr="009E0843">
        <w:rPr>
          <w:rStyle w:val="a5"/>
          <w:rFonts w:ascii="Times New Roman" w:hAnsi="Times New Roman"/>
        </w:rPr>
        <w:footnoteRef/>
      </w:r>
      <w:r w:rsidRPr="009E0843">
        <w:rPr>
          <w:rFonts w:ascii="Times New Roman" w:hAnsi="Times New Roman"/>
          <w:lang w:val="en-US"/>
        </w:rPr>
        <w:t xml:space="preserve"> </w:t>
      </w:r>
      <w:proofErr w:type="spellStart"/>
      <w:r w:rsidRPr="009E0843">
        <w:rPr>
          <w:rFonts w:ascii="Times New Roman" w:hAnsi="Times New Roman"/>
          <w:lang w:val="en-US"/>
        </w:rPr>
        <w:t>Gaughan</w:t>
      </w:r>
      <w:proofErr w:type="spellEnd"/>
      <w:r w:rsidRPr="009E0843">
        <w:rPr>
          <w:rFonts w:ascii="Times New Roman" w:hAnsi="Times New Roman"/>
          <w:lang w:val="en-US"/>
        </w:rPr>
        <w:t>, P. (2010). Mergers, Acquisitions and Corporate Restructurings (5th ed., pp. 132-156)</w:t>
      </w:r>
    </w:p>
  </w:footnote>
  <w:footnote w:id="5">
    <w:p w:rsidR="0006637D" w:rsidRDefault="0006637D">
      <w:pPr>
        <w:pStyle w:val="a3"/>
      </w:pPr>
      <w:r>
        <w:rPr>
          <w:rStyle w:val="a5"/>
        </w:rPr>
        <w:footnoteRef/>
      </w:r>
      <w:r>
        <w:t xml:space="preserve"> Тихомиров Д.В. Оценка стоимости компании при слияниях и поглощениях, стр. 44-48</w:t>
      </w:r>
    </w:p>
  </w:footnote>
  <w:footnote w:id="6">
    <w:p w:rsidR="0006637D" w:rsidRPr="00BE0219" w:rsidRDefault="0006637D" w:rsidP="000872B3">
      <w:pPr>
        <w:pStyle w:val="a3"/>
        <w:rPr>
          <w:rFonts w:ascii="Times New Roman" w:hAnsi="Times New Roman"/>
        </w:rPr>
      </w:pPr>
      <w:r w:rsidRPr="00BE0219">
        <w:rPr>
          <w:rStyle w:val="a5"/>
          <w:rFonts w:ascii="Times New Roman" w:hAnsi="Times New Roman"/>
        </w:rPr>
        <w:footnoteRef/>
      </w:r>
      <w:r w:rsidRPr="00BE0219">
        <w:rPr>
          <w:rFonts w:ascii="Times New Roman" w:hAnsi="Times New Roman"/>
        </w:rPr>
        <w:t xml:space="preserve"> Приказ от 20 июля 2007 года N 256</w:t>
      </w:r>
      <w:proofErr w:type="gramStart"/>
      <w:r w:rsidRPr="00BE0219">
        <w:rPr>
          <w:rFonts w:ascii="Times New Roman" w:hAnsi="Times New Roman"/>
        </w:rPr>
        <w:t xml:space="preserve"> О</w:t>
      </w:r>
      <w:proofErr w:type="gramEnd"/>
      <w:r w:rsidRPr="00BE0219">
        <w:rPr>
          <w:rFonts w:ascii="Times New Roman" w:hAnsi="Times New Roman"/>
        </w:rPr>
        <w:t>б утверждении федерального стандарта оценки «Общие понятия оценки, подходы к оценке и требования к проведению оценки (ФСО N 1)» http://www.labrate.ru/laws/20070720_prikaz_mert_256_fso-1_appraisal-approaches.htm</w:t>
      </w:r>
    </w:p>
  </w:footnote>
  <w:footnote w:id="7">
    <w:p w:rsidR="0006637D" w:rsidRPr="00523A68" w:rsidRDefault="0006637D" w:rsidP="000872B3">
      <w:pPr>
        <w:pStyle w:val="a3"/>
        <w:rPr>
          <w:rFonts w:ascii="Times New Roman" w:hAnsi="Times New Roman"/>
        </w:rPr>
      </w:pPr>
      <w:r w:rsidRPr="00523A68">
        <w:rPr>
          <w:rStyle w:val="a5"/>
          <w:rFonts w:ascii="Times New Roman" w:hAnsi="Times New Roman"/>
        </w:rPr>
        <w:footnoteRef/>
      </w:r>
      <w:r w:rsidRPr="00523A68">
        <w:rPr>
          <w:rFonts w:ascii="Times New Roman" w:hAnsi="Times New Roman"/>
        </w:rPr>
        <w:t xml:space="preserve"> Приказ от 20 июля 2007 года N 256  об утверждении федерального стандарта оценки "Общие понятия оценки, подходы к оценке и требования к проведению оценки (ФСО N 1)".</w:t>
      </w:r>
    </w:p>
    <w:p w:rsidR="0006637D" w:rsidRDefault="0006637D" w:rsidP="000872B3">
      <w:pPr>
        <w:pStyle w:val="a3"/>
      </w:pPr>
      <w:r w:rsidRPr="00523A68">
        <w:rPr>
          <w:rFonts w:ascii="Times New Roman" w:hAnsi="Times New Roman"/>
        </w:rPr>
        <w:t>http://www.labrate.ru/laws/20070720_prikaz_mert_256_fso-1_appraisal-approaches.htm</w:t>
      </w:r>
    </w:p>
  </w:footnote>
  <w:footnote w:id="8">
    <w:p w:rsidR="0006637D" w:rsidRPr="00BE0219" w:rsidRDefault="0006637D" w:rsidP="000872B3">
      <w:pPr>
        <w:pStyle w:val="a3"/>
        <w:rPr>
          <w:rFonts w:ascii="Times New Roman" w:hAnsi="Times New Roman"/>
        </w:rPr>
      </w:pPr>
      <w:r w:rsidRPr="00BE0219">
        <w:rPr>
          <w:rStyle w:val="a5"/>
          <w:rFonts w:ascii="Times New Roman" w:hAnsi="Times New Roman"/>
        </w:rPr>
        <w:footnoteRef/>
      </w:r>
      <w:r w:rsidRPr="00BE0219">
        <w:rPr>
          <w:rFonts w:ascii="Times New Roman" w:hAnsi="Times New Roman"/>
        </w:rPr>
        <w:t xml:space="preserve"> </w:t>
      </w:r>
      <w:proofErr w:type="spellStart"/>
      <w:r w:rsidRPr="00BE0219">
        <w:rPr>
          <w:rFonts w:ascii="Times New Roman" w:hAnsi="Times New Roman"/>
        </w:rPr>
        <w:t>Коупленд</w:t>
      </w:r>
      <w:proofErr w:type="spellEnd"/>
      <w:r w:rsidRPr="00BE0219">
        <w:rPr>
          <w:rFonts w:ascii="Times New Roman" w:hAnsi="Times New Roman"/>
        </w:rPr>
        <w:t xml:space="preserve"> Т., </w:t>
      </w:r>
      <w:proofErr w:type="spellStart"/>
      <w:r w:rsidRPr="00BE0219">
        <w:rPr>
          <w:rFonts w:ascii="Times New Roman" w:hAnsi="Times New Roman"/>
        </w:rPr>
        <w:t>Коллер</w:t>
      </w:r>
      <w:proofErr w:type="spellEnd"/>
      <w:r w:rsidRPr="00BE0219">
        <w:rPr>
          <w:rFonts w:ascii="Times New Roman" w:hAnsi="Times New Roman"/>
        </w:rPr>
        <w:t xml:space="preserve"> Т., </w:t>
      </w:r>
      <w:proofErr w:type="spellStart"/>
      <w:r w:rsidRPr="00BE0219">
        <w:rPr>
          <w:rFonts w:ascii="Times New Roman" w:hAnsi="Times New Roman"/>
        </w:rPr>
        <w:t>Муррин</w:t>
      </w:r>
      <w:proofErr w:type="spellEnd"/>
      <w:r w:rsidRPr="00BE0219">
        <w:rPr>
          <w:rFonts w:ascii="Times New Roman" w:hAnsi="Times New Roman"/>
        </w:rPr>
        <w:t xml:space="preserve"> Дж. Стоимость компаний: оценка и управление. – 3-е изд., </w:t>
      </w:r>
      <w:proofErr w:type="spellStart"/>
      <w:r w:rsidRPr="00BE0219">
        <w:rPr>
          <w:rFonts w:ascii="Times New Roman" w:hAnsi="Times New Roman"/>
        </w:rPr>
        <w:t>перераб</w:t>
      </w:r>
      <w:proofErr w:type="spellEnd"/>
      <w:r w:rsidRPr="00BE0219">
        <w:rPr>
          <w:rFonts w:ascii="Times New Roman" w:hAnsi="Times New Roman"/>
        </w:rPr>
        <w:t>. и доп./Пер. с англ. – М.:ЗАО «Олимп-Бизнес», 2005. – стр. 448-449</w:t>
      </w:r>
    </w:p>
  </w:footnote>
  <w:footnote w:id="9">
    <w:p w:rsidR="0006637D" w:rsidRPr="009E0843" w:rsidRDefault="0006637D" w:rsidP="00D16939">
      <w:pPr>
        <w:pStyle w:val="a3"/>
        <w:rPr>
          <w:rFonts w:ascii="Times New Roman" w:hAnsi="Times New Roman"/>
          <w:lang w:val="en-US"/>
        </w:rPr>
      </w:pPr>
      <w:r w:rsidRPr="009E0843">
        <w:rPr>
          <w:rStyle w:val="a5"/>
          <w:rFonts w:ascii="Times New Roman" w:hAnsi="Times New Roman"/>
        </w:rPr>
        <w:footnoteRef/>
      </w:r>
      <w:r w:rsidRPr="009E0843">
        <w:rPr>
          <w:rFonts w:ascii="Times New Roman" w:hAnsi="Times New Roman"/>
          <w:lang w:val="en-US"/>
        </w:rPr>
        <w:t xml:space="preserve"> Heineken NV in Beer, p.32</w:t>
      </w:r>
      <w:r w:rsidRPr="002E7D28">
        <w:rPr>
          <w:rFonts w:ascii="Times New Roman" w:hAnsi="Times New Roman"/>
          <w:lang w:val="en-US"/>
        </w:rPr>
        <w:t xml:space="preserve"> </w:t>
      </w:r>
      <w:r w:rsidRPr="009E0843">
        <w:rPr>
          <w:rFonts w:ascii="Times New Roman" w:hAnsi="Times New Roman"/>
          <w:lang w:val="en-US"/>
        </w:rPr>
        <w:t>www.euromonitor.com</w:t>
      </w:r>
    </w:p>
  </w:footnote>
  <w:footnote w:id="10">
    <w:p w:rsidR="0006637D" w:rsidRPr="000F7945" w:rsidRDefault="0006637D" w:rsidP="00D16939">
      <w:pPr>
        <w:pStyle w:val="a3"/>
        <w:rPr>
          <w:lang w:val="en-US"/>
        </w:rPr>
      </w:pPr>
      <w:r w:rsidRPr="009E0843">
        <w:rPr>
          <w:rStyle w:val="a5"/>
          <w:rFonts w:ascii="Times New Roman" w:hAnsi="Times New Roman"/>
        </w:rPr>
        <w:footnoteRef/>
      </w:r>
      <w:r w:rsidRPr="009E0843">
        <w:rPr>
          <w:rStyle w:val="a5"/>
          <w:rFonts w:ascii="Times New Roman" w:hAnsi="Times New Roman"/>
          <w:lang w:val="en-US"/>
        </w:rPr>
        <w:t xml:space="preserve"> </w:t>
      </w:r>
      <w:r w:rsidRPr="009E0843">
        <w:rPr>
          <w:rFonts w:ascii="Times New Roman" w:hAnsi="Times New Roman"/>
          <w:lang w:val="en-US"/>
        </w:rPr>
        <w:t>Beer in China, p.6</w:t>
      </w:r>
      <w:r w:rsidRPr="002E7D28">
        <w:rPr>
          <w:rFonts w:ascii="Times New Roman" w:hAnsi="Times New Roman"/>
          <w:lang w:val="en-US"/>
        </w:rPr>
        <w:t xml:space="preserve"> </w:t>
      </w:r>
      <w:r w:rsidRPr="009E0843">
        <w:rPr>
          <w:rFonts w:ascii="Times New Roman" w:hAnsi="Times New Roman"/>
          <w:lang w:val="en-US"/>
        </w:rPr>
        <w:t>www.euromonitor.com</w:t>
      </w:r>
    </w:p>
  </w:footnote>
  <w:footnote w:id="11">
    <w:p w:rsidR="0006637D" w:rsidRPr="009E0843" w:rsidRDefault="0006637D" w:rsidP="00D16939">
      <w:pPr>
        <w:pStyle w:val="a3"/>
        <w:rPr>
          <w:rFonts w:ascii="Times New Roman" w:hAnsi="Times New Roman"/>
          <w:lang w:val="en-US"/>
        </w:rPr>
      </w:pPr>
      <w:r w:rsidRPr="009E0843">
        <w:rPr>
          <w:rStyle w:val="a5"/>
          <w:rFonts w:ascii="Times New Roman" w:hAnsi="Times New Roman"/>
        </w:rPr>
        <w:footnoteRef/>
      </w:r>
      <w:r w:rsidRPr="009E0843">
        <w:rPr>
          <w:rFonts w:ascii="Times New Roman" w:hAnsi="Times New Roman"/>
          <w:lang w:val="en-US"/>
        </w:rPr>
        <w:t xml:space="preserve"> </w:t>
      </w:r>
      <w:r w:rsidRPr="009E0843">
        <w:rPr>
          <w:rFonts w:ascii="Times New Roman" w:hAnsi="Times New Roman"/>
        </w:rPr>
        <w:t>Там</w:t>
      </w:r>
      <w:r w:rsidRPr="009E0843">
        <w:rPr>
          <w:rFonts w:ascii="Times New Roman" w:hAnsi="Times New Roman"/>
          <w:lang w:val="en-US"/>
        </w:rPr>
        <w:t xml:space="preserve"> </w:t>
      </w:r>
      <w:r w:rsidRPr="009E0843">
        <w:rPr>
          <w:rFonts w:ascii="Times New Roman" w:hAnsi="Times New Roman"/>
        </w:rPr>
        <w:t>же</w:t>
      </w:r>
    </w:p>
  </w:footnote>
  <w:footnote w:id="12">
    <w:p w:rsidR="0006637D" w:rsidRPr="009E0843" w:rsidRDefault="0006637D" w:rsidP="00A43320">
      <w:pPr>
        <w:pStyle w:val="a3"/>
        <w:rPr>
          <w:rFonts w:ascii="Times New Roman" w:hAnsi="Times New Roman"/>
          <w:lang w:val="en-US"/>
        </w:rPr>
      </w:pPr>
      <w:r w:rsidRPr="009E0843">
        <w:rPr>
          <w:rStyle w:val="a5"/>
          <w:rFonts w:ascii="Times New Roman" w:hAnsi="Times New Roman"/>
        </w:rPr>
        <w:footnoteRef/>
      </w:r>
      <w:r w:rsidRPr="009E0843">
        <w:rPr>
          <w:rFonts w:ascii="Times New Roman" w:hAnsi="Times New Roman"/>
          <w:lang w:val="en-US"/>
        </w:rPr>
        <w:t xml:space="preserve"> Strategies for Growth in an Increasingly Consolidated Global Beer Market, p.10</w:t>
      </w:r>
      <w:r w:rsidRPr="002E7D28">
        <w:rPr>
          <w:rFonts w:ascii="Times New Roman" w:hAnsi="Times New Roman"/>
          <w:lang w:val="en-US"/>
        </w:rPr>
        <w:t xml:space="preserve"> </w:t>
      </w:r>
      <w:r w:rsidRPr="009E0843">
        <w:rPr>
          <w:rFonts w:ascii="Times New Roman" w:hAnsi="Times New Roman"/>
          <w:lang w:val="en-US"/>
        </w:rPr>
        <w:t>www.euromonitor.com</w:t>
      </w:r>
    </w:p>
  </w:footnote>
  <w:footnote w:id="13">
    <w:p w:rsidR="0006637D" w:rsidRPr="009E47DB" w:rsidRDefault="0006637D" w:rsidP="00516EE0">
      <w:pPr>
        <w:pStyle w:val="a3"/>
        <w:rPr>
          <w:lang w:val="en-US"/>
        </w:rPr>
      </w:pPr>
      <w:r w:rsidRPr="009E0843">
        <w:rPr>
          <w:rStyle w:val="a5"/>
          <w:rFonts w:ascii="Times New Roman" w:hAnsi="Times New Roman"/>
        </w:rPr>
        <w:footnoteRef/>
      </w:r>
      <w:r w:rsidRPr="009E0843">
        <w:rPr>
          <w:rFonts w:ascii="Times New Roman" w:hAnsi="Times New Roman"/>
          <w:lang w:val="en-US"/>
        </w:rPr>
        <w:t xml:space="preserve"> Company Profile: Anheuser Busch in Bev, p. 3</w:t>
      </w:r>
      <w:r w:rsidRPr="002E7D28">
        <w:rPr>
          <w:rFonts w:ascii="Times New Roman" w:hAnsi="Times New Roman"/>
          <w:lang w:val="en-US"/>
        </w:rPr>
        <w:t xml:space="preserve"> </w:t>
      </w:r>
      <w:r w:rsidRPr="009E0843">
        <w:rPr>
          <w:rFonts w:ascii="Times New Roman" w:hAnsi="Times New Roman"/>
          <w:lang w:val="en-US"/>
        </w:rPr>
        <w:t>www.marketline.com</w:t>
      </w:r>
    </w:p>
  </w:footnote>
  <w:footnote w:id="14">
    <w:p w:rsidR="0006637D" w:rsidRPr="00A55F1B" w:rsidRDefault="0006637D" w:rsidP="00516EE0">
      <w:pPr>
        <w:pStyle w:val="a3"/>
        <w:rPr>
          <w:lang w:val="en-US"/>
        </w:rPr>
      </w:pPr>
      <w:r>
        <w:rPr>
          <w:rStyle w:val="a5"/>
        </w:rPr>
        <w:footnoteRef/>
      </w:r>
      <w:r w:rsidRPr="00A55F1B">
        <w:rPr>
          <w:lang w:val="en-US"/>
        </w:rPr>
        <w:t xml:space="preserve"> </w:t>
      </w:r>
      <w:r w:rsidRPr="009E47DB">
        <w:rPr>
          <w:rFonts w:ascii="Times New Roman" w:hAnsi="Times New Roman"/>
          <w:lang w:val="en-US"/>
        </w:rPr>
        <w:t xml:space="preserve">Company Profile: Anheuser Busch in Bev, p. </w:t>
      </w:r>
      <w:r w:rsidRPr="00A55F1B">
        <w:rPr>
          <w:rFonts w:ascii="Times New Roman" w:hAnsi="Times New Roman"/>
          <w:lang w:val="en-US"/>
        </w:rPr>
        <w:t>21</w:t>
      </w:r>
      <w:r w:rsidRPr="002E7D28">
        <w:rPr>
          <w:rFonts w:ascii="Times New Roman" w:hAnsi="Times New Roman"/>
          <w:lang w:val="en-US"/>
        </w:rPr>
        <w:t xml:space="preserve"> </w:t>
      </w:r>
      <w:r w:rsidRPr="009E47DB">
        <w:rPr>
          <w:rFonts w:ascii="Times New Roman" w:hAnsi="Times New Roman"/>
          <w:lang w:val="en-US"/>
        </w:rPr>
        <w:t>www.marketline.com</w:t>
      </w:r>
    </w:p>
  </w:footnote>
  <w:footnote w:id="15">
    <w:p w:rsidR="0006637D" w:rsidRPr="00006CBE" w:rsidRDefault="0006637D">
      <w:pPr>
        <w:pStyle w:val="a3"/>
        <w:rPr>
          <w:lang w:val="en-US"/>
        </w:rPr>
      </w:pPr>
      <w:r>
        <w:rPr>
          <w:rStyle w:val="a5"/>
        </w:rPr>
        <w:footnoteRef/>
      </w:r>
      <w:r w:rsidRPr="00006CBE">
        <w:rPr>
          <w:lang w:val="en-US"/>
        </w:rPr>
        <w:t xml:space="preserve"> </w:t>
      </w:r>
      <w:r w:rsidRPr="009E47DB">
        <w:rPr>
          <w:rFonts w:ascii="Times New Roman" w:hAnsi="Times New Roman"/>
          <w:lang w:val="en-US"/>
        </w:rPr>
        <w:t xml:space="preserve">Company Profile: </w:t>
      </w:r>
      <w:r>
        <w:rPr>
          <w:rFonts w:ascii="Times New Roman" w:hAnsi="Times New Roman"/>
          <w:lang w:val="en-US"/>
        </w:rPr>
        <w:t>SABMiller plc.</w:t>
      </w:r>
      <w:r w:rsidRPr="002E7D28">
        <w:rPr>
          <w:rFonts w:ascii="Times New Roman" w:hAnsi="Times New Roman"/>
          <w:lang w:val="en-US"/>
        </w:rPr>
        <w:t xml:space="preserve"> </w:t>
      </w:r>
      <w:r w:rsidRPr="009E47DB">
        <w:rPr>
          <w:rFonts w:ascii="Times New Roman" w:hAnsi="Times New Roman"/>
          <w:lang w:val="en-US"/>
        </w:rPr>
        <w:t>www.marketline.com</w:t>
      </w:r>
    </w:p>
  </w:footnote>
  <w:footnote w:id="16">
    <w:p w:rsidR="0006637D" w:rsidRPr="002A2274" w:rsidRDefault="0006637D" w:rsidP="00516EE0">
      <w:pPr>
        <w:pStyle w:val="a3"/>
        <w:rPr>
          <w:lang w:val="en-US"/>
        </w:rPr>
      </w:pPr>
      <w:r>
        <w:rPr>
          <w:rStyle w:val="a5"/>
        </w:rPr>
        <w:footnoteRef/>
      </w:r>
      <w:r>
        <w:rPr>
          <w:rFonts w:ascii="Times New Roman" w:hAnsi="Times New Roman"/>
          <w:lang w:val="en-US"/>
        </w:rPr>
        <w:t>.Ibid</w:t>
      </w:r>
      <w:r w:rsidRPr="009E47DB">
        <w:rPr>
          <w:rFonts w:ascii="Times New Roman" w:hAnsi="Times New Roman"/>
          <w:lang w:val="en-US"/>
        </w:rPr>
        <w:t xml:space="preserve">, p. </w:t>
      </w:r>
      <w:r w:rsidRPr="00A55F1B">
        <w:rPr>
          <w:rFonts w:ascii="Times New Roman" w:hAnsi="Times New Roman"/>
          <w:lang w:val="en-US"/>
        </w:rPr>
        <w:t>2</w:t>
      </w:r>
      <w:r>
        <w:rPr>
          <w:rFonts w:ascii="Times New Roman" w:hAnsi="Times New Roman"/>
          <w:lang w:val="en-US"/>
        </w:rPr>
        <w:t>2</w:t>
      </w:r>
    </w:p>
  </w:footnote>
  <w:footnote w:id="17">
    <w:p w:rsidR="0006637D" w:rsidRPr="00BE0219" w:rsidRDefault="0006637D" w:rsidP="000872B3">
      <w:pPr>
        <w:pStyle w:val="a3"/>
        <w:rPr>
          <w:rFonts w:ascii="Times New Roman" w:hAnsi="Times New Roman"/>
          <w:lang w:val="en-US"/>
        </w:rPr>
      </w:pPr>
      <w:r w:rsidRPr="00BE0219">
        <w:rPr>
          <w:rStyle w:val="a5"/>
          <w:rFonts w:ascii="Times New Roman" w:hAnsi="Times New Roman"/>
        </w:rPr>
        <w:footnoteRef/>
      </w:r>
      <w:r w:rsidRPr="00BE0219">
        <w:rPr>
          <w:rFonts w:ascii="Times New Roman" w:hAnsi="Times New Roman"/>
          <w:lang w:val="en-US"/>
        </w:rPr>
        <w:t xml:space="preserve"> Alcoholic Drinks: Heineken in Beer, p. 4 www.euromonitor.com</w:t>
      </w:r>
    </w:p>
  </w:footnote>
  <w:footnote w:id="18">
    <w:p w:rsidR="0006637D" w:rsidRPr="00006CBE" w:rsidRDefault="0006637D" w:rsidP="000872B3">
      <w:pPr>
        <w:pStyle w:val="a3"/>
      </w:pPr>
      <w:r w:rsidRPr="00BE0219">
        <w:rPr>
          <w:rStyle w:val="a5"/>
          <w:rFonts w:ascii="Times New Roman" w:hAnsi="Times New Roman"/>
        </w:rPr>
        <w:footnoteRef/>
      </w:r>
      <w:r w:rsidRPr="00006CBE">
        <w:rPr>
          <w:rFonts w:ascii="Times New Roman" w:hAnsi="Times New Roman"/>
        </w:rPr>
        <w:t xml:space="preserve"> </w:t>
      </w:r>
      <w:r w:rsidRPr="00BE0219">
        <w:rPr>
          <w:rFonts w:ascii="Times New Roman" w:hAnsi="Times New Roman"/>
        </w:rPr>
        <w:t>См</w:t>
      </w:r>
      <w:r w:rsidRPr="00006CBE">
        <w:rPr>
          <w:rFonts w:ascii="Times New Roman" w:hAnsi="Times New Roman"/>
        </w:rPr>
        <w:t xml:space="preserve">. </w:t>
      </w:r>
      <w:r w:rsidRPr="00BE0219">
        <w:rPr>
          <w:rFonts w:ascii="Times New Roman" w:hAnsi="Times New Roman"/>
        </w:rPr>
        <w:t>приложение</w:t>
      </w:r>
      <w:r w:rsidRPr="00006CBE">
        <w:rPr>
          <w:rFonts w:ascii="Times New Roman" w:hAnsi="Times New Roman"/>
        </w:rPr>
        <w:t xml:space="preserve"> 1</w:t>
      </w:r>
    </w:p>
  </w:footnote>
  <w:footnote w:id="19">
    <w:p w:rsidR="0006637D" w:rsidRPr="00006CBE" w:rsidRDefault="0006637D" w:rsidP="000872B3">
      <w:pPr>
        <w:pStyle w:val="a3"/>
        <w:rPr>
          <w:rFonts w:ascii="Times New Roman" w:hAnsi="Times New Roman"/>
        </w:rPr>
      </w:pPr>
      <w:r w:rsidRPr="00BE0219">
        <w:rPr>
          <w:rStyle w:val="a5"/>
          <w:rFonts w:ascii="Times New Roman" w:hAnsi="Times New Roman"/>
        </w:rPr>
        <w:footnoteRef/>
      </w:r>
      <w:r w:rsidRPr="00006CBE">
        <w:rPr>
          <w:rFonts w:ascii="Times New Roman" w:hAnsi="Times New Roman"/>
        </w:rPr>
        <w:t xml:space="preserve"> </w:t>
      </w:r>
      <w:r w:rsidRPr="00BE0219">
        <w:rPr>
          <w:rFonts w:ascii="Times New Roman" w:hAnsi="Times New Roman"/>
        </w:rPr>
        <w:t>См</w:t>
      </w:r>
      <w:r w:rsidRPr="00006CBE">
        <w:rPr>
          <w:rFonts w:ascii="Times New Roman" w:hAnsi="Times New Roman"/>
        </w:rPr>
        <w:t xml:space="preserve">. </w:t>
      </w:r>
      <w:r w:rsidRPr="00BE0219">
        <w:rPr>
          <w:rFonts w:ascii="Times New Roman" w:hAnsi="Times New Roman"/>
        </w:rPr>
        <w:t>приложение</w:t>
      </w:r>
      <w:r w:rsidRPr="00006CBE">
        <w:rPr>
          <w:rFonts w:ascii="Times New Roman" w:hAnsi="Times New Roman"/>
        </w:rPr>
        <w:t xml:space="preserve"> 2</w:t>
      </w:r>
    </w:p>
  </w:footnote>
  <w:footnote w:id="20">
    <w:p w:rsidR="0006637D" w:rsidRPr="00B92D9E" w:rsidRDefault="0006637D">
      <w:pPr>
        <w:pStyle w:val="a3"/>
        <w:rPr>
          <w:rFonts w:ascii="Times New Roman" w:hAnsi="Times New Roman"/>
        </w:rPr>
      </w:pPr>
      <w:r w:rsidRPr="00B92D9E">
        <w:rPr>
          <w:rStyle w:val="a5"/>
          <w:rFonts w:ascii="Times New Roman" w:hAnsi="Times New Roman"/>
        </w:rPr>
        <w:footnoteRef/>
      </w:r>
      <w:r w:rsidRPr="00006CBE">
        <w:rPr>
          <w:rFonts w:ascii="Times New Roman" w:hAnsi="Times New Roman"/>
        </w:rPr>
        <w:t xml:space="preserve"> </w:t>
      </w:r>
      <w:r w:rsidRPr="00B92D9E">
        <w:rPr>
          <w:rFonts w:ascii="Times New Roman" w:hAnsi="Times New Roman"/>
        </w:rPr>
        <w:t>См. приложение 3</w:t>
      </w:r>
    </w:p>
  </w:footnote>
  <w:footnote w:id="21">
    <w:p w:rsidR="0006637D" w:rsidRPr="000F7945" w:rsidRDefault="0006637D" w:rsidP="000872B3">
      <w:pPr>
        <w:pStyle w:val="a3"/>
        <w:rPr>
          <w:lang w:val="en-US"/>
        </w:rPr>
      </w:pPr>
      <w:r w:rsidRPr="00B92D9E">
        <w:rPr>
          <w:rStyle w:val="a5"/>
          <w:rFonts w:ascii="Times New Roman" w:hAnsi="Times New Roman"/>
        </w:rPr>
        <w:footnoteRef/>
      </w:r>
      <w:r w:rsidRPr="00B92D9E">
        <w:rPr>
          <w:rFonts w:ascii="Times New Roman" w:hAnsi="Times New Roman"/>
          <w:lang w:val="en-US"/>
        </w:rPr>
        <w:t xml:space="preserve"> Consolidated Balance Sheet</w:t>
      </w:r>
      <w:r w:rsidRPr="002E7D28">
        <w:rPr>
          <w:rFonts w:ascii="Times New Roman" w:hAnsi="Times New Roman"/>
          <w:lang w:val="en-US"/>
        </w:rPr>
        <w:t xml:space="preserve"> </w:t>
      </w:r>
      <w:r w:rsidRPr="00B92D9E">
        <w:rPr>
          <w:rFonts w:ascii="Times New Roman" w:hAnsi="Times New Roman"/>
          <w:lang w:val="en-US"/>
        </w:rPr>
        <w:t>www.heinekeninternational.com</w:t>
      </w:r>
    </w:p>
  </w:footnote>
  <w:footnote w:id="22">
    <w:p w:rsidR="0006637D" w:rsidRPr="00744D35" w:rsidRDefault="0006637D" w:rsidP="000872B3">
      <w:pPr>
        <w:pStyle w:val="a3"/>
        <w:rPr>
          <w:rFonts w:ascii="Times New Roman" w:hAnsi="Times New Roman"/>
        </w:rPr>
      </w:pPr>
      <w:r w:rsidRPr="00BE0219">
        <w:rPr>
          <w:rStyle w:val="a5"/>
          <w:rFonts w:ascii="Times New Roman" w:hAnsi="Times New Roman"/>
        </w:rPr>
        <w:footnoteRef/>
      </w:r>
      <w:r>
        <w:rPr>
          <w:rFonts w:ascii="Times New Roman" w:hAnsi="Times New Roman"/>
        </w:rPr>
        <w:t xml:space="preserve"> См. приложение </w:t>
      </w:r>
      <w:r w:rsidRPr="00744D35">
        <w:rPr>
          <w:rFonts w:ascii="Times New Roman" w:hAnsi="Times New Roman"/>
        </w:rPr>
        <w:t>4</w:t>
      </w:r>
    </w:p>
  </w:footnote>
  <w:footnote w:id="23">
    <w:p w:rsidR="0006637D" w:rsidRPr="00BE0219" w:rsidRDefault="0006637D" w:rsidP="000872B3">
      <w:pPr>
        <w:pStyle w:val="a3"/>
        <w:rPr>
          <w:rFonts w:ascii="Times New Roman" w:hAnsi="Times New Roman"/>
        </w:rPr>
      </w:pPr>
      <w:r w:rsidRPr="00BE0219">
        <w:rPr>
          <w:rStyle w:val="a5"/>
          <w:rFonts w:ascii="Times New Roman" w:hAnsi="Times New Roman"/>
        </w:rPr>
        <w:footnoteRef/>
      </w:r>
      <w:r>
        <w:rPr>
          <w:rFonts w:ascii="Times New Roman" w:hAnsi="Times New Roman"/>
        </w:rPr>
        <w:t xml:space="preserve"> См. приложение 5</w:t>
      </w:r>
    </w:p>
  </w:footnote>
  <w:footnote w:id="24">
    <w:p w:rsidR="0006637D" w:rsidRDefault="0006637D" w:rsidP="000872B3">
      <w:pPr>
        <w:pStyle w:val="a3"/>
      </w:pPr>
      <w:r w:rsidRPr="00BE0219">
        <w:rPr>
          <w:rStyle w:val="a5"/>
          <w:rFonts w:ascii="Times New Roman" w:hAnsi="Times New Roman"/>
        </w:rPr>
        <w:footnoteRef/>
      </w:r>
      <w:r>
        <w:rPr>
          <w:rFonts w:ascii="Times New Roman" w:hAnsi="Times New Roman"/>
        </w:rPr>
        <w:t xml:space="preserve"> См. приложение 6</w:t>
      </w:r>
    </w:p>
  </w:footnote>
  <w:footnote w:id="25">
    <w:p w:rsidR="0006637D" w:rsidRPr="00635D98" w:rsidRDefault="0006637D">
      <w:pPr>
        <w:pStyle w:val="a3"/>
        <w:rPr>
          <w:lang w:val="en-US"/>
        </w:rPr>
      </w:pPr>
      <w:r>
        <w:rPr>
          <w:rStyle w:val="a5"/>
        </w:rPr>
        <w:footnoteRef/>
      </w:r>
      <w:r w:rsidRPr="00635D98">
        <w:rPr>
          <w:lang w:val="en-US"/>
        </w:rPr>
        <w:t xml:space="preserve"> F&amp;N shareholders approve HEINEKEN’s offer to acquire interests in APB and APIPL http://www.heinekeninternat</w:t>
      </w:r>
      <w:r>
        <w:rPr>
          <w:lang w:val="en-US"/>
        </w:rPr>
        <w:t>ional.com/pressreleasespage</w:t>
      </w:r>
    </w:p>
  </w:footnote>
  <w:footnote w:id="26">
    <w:p w:rsidR="0006637D" w:rsidRPr="00635D98" w:rsidRDefault="0006637D">
      <w:pPr>
        <w:pStyle w:val="a3"/>
      </w:pPr>
      <w:r>
        <w:rPr>
          <w:rStyle w:val="a5"/>
        </w:rPr>
        <w:footnoteRef/>
      </w:r>
      <w:r>
        <w:rPr>
          <w:lang w:val="en-US"/>
        </w:rPr>
        <w:t>Ibid</w:t>
      </w:r>
    </w:p>
  </w:footnote>
  <w:footnote w:id="27">
    <w:p w:rsidR="0006637D" w:rsidRPr="00635D98" w:rsidRDefault="0006637D" w:rsidP="00A40411">
      <w:pPr>
        <w:pStyle w:val="a3"/>
        <w:spacing w:line="240" w:lineRule="auto"/>
        <w:rPr>
          <w:lang w:val="en-US"/>
        </w:rPr>
      </w:pPr>
      <w:r w:rsidRPr="000067AF">
        <w:rPr>
          <w:rStyle w:val="a5"/>
          <w:rFonts w:ascii="Times New Roman" w:hAnsi="Times New Roman"/>
        </w:rPr>
        <w:footnoteRef/>
      </w:r>
      <w:r w:rsidRPr="00635D98">
        <w:rPr>
          <w:rFonts w:ascii="Times New Roman" w:hAnsi="Times New Roman"/>
          <w:lang w:val="en-US"/>
        </w:rPr>
        <w:t xml:space="preserve"> </w:t>
      </w:r>
      <w:r>
        <w:rPr>
          <w:rFonts w:ascii="Times New Roman" w:hAnsi="Times New Roman"/>
        </w:rPr>
        <w:t>См</w:t>
      </w:r>
      <w:r w:rsidRPr="00635D98">
        <w:rPr>
          <w:rFonts w:ascii="Times New Roman" w:hAnsi="Times New Roman"/>
          <w:lang w:val="en-US"/>
        </w:rPr>
        <w:t xml:space="preserve">. </w:t>
      </w:r>
      <w:r>
        <w:rPr>
          <w:rFonts w:ascii="Times New Roman" w:hAnsi="Times New Roman"/>
        </w:rPr>
        <w:t>приложение</w:t>
      </w:r>
      <w:r w:rsidRPr="00635D98">
        <w:rPr>
          <w:rFonts w:ascii="Times New Roman" w:hAnsi="Times New Roman"/>
          <w:lang w:val="en-US"/>
        </w:rPr>
        <w:t xml:space="preserve"> 7</w:t>
      </w:r>
    </w:p>
  </w:footnote>
  <w:footnote w:id="28">
    <w:p w:rsidR="0006637D" w:rsidRPr="00D71059" w:rsidRDefault="0006637D" w:rsidP="00A40411">
      <w:pPr>
        <w:pStyle w:val="a3"/>
        <w:spacing w:line="240" w:lineRule="auto"/>
        <w:rPr>
          <w:rFonts w:ascii="Times New Roman" w:hAnsi="Times New Roman"/>
          <w:lang w:val="en-US"/>
        </w:rPr>
      </w:pPr>
      <w:r w:rsidRPr="000067AF">
        <w:rPr>
          <w:rStyle w:val="a5"/>
          <w:rFonts w:ascii="Times New Roman" w:hAnsi="Times New Roman"/>
        </w:rPr>
        <w:footnoteRef/>
      </w:r>
      <w:r w:rsidRPr="00F86AE5">
        <w:rPr>
          <w:rFonts w:ascii="Times New Roman" w:hAnsi="Times New Roman"/>
        </w:rPr>
        <w:t xml:space="preserve"> </w:t>
      </w:r>
      <w:r w:rsidRPr="00860229">
        <w:rPr>
          <w:rFonts w:ascii="Times New Roman" w:hAnsi="Times New Roman"/>
          <w:lang w:val="en-US"/>
        </w:rPr>
        <w:t>Annual</w:t>
      </w:r>
      <w:r w:rsidRPr="00F86AE5">
        <w:rPr>
          <w:rFonts w:ascii="Times New Roman" w:hAnsi="Times New Roman"/>
        </w:rPr>
        <w:t xml:space="preserve"> </w:t>
      </w:r>
      <w:r w:rsidRPr="00860229">
        <w:rPr>
          <w:rFonts w:ascii="Times New Roman" w:hAnsi="Times New Roman"/>
          <w:lang w:val="en-US"/>
        </w:rPr>
        <w:t>Report</w:t>
      </w:r>
      <w:r w:rsidRPr="00F86AE5">
        <w:rPr>
          <w:rFonts w:ascii="Times New Roman" w:hAnsi="Times New Roman"/>
        </w:rPr>
        <w:t xml:space="preserve"> 2013, </w:t>
      </w:r>
      <w:r w:rsidRPr="00860229">
        <w:rPr>
          <w:rFonts w:ascii="Times New Roman" w:hAnsi="Times New Roman"/>
          <w:lang w:val="en-US"/>
        </w:rPr>
        <w:t>p</w:t>
      </w:r>
      <w:r w:rsidRPr="00F86AE5">
        <w:rPr>
          <w:rFonts w:ascii="Times New Roman" w:hAnsi="Times New Roman"/>
        </w:rPr>
        <w:t>.</w:t>
      </w:r>
      <w:r w:rsidR="00D71059">
        <w:rPr>
          <w:rFonts w:ascii="Times New Roman" w:hAnsi="Times New Roman"/>
          <w:lang w:val="en-US"/>
        </w:rPr>
        <w:t>114</w:t>
      </w:r>
    </w:p>
  </w:footnote>
  <w:footnote w:id="29">
    <w:p w:rsidR="0006637D" w:rsidRPr="00860229" w:rsidRDefault="0006637D" w:rsidP="00A40411">
      <w:pPr>
        <w:pStyle w:val="a3"/>
        <w:spacing w:line="240" w:lineRule="auto"/>
        <w:rPr>
          <w:rFonts w:ascii="Times New Roman" w:hAnsi="Times New Roman"/>
        </w:rPr>
      </w:pPr>
      <w:r w:rsidRPr="00860229">
        <w:rPr>
          <w:rStyle w:val="a5"/>
          <w:rFonts w:ascii="Times New Roman" w:hAnsi="Times New Roman"/>
        </w:rPr>
        <w:footnoteRef/>
      </w:r>
      <w:r w:rsidRPr="00860229">
        <w:rPr>
          <w:rStyle w:val="a5"/>
        </w:rPr>
        <w:t xml:space="preserve"> </w:t>
      </w:r>
      <w:r w:rsidRPr="00F86AE5">
        <w:rPr>
          <w:rFonts w:ascii="Times New Roman" w:hAnsi="Times New Roman"/>
        </w:rPr>
        <w:t>См. приложение 8</w:t>
      </w:r>
    </w:p>
  </w:footnote>
  <w:footnote w:id="30">
    <w:p w:rsidR="0006637D" w:rsidRPr="000067AF" w:rsidRDefault="0006637D" w:rsidP="00A40411">
      <w:pPr>
        <w:pStyle w:val="a3"/>
        <w:spacing w:line="240" w:lineRule="auto"/>
        <w:rPr>
          <w:rFonts w:ascii="Times New Roman" w:hAnsi="Times New Roman"/>
          <w:lang w:val="en-US"/>
        </w:rPr>
      </w:pPr>
      <w:r w:rsidRPr="000067AF">
        <w:rPr>
          <w:rStyle w:val="a5"/>
          <w:rFonts w:ascii="Times New Roman" w:hAnsi="Times New Roman"/>
        </w:rPr>
        <w:footnoteRef/>
      </w:r>
      <w:r w:rsidRPr="000067AF">
        <w:rPr>
          <w:rFonts w:ascii="Times New Roman" w:hAnsi="Times New Roman"/>
          <w:lang w:val="en-US"/>
        </w:rPr>
        <w:t xml:space="preserve"> HEINEKEN expects the effective tax rate (</w:t>
      </w:r>
      <w:proofErr w:type="spellStart"/>
      <w:r w:rsidRPr="000067AF">
        <w:rPr>
          <w:rFonts w:ascii="Times New Roman" w:hAnsi="Times New Roman"/>
          <w:lang w:val="en-US"/>
        </w:rPr>
        <w:t>beia</w:t>
      </w:r>
      <w:proofErr w:type="spellEnd"/>
      <w:r w:rsidRPr="000067AF">
        <w:rPr>
          <w:rFonts w:ascii="Times New Roman" w:hAnsi="Times New Roman"/>
          <w:lang w:val="en-US"/>
        </w:rPr>
        <w:t>) in 2013 to be in the range of 27 per cent to 29 per cent http://www.annualreport.heineken.com/report-of-the-executive-board/outlook-2013.html</w:t>
      </w:r>
    </w:p>
  </w:footnote>
  <w:footnote w:id="31">
    <w:p w:rsidR="0006637D" w:rsidRPr="00874084" w:rsidRDefault="0006637D">
      <w:pPr>
        <w:pStyle w:val="a3"/>
        <w:rPr>
          <w:rFonts w:ascii="Times New Roman" w:hAnsi="Times New Roman"/>
          <w:lang w:val="en-US"/>
        </w:rPr>
      </w:pPr>
      <w:r w:rsidRPr="000067AF">
        <w:rPr>
          <w:rStyle w:val="a5"/>
          <w:rFonts w:ascii="Times New Roman" w:hAnsi="Times New Roman"/>
        </w:rPr>
        <w:footnoteRef/>
      </w:r>
      <w:r w:rsidRPr="000067AF">
        <w:rPr>
          <w:rFonts w:ascii="Times New Roman" w:hAnsi="Times New Roman"/>
          <w:lang w:val="en-US"/>
        </w:rPr>
        <w:t xml:space="preserve"> HEINEKEN forecasts an average interest rate of around 4.5 per cent in 2013 http://www.annualreport.heineken.com/report-of-the-executive-board/outlook-2013.html</w:t>
      </w:r>
    </w:p>
  </w:footnote>
  <w:footnote w:id="32">
    <w:p w:rsidR="0006637D" w:rsidRPr="00F86AE5" w:rsidRDefault="0006637D">
      <w:pPr>
        <w:pStyle w:val="a3"/>
        <w:rPr>
          <w:lang w:val="en-US"/>
        </w:rPr>
      </w:pPr>
      <w:r>
        <w:rPr>
          <w:rStyle w:val="a5"/>
        </w:rPr>
        <w:footnoteRef/>
      </w:r>
      <w:r w:rsidRPr="00F86AE5">
        <w:rPr>
          <w:lang w:val="en-US"/>
        </w:rPr>
        <w:t xml:space="preserve"> </w:t>
      </w:r>
      <w:r w:rsidRPr="00A40411">
        <w:rPr>
          <w:rFonts w:ascii="Times New Roman" w:hAnsi="Times New Roman"/>
          <w:lang w:val="en-US"/>
        </w:rPr>
        <w:t>Annual</w:t>
      </w:r>
      <w:r w:rsidRPr="00F86AE5">
        <w:rPr>
          <w:rFonts w:ascii="Times New Roman" w:hAnsi="Times New Roman"/>
          <w:lang w:val="en-US"/>
        </w:rPr>
        <w:t xml:space="preserve"> </w:t>
      </w:r>
      <w:r w:rsidRPr="00A40411">
        <w:rPr>
          <w:rFonts w:ascii="Times New Roman" w:hAnsi="Times New Roman"/>
          <w:lang w:val="en-US"/>
        </w:rPr>
        <w:t>Report</w:t>
      </w:r>
      <w:r w:rsidRPr="00F86AE5">
        <w:rPr>
          <w:rFonts w:ascii="Times New Roman" w:hAnsi="Times New Roman"/>
          <w:lang w:val="en-US"/>
        </w:rPr>
        <w:t xml:space="preserve"> 2013, </w:t>
      </w:r>
      <w:r w:rsidRPr="00A40411">
        <w:rPr>
          <w:rFonts w:ascii="Times New Roman" w:hAnsi="Times New Roman"/>
          <w:lang w:val="en-US"/>
        </w:rPr>
        <w:t>p</w:t>
      </w:r>
      <w:r w:rsidRPr="00F86AE5">
        <w:rPr>
          <w:rFonts w:ascii="Times New Roman" w:hAnsi="Times New Roman"/>
          <w:lang w:val="en-US"/>
        </w:rPr>
        <w:t>.</w:t>
      </w:r>
      <w:r w:rsidR="00D71059">
        <w:rPr>
          <w:rFonts w:ascii="Times New Roman" w:hAnsi="Times New Roman"/>
          <w:lang w:val="en-US"/>
        </w:rPr>
        <w:t>147</w:t>
      </w:r>
    </w:p>
  </w:footnote>
  <w:footnote w:id="33">
    <w:p w:rsidR="0006637D" w:rsidRPr="00F86AE5" w:rsidRDefault="0006637D">
      <w:pPr>
        <w:pStyle w:val="a3"/>
        <w:rPr>
          <w:lang w:val="en-US"/>
        </w:rPr>
      </w:pPr>
      <w:r>
        <w:rPr>
          <w:rStyle w:val="a5"/>
        </w:rPr>
        <w:footnoteRef/>
      </w:r>
      <w:r w:rsidRPr="00F86AE5">
        <w:rPr>
          <w:lang w:val="en-US"/>
        </w:rPr>
        <w:t xml:space="preserve"> </w:t>
      </w:r>
      <w:r w:rsidRPr="00006CBE">
        <w:rPr>
          <w:rFonts w:ascii="Times New Roman" w:hAnsi="Times New Roman"/>
        </w:rPr>
        <w:t>См</w:t>
      </w:r>
      <w:r w:rsidRPr="00F86AE5">
        <w:rPr>
          <w:rFonts w:ascii="Times New Roman" w:hAnsi="Times New Roman"/>
          <w:lang w:val="en-US"/>
        </w:rPr>
        <w:t xml:space="preserve">. </w:t>
      </w:r>
      <w:r w:rsidRPr="00006CBE">
        <w:rPr>
          <w:rFonts w:ascii="Times New Roman" w:hAnsi="Times New Roman"/>
        </w:rPr>
        <w:t>приложение</w:t>
      </w:r>
      <w:r w:rsidRPr="00F86AE5">
        <w:rPr>
          <w:rFonts w:ascii="Times New Roman" w:hAnsi="Times New Roman"/>
          <w:lang w:val="en-US"/>
        </w:rPr>
        <w:t xml:space="preserve"> 12</w:t>
      </w:r>
    </w:p>
  </w:footnote>
  <w:footnote w:id="34">
    <w:p w:rsidR="0006637D" w:rsidRPr="00F86AE5" w:rsidRDefault="0006637D" w:rsidP="00F93552">
      <w:pPr>
        <w:pStyle w:val="a3"/>
      </w:pPr>
      <w:r>
        <w:rPr>
          <w:rStyle w:val="a5"/>
        </w:rPr>
        <w:footnoteRef/>
      </w:r>
      <w:r>
        <w:t xml:space="preserve"> </w:t>
      </w:r>
      <w:r w:rsidRPr="0052212E">
        <w:rPr>
          <w:rFonts w:ascii="Times New Roman" w:hAnsi="Times New Roman"/>
        </w:rPr>
        <w:t>См. приложение</w:t>
      </w:r>
      <w:r w:rsidRPr="00F86AE5">
        <w:rPr>
          <w:rFonts w:ascii="Times New Roman" w:hAnsi="Times New Roman"/>
        </w:rPr>
        <w:t xml:space="preserve"> 10</w:t>
      </w:r>
    </w:p>
  </w:footnote>
  <w:footnote w:id="35">
    <w:p w:rsidR="0006637D" w:rsidRPr="00F86AE5" w:rsidRDefault="0006637D">
      <w:pPr>
        <w:pStyle w:val="a3"/>
      </w:pPr>
      <w:r>
        <w:rPr>
          <w:rStyle w:val="a5"/>
        </w:rPr>
        <w:footnoteRef/>
      </w:r>
      <w:r>
        <w:t xml:space="preserve"> С</w:t>
      </w:r>
      <w:r w:rsidRPr="00EB0D2D">
        <w:rPr>
          <w:rFonts w:ascii="Times New Roman" w:hAnsi="Times New Roman"/>
        </w:rPr>
        <w:t>м. приложение</w:t>
      </w:r>
      <w:r w:rsidRPr="00F86AE5">
        <w:rPr>
          <w:rFonts w:ascii="Times New Roman" w:hAnsi="Times New Roman"/>
        </w:rPr>
        <w:t xml:space="preserve"> 11</w:t>
      </w:r>
    </w:p>
  </w:footnote>
  <w:footnote w:id="36">
    <w:p w:rsidR="0006637D" w:rsidRDefault="0006637D">
      <w:pPr>
        <w:pStyle w:val="a3"/>
      </w:pPr>
      <w:r>
        <w:rPr>
          <w:rStyle w:val="a5"/>
        </w:rPr>
        <w:footnoteRef/>
      </w:r>
      <w:r>
        <w:t xml:space="preserve"> См. приложение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6620"/>
      <w:docPartObj>
        <w:docPartGallery w:val="Page Numbers (Top of Page)"/>
        <w:docPartUnique/>
      </w:docPartObj>
    </w:sdtPr>
    <w:sdtContent>
      <w:p w:rsidR="0006637D" w:rsidRDefault="0006637D">
        <w:pPr>
          <w:pStyle w:val="a9"/>
          <w:jc w:val="center"/>
        </w:pPr>
        <w:r>
          <w:fldChar w:fldCharType="begin"/>
        </w:r>
        <w:r>
          <w:instrText>PAGE   \* MERGEFORMAT</w:instrText>
        </w:r>
        <w:r>
          <w:fldChar w:fldCharType="separate"/>
        </w:r>
        <w:r w:rsidR="00300EB9">
          <w:rPr>
            <w:noProof/>
          </w:rPr>
          <w:t>1</w:t>
        </w:r>
        <w:r>
          <w:fldChar w:fldCharType="end"/>
        </w:r>
      </w:p>
    </w:sdtContent>
  </w:sdt>
  <w:p w:rsidR="0006637D" w:rsidRDefault="000663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9E"/>
    <w:multiLevelType w:val="multilevel"/>
    <w:tmpl w:val="ED289D42"/>
    <w:lvl w:ilvl="0">
      <w:start w:val="1"/>
      <w:numFmt w:val="decimal"/>
      <w:lvlText w:val="%1."/>
      <w:lvlJc w:val="left"/>
      <w:pPr>
        <w:ind w:left="675" w:hanging="675"/>
      </w:pPr>
      <w:rPr>
        <w:rFonts w:ascii="Times New Roman" w:eastAsiaTheme="minorHAnsi" w:hAnsi="Times New Roman" w:cstheme="minorBidi"/>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507595"/>
    <w:multiLevelType w:val="hybridMultilevel"/>
    <w:tmpl w:val="BA640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62480"/>
    <w:multiLevelType w:val="multilevel"/>
    <w:tmpl w:val="11CAC3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DE78DC"/>
    <w:multiLevelType w:val="multilevel"/>
    <w:tmpl w:val="0E80C44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36B1EC4"/>
    <w:multiLevelType w:val="hybridMultilevel"/>
    <w:tmpl w:val="9E78F2C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159356F1"/>
    <w:multiLevelType w:val="hybridMultilevel"/>
    <w:tmpl w:val="58C6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266DE"/>
    <w:multiLevelType w:val="multilevel"/>
    <w:tmpl w:val="310CF1D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E42331"/>
    <w:multiLevelType w:val="multilevel"/>
    <w:tmpl w:val="7BB6542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578237E"/>
    <w:multiLevelType w:val="multilevel"/>
    <w:tmpl w:val="82EC113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9B82AD3"/>
    <w:multiLevelType w:val="hybridMultilevel"/>
    <w:tmpl w:val="B9B4D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20"/>
    <w:multiLevelType w:val="multilevel"/>
    <w:tmpl w:val="18802C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DA97534"/>
    <w:multiLevelType w:val="hybridMultilevel"/>
    <w:tmpl w:val="36F0ED12"/>
    <w:lvl w:ilvl="0" w:tplc="E7729334">
      <w:start w:val="1"/>
      <w:numFmt w:val="bullet"/>
      <w:lvlText w:val=""/>
      <w:lvlJc w:val="left"/>
      <w:pPr>
        <w:ind w:left="143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672E15"/>
    <w:multiLevelType w:val="multilevel"/>
    <w:tmpl w:val="ED289D42"/>
    <w:lvl w:ilvl="0">
      <w:start w:val="1"/>
      <w:numFmt w:val="decimal"/>
      <w:lvlText w:val="%1."/>
      <w:lvlJc w:val="left"/>
      <w:pPr>
        <w:ind w:left="675" w:hanging="675"/>
      </w:pPr>
      <w:rPr>
        <w:rFonts w:ascii="Times New Roman" w:eastAsiaTheme="minorHAnsi" w:hAnsi="Times New Roman" w:cstheme="minorBidi"/>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A67E92"/>
    <w:multiLevelType w:val="hybridMultilevel"/>
    <w:tmpl w:val="C5E0D864"/>
    <w:lvl w:ilvl="0" w:tplc="E7729334">
      <w:start w:val="1"/>
      <w:numFmt w:val="bullet"/>
      <w:lvlText w:val=""/>
      <w:lvlJc w:val="left"/>
      <w:pPr>
        <w:ind w:left="1070" w:hanging="360"/>
      </w:pPr>
      <w:rPr>
        <w:rFonts w:ascii="Wingdings" w:hAnsi="Wingdings"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B80614E"/>
    <w:multiLevelType w:val="hybridMultilevel"/>
    <w:tmpl w:val="676E84F4"/>
    <w:lvl w:ilvl="0" w:tplc="E7729334">
      <w:start w:val="1"/>
      <w:numFmt w:val="bullet"/>
      <w:lvlText w:val=""/>
      <w:lvlJc w:val="left"/>
      <w:pPr>
        <w:ind w:left="107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91A3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251FD2"/>
    <w:multiLevelType w:val="multilevel"/>
    <w:tmpl w:val="D30E7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523B67"/>
    <w:multiLevelType w:val="hybridMultilevel"/>
    <w:tmpl w:val="38CAE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50572"/>
    <w:multiLevelType w:val="hybridMultilevel"/>
    <w:tmpl w:val="21787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2DA7E91"/>
    <w:multiLevelType w:val="multilevel"/>
    <w:tmpl w:val="C3EE0F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277BF4"/>
    <w:multiLevelType w:val="hybridMultilevel"/>
    <w:tmpl w:val="3F38A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1380B"/>
    <w:multiLevelType w:val="hybridMultilevel"/>
    <w:tmpl w:val="4AEA732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B5AB1"/>
    <w:multiLevelType w:val="hybridMultilevel"/>
    <w:tmpl w:val="9D10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F11394"/>
    <w:multiLevelType w:val="hybridMultilevel"/>
    <w:tmpl w:val="5E9AD3E2"/>
    <w:lvl w:ilvl="0" w:tplc="E7729334">
      <w:start w:val="1"/>
      <w:numFmt w:val="bullet"/>
      <w:lvlText w:val=""/>
      <w:lvlJc w:val="left"/>
      <w:pPr>
        <w:ind w:left="107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1022DB"/>
    <w:multiLevelType w:val="hybridMultilevel"/>
    <w:tmpl w:val="A6AA6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02B7832"/>
    <w:multiLevelType w:val="hybridMultilevel"/>
    <w:tmpl w:val="EEB2DE5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2B85CD1"/>
    <w:multiLevelType w:val="hybridMultilevel"/>
    <w:tmpl w:val="EC44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654AFD"/>
    <w:multiLevelType w:val="hybridMultilevel"/>
    <w:tmpl w:val="10F2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5C1953"/>
    <w:multiLevelType w:val="multilevel"/>
    <w:tmpl w:val="74B60512"/>
    <w:lvl w:ilvl="0">
      <w:start w:val="3"/>
      <w:numFmt w:val="decimal"/>
      <w:lvlText w:val="%1."/>
      <w:lvlJc w:val="left"/>
      <w:pPr>
        <w:ind w:left="1035" w:hanging="360"/>
      </w:pPr>
      <w:rPr>
        <w:rFonts w:hint="default"/>
      </w:rPr>
    </w:lvl>
    <w:lvl w:ilvl="1">
      <w:start w:val="1"/>
      <w:numFmt w:val="decimal"/>
      <w:isLgl/>
      <w:lvlText w:val="%1.%2."/>
      <w:lvlJc w:val="left"/>
      <w:pPr>
        <w:ind w:left="1755" w:hanging="720"/>
      </w:pPr>
      <w:rPr>
        <w:rFonts w:hint="default"/>
        <w:b w:val="0"/>
      </w:rPr>
    </w:lvl>
    <w:lvl w:ilvl="2">
      <w:start w:val="1"/>
      <w:numFmt w:val="decimal"/>
      <w:isLgl/>
      <w:lvlText w:val="%1.%2.%3."/>
      <w:lvlJc w:val="left"/>
      <w:pPr>
        <w:ind w:left="2115" w:hanging="720"/>
      </w:pPr>
      <w:rPr>
        <w:rFonts w:hint="default"/>
        <w:b w:val="0"/>
      </w:rPr>
    </w:lvl>
    <w:lvl w:ilvl="3">
      <w:start w:val="1"/>
      <w:numFmt w:val="decimal"/>
      <w:isLgl/>
      <w:lvlText w:val="%1.%2.%3.%4."/>
      <w:lvlJc w:val="left"/>
      <w:pPr>
        <w:ind w:left="2835" w:hanging="1080"/>
      </w:pPr>
      <w:rPr>
        <w:rFonts w:hint="default"/>
        <w:b w:val="0"/>
      </w:rPr>
    </w:lvl>
    <w:lvl w:ilvl="4">
      <w:start w:val="1"/>
      <w:numFmt w:val="decimal"/>
      <w:isLgl/>
      <w:lvlText w:val="%1.%2.%3.%4.%5."/>
      <w:lvlJc w:val="left"/>
      <w:pPr>
        <w:ind w:left="3195" w:hanging="1080"/>
      </w:pPr>
      <w:rPr>
        <w:rFonts w:hint="default"/>
        <w:b w:val="0"/>
      </w:rPr>
    </w:lvl>
    <w:lvl w:ilvl="5">
      <w:start w:val="1"/>
      <w:numFmt w:val="decimal"/>
      <w:isLgl/>
      <w:lvlText w:val="%1.%2.%3.%4.%5.%6."/>
      <w:lvlJc w:val="left"/>
      <w:pPr>
        <w:ind w:left="3915" w:hanging="1440"/>
      </w:pPr>
      <w:rPr>
        <w:rFonts w:hint="default"/>
        <w:b w:val="0"/>
      </w:rPr>
    </w:lvl>
    <w:lvl w:ilvl="6">
      <w:start w:val="1"/>
      <w:numFmt w:val="decimal"/>
      <w:isLgl/>
      <w:lvlText w:val="%1.%2.%3.%4.%5.%6.%7."/>
      <w:lvlJc w:val="left"/>
      <w:pPr>
        <w:ind w:left="4635" w:hanging="1800"/>
      </w:pPr>
      <w:rPr>
        <w:rFonts w:hint="default"/>
        <w:b w:val="0"/>
      </w:rPr>
    </w:lvl>
    <w:lvl w:ilvl="7">
      <w:start w:val="1"/>
      <w:numFmt w:val="decimal"/>
      <w:isLgl/>
      <w:lvlText w:val="%1.%2.%3.%4.%5.%6.%7.%8."/>
      <w:lvlJc w:val="left"/>
      <w:pPr>
        <w:ind w:left="4995" w:hanging="1800"/>
      </w:pPr>
      <w:rPr>
        <w:rFonts w:hint="default"/>
        <w:b w:val="0"/>
      </w:rPr>
    </w:lvl>
    <w:lvl w:ilvl="8">
      <w:start w:val="1"/>
      <w:numFmt w:val="decimal"/>
      <w:isLgl/>
      <w:lvlText w:val="%1.%2.%3.%4.%5.%6.%7.%8.%9."/>
      <w:lvlJc w:val="left"/>
      <w:pPr>
        <w:ind w:left="5715" w:hanging="2160"/>
      </w:pPr>
      <w:rPr>
        <w:rFonts w:hint="default"/>
        <w:b w:val="0"/>
      </w:rPr>
    </w:lvl>
  </w:abstractNum>
  <w:abstractNum w:abstractNumId="29">
    <w:nsid w:val="7AC24610"/>
    <w:multiLevelType w:val="hybridMultilevel"/>
    <w:tmpl w:val="69F0A8F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DA21344"/>
    <w:multiLevelType w:val="hybridMultilevel"/>
    <w:tmpl w:val="B294560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22"/>
  </w:num>
  <w:num w:numId="4">
    <w:abstractNumId w:val="20"/>
  </w:num>
  <w:num w:numId="5">
    <w:abstractNumId w:val="5"/>
  </w:num>
  <w:num w:numId="6">
    <w:abstractNumId w:val="17"/>
  </w:num>
  <w:num w:numId="7">
    <w:abstractNumId w:val="26"/>
  </w:num>
  <w:num w:numId="8">
    <w:abstractNumId w:val="18"/>
  </w:num>
  <w:num w:numId="9">
    <w:abstractNumId w:val="1"/>
  </w:num>
  <w:num w:numId="10">
    <w:abstractNumId w:val="3"/>
  </w:num>
  <w:num w:numId="11">
    <w:abstractNumId w:val="10"/>
  </w:num>
  <w:num w:numId="12">
    <w:abstractNumId w:val="6"/>
  </w:num>
  <w:num w:numId="13">
    <w:abstractNumId w:val="0"/>
  </w:num>
  <w:num w:numId="14">
    <w:abstractNumId w:val="16"/>
  </w:num>
  <w:num w:numId="15">
    <w:abstractNumId w:val="12"/>
  </w:num>
  <w:num w:numId="16">
    <w:abstractNumId w:val="8"/>
  </w:num>
  <w:num w:numId="17">
    <w:abstractNumId w:val="7"/>
  </w:num>
  <w:num w:numId="18">
    <w:abstractNumId w:val="2"/>
  </w:num>
  <w:num w:numId="19">
    <w:abstractNumId w:val="27"/>
  </w:num>
  <w:num w:numId="20">
    <w:abstractNumId w:val="15"/>
  </w:num>
  <w:num w:numId="21">
    <w:abstractNumId w:val="19"/>
  </w:num>
  <w:num w:numId="22">
    <w:abstractNumId w:val="28"/>
  </w:num>
  <w:num w:numId="23">
    <w:abstractNumId w:val="24"/>
  </w:num>
  <w:num w:numId="24">
    <w:abstractNumId w:val="29"/>
  </w:num>
  <w:num w:numId="25">
    <w:abstractNumId w:val="30"/>
  </w:num>
  <w:num w:numId="26">
    <w:abstractNumId w:val="25"/>
  </w:num>
  <w:num w:numId="27">
    <w:abstractNumId w:val="13"/>
  </w:num>
  <w:num w:numId="28">
    <w:abstractNumId w:val="14"/>
  </w:num>
  <w:num w:numId="29">
    <w:abstractNumId w:val="2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B3"/>
    <w:rsid w:val="00001964"/>
    <w:rsid w:val="000067AF"/>
    <w:rsid w:val="00006CBE"/>
    <w:rsid w:val="000102E3"/>
    <w:rsid w:val="00022ED2"/>
    <w:rsid w:val="0003172F"/>
    <w:rsid w:val="000421AB"/>
    <w:rsid w:val="0005764F"/>
    <w:rsid w:val="00062040"/>
    <w:rsid w:val="0006637D"/>
    <w:rsid w:val="00073FB0"/>
    <w:rsid w:val="00082A0A"/>
    <w:rsid w:val="000872B3"/>
    <w:rsid w:val="000B1EF5"/>
    <w:rsid w:val="000C0E45"/>
    <w:rsid w:val="000C1BB7"/>
    <w:rsid w:val="000C2089"/>
    <w:rsid w:val="000C238B"/>
    <w:rsid w:val="000C4F5A"/>
    <w:rsid w:val="000D66FC"/>
    <w:rsid w:val="000E2ED8"/>
    <w:rsid w:val="000F0929"/>
    <w:rsid w:val="000F5FE1"/>
    <w:rsid w:val="000F6825"/>
    <w:rsid w:val="00123C4E"/>
    <w:rsid w:val="00167884"/>
    <w:rsid w:val="00185D2E"/>
    <w:rsid w:val="001860C9"/>
    <w:rsid w:val="00190255"/>
    <w:rsid w:val="00190DEE"/>
    <w:rsid w:val="001A355E"/>
    <w:rsid w:val="001C15B3"/>
    <w:rsid w:val="001D634F"/>
    <w:rsid w:val="001E5E30"/>
    <w:rsid w:val="00201D84"/>
    <w:rsid w:val="0023051E"/>
    <w:rsid w:val="002408C3"/>
    <w:rsid w:val="002427C1"/>
    <w:rsid w:val="002957B9"/>
    <w:rsid w:val="002970C1"/>
    <w:rsid w:val="002A2274"/>
    <w:rsid w:val="002B641F"/>
    <w:rsid w:val="002C7537"/>
    <w:rsid w:val="002D12D6"/>
    <w:rsid w:val="002E3BA7"/>
    <w:rsid w:val="002E7D28"/>
    <w:rsid w:val="00300EB9"/>
    <w:rsid w:val="00301DFD"/>
    <w:rsid w:val="00305AF4"/>
    <w:rsid w:val="00324515"/>
    <w:rsid w:val="003434B8"/>
    <w:rsid w:val="0036536A"/>
    <w:rsid w:val="0038152B"/>
    <w:rsid w:val="00384E60"/>
    <w:rsid w:val="003854A6"/>
    <w:rsid w:val="003A4DC6"/>
    <w:rsid w:val="003C69F8"/>
    <w:rsid w:val="003E7109"/>
    <w:rsid w:val="003F3874"/>
    <w:rsid w:val="003F4FD3"/>
    <w:rsid w:val="00412326"/>
    <w:rsid w:val="004203A6"/>
    <w:rsid w:val="0042040D"/>
    <w:rsid w:val="004231EC"/>
    <w:rsid w:val="00424F71"/>
    <w:rsid w:val="004260AD"/>
    <w:rsid w:val="004261CC"/>
    <w:rsid w:val="00434FAB"/>
    <w:rsid w:val="00446F24"/>
    <w:rsid w:val="004475AE"/>
    <w:rsid w:val="00450F72"/>
    <w:rsid w:val="00457A86"/>
    <w:rsid w:val="00467E77"/>
    <w:rsid w:val="0047130D"/>
    <w:rsid w:val="004775D9"/>
    <w:rsid w:val="00480CE4"/>
    <w:rsid w:val="00481E6F"/>
    <w:rsid w:val="004A72E3"/>
    <w:rsid w:val="004C2A6B"/>
    <w:rsid w:val="004D596B"/>
    <w:rsid w:val="004D6273"/>
    <w:rsid w:val="004E7EB7"/>
    <w:rsid w:val="004F4ED5"/>
    <w:rsid w:val="00516EE0"/>
    <w:rsid w:val="0052212E"/>
    <w:rsid w:val="00522283"/>
    <w:rsid w:val="00527E7C"/>
    <w:rsid w:val="00534FD6"/>
    <w:rsid w:val="005439AF"/>
    <w:rsid w:val="005545C6"/>
    <w:rsid w:val="00557201"/>
    <w:rsid w:val="00563779"/>
    <w:rsid w:val="00572720"/>
    <w:rsid w:val="0057364B"/>
    <w:rsid w:val="00583DE4"/>
    <w:rsid w:val="00587118"/>
    <w:rsid w:val="005B46D1"/>
    <w:rsid w:val="005C73F9"/>
    <w:rsid w:val="005D1E85"/>
    <w:rsid w:val="005E2868"/>
    <w:rsid w:val="00601336"/>
    <w:rsid w:val="00605245"/>
    <w:rsid w:val="00605D0D"/>
    <w:rsid w:val="00635D98"/>
    <w:rsid w:val="006413D0"/>
    <w:rsid w:val="00641DB8"/>
    <w:rsid w:val="00645B5B"/>
    <w:rsid w:val="00654428"/>
    <w:rsid w:val="006672CF"/>
    <w:rsid w:val="00677B91"/>
    <w:rsid w:val="00680DDC"/>
    <w:rsid w:val="00697905"/>
    <w:rsid w:val="006C7500"/>
    <w:rsid w:val="006D409D"/>
    <w:rsid w:val="006E37C7"/>
    <w:rsid w:val="006E5B28"/>
    <w:rsid w:val="006E6C04"/>
    <w:rsid w:val="00700BC1"/>
    <w:rsid w:val="00721EF1"/>
    <w:rsid w:val="00744D35"/>
    <w:rsid w:val="0074514C"/>
    <w:rsid w:val="00747173"/>
    <w:rsid w:val="00753778"/>
    <w:rsid w:val="00761E27"/>
    <w:rsid w:val="0076272B"/>
    <w:rsid w:val="007745B8"/>
    <w:rsid w:val="00784EBF"/>
    <w:rsid w:val="00786CA2"/>
    <w:rsid w:val="00790DE0"/>
    <w:rsid w:val="007B4315"/>
    <w:rsid w:val="007C558B"/>
    <w:rsid w:val="007D79A3"/>
    <w:rsid w:val="007E4CB7"/>
    <w:rsid w:val="00846AC4"/>
    <w:rsid w:val="00853E6A"/>
    <w:rsid w:val="00854993"/>
    <w:rsid w:val="00860229"/>
    <w:rsid w:val="00865431"/>
    <w:rsid w:val="00874084"/>
    <w:rsid w:val="0087616A"/>
    <w:rsid w:val="008827A3"/>
    <w:rsid w:val="00896386"/>
    <w:rsid w:val="00897507"/>
    <w:rsid w:val="008B2F41"/>
    <w:rsid w:val="008E3A88"/>
    <w:rsid w:val="008E7EAE"/>
    <w:rsid w:val="008F1E7B"/>
    <w:rsid w:val="008F4813"/>
    <w:rsid w:val="00907F55"/>
    <w:rsid w:val="00943A9A"/>
    <w:rsid w:val="00947276"/>
    <w:rsid w:val="00947DB8"/>
    <w:rsid w:val="009558F0"/>
    <w:rsid w:val="00971623"/>
    <w:rsid w:val="00973704"/>
    <w:rsid w:val="0097674A"/>
    <w:rsid w:val="00990985"/>
    <w:rsid w:val="00992BA6"/>
    <w:rsid w:val="009A5308"/>
    <w:rsid w:val="009B0319"/>
    <w:rsid w:val="009B108A"/>
    <w:rsid w:val="009B5A12"/>
    <w:rsid w:val="009B79D9"/>
    <w:rsid w:val="009C54F2"/>
    <w:rsid w:val="009D7597"/>
    <w:rsid w:val="009E0843"/>
    <w:rsid w:val="009E1356"/>
    <w:rsid w:val="009E47DB"/>
    <w:rsid w:val="009F0D54"/>
    <w:rsid w:val="009F6E1F"/>
    <w:rsid w:val="00A00ADA"/>
    <w:rsid w:val="00A05D9C"/>
    <w:rsid w:val="00A300ED"/>
    <w:rsid w:val="00A3084D"/>
    <w:rsid w:val="00A37701"/>
    <w:rsid w:val="00A40411"/>
    <w:rsid w:val="00A43320"/>
    <w:rsid w:val="00A55F1B"/>
    <w:rsid w:val="00A57569"/>
    <w:rsid w:val="00A71423"/>
    <w:rsid w:val="00A73920"/>
    <w:rsid w:val="00A84079"/>
    <w:rsid w:val="00A9022D"/>
    <w:rsid w:val="00A91D78"/>
    <w:rsid w:val="00A9271A"/>
    <w:rsid w:val="00AA2756"/>
    <w:rsid w:val="00AB0F8D"/>
    <w:rsid w:val="00AB7454"/>
    <w:rsid w:val="00AE352B"/>
    <w:rsid w:val="00AF10E4"/>
    <w:rsid w:val="00AF3D99"/>
    <w:rsid w:val="00B00133"/>
    <w:rsid w:val="00B01C91"/>
    <w:rsid w:val="00B033BE"/>
    <w:rsid w:val="00B12E9D"/>
    <w:rsid w:val="00B14254"/>
    <w:rsid w:val="00B34C78"/>
    <w:rsid w:val="00B4405A"/>
    <w:rsid w:val="00B46156"/>
    <w:rsid w:val="00B55265"/>
    <w:rsid w:val="00B92D9E"/>
    <w:rsid w:val="00BA14CC"/>
    <w:rsid w:val="00BA68CF"/>
    <w:rsid w:val="00BC36D5"/>
    <w:rsid w:val="00BC5FC9"/>
    <w:rsid w:val="00BE0219"/>
    <w:rsid w:val="00BE65BE"/>
    <w:rsid w:val="00BF4890"/>
    <w:rsid w:val="00BF6D2E"/>
    <w:rsid w:val="00BF7C9A"/>
    <w:rsid w:val="00C1021B"/>
    <w:rsid w:val="00C1070F"/>
    <w:rsid w:val="00C120CA"/>
    <w:rsid w:val="00C14724"/>
    <w:rsid w:val="00C20ABB"/>
    <w:rsid w:val="00C241DF"/>
    <w:rsid w:val="00C35802"/>
    <w:rsid w:val="00C52523"/>
    <w:rsid w:val="00C676FC"/>
    <w:rsid w:val="00C717A8"/>
    <w:rsid w:val="00C76F2B"/>
    <w:rsid w:val="00CA564F"/>
    <w:rsid w:val="00CB23B4"/>
    <w:rsid w:val="00CC4B87"/>
    <w:rsid w:val="00D07FD8"/>
    <w:rsid w:val="00D16939"/>
    <w:rsid w:val="00D47965"/>
    <w:rsid w:val="00D622A3"/>
    <w:rsid w:val="00D71059"/>
    <w:rsid w:val="00D7135C"/>
    <w:rsid w:val="00D94587"/>
    <w:rsid w:val="00DA1424"/>
    <w:rsid w:val="00DA3F02"/>
    <w:rsid w:val="00DE16DC"/>
    <w:rsid w:val="00DE2545"/>
    <w:rsid w:val="00DE5A01"/>
    <w:rsid w:val="00DE7762"/>
    <w:rsid w:val="00DF2B8A"/>
    <w:rsid w:val="00E1349D"/>
    <w:rsid w:val="00E31968"/>
    <w:rsid w:val="00E41D92"/>
    <w:rsid w:val="00E60023"/>
    <w:rsid w:val="00E61E56"/>
    <w:rsid w:val="00E73C72"/>
    <w:rsid w:val="00E74DB5"/>
    <w:rsid w:val="00E84EFE"/>
    <w:rsid w:val="00E85E61"/>
    <w:rsid w:val="00E867DE"/>
    <w:rsid w:val="00E86A37"/>
    <w:rsid w:val="00E93E92"/>
    <w:rsid w:val="00EA34A3"/>
    <w:rsid w:val="00EB0D2D"/>
    <w:rsid w:val="00EB3D0C"/>
    <w:rsid w:val="00EC721A"/>
    <w:rsid w:val="00EE043C"/>
    <w:rsid w:val="00EE51F1"/>
    <w:rsid w:val="00EE765E"/>
    <w:rsid w:val="00EF3CB6"/>
    <w:rsid w:val="00F06DD1"/>
    <w:rsid w:val="00F11F47"/>
    <w:rsid w:val="00F1414B"/>
    <w:rsid w:val="00F17431"/>
    <w:rsid w:val="00F20C38"/>
    <w:rsid w:val="00F211A3"/>
    <w:rsid w:val="00F23C1B"/>
    <w:rsid w:val="00F259F1"/>
    <w:rsid w:val="00F44C94"/>
    <w:rsid w:val="00F52B78"/>
    <w:rsid w:val="00F60401"/>
    <w:rsid w:val="00F625B3"/>
    <w:rsid w:val="00F67901"/>
    <w:rsid w:val="00F67C3C"/>
    <w:rsid w:val="00F7381B"/>
    <w:rsid w:val="00F81E0B"/>
    <w:rsid w:val="00F86AE5"/>
    <w:rsid w:val="00F93552"/>
    <w:rsid w:val="00FA0BF4"/>
    <w:rsid w:val="00FC1747"/>
    <w:rsid w:val="00FC7FFB"/>
    <w:rsid w:val="00FD3F6D"/>
    <w:rsid w:val="00FD5A21"/>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B3"/>
    <w:rPr>
      <w:rFonts w:ascii="Calibri" w:eastAsia="Calibri" w:hAnsi="Calibri" w:cs="Times New Roman"/>
    </w:rPr>
  </w:style>
  <w:style w:type="paragraph" w:styleId="1">
    <w:name w:val="heading 1"/>
    <w:basedOn w:val="a"/>
    <w:next w:val="a"/>
    <w:link w:val="10"/>
    <w:uiPriority w:val="9"/>
    <w:qFormat/>
    <w:rsid w:val="00C2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3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C241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872B3"/>
    <w:rPr>
      <w:sz w:val="20"/>
      <w:szCs w:val="20"/>
    </w:rPr>
  </w:style>
  <w:style w:type="character" w:customStyle="1" w:styleId="a4">
    <w:name w:val="Текст сноски Знак"/>
    <w:basedOn w:val="a0"/>
    <w:link w:val="a3"/>
    <w:uiPriority w:val="99"/>
    <w:semiHidden/>
    <w:rsid w:val="000872B3"/>
    <w:rPr>
      <w:rFonts w:ascii="Calibri" w:eastAsia="Calibri" w:hAnsi="Calibri" w:cs="Times New Roman"/>
      <w:sz w:val="20"/>
      <w:szCs w:val="20"/>
    </w:rPr>
  </w:style>
  <w:style w:type="character" w:styleId="a5">
    <w:name w:val="footnote reference"/>
    <w:semiHidden/>
    <w:unhideWhenUsed/>
    <w:rsid w:val="000872B3"/>
    <w:rPr>
      <w:vertAlign w:val="superscript"/>
    </w:rPr>
  </w:style>
  <w:style w:type="paragraph" w:styleId="a6">
    <w:name w:val="List Paragraph"/>
    <w:basedOn w:val="a"/>
    <w:uiPriority w:val="34"/>
    <w:qFormat/>
    <w:rsid w:val="000872B3"/>
    <w:pPr>
      <w:ind w:left="720"/>
      <w:contextualSpacing/>
    </w:pPr>
    <w:rPr>
      <w:rFonts w:asciiTheme="minorHAnsi" w:eastAsiaTheme="minorHAnsi" w:hAnsiTheme="minorHAnsi" w:cstheme="minorBidi"/>
    </w:rPr>
  </w:style>
  <w:style w:type="paragraph" w:styleId="a7">
    <w:name w:val="Balloon Text"/>
    <w:basedOn w:val="a"/>
    <w:link w:val="a8"/>
    <w:uiPriority w:val="99"/>
    <w:semiHidden/>
    <w:unhideWhenUsed/>
    <w:rsid w:val="00087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2B3"/>
    <w:rPr>
      <w:rFonts w:ascii="Tahoma" w:eastAsia="Calibri" w:hAnsi="Tahoma" w:cs="Tahoma"/>
      <w:sz w:val="16"/>
      <w:szCs w:val="16"/>
    </w:rPr>
  </w:style>
  <w:style w:type="paragraph" w:styleId="a9">
    <w:name w:val="header"/>
    <w:basedOn w:val="a"/>
    <w:link w:val="aa"/>
    <w:uiPriority w:val="99"/>
    <w:unhideWhenUsed/>
    <w:rsid w:val="00381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2B"/>
    <w:rPr>
      <w:rFonts w:ascii="Calibri" w:eastAsia="Calibri" w:hAnsi="Calibri" w:cs="Times New Roman"/>
    </w:rPr>
  </w:style>
  <w:style w:type="paragraph" w:styleId="ab">
    <w:name w:val="footer"/>
    <w:basedOn w:val="a"/>
    <w:link w:val="ac"/>
    <w:uiPriority w:val="99"/>
    <w:unhideWhenUsed/>
    <w:rsid w:val="00381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2B"/>
    <w:rPr>
      <w:rFonts w:ascii="Calibri" w:eastAsia="Calibri" w:hAnsi="Calibri" w:cs="Times New Roman"/>
    </w:rPr>
  </w:style>
  <w:style w:type="character" w:styleId="ad">
    <w:name w:val="Hyperlink"/>
    <w:basedOn w:val="a0"/>
    <w:uiPriority w:val="99"/>
    <w:unhideWhenUsed/>
    <w:rsid w:val="009E47DB"/>
    <w:rPr>
      <w:color w:val="0000FF" w:themeColor="hyperlink"/>
      <w:u w:val="single"/>
    </w:rPr>
  </w:style>
  <w:style w:type="paragraph" w:styleId="11">
    <w:name w:val="toc 1"/>
    <w:basedOn w:val="a"/>
    <w:next w:val="a"/>
    <w:autoRedefine/>
    <w:uiPriority w:val="39"/>
    <w:unhideWhenUsed/>
    <w:qFormat/>
    <w:rsid w:val="005D1E85"/>
    <w:pPr>
      <w:tabs>
        <w:tab w:val="right" w:leader="dot" w:pos="9627"/>
      </w:tabs>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C241DF"/>
    <w:pPr>
      <w:spacing w:before="240" w:after="0"/>
    </w:pPr>
    <w:rPr>
      <w:rFonts w:asciiTheme="minorHAnsi" w:hAnsiTheme="minorHAnsi"/>
      <w:b/>
      <w:bCs/>
      <w:sz w:val="20"/>
      <w:szCs w:val="20"/>
    </w:rPr>
  </w:style>
  <w:style w:type="paragraph" w:styleId="3">
    <w:name w:val="toc 3"/>
    <w:basedOn w:val="a"/>
    <w:next w:val="a"/>
    <w:autoRedefine/>
    <w:uiPriority w:val="39"/>
    <w:unhideWhenUsed/>
    <w:qFormat/>
    <w:rsid w:val="00C241DF"/>
    <w:pPr>
      <w:spacing w:after="0"/>
      <w:ind w:left="220"/>
    </w:pPr>
    <w:rPr>
      <w:rFonts w:asciiTheme="minorHAnsi" w:hAnsiTheme="minorHAnsi"/>
      <w:sz w:val="20"/>
      <w:szCs w:val="20"/>
    </w:rPr>
  </w:style>
  <w:style w:type="paragraph" w:styleId="4">
    <w:name w:val="toc 4"/>
    <w:basedOn w:val="a"/>
    <w:next w:val="a"/>
    <w:autoRedefine/>
    <w:uiPriority w:val="39"/>
    <w:unhideWhenUsed/>
    <w:rsid w:val="00C241DF"/>
    <w:pPr>
      <w:spacing w:after="0"/>
      <w:ind w:left="440"/>
    </w:pPr>
    <w:rPr>
      <w:rFonts w:asciiTheme="minorHAnsi" w:hAnsiTheme="minorHAnsi"/>
      <w:sz w:val="20"/>
      <w:szCs w:val="20"/>
    </w:rPr>
  </w:style>
  <w:style w:type="paragraph" w:styleId="5">
    <w:name w:val="toc 5"/>
    <w:basedOn w:val="a"/>
    <w:next w:val="a"/>
    <w:autoRedefine/>
    <w:uiPriority w:val="39"/>
    <w:unhideWhenUsed/>
    <w:rsid w:val="00C241DF"/>
    <w:pPr>
      <w:spacing w:after="0"/>
      <w:ind w:left="660"/>
    </w:pPr>
    <w:rPr>
      <w:rFonts w:asciiTheme="minorHAnsi" w:hAnsiTheme="minorHAnsi"/>
      <w:sz w:val="20"/>
      <w:szCs w:val="20"/>
    </w:rPr>
  </w:style>
  <w:style w:type="paragraph" w:styleId="61">
    <w:name w:val="toc 6"/>
    <w:basedOn w:val="a"/>
    <w:next w:val="a"/>
    <w:autoRedefine/>
    <w:uiPriority w:val="39"/>
    <w:unhideWhenUsed/>
    <w:rsid w:val="00C241DF"/>
    <w:pPr>
      <w:spacing w:after="0"/>
      <w:ind w:left="880"/>
    </w:pPr>
    <w:rPr>
      <w:rFonts w:asciiTheme="minorHAnsi" w:hAnsiTheme="minorHAnsi"/>
      <w:sz w:val="20"/>
      <w:szCs w:val="20"/>
    </w:rPr>
  </w:style>
  <w:style w:type="paragraph" w:styleId="7">
    <w:name w:val="toc 7"/>
    <w:basedOn w:val="a"/>
    <w:next w:val="a"/>
    <w:autoRedefine/>
    <w:uiPriority w:val="39"/>
    <w:unhideWhenUsed/>
    <w:rsid w:val="00C241DF"/>
    <w:pPr>
      <w:spacing w:after="0"/>
      <w:ind w:left="1100"/>
    </w:pPr>
    <w:rPr>
      <w:rFonts w:asciiTheme="minorHAnsi" w:hAnsiTheme="minorHAnsi"/>
      <w:sz w:val="20"/>
      <w:szCs w:val="20"/>
    </w:rPr>
  </w:style>
  <w:style w:type="paragraph" w:styleId="8">
    <w:name w:val="toc 8"/>
    <w:basedOn w:val="a"/>
    <w:next w:val="a"/>
    <w:autoRedefine/>
    <w:uiPriority w:val="39"/>
    <w:unhideWhenUsed/>
    <w:rsid w:val="00C241DF"/>
    <w:pPr>
      <w:spacing w:after="0"/>
      <w:ind w:left="1320"/>
    </w:pPr>
    <w:rPr>
      <w:rFonts w:asciiTheme="minorHAnsi" w:hAnsiTheme="minorHAnsi"/>
      <w:sz w:val="20"/>
      <w:szCs w:val="20"/>
    </w:rPr>
  </w:style>
  <w:style w:type="paragraph" w:styleId="9">
    <w:name w:val="toc 9"/>
    <w:basedOn w:val="a"/>
    <w:next w:val="a"/>
    <w:autoRedefine/>
    <w:uiPriority w:val="39"/>
    <w:unhideWhenUsed/>
    <w:rsid w:val="00C241DF"/>
    <w:pPr>
      <w:spacing w:after="0"/>
      <w:ind w:left="1540"/>
    </w:pPr>
    <w:rPr>
      <w:rFonts w:asciiTheme="minorHAnsi" w:hAnsiTheme="minorHAnsi"/>
      <w:sz w:val="20"/>
      <w:szCs w:val="20"/>
    </w:rPr>
  </w:style>
  <w:style w:type="character" w:customStyle="1" w:styleId="10">
    <w:name w:val="Заголовок 1 Знак"/>
    <w:basedOn w:val="a0"/>
    <w:link w:val="1"/>
    <w:uiPriority w:val="9"/>
    <w:rsid w:val="00C241DF"/>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241DF"/>
    <w:pPr>
      <w:outlineLvl w:val="9"/>
    </w:pPr>
    <w:rPr>
      <w:lang w:eastAsia="ru-RU"/>
    </w:rPr>
  </w:style>
  <w:style w:type="character" w:customStyle="1" w:styleId="60">
    <w:name w:val="Заголовок 6 Знак"/>
    <w:basedOn w:val="a0"/>
    <w:link w:val="6"/>
    <w:uiPriority w:val="9"/>
    <w:semiHidden/>
    <w:rsid w:val="00C241DF"/>
    <w:rPr>
      <w:rFonts w:asciiTheme="majorHAnsi" w:eastAsiaTheme="majorEastAsia" w:hAnsiTheme="majorHAnsi" w:cstheme="majorBidi"/>
      <w:i/>
      <w:iCs/>
      <w:color w:val="243F60" w:themeColor="accent1" w:themeShade="7F"/>
    </w:rPr>
  </w:style>
  <w:style w:type="paragraph" w:customStyle="1" w:styleId="FR1">
    <w:name w:val="FR1"/>
    <w:rsid w:val="00C241D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semiHidden/>
    <w:unhideWhenUsed/>
    <w:rsid w:val="00947276"/>
    <w:pPr>
      <w:autoSpaceDE w:val="0"/>
      <w:autoSpaceDN w:val="0"/>
      <w:adjustRightInd w:val="0"/>
      <w:spacing w:before="35" w:after="0" w:line="240" w:lineRule="auto"/>
      <w:ind w:right="278"/>
    </w:pPr>
    <w:rPr>
      <w:rFonts w:ascii="Times New Roman" w:eastAsia="Times New Roman" w:hAnsi="Times New Roman"/>
      <w:sz w:val="24"/>
      <w:szCs w:val="18"/>
      <w:lang w:eastAsia="ru-RU"/>
    </w:rPr>
  </w:style>
  <w:style w:type="character" w:customStyle="1" w:styleId="23">
    <w:name w:val="Основной текст 2 Знак"/>
    <w:basedOn w:val="a0"/>
    <w:link w:val="22"/>
    <w:semiHidden/>
    <w:rsid w:val="00947276"/>
    <w:rPr>
      <w:rFonts w:ascii="Times New Roman" w:eastAsia="Times New Roman" w:hAnsi="Times New Roman" w:cs="Times New Roman"/>
      <w:sz w:val="24"/>
      <w:szCs w:val="18"/>
      <w:lang w:eastAsia="ru-RU"/>
    </w:rPr>
  </w:style>
  <w:style w:type="character" w:customStyle="1" w:styleId="20">
    <w:name w:val="Заголовок 2 Знак"/>
    <w:basedOn w:val="a0"/>
    <w:link w:val="2"/>
    <w:uiPriority w:val="9"/>
    <w:rsid w:val="00943A9A"/>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F86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86AE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B3"/>
    <w:rPr>
      <w:rFonts w:ascii="Calibri" w:eastAsia="Calibri" w:hAnsi="Calibri" w:cs="Times New Roman"/>
    </w:rPr>
  </w:style>
  <w:style w:type="paragraph" w:styleId="1">
    <w:name w:val="heading 1"/>
    <w:basedOn w:val="a"/>
    <w:next w:val="a"/>
    <w:link w:val="10"/>
    <w:uiPriority w:val="9"/>
    <w:qFormat/>
    <w:rsid w:val="00C2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3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C241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872B3"/>
    <w:rPr>
      <w:sz w:val="20"/>
      <w:szCs w:val="20"/>
    </w:rPr>
  </w:style>
  <w:style w:type="character" w:customStyle="1" w:styleId="a4">
    <w:name w:val="Текст сноски Знак"/>
    <w:basedOn w:val="a0"/>
    <w:link w:val="a3"/>
    <w:uiPriority w:val="99"/>
    <w:semiHidden/>
    <w:rsid w:val="000872B3"/>
    <w:rPr>
      <w:rFonts w:ascii="Calibri" w:eastAsia="Calibri" w:hAnsi="Calibri" w:cs="Times New Roman"/>
      <w:sz w:val="20"/>
      <w:szCs w:val="20"/>
    </w:rPr>
  </w:style>
  <w:style w:type="character" w:styleId="a5">
    <w:name w:val="footnote reference"/>
    <w:semiHidden/>
    <w:unhideWhenUsed/>
    <w:rsid w:val="000872B3"/>
    <w:rPr>
      <w:vertAlign w:val="superscript"/>
    </w:rPr>
  </w:style>
  <w:style w:type="paragraph" w:styleId="a6">
    <w:name w:val="List Paragraph"/>
    <w:basedOn w:val="a"/>
    <w:uiPriority w:val="34"/>
    <w:qFormat/>
    <w:rsid w:val="000872B3"/>
    <w:pPr>
      <w:ind w:left="720"/>
      <w:contextualSpacing/>
    </w:pPr>
    <w:rPr>
      <w:rFonts w:asciiTheme="minorHAnsi" w:eastAsiaTheme="minorHAnsi" w:hAnsiTheme="minorHAnsi" w:cstheme="minorBidi"/>
    </w:rPr>
  </w:style>
  <w:style w:type="paragraph" w:styleId="a7">
    <w:name w:val="Balloon Text"/>
    <w:basedOn w:val="a"/>
    <w:link w:val="a8"/>
    <w:uiPriority w:val="99"/>
    <w:semiHidden/>
    <w:unhideWhenUsed/>
    <w:rsid w:val="00087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2B3"/>
    <w:rPr>
      <w:rFonts w:ascii="Tahoma" w:eastAsia="Calibri" w:hAnsi="Tahoma" w:cs="Tahoma"/>
      <w:sz w:val="16"/>
      <w:szCs w:val="16"/>
    </w:rPr>
  </w:style>
  <w:style w:type="paragraph" w:styleId="a9">
    <w:name w:val="header"/>
    <w:basedOn w:val="a"/>
    <w:link w:val="aa"/>
    <w:uiPriority w:val="99"/>
    <w:unhideWhenUsed/>
    <w:rsid w:val="00381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2B"/>
    <w:rPr>
      <w:rFonts w:ascii="Calibri" w:eastAsia="Calibri" w:hAnsi="Calibri" w:cs="Times New Roman"/>
    </w:rPr>
  </w:style>
  <w:style w:type="paragraph" w:styleId="ab">
    <w:name w:val="footer"/>
    <w:basedOn w:val="a"/>
    <w:link w:val="ac"/>
    <w:uiPriority w:val="99"/>
    <w:unhideWhenUsed/>
    <w:rsid w:val="00381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2B"/>
    <w:rPr>
      <w:rFonts w:ascii="Calibri" w:eastAsia="Calibri" w:hAnsi="Calibri" w:cs="Times New Roman"/>
    </w:rPr>
  </w:style>
  <w:style w:type="character" w:styleId="ad">
    <w:name w:val="Hyperlink"/>
    <w:basedOn w:val="a0"/>
    <w:uiPriority w:val="99"/>
    <w:unhideWhenUsed/>
    <w:rsid w:val="009E47DB"/>
    <w:rPr>
      <w:color w:val="0000FF" w:themeColor="hyperlink"/>
      <w:u w:val="single"/>
    </w:rPr>
  </w:style>
  <w:style w:type="paragraph" w:styleId="11">
    <w:name w:val="toc 1"/>
    <w:basedOn w:val="a"/>
    <w:next w:val="a"/>
    <w:autoRedefine/>
    <w:uiPriority w:val="39"/>
    <w:unhideWhenUsed/>
    <w:qFormat/>
    <w:rsid w:val="005D1E85"/>
    <w:pPr>
      <w:tabs>
        <w:tab w:val="right" w:leader="dot" w:pos="9627"/>
      </w:tabs>
      <w:spacing w:before="360" w:after="0"/>
    </w:pPr>
    <w:rPr>
      <w:rFonts w:asciiTheme="majorHAnsi" w:hAnsiTheme="majorHAnsi"/>
      <w:b/>
      <w:bCs/>
      <w:caps/>
      <w:sz w:val="24"/>
      <w:szCs w:val="24"/>
    </w:rPr>
  </w:style>
  <w:style w:type="paragraph" w:styleId="21">
    <w:name w:val="toc 2"/>
    <w:basedOn w:val="a"/>
    <w:next w:val="a"/>
    <w:autoRedefine/>
    <w:uiPriority w:val="39"/>
    <w:unhideWhenUsed/>
    <w:qFormat/>
    <w:rsid w:val="00C241DF"/>
    <w:pPr>
      <w:spacing w:before="240" w:after="0"/>
    </w:pPr>
    <w:rPr>
      <w:rFonts w:asciiTheme="minorHAnsi" w:hAnsiTheme="minorHAnsi"/>
      <w:b/>
      <w:bCs/>
      <w:sz w:val="20"/>
      <w:szCs w:val="20"/>
    </w:rPr>
  </w:style>
  <w:style w:type="paragraph" w:styleId="3">
    <w:name w:val="toc 3"/>
    <w:basedOn w:val="a"/>
    <w:next w:val="a"/>
    <w:autoRedefine/>
    <w:uiPriority w:val="39"/>
    <w:unhideWhenUsed/>
    <w:qFormat/>
    <w:rsid w:val="00C241DF"/>
    <w:pPr>
      <w:spacing w:after="0"/>
      <w:ind w:left="220"/>
    </w:pPr>
    <w:rPr>
      <w:rFonts w:asciiTheme="minorHAnsi" w:hAnsiTheme="minorHAnsi"/>
      <w:sz w:val="20"/>
      <w:szCs w:val="20"/>
    </w:rPr>
  </w:style>
  <w:style w:type="paragraph" w:styleId="4">
    <w:name w:val="toc 4"/>
    <w:basedOn w:val="a"/>
    <w:next w:val="a"/>
    <w:autoRedefine/>
    <w:uiPriority w:val="39"/>
    <w:unhideWhenUsed/>
    <w:rsid w:val="00C241DF"/>
    <w:pPr>
      <w:spacing w:after="0"/>
      <w:ind w:left="440"/>
    </w:pPr>
    <w:rPr>
      <w:rFonts w:asciiTheme="minorHAnsi" w:hAnsiTheme="minorHAnsi"/>
      <w:sz w:val="20"/>
      <w:szCs w:val="20"/>
    </w:rPr>
  </w:style>
  <w:style w:type="paragraph" w:styleId="5">
    <w:name w:val="toc 5"/>
    <w:basedOn w:val="a"/>
    <w:next w:val="a"/>
    <w:autoRedefine/>
    <w:uiPriority w:val="39"/>
    <w:unhideWhenUsed/>
    <w:rsid w:val="00C241DF"/>
    <w:pPr>
      <w:spacing w:after="0"/>
      <w:ind w:left="660"/>
    </w:pPr>
    <w:rPr>
      <w:rFonts w:asciiTheme="minorHAnsi" w:hAnsiTheme="minorHAnsi"/>
      <w:sz w:val="20"/>
      <w:szCs w:val="20"/>
    </w:rPr>
  </w:style>
  <w:style w:type="paragraph" w:styleId="61">
    <w:name w:val="toc 6"/>
    <w:basedOn w:val="a"/>
    <w:next w:val="a"/>
    <w:autoRedefine/>
    <w:uiPriority w:val="39"/>
    <w:unhideWhenUsed/>
    <w:rsid w:val="00C241DF"/>
    <w:pPr>
      <w:spacing w:after="0"/>
      <w:ind w:left="880"/>
    </w:pPr>
    <w:rPr>
      <w:rFonts w:asciiTheme="minorHAnsi" w:hAnsiTheme="minorHAnsi"/>
      <w:sz w:val="20"/>
      <w:szCs w:val="20"/>
    </w:rPr>
  </w:style>
  <w:style w:type="paragraph" w:styleId="7">
    <w:name w:val="toc 7"/>
    <w:basedOn w:val="a"/>
    <w:next w:val="a"/>
    <w:autoRedefine/>
    <w:uiPriority w:val="39"/>
    <w:unhideWhenUsed/>
    <w:rsid w:val="00C241DF"/>
    <w:pPr>
      <w:spacing w:after="0"/>
      <w:ind w:left="1100"/>
    </w:pPr>
    <w:rPr>
      <w:rFonts w:asciiTheme="minorHAnsi" w:hAnsiTheme="minorHAnsi"/>
      <w:sz w:val="20"/>
      <w:szCs w:val="20"/>
    </w:rPr>
  </w:style>
  <w:style w:type="paragraph" w:styleId="8">
    <w:name w:val="toc 8"/>
    <w:basedOn w:val="a"/>
    <w:next w:val="a"/>
    <w:autoRedefine/>
    <w:uiPriority w:val="39"/>
    <w:unhideWhenUsed/>
    <w:rsid w:val="00C241DF"/>
    <w:pPr>
      <w:spacing w:after="0"/>
      <w:ind w:left="1320"/>
    </w:pPr>
    <w:rPr>
      <w:rFonts w:asciiTheme="minorHAnsi" w:hAnsiTheme="minorHAnsi"/>
      <w:sz w:val="20"/>
      <w:szCs w:val="20"/>
    </w:rPr>
  </w:style>
  <w:style w:type="paragraph" w:styleId="9">
    <w:name w:val="toc 9"/>
    <w:basedOn w:val="a"/>
    <w:next w:val="a"/>
    <w:autoRedefine/>
    <w:uiPriority w:val="39"/>
    <w:unhideWhenUsed/>
    <w:rsid w:val="00C241DF"/>
    <w:pPr>
      <w:spacing w:after="0"/>
      <w:ind w:left="1540"/>
    </w:pPr>
    <w:rPr>
      <w:rFonts w:asciiTheme="minorHAnsi" w:hAnsiTheme="minorHAnsi"/>
      <w:sz w:val="20"/>
      <w:szCs w:val="20"/>
    </w:rPr>
  </w:style>
  <w:style w:type="character" w:customStyle="1" w:styleId="10">
    <w:name w:val="Заголовок 1 Знак"/>
    <w:basedOn w:val="a0"/>
    <w:link w:val="1"/>
    <w:uiPriority w:val="9"/>
    <w:rsid w:val="00C241DF"/>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241DF"/>
    <w:pPr>
      <w:outlineLvl w:val="9"/>
    </w:pPr>
    <w:rPr>
      <w:lang w:eastAsia="ru-RU"/>
    </w:rPr>
  </w:style>
  <w:style w:type="character" w:customStyle="1" w:styleId="60">
    <w:name w:val="Заголовок 6 Знак"/>
    <w:basedOn w:val="a0"/>
    <w:link w:val="6"/>
    <w:uiPriority w:val="9"/>
    <w:semiHidden/>
    <w:rsid w:val="00C241DF"/>
    <w:rPr>
      <w:rFonts w:asciiTheme="majorHAnsi" w:eastAsiaTheme="majorEastAsia" w:hAnsiTheme="majorHAnsi" w:cstheme="majorBidi"/>
      <w:i/>
      <w:iCs/>
      <w:color w:val="243F60" w:themeColor="accent1" w:themeShade="7F"/>
    </w:rPr>
  </w:style>
  <w:style w:type="paragraph" w:customStyle="1" w:styleId="FR1">
    <w:name w:val="FR1"/>
    <w:rsid w:val="00C241D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semiHidden/>
    <w:unhideWhenUsed/>
    <w:rsid w:val="00947276"/>
    <w:pPr>
      <w:autoSpaceDE w:val="0"/>
      <w:autoSpaceDN w:val="0"/>
      <w:adjustRightInd w:val="0"/>
      <w:spacing w:before="35" w:after="0" w:line="240" w:lineRule="auto"/>
      <w:ind w:right="278"/>
    </w:pPr>
    <w:rPr>
      <w:rFonts w:ascii="Times New Roman" w:eastAsia="Times New Roman" w:hAnsi="Times New Roman"/>
      <w:sz w:val="24"/>
      <w:szCs w:val="18"/>
      <w:lang w:eastAsia="ru-RU"/>
    </w:rPr>
  </w:style>
  <w:style w:type="character" w:customStyle="1" w:styleId="23">
    <w:name w:val="Основной текст 2 Знак"/>
    <w:basedOn w:val="a0"/>
    <w:link w:val="22"/>
    <w:semiHidden/>
    <w:rsid w:val="00947276"/>
    <w:rPr>
      <w:rFonts w:ascii="Times New Roman" w:eastAsia="Times New Roman" w:hAnsi="Times New Roman" w:cs="Times New Roman"/>
      <w:sz w:val="24"/>
      <w:szCs w:val="18"/>
      <w:lang w:eastAsia="ru-RU"/>
    </w:rPr>
  </w:style>
  <w:style w:type="character" w:customStyle="1" w:styleId="20">
    <w:name w:val="Заголовок 2 Знак"/>
    <w:basedOn w:val="a0"/>
    <w:link w:val="2"/>
    <w:uiPriority w:val="9"/>
    <w:rsid w:val="00943A9A"/>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F86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86AE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628">
      <w:bodyDiv w:val="1"/>
      <w:marLeft w:val="0"/>
      <w:marRight w:val="0"/>
      <w:marTop w:val="0"/>
      <w:marBottom w:val="0"/>
      <w:divBdr>
        <w:top w:val="none" w:sz="0" w:space="0" w:color="auto"/>
        <w:left w:val="none" w:sz="0" w:space="0" w:color="auto"/>
        <w:bottom w:val="none" w:sz="0" w:space="0" w:color="auto"/>
        <w:right w:val="none" w:sz="0" w:space="0" w:color="auto"/>
      </w:divBdr>
    </w:div>
    <w:div w:id="12952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52;&#1072;&#1096;&#1091;&#1083;&#1103;\&#1056;&#1072;&#1073;&#1086;&#1095;&#1080;&#1081;%20&#1089;&#1090;&#1086;&#108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a:t>Turnover and profit, mln. euro</a:t>
            </a:r>
            <a:endParaRPr lang="ru-RU"/>
          </a:p>
        </c:rich>
      </c:tx>
      <c:layout/>
      <c:overlay val="0"/>
    </c:title>
    <c:autoTitleDeleted val="0"/>
    <c:plotArea>
      <c:layout/>
      <c:barChart>
        <c:barDir val="col"/>
        <c:grouping val="clustered"/>
        <c:varyColors val="0"/>
        <c:ser>
          <c:idx val="0"/>
          <c:order val="0"/>
          <c:tx>
            <c:strRef>
              <c:f>'[Key figures 2007-2011.xlsx]Sheet1'!$H$5</c:f>
              <c:strCache>
                <c:ptCount val="1"/>
                <c:pt idx="0">
                  <c:v>Revenue</c:v>
                </c:pt>
              </c:strCache>
            </c:strRef>
          </c:tx>
          <c:invertIfNegative val="0"/>
          <c:cat>
            <c:numRef>
              <c:f>'[Key figures 2007-2011.xlsx]Sheet1'!$I$4:$M$4</c:f>
              <c:numCache>
                <c:formatCode>General</c:formatCode>
                <c:ptCount val="5"/>
                <c:pt idx="0">
                  <c:v>2007</c:v>
                </c:pt>
                <c:pt idx="1">
                  <c:v>2008</c:v>
                </c:pt>
                <c:pt idx="2">
                  <c:v>2009</c:v>
                </c:pt>
                <c:pt idx="3">
                  <c:v>2010</c:v>
                </c:pt>
                <c:pt idx="4">
                  <c:v>2011</c:v>
                </c:pt>
              </c:numCache>
            </c:numRef>
          </c:cat>
          <c:val>
            <c:numRef>
              <c:f>'[Key figures 2007-2011.xlsx]Sheet1'!$I$5:$M$5</c:f>
              <c:numCache>
                <c:formatCode>0.000</c:formatCode>
                <c:ptCount val="5"/>
                <c:pt idx="0" formatCode="General">
                  <c:v>11.244999999999999</c:v>
                </c:pt>
                <c:pt idx="1">
                  <c:v>14.319000000000001</c:v>
                </c:pt>
                <c:pt idx="2" formatCode="General">
                  <c:v>14.701000000000001</c:v>
                </c:pt>
                <c:pt idx="3" formatCode="General">
                  <c:v>16.132999999999999</c:v>
                </c:pt>
                <c:pt idx="4">
                  <c:v>17.123000000000001</c:v>
                </c:pt>
              </c:numCache>
            </c:numRef>
          </c:val>
        </c:ser>
        <c:ser>
          <c:idx val="1"/>
          <c:order val="1"/>
          <c:tx>
            <c:strRef>
              <c:f>'[Key figures 2007-2011.xlsx]Sheet1'!$H$6</c:f>
              <c:strCache>
                <c:ptCount val="1"/>
                <c:pt idx="0">
                  <c:v>EBIT</c:v>
                </c:pt>
              </c:strCache>
            </c:strRef>
          </c:tx>
          <c:invertIfNegative val="0"/>
          <c:cat>
            <c:numRef>
              <c:f>'[Key figures 2007-2011.xlsx]Sheet1'!$I$4:$M$4</c:f>
              <c:numCache>
                <c:formatCode>General</c:formatCode>
                <c:ptCount val="5"/>
                <c:pt idx="0">
                  <c:v>2007</c:v>
                </c:pt>
                <c:pt idx="1">
                  <c:v>2008</c:v>
                </c:pt>
                <c:pt idx="2">
                  <c:v>2009</c:v>
                </c:pt>
                <c:pt idx="3">
                  <c:v>2010</c:v>
                </c:pt>
                <c:pt idx="4">
                  <c:v>2011</c:v>
                </c:pt>
              </c:numCache>
            </c:numRef>
          </c:cat>
          <c:val>
            <c:numRef>
              <c:f>'[Key figures 2007-2011.xlsx]Sheet1'!$I$6:$M$6</c:f>
              <c:numCache>
                <c:formatCode>0.000</c:formatCode>
                <c:ptCount val="5"/>
                <c:pt idx="0" formatCode="General">
                  <c:v>1.4179999999999999</c:v>
                </c:pt>
                <c:pt idx="1">
                  <c:v>1.08</c:v>
                </c:pt>
                <c:pt idx="2" formatCode="General">
                  <c:v>1.7569999999999999</c:v>
                </c:pt>
                <c:pt idx="3" formatCode="General">
                  <c:v>2.4910000000000001</c:v>
                </c:pt>
                <c:pt idx="4" formatCode="General">
                  <c:v>2.4550000000000001</c:v>
                </c:pt>
              </c:numCache>
            </c:numRef>
          </c:val>
        </c:ser>
        <c:dLbls>
          <c:showLegendKey val="0"/>
          <c:showVal val="0"/>
          <c:showCatName val="0"/>
          <c:showSerName val="0"/>
          <c:showPercent val="0"/>
          <c:showBubbleSize val="0"/>
        </c:dLbls>
        <c:gapWidth val="150"/>
        <c:axId val="72404352"/>
        <c:axId val="114910720"/>
      </c:barChart>
      <c:catAx>
        <c:axId val="72404352"/>
        <c:scaling>
          <c:orientation val="minMax"/>
        </c:scaling>
        <c:delete val="0"/>
        <c:axPos val="b"/>
        <c:title>
          <c:tx>
            <c:rich>
              <a:bodyPr/>
              <a:lstStyle/>
              <a:p>
                <a:pPr>
                  <a:defRPr/>
                </a:pPr>
                <a:r>
                  <a:rPr lang="en-US"/>
                  <a:t>Year</a:t>
                </a:r>
                <a:endParaRPr lang="ru-RU"/>
              </a:p>
            </c:rich>
          </c:tx>
          <c:layout/>
          <c:overlay val="0"/>
        </c:title>
        <c:numFmt formatCode="General" sourceLinked="1"/>
        <c:majorTickMark val="none"/>
        <c:minorTickMark val="none"/>
        <c:tickLblPos val="nextTo"/>
        <c:crossAx val="114910720"/>
        <c:crosses val="autoZero"/>
        <c:auto val="1"/>
        <c:lblAlgn val="ctr"/>
        <c:lblOffset val="100"/>
        <c:noMultiLvlLbl val="0"/>
      </c:catAx>
      <c:valAx>
        <c:axId val="114910720"/>
        <c:scaling>
          <c:orientation val="minMax"/>
        </c:scaling>
        <c:delete val="0"/>
        <c:axPos val="l"/>
        <c:majorGridlines/>
        <c:title>
          <c:tx>
            <c:rich>
              <a:bodyPr/>
              <a:lstStyle/>
              <a:p>
                <a:pPr>
                  <a:defRPr/>
                </a:pPr>
                <a:r>
                  <a:rPr lang="en-US"/>
                  <a:t>Mln. euro</a:t>
                </a:r>
                <a:endParaRPr lang="ru-RU"/>
              </a:p>
            </c:rich>
          </c:tx>
          <c:layout/>
          <c:overlay val="0"/>
        </c:title>
        <c:numFmt formatCode="General" sourceLinked="1"/>
        <c:majorTickMark val="out"/>
        <c:minorTickMark val="none"/>
        <c:tickLblPos val="nextTo"/>
        <c:crossAx val="724043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400"/>
              <a:t>Heineken N.V. Revenue,</a:t>
            </a:r>
          </a:p>
          <a:p>
            <a:pPr>
              <a:defRPr/>
            </a:pPr>
            <a:r>
              <a:rPr lang="en-US" sz="1400"/>
              <a:t>geographical</a:t>
            </a:r>
            <a:r>
              <a:rPr lang="en-US" sz="1400" baseline="0"/>
              <a:t> split</a:t>
            </a:r>
            <a:endParaRPr lang="ru-RU" sz="1400"/>
          </a:p>
        </c:rich>
      </c:tx>
      <c:layout>
        <c:manualLayout>
          <c:xMode val="edge"/>
          <c:yMode val="edge"/>
          <c:x val="0.30203256590376137"/>
          <c:y val="0"/>
        </c:manualLayout>
      </c:layout>
      <c:overlay val="0"/>
    </c:title>
    <c:autoTitleDeleted val="0"/>
    <c:plotArea>
      <c:layout>
        <c:manualLayout>
          <c:layoutTarget val="inner"/>
          <c:xMode val="edge"/>
          <c:yMode val="edge"/>
          <c:x val="0.15163951712676391"/>
          <c:y val="0.15744186435294313"/>
          <c:w val="0.58439552711782894"/>
          <c:h val="0.69284818697025941"/>
        </c:manualLayout>
      </c:layout>
      <c:barChart>
        <c:barDir val="col"/>
        <c:grouping val="stacked"/>
        <c:varyColors val="0"/>
        <c:ser>
          <c:idx val="0"/>
          <c:order val="0"/>
          <c:tx>
            <c:strRef>
              <c:f>'[Key figures 2007-2011.xlsx]Sheet1'!$H$49</c:f>
              <c:strCache>
                <c:ptCount val="1"/>
                <c:pt idx="0">
                  <c:v>Western Europe</c:v>
                </c:pt>
              </c:strCache>
            </c:strRef>
          </c:tx>
          <c:invertIfNegative val="0"/>
          <c:cat>
            <c:numRef>
              <c:f>'[Key figures 2007-2011.xlsx]Sheet1'!$I$48:$M$48</c:f>
              <c:numCache>
                <c:formatCode>General</c:formatCode>
                <c:ptCount val="5"/>
                <c:pt idx="0">
                  <c:v>2007</c:v>
                </c:pt>
                <c:pt idx="1">
                  <c:v>2008</c:v>
                </c:pt>
                <c:pt idx="2">
                  <c:v>2009</c:v>
                </c:pt>
                <c:pt idx="3">
                  <c:v>2010</c:v>
                </c:pt>
                <c:pt idx="4">
                  <c:v>2011</c:v>
                </c:pt>
              </c:numCache>
            </c:numRef>
          </c:cat>
          <c:val>
            <c:numRef>
              <c:f>'[Key figures 2007-2011.xlsx]Sheet1'!$I$49:$M$49</c:f>
              <c:numCache>
                <c:formatCode>General</c:formatCode>
                <c:ptCount val="5"/>
                <c:pt idx="0" formatCode="0.000">
                  <c:v>5.45</c:v>
                </c:pt>
                <c:pt idx="1">
                  <c:v>7.6609999999999996</c:v>
                </c:pt>
                <c:pt idx="2" formatCode="0.000">
                  <c:v>8.4320000000000004</c:v>
                </c:pt>
                <c:pt idx="3">
                  <c:v>7.8940000000000001</c:v>
                </c:pt>
                <c:pt idx="4">
                  <c:v>7.7519999999999998</c:v>
                </c:pt>
              </c:numCache>
            </c:numRef>
          </c:val>
        </c:ser>
        <c:ser>
          <c:idx val="1"/>
          <c:order val="1"/>
          <c:tx>
            <c:strRef>
              <c:f>'[Key figures 2007-2011.xlsx]Sheet1'!$H$50</c:f>
              <c:strCache>
                <c:ptCount val="1"/>
                <c:pt idx="0">
                  <c:v>Central &amp; Eastern Europe</c:v>
                </c:pt>
              </c:strCache>
            </c:strRef>
          </c:tx>
          <c:invertIfNegative val="0"/>
          <c:cat>
            <c:numRef>
              <c:f>'[Key figures 2007-2011.xlsx]Sheet1'!$I$48:$M$48</c:f>
              <c:numCache>
                <c:formatCode>General</c:formatCode>
                <c:ptCount val="5"/>
                <c:pt idx="0">
                  <c:v>2007</c:v>
                </c:pt>
                <c:pt idx="1">
                  <c:v>2008</c:v>
                </c:pt>
                <c:pt idx="2">
                  <c:v>2009</c:v>
                </c:pt>
                <c:pt idx="3">
                  <c:v>2010</c:v>
                </c:pt>
                <c:pt idx="4">
                  <c:v>2011</c:v>
                </c:pt>
              </c:numCache>
            </c:numRef>
          </c:cat>
          <c:val>
            <c:numRef>
              <c:f>'[Key figures 2007-2011.xlsx]Sheet1'!$I$50:$M$50</c:f>
              <c:numCache>
                <c:formatCode>General</c:formatCode>
                <c:ptCount val="5"/>
                <c:pt idx="0">
                  <c:v>3.226</c:v>
                </c:pt>
                <c:pt idx="1">
                  <c:v>3.6869999999999998</c:v>
                </c:pt>
                <c:pt idx="2" formatCode="0.000">
                  <c:v>3.2</c:v>
                </c:pt>
                <c:pt idx="3">
                  <c:v>3.1429999999999998</c:v>
                </c:pt>
                <c:pt idx="4">
                  <c:v>3.2290000000000001</c:v>
                </c:pt>
              </c:numCache>
            </c:numRef>
          </c:val>
        </c:ser>
        <c:ser>
          <c:idx val="2"/>
          <c:order val="2"/>
          <c:tx>
            <c:strRef>
              <c:f>'[Key figures 2007-2011.xlsx]Sheet1'!$H$51</c:f>
              <c:strCache>
                <c:ptCount val="1"/>
                <c:pt idx="0">
                  <c:v>Africa &amp; Middle East</c:v>
                </c:pt>
              </c:strCache>
            </c:strRef>
          </c:tx>
          <c:invertIfNegative val="0"/>
          <c:cat>
            <c:numRef>
              <c:f>'[Key figures 2007-2011.xlsx]Sheet1'!$I$48:$M$48</c:f>
              <c:numCache>
                <c:formatCode>General</c:formatCode>
                <c:ptCount val="5"/>
                <c:pt idx="0">
                  <c:v>2007</c:v>
                </c:pt>
                <c:pt idx="1">
                  <c:v>2008</c:v>
                </c:pt>
                <c:pt idx="2">
                  <c:v>2009</c:v>
                </c:pt>
                <c:pt idx="3">
                  <c:v>2010</c:v>
                </c:pt>
                <c:pt idx="4">
                  <c:v>2011</c:v>
                </c:pt>
              </c:numCache>
            </c:numRef>
          </c:cat>
          <c:val>
            <c:numRef>
              <c:f>'[Key figures 2007-2011.xlsx]Sheet1'!$I$51:$M$51</c:f>
              <c:numCache>
                <c:formatCode>General</c:formatCode>
                <c:ptCount val="5"/>
                <c:pt idx="0">
                  <c:v>1.3109999999999999</c:v>
                </c:pt>
                <c:pt idx="1">
                  <c:v>1.774</c:v>
                </c:pt>
                <c:pt idx="2" formatCode="0.000">
                  <c:v>1.8169999999999999</c:v>
                </c:pt>
                <c:pt idx="3">
                  <c:v>1.988</c:v>
                </c:pt>
                <c:pt idx="4">
                  <c:v>2.2229999999999999</c:v>
                </c:pt>
              </c:numCache>
            </c:numRef>
          </c:val>
        </c:ser>
        <c:ser>
          <c:idx val="3"/>
          <c:order val="3"/>
          <c:tx>
            <c:strRef>
              <c:f>'[Key figures 2007-2011.xlsx]Sheet1'!$H$52</c:f>
              <c:strCache>
                <c:ptCount val="1"/>
                <c:pt idx="0">
                  <c:v>Americas</c:v>
                </c:pt>
              </c:strCache>
            </c:strRef>
          </c:tx>
          <c:invertIfNegative val="0"/>
          <c:cat>
            <c:numRef>
              <c:f>'[Key figures 2007-2011.xlsx]Sheet1'!$I$48:$M$48</c:f>
              <c:numCache>
                <c:formatCode>General</c:formatCode>
                <c:ptCount val="5"/>
                <c:pt idx="0">
                  <c:v>2007</c:v>
                </c:pt>
                <c:pt idx="1">
                  <c:v>2008</c:v>
                </c:pt>
                <c:pt idx="2">
                  <c:v>2009</c:v>
                </c:pt>
                <c:pt idx="3">
                  <c:v>2010</c:v>
                </c:pt>
                <c:pt idx="4">
                  <c:v>2011</c:v>
                </c:pt>
              </c:numCache>
            </c:numRef>
          </c:cat>
          <c:val>
            <c:numRef>
              <c:f>'[Key figures 2007-2011.xlsx]Sheet1'!$I$52:$M$52</c:f>
              <c:numCache>
                <c:formatCode>General</c:formatCode>
                <c:ptCount val="5"/>
                <c:pt idx="0">
                  <c:v>1.6080000000000001</c:v>
                </c:pt>
                <c:pt idx="1">
                  <c:v>1.5660000000000001</c:v>
                </c:pt>
                <c:pt idx="2" formatCode="0.000">
                  <c:v>1.514</c:v>
                </c:pt>
                <c:pt idx="3">
                  <c:v>3.2959999999999998</c:v>
                </c:pt>
                <c:pt idx="4">
                  <c:v>4.0289999999999999</c:v>
                </c:pt>
              </c:numCache>
            </c:numRef>
          </c:val>
        </c:ser>
        <c:ser>
          <c:idx val="4"/>
          <c:order val="4"/>
          <c:tx>
            <c:strRef>
              <c:f>'[Key figures 2007-2011.xlsx]Sheet1'!$H$53</c:f>
              <c:strCache>
                <c:ptCount val="1"/>
                <c:pt idx="0">
                  <c:v>Asia Pacific</c:v>
                </c:pt>
              </c:strCache>
            </c:strRef>
          </c:tx>
          <c:invertIfNegative val="0"/>
          <c:cat>
            <c:numRef>
              <c:f>'[Key figures 2007-2011.xlsx]Sheet1'!$I$48:$M$48</c:f>
              <c:numCache>
                <c:formatCode>General</c:formatCode>
                <c:ptCount val="5"/>
                <c:pt idx="0">
                  <c:v>2007</c:v>
                </c:pt>
                <c:pt idx="1">
                  <c:v>2008</c:v>
                </c:pt>
                <c:pt idx="2">
                  <c:v>2009</c:v>
                </c:pt>
                <c:pt idx="3">
                  <c:v>2010</c:v>
                </c:pt>
                <c:pt idx="4">
                  <c:v>2011</c:v>
                </c:pt>
              </c:numCache>
            </c:numRef>
          </c:cat>
          <c:val>
            <c:numRef>
              <c:f>'[Key figures 2007-2011.xlsx]Sheet1'!$I$53:$M$53</c:f>
              <c:numCache>
                <c:formatCode>General</c:formatCode>
                <c:ptCount val="5"/>
                <c:pt idx="0">
                  <c:v>0.245</c:v>
                </c:pt>
                <c:pt idx="1">
                  <c:v>0.27900000000000003</c:v>
                </c:pt>
                <c:pt idx="2" formatCode="0">
                  <c:v>0.30499999999999999</c:v>
                </c:pt>
                <c:pt idx="3">
                  <c:v>0.20599999999999999</c:v>
                </c:pt>
                <c:pt idx="4">
                  <c:v>0.216</c:v>
                </c:pt>
              </c:numCache>
            </c:numRef>
          </c:val>
        </c:ser>
        <c:dLbls>
          <c:showLegendKey val="0"/>
          <c:showVal val="0"/>
          <c:showCatName val="0"/>
          <c:showSerName val="0"/>
          <c:showPercent val="0"/>
          <c:showBubbleSize val="0"/>
        </c:dLbls>
        <c:gapWidth val="300"/>
        <c:overlap val="100"/>
        <c:axId val="109266048"/>
        <c:axId val="109267968"/>
      </c:barChart>
      <c:catAx>
        <c:axId val="109266048"/>
        <c:scaling>
          <c:orientation val="minMax"/>
        </c:scaling>
        <c:delete val="0"/>
        <c:axPos val="b"/>
        <c:title>
          <c:tx>
            <c:rich>
              <a:bodyPr/>
              <a:lstStyle/>
              <a:p>
                <a:pPr>
                  <a:defRPr/>
                </a:pPr>
                <a:r>
                  <a:rPr lang="en-US"/>
                  <a:t>Year</a:t>
                </a:r>
                <a:endParaRPr lang="ru-RU"/>
              </a:p>
            </c:rich>
          </c:tx>
          <c:layout/>
          <c:overlay val="0"/>
        </c:title>
        <c:numFmt formatCode="General" sourceLinked="1"/>
        <c:majorTickMark val="none"/>
        <c:minorTickMark val="none"/>
        <c:tickLblPos val="nextTo"/>
        <c:crossAx val="109267968"/>
        <c:crosses val="autoZero"/>
        <c:auto val="1"/>
        <c:lblAlgn val="ctr"/>
        <c:lblOffset val="100"/>
        <c:noMultiLvlLbl val="0"/>
      </c:catAx>
      <c:valAx>
        <c:axId val="109267968"/>
        <c:scaling>
          <c:orientation val="minMax"/>
        </c:scaling>
        <c:delete val="0"/>
        <c:axPos val="l"/>
        <c:majorGridlines/>
        <c:title>
          <c:tx>
            <c:rich>
              <a:bodyPr/>
              <a:lstStyle/>
              <a:p>
                <a:pPr>
                  <a:defRPr/>
                </a:pPr>
                <a:r>
                  <a:rPr lang="en-US"/>
                  <a:t>Mln.euro</a:t>
                </a:r>
                <a:endParaRPr lang="ru-RU"/>
              </a:p>
            </c:rich>
          </c:tx>
          <c:layout/>
          <c:overlay val="0"/>
        </c:title>
        <c:numFmt formatCode="0.000" sourceLinked="1"/>
        <c:majorTickMark val="out"/>
        <c:minorTickMark val="none"/>
        <c:tickLblPos val="nextTo"/>
        <c:crossAx val="109266048"/>
        <c:crosses val="autoZero"/>
        <c:crossBetween val="between"/>
      </c:valAx>
    </c:plotArea>
    <c:legend>
      <c:legendPos val="r"/>
      <c:layout>
        <c:manualLayout>
          <c:xMode val="edge"/>
          <c:yMode val="edge"/>
          <c:x val="0.73603504424459276"/>
          <c:y val="0.27189059966230339"/>
          <c:w val="0.23823396634268701"/>
          <c:h val="0.5198070782553454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FF!$A$11:$A$14</c:f>
              <c:strCache>
                <c:ptCount val="4"/>
                <c:pt idx="0">
                  <c:v>DCF</c:v>
                </c:pt>
                <c:pt idx="1">
                  <c:v>Trading multiples - EM</c:v>
                </c:pt>
                <c:pt idx="2">
                  <c:v>Trading multiples - DM</c:v>
                </c:pt>
                <c:pt idx="3">
                  <c:v>Trading multiples - Russia</c:v>
                </c:pt>
              </c:strCache>
            </c:strRef>
          </c:cat>
          <c:val>
            <c:numRef>
              <c:f>FF!$B$11:$B$14</c:f>
              <c:numCache>
                <c:formatCode>General</c:formatCode>
                <c:ptCount val="4"/>
              </c:numCache>
            </c:numRef>
          </c:val>
        </c:ser>
        <c:ser>
          <c:idx val="1"/>
          <c:order val="1"/>
          <c:invertIfNegative val="0"/>
          <c:cat>
            <c:strRef>
              <c:f>FF!$A$11:$A$14</c:f>
              <c:strCache>
                <c:ptCount val="4"/>
                <c:pt idx="0">
                  <c:v>DCF</c:v>
                </c:pt>
                <c:pt idx="1">
                  <c:v>Trading multiples - EM</c:v>
                </c:pt>
                <c:pt idx="2">
                  <c:v>Trading multiples - DM</c:v>
                </c:pt>
                <c:pt idx="3">
                  <c:v>Trading multiples - Russia</c:v>
                </c:pt>
              </c:strCache>
            </c:strRef>
          </c:cat>
          <c:val>
            <c:numRef>
              <c:f>FF!$C$11:$C$14</c:f>
              <c:numCache>
                <c:formatCode>General</c:formatCode>
                <c:ptCount val="4"/>
              </c:numCache>
            </c:numRef>
          </c:val>
        </c:ser>
        <c:ser>
          <c:idx val="2"/>
          <c:order val="2"/>
          <c:spPr>
            <a:noFill/>
            <a:ln>
              <a:noFill/>
            </a:ln>
            <a:effectLst>
              <a:outerShdw sx="1000" sy="1000" algn="ctr" rotWithShape="0">
                <a:prstClr val="white"/>
              </a:outerShdw>
            </a:effectLst>
          </c:spPr>
          <c:invertIfNegative val="0"/>
          <c:cat>
            <c:strRef>
              <c:f>FF!$A$11:$A$14</c:f>
              <c:strCache>
                <c:ptCount val="4"/>
                <c:pt idx="0">
                  <c:v>DCF</c:v>
                </c:pt>
                <c:pt idx="1">
                  <c:v>Trading multiples - EM</c:v>
                </c:pt>
                <c:pt idx="2">
                  <c:v>Trading multiples - DM</c:v>
                </c:pt>
                <c:pt idx="3">
                  <c:v>Trading multiples - Russia</c:v>
                </c:pt>
              </c:strCache>
            </c:strRef>
          </c:cat>
          <c:val>
            <c:numRef>
              <c:f>FF!$D$11:$D$14</c:f>
              <c:numCache>
                <c:formatCode>0</c:formatCode>
                <c:ptCount val="4"/>
                <c:pt idx="0">
                  <c:v>38969</c:v>
                </c:pt>
                <c:pt idx="1">
                  <c:v>23376.53</c:v>
                </c:pt>
                <c:pt idx="2">
                  <c:v>40697.490000000005</c:v>
                </c:pt>
                <c:pt idx="3">
                  <c:v>26827.19</c:v>
                </c:pt>
              </c:numCache>
            </c:numRef>
          </c:val>
        </c:ser>
        <c:ser>
          <c:idx val="3"/>
          <c:order val="3"/>
          <c:spPr>
            <a:solidFill>
              <a:schemeClr val="accent2"/>
            </a:solidFill>
          </c:spPr>
          <c:invertIfNegative val="0"/>
          <c:cat>
            <c:strRef>
              <c:f>FF!$A$11:$A$14</c:f>
              <c:strCache>
                <c:ptCount val="4"/>
                <c:pt idx="0">
                  <c:v>DCF</c:v>
                </c:pt>
                <c:pt idx="1">
                  <c:v>Trading multiples - EM</c:v>
                </c:pt>
                <c:pt idx="2">
                  <c:v>Trading multiples - DM</c:v>
                </c:pt>
                <c:pt idx="3">
                  <c:v>Trading multiples - Russia</c:v>
                </c:pt>
              </c:strCache>
            </c:strRef>
          </c:cat>
          <c:val>
            <c:numRef>
              <c:f>FF!$E$11:$E$14</c:f>
              <c:numCache>
                <c:formatCode>0</c:formatCode>
                <c:ptCount val="4"/>
                <c:pt idx="0">
                  <c:v>26553</c:v>
                </c:pt>
                <c:pt idx="1">
                  <c:v>18061.129999999997</c:v>
                </c:pt>
                <c:pt idx="2">
                  <c:v>9301.669999999991</c:v>
                </c:pt>
                <c:pt idx="3">
                  <c:v>21117.209999999995</c:v>
                </c:pt>
              </c:numCache>
            </c:numRef>
          </c:val>
        </c:ser>
        <c:dLbls>
          <c:showLegendKey val="0"/>
          <c:showVal val="0"/>
          <c:showCatName val="0"/>
          <c:showSerName val="0"/>
          <c:showPercent val="0"/>
          <c:showBubbleSize val="0"/>
        </c:dLbls>
        <c:gapWidth val="150"/>
        <c:overlap val="100"/>
        <c:axId val="109315584"/>
        <c:axId val="109317120"/>
      </c:barChart>
      <c:catAx>
        <c:axId val="109315584"/>
        <c:scaling>
          <c:orientation val="minMax"/>
        </c:scaling>
        <c:delete val="0"/>
        <c:axPos val="l"/>
        <c:majorTickMark val="out"/>
        <c:minorTickMark val="none"/>
        <c:tickLblPos val="nextTo"/>
        <c:crossAx val="109317120"/>
        <c:crosses val="autoZero"/>
        <c:auto val="1"/>
        <c:lblAlgn val="ctr"/>
        <c:lblOffset val="100"/>
        <c:noMultiLvlLbl val="0"/>
      </c:catAx>
      <c:valAx>
        <c:axId val="109317120"/>
        <c:scaling>
          <c:orientation val="minMax"/>
        </c:scaling>
        <c:delete val="0"/>
        <c:axPos val="b"/>
        <c:majorGridlines/>
        <c:numFmt formatCode="General" sourceLinked="1"/>
        <c:majorTickMark val="out"/>
        <c:minorTickMark val="none"/>
        <c:tickLblPos val="nextTo"/>
        <c:crossAx val="109315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2377-A749-494C-9CD4-E6ACFA55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12640</TotalTime>
  <Pages>67</Pages>
  <Words>11208</Words>
  <Characters>73629</Characters>
  <Application>Microsoft Office Word</Application>
  <DocSecurity>0</DocSecurity>
  <Lines>1475</Lines>
  <Paragraphs>352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Машуля</dc:creator>
  <cp:lastModifiedBy>Машуля</cp:lastModifiedBy>
  <cp:revision>126</cp:revision>
  <dcterms:created xsi:type="dcterms:W3CDTF">2013-04-02T17:53:00Z</dcterms:created>
  <dcterms:modified xsi:type="dcterms:W3CDTF">2013-05-13T19:44:00Z</dcterms:modified>
</cp:coreProperties>
</file>