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C0B7A" w14:textId="77777777" w:rsidR="00845E1D" w:rsidRPr="00A16502" w:rsidRDefault="00845E1D" w:rsidP="00845E1D">
      <w:pPr>
        <w:pStyle w:val="FR1"/>
        <w:tabs>
          <w:tab w:val="left" w:pos="5420"/>
        </w:tabs>
        <w:jc w:val="center"/>
        <w:rPr>
          <w:b/>
        </w:rPr>
      </w:pPr>
      <w:r w:rsidRPr="00A16502">
        <w:rPr>
          <w:b/>
        </w:rPr>
        <w:t>Правительство Российской Федерации</w:t>
      </w:r>
    </w:p>
    <w:p w14:paraId="2ED111BA" w14:textId="77777777" w:rsidR="00845E1D" w:rsidRPr="00A16502" w:rsidRDefault="00845E1D" w:rsidP="00845E1D">
      <w:pPr>
        <w:pStyle w:val="FR1"/>
        <w:tabs>
          <w:tab w:val="left" w:pos="5420"/>
        </w:tabs>
        <w:jc w:val="center"/>
        <w:rPr>
          <w:b/>
        </w:rPr>
      </w:pPr>
    </w:p>
    <w:p w14:paraId="25A1CE36" w14:textId="77777777" w:rsidR="00845E1D" w:rsidRDefault="00845E1D" w:rsidP="00845E1D">
      <w:pPr>
        <w:pStyle w:val="FR1"/>
        <w:tabs>
          <w:tab w:val="left" w:pos="5420"/>
        </w:tabs>
        <w:jc w:val="center"/>
        <w:rPr>
          <w:b/>
          <w:color w:val="000000"/>
        </w:rPr>
      </w:pPr>
      <w:r>
        <w:rPr>
          <w:b/>
          <w:color w:val="000000"/>
        </w:rPr>
        <w:t xml:space="preserve">Федеральное государственное автономное </w:t>
      </w:r>
      <w:r w:rsidRPr="00A16502">
        <w:rPr>
          <w:b/>
          <w:color w:val="000000"/>
        </w:rPr>
        <w:t xml:space="preserve">образовательное </w:t>
      </w:r>
    </w:p>
    <w:p w14:paraId="4B70A597" w14:textId="77777777" w:rsidR="00845E1D" w:rsidRPr="00A16502" w:rsidRDefault="00845E1D" w:rsidP="00845E1D">
      <w:pPr>
        <w:pStyle w:val="FR1"/>
        <w:tabs>
          <w:tab w:val="left" w:pos="5420"/>
        </w:tabs>
        <w:jc w:val="center"/>
        <w:rPr>
          <w:b/>
          <w:color w:val="000000"/>
        </w:rPr>
      </w:pPr>
      <w:r w:rsidRPr="00A16502">
        <w:rPr>
          <w:b/>
          <w:color w:val="000000"/>
        </w:rPr>
        <w:t>учреждение</w:t>
      </w:r>
    </w:p>
    <w:p w14:paraId="3B8D5FA2" w14:textId="77777777" w:rsidR="00845E1D" w:rsidRPr="00A16502" w:rsidRDefault="00845E1D" w:rsidP="00845E1D">
      <w:pPr>
        <w:pStyle w:val="FR1"/>
        <w:tabs>
          <w:tab w:val="left" w:pos="5420"/>
        </w:tabs>
        <w:jc w:val="center"/>
        <w:rPr>
          <w:b/>
          <w:color w:val="000000"/>
        </w:rPr>
      </w:pPr>
      <w:r w:rsidRPr="00A16502">
        <w:rPr>
          <w:b/>
          <w:color w:val="000000"/>
        </w:rPr>
        <w:t>высшего профессионального образования</w:t>
      </w:r>
    </w:p>
    <w:p w14:paraId="399A9228" w14:textId="77777777" w:rsidR="00845E1D" w:rsidRPr="00A16502" w:rsidRDefault="00845E1D" w:rsidP="00845E1D">
      <w:pPr>
        <w:pStyle w:val="FR1"/>
        <w:tabs>
          <w:tab w:val="left" w:pos="5420"/>
        </w:tabs>
        <w:jc w:val="center"/>
        <w:rPr>
          <w:b/>
        </w:rPr>
      </w:pPr>
    </w:p>
    <w:p w14:paraId="79E5ED3B" w14:textId="77777777" w:rsidR="00845E1D" w:rsidRPr="00A16502" w:rsidRDefault="00845E1D" w:rsidP="00845E1D">
      <w:pPr>
        <w:jc w:val="center"/>
        <w:rPr>
          <w:rFonts w:ascii="Times New Roman" w:hAnsi="Times New Roman"/>
          <w:b/>
          <w:sz w:val="28"/>
          <w:szCs w:val="28"/>
        </w:rPr>
      </w:pPr>
      <w:r w:rsidRPr="00A16502">
        <w:rPr>
          <w:rFonts w:ascii="Times New Roman" w:hAnsi="Times New Roman"/>
          <w:b/>
          <w:sz w:val="28"/>
          <w:szCs w:val="28"/>
        </w:rPr>
        <w:t xml:space="preserve">«Национальный </w:t>
      </w:r>
      <w:r>
        <w:rPr>
          <w:rFonts w:ascii="Times New Roman" w:hAnsi="Times New Roman"/>
          <w:b/>
          <w:sz w:val="28"/>
          <w:szCs w:val="28"/>
        </w:rPr>
        <w:t xml:space="preserve">исследовательский университет </w:t>
      </w:r>
    </w:p>
    <w:p w14:paraId="04CAF56F" w14:textId="77777777" w:rsidR="00845E1D" w:rsidRPr="00A16502" w:rsidRDefault="00845E1D" w:rsidP="00845E1D">
      <w:pPr>
        <w:jc w:val="center"/>
        <w:rPr>
          <w:rFonts w:ascii="Times New Roman" w:hAnsi="Times New Roman"/>
          <w:b/>
          <w:sz w:val="28"/>
          <w:szCs w:val="28"/>
        </w:rPr>
      </w:pPr>
      <w:r w:rsidRPr="00A16502">
        <w:rPr>
          <w:rFonts w:ascii="Times New Roman" w:hAnsi="Times New Roman"/>
          <w:b/>
          <w:sz w:val="28"/>
          <w:szCs w:val="28"/>
        </w:rPr>
        <w:t>Высшая школа экономики»</w:t>
      </w:r>
    </w:p>
    <w:p w14:paraId="793666AE" w14:textId="77777777" w:rsidR="00845E1D" w:rsidRPr="00A16502" w:rsidRDefault="00845E1D" w:rsidP="00845E1D">
      <w:pPr>
        <w:jc w:val="center"/>
        <w:rPr>
          <w:rFonts w:ascii="Times New Roman" w:hAnsi="Times New Roman"/>
          <w:b/>
          <w:sz w:val="28"/>
          <w:szCs w:val="28"/>
        </w:rPr>
      </w:pPr>
    </w:p>
    <w:p w14:paraId="370E2CBA" w14:textId="77777777" w:rsidR="00845E1D" w:rsidRPr="00A16502" w:rsidRDefault="00845E1D" w:rsidP="00845E1D">
      <w:pPr>
        <w:rPr>
          <w:rFonts w:ascii="Times New Roman" w:hAnsi="Times New Roman"/>
          <w:b/>
          <w:sz w:val="28"/>
          <w:szCs w:val="28"/>
        </w:rPr>
      </w:pPr>
    </w:p>
    <w:p w14:paraId="35D6BDCD" w14:textId="77777777" w:rsidR="00845E1D" w:rsidRPr="00A16502" w:rsidRDefault="00845E1D" w:rsidP="00845E1D">
      <w:pPr>
        <w:jc w:val="center"/>
        <w:rPr>
          <w:rFonts w:ascii="Times New Roman" w:hAnsi="Times New Roman"/>
          <w:b/>
          <w:sz w:val="28"/>
          <w:szCs w:val="28"/>
        </w:rPr>
      </w:pPr>
      <w:r w:rsidRPr="00A16502">
        <w:rPr>
          <w:rFonts w:ascii="Times New Roman" w:hAnsi="Times New Roman"/>
          <w:b/>
          <w:sz w:val="28"/>
          <w:szCs w:val="28"/>
        </w:rPr>
        <w:t>Факультет мировой экономики и мировой политики</w:t>
      </w:r>
    </w:p>
    <w:p w14:paraId="0A3C4056" w14:textId="77777777" w:rsidR="00845E1D" w:rsidRDefault="00845E1D" w:rsidP="00845E1D">
      <w:pPr>
        <w:jc w:val="center"/>
        <w:rPr>
          <w:rFonts w:ascii="Times New Roman" w:hAnsi="Times New Roman"/>
          <w:b/>
          <w:sz w:val="28"/>
          <w:szCs w:val="28"/>
        </w:rPr>
      </w:pPr>
    </w:p>
    <w:p w14:paraId="447CD512" w14:textId="77777777" w:rsidR="00845E1D" w:rsidRDefault="00845E1D" w:rsidP="00845E1D">
      <w:pPr>
        <w:jc w:val="center"/>
        <w:rPr>
          <w:rFonts w:ascii="Times New Roman" w:hAnsi="Times New Roman"/>
          <w:b/>
          <w:sz w:val="28"/>
          <w:szCs w:val="28"/>
        </w:rPr>
      </w:pPr>
    </w:p>
    <w:p w14:paraId="0406E55D" w14:textId="44D41C82" w:rsidR="00845E1D" w:rsidRPr="00A16502" w:rsidRDefault="00D03E84" w:rsidP="00845E1D">
      <w:pPr>
        <w:jc w:val="center"/>
        <w:rPr>
          <w:rFonts w:ascii="Times New Roman" w:hAnsi="Times New Roman"/>
          <w:b/>
          <w:sz w:val="28"/>
          <w:szCs w:val="28"/>
        </w:rPr>
      </w:pPr>
      <w:r>
        <w:rPr>
          <w:rFonts w:ascii="Times New Roman" w:hAnsi="Times New Roman"/>
          <w:b/>
          <w:sz w:val="28"/>
          <w:szCs w:val="28"/>
        </w:rPr>
        <w:t>Выпускная квалификационная р</w:t>
      </w:r>
      <w:r w:rsidR="00845E1D" w:rsidRPr="00A16502">
        <w:rPr>
          <w:rFonts w:ascii="Times New Roman" w:hAnsi="Times New Roman"/>
          <w:b/>
          <w:sz w:val="28"/>
          <w:szCs w:val="28"/>
        </w:rPr>
        <w:t>абота</w:t>
      </w:r>
    </w:p>
    <w:p w14:paraId="1799E1C0" w14:textId="77777777" w:rsidR="00845E1D" w:rsidRPr="00A16502" w:rsidRDefault="00845E1D" w:rsidP="00845E1D">
      <w:pPr>
        <w:jc w:val="center"/>
        <w:rPr>
          <w:rFonts w:ascii="Times New Roman" w:hAnsi="Times New Roman"/>
          <w:b/>
          <w:sz w:val="28"/>
          <w:szCs w:val="28"/>
        </w:rPr>
      </w:pPr>
      <w:r w:rsidRPr="00A16502">
        <w:rPr>
          <w:rFonts w:ascii="Times New Roman" w:hAnsi="Times New Roman"/>
          <w:b/>
          <w:sz w:val="28"/>
          <w:szCs w:val="28"/>
        </w:rPr>
        <w:t>по теме</w:t>
      </w:r>
    </w:p>
    <w:p w14:paraId="057648BD" w14:textId="77777777" w:rsidR="00845E1D" w:rsidRPr="00A16502" w:rsidRDefault="00845E1D" w:rsidP="00845E1D">
      <w:pPr>
        <w:spacing w:line="30" w:lineRule="atLeast"/>
        <w:jc w:val="center"/>
        <w:rPr>
          <w:rFonts w:ascii="Times New Roman" w:hAnsi="Times New Roman"/>
          <w:sz w:val="28"/>
          <w:szCs w:val="28"/>
        </w:rPr>
      </w:pPr>
      <w:r w:rsidRPr="00A16502">
        <w:rPr>
          <w:rFonts w:ascii="Times New Roman" w:hAnsi="Times New Roman"/>
          <w:sz w:val="28"/>
          <w:szCs w:val="28"/>
        </w:rPr>
        <w:t>«</w:t>
      </w:r>
      <w:r>
        <w:rPr>
          <w:rStyle w:val="apple-style-span"/>
          <w:rFonts w:ascii="Times New Roman" w:hAnsi="Times New Roman"/>
          <w:color w:val="000000"/>
          <w:sz w:val="28"/>
          <w:szCs w:val="28"/>
          <w:shd w:val="clear" w:color="auto" w:fill="FFFFFF"/>
        </w:rPr>
        <w:t>Институциональные инвесторы на нарождающемся финансовом рынке (на примере КНР)</w:t>
      </w:r>
      <w:r w:rsidRPr="00A16502">
        <w:rPr>
          <w:rFonts w:ascii="Times New Roman" w:hAnsi="Times New Roman"/>
          <w:sz w:val="28"/>
          <w:szCs w:val="28"/>
        </w:rPr>
        <w:t>»</w:t>
      </w:r>
    </w:p>
    <w:p w14:paraId="25D120CD" w14:textId="77777777" w:rsidR="00845E1D" w:rsidRPr="006616EE" w:rsidRDefault="00845E1D" w:rsidP="00845E1D">
      <w:pPr>
        <w:jc w:val="center"/>
        <w:rPr>
          <w:rFonts w:ascii="Times New Roman" w:hAnsi="Times New Roman"/>
          <w:sz w:val="28"/>
          <w:szCs w:val="28"/>
        </w:rPr>
      </w:pPr>
    </w:p>
    <w:p w14:paraId="62E41D68" w14:textId="77777777" w:rsidR="00845E1D" w:rsidRPr="00A16502" w:rsidRDefault="00845E1D" w:rsidP="00845E1D">
      <w:pPr>
        <w:rPr>
          <w:rFonts w:ascii="Times New Roman" w:hAnsi="Times New Roman"/>
          <w:sz w:val="28"/>
          <w:szCs w:val="28"/>
        </w:rPr>
      </w:pPr>
    </w:p>
    <w:p w14:paraId="6448FCD0" w14:textId="77777777" w:rsidR="00845E1D" w:rsidRPr="00A16502" w:rsidRDefault="00845E1D" w:rsidP="00845E1D">
      <w:pPr>
        <w:jc w:val="right"/>
        <w:rPr>
          <w:rFonts w:ascii="Times New Roman" w:hAnsi="Times New Roman"/>
          <w:sz w:val="28"/>
          <w:szCs w:val="28"/>
        </w:rPr>
      </w:pPr>
    </w:p>
    <w:p w14:paraId="5F17B631" w14:textId="77777777" w:rsidR="00845E1D" w:rsidRPr="00A16502" w:rsidRDefault="00845E1D" w:rsidP="00845E1D">
      <w:pPr>
        <w:jc w:val="right"/>
        <w:rPr>
          <w:rFonts w:ascii="Times New Roman" w:hAnsi="Times New Roman"/>
          <w:sz w:val="28"/>
          <w:szCs w:val="28"/>
        </w:rPr>
      </w:pPr>
      <w:r w:rsidRPr="00A16502">
        <w:rPr>
          <w:rFonts w:ascii="Times New Roman" w:hAnsi="Times New Roman"/>
          <w:sz w:val="28"/>
          <w:szCs w:val="28"/>
        </w:rPr>
        <w:t>Выполнил</w:t>
      </w:r>
      <w:r>
        <w:rPr>
          <w:rFonts w:ascii="Times New Roman" w:hAnsi="Times New Roman"/>
          <w:sz w:val="28"/>
          <w:szCs w:val="28"/>
        </w:rPr>
        <w:t>а</w:t>
      </w:r>
      <w:r w:rsidRPr="00A16502">
        <w:rPr>
          <w:rFonts w:ascii="Times New Roman" w:hAnsi="Times New Roman"/>
          <w:sz w:val="28"/>
          <w:szCs w:val="28"/>
        </w:rPr>
        <w:t>: студент</w:t>
      </w:r>
      <w:r>
        <w:rPr>
          <w:rFonts w:ascii="Times New Roman" w:hAnsi="Times New Roman"/>
          <w:sz w:val="28"/>
          <w:szCs w:val="28"/>
        </w:rPr>
        <w:t>ка 466</w:t>
      </w:r>
      <w:r w:rsidRPr="00A16502">
        <w:rPr>
          <w:rFonts w:ascii="Times New Roman" w:hAnsi="Times New Roman"/>
          <w:sz w:val="28"/>
          <w:szCs w:val="28"/>
        </w:rPr>
        <w:t xml:space="preserve"> гр.</w:t>
      </w:r>
    </w:p>
    <w:p w14:paraId="2BB54E98" w14:textId="77777777" w:rsidR="00845E1D" w:rsidRPr="00A16502" w:rsidRDefault="00845E1D" w:rsidP="00845E1D">
      <w:pPr>
        <w:jc w:val="right"/>
        <w:rPr>
          <w:rFonts w:ascii="Times New Roman" w:hAnsi="Times New Roman"/>
          <w:sz w:val="28"/>
          <w:szCs w:val="28"/>
        </w:rPr>
      </w:pPr>
      <w:r>
        <w:rPr>
          <w:rFonts w:ascii="Times New Roman" w:hAnsi="Times New Roman"/>
          <w:sz w:val="28"/>
          <w:szCs w:val="28"/>
        </w:rPr>
        <w:t>Попова Елизавета Дмитриевна</w:t>
      </w:r>
    </w:p>
    <w:p w14:paraId="6594DA0F" w14:textId="77777777" w:rsidR="00845E1D" w:rsidRPr="00A16502" w:rsidRDefault="00845E1D" w:rsidP="00845E1D">
      <w:pPr>
        <w:jc w:val="right"/>
        <w:rPr>
          <w:rFonts w:ascii="Times New Roman" w:hAnsi="Times New Roman"/>
          <w:sz w:val="28"/>
          <w:szCs w:val="28"/>
        </w:rPr>
      </w:pPr>
      <w:r w:rsidRPr="00A16502">
        <w:rPr>
          <w:rFonts w:ascii="Times New Roman" w:hAnsi="Times New Roman"/>
          <w:sz w:val="28"/>
          <w:szCs w:val="28"/>
        </w:rPr>
        <w:t>Научный руководитель:</w:t>
      </w:r>
    </w:p>
    <w:p w14:paraId="1A7E5E2C" w14:textId="77777777" w:rsidR="00845E1D" w:rsidRPr="00A16502" w:rsidRDefault="00845E1D" w:rsidP="00845E1D">
      <w:pPr>
        <w:jc w:val="right"/>
        <w:rPr>
          <w:rFonts w:ascii="Times New Roman" w:hAnsi="Times New Roman"/>
          <w:sz w:val="28"/>
          <w:szCs w:val="28"/>
        </w:rPr>
      </w:pPr>
      <w:r>
        <w:rPr>
          <w:rFonts w:ascii="Times New Roman" w:hAnsi="Times New Roman"/>
          <w:sz w:val="28"/>
          <w:szCs w:val="28"/>
        </w:rPr>
        <w:t>Доцент</w:t>
      </w:r>
      <w:r w:rsidRPr="00A16502">
        <w:rPr>
          <w:rFonts w:ascii="Times New Roman" w:hAnsi="Times New Roman"/>
          <w:sz w:val="28"/>
          <w:szCs w:val="28"/>
        </w:rPr>
        <w:t xml:space="preserve"> Мозиас П.М.</w:t>
      </w:r>
    </w:p>
    <w:p w14:paraId="7CEF86F6" w14:textId="77777777" w:rsidR="00845E1D" w:rsidRPr="00A16502" w:rsidRDefault="00845E1D" w:rsidP="00845E1D">
      <w:pPr>
        <w:rPr>
          <w:rFonts w:ascii="Times New Roman" w:hAnsi="Times New Roman"/>
          <w:sz w:val="28"/>
          <w:szCs w:val="28"/>
        </w:rPr>
      </w:pPr>
    </w:p>
    <w:p w14:paraId="0C19886D" w14:textId="77777777" w:rsidR="00845E1D" w:rsidRPr="00A16502" w:rsidRDefault="00845E1D" w:rsidP="00845E1D">
      <w:pPr>
        <w:rPr>
          <w:rFonts w:ascii="Times New Roman" w:hAnsi="Times New Roman"/>
          <w:sz w:val="28"/>
          <w:szCs w:val="28"/>
        </w:rPr>
      </w:pPr>
    </w:p>
    <w:p w14:paraId="4A937738" w14:textId="77777777" w:rsidR="00845E1D" w:rsidRDefault="00845E1D" w:rsidP="00845E1D">
      <w:pPr>
        <w:rPr>
          <w:rFonts w:ascii="Times New Roman" w:hAnsi="Times New Roman"/>
          <w:sz w:val="28"/>
          <w:szCs w:val="28"/>
        </w:rPr>
      </w:pPr>
    </w:p>
    <w:p w14:paraId="16516CF9" w14:textId="77777777" w:rsidR="00845E1D" w:rsidRDefault="00845E1D" w:rsidP="00845E1D">
      <w:pPr>
        <w:rPr>
          <w:rFonts w:ascii="Times New Roman" w:hAnsi="Times New Roman"/>
          <w:sz w:val="28"/>
          <w:szCs w:val="28"/>
        </w:rPr>
      </w:pPr>
    </w:p>
    <w:p w14:paraId="4CCE46D3" w14:textId="77777777" w:rsidR="00845E1D" w:rsidRDefault="00845E1D" w:rsidP="00845E1D">
      <w:pPr>
        <w:rPr>
          <w:rFonts w:ascii="Times New Roman" w:hAnsi="Times New Roman"/>
          <w:sz w:val="28"/>
          <w:szCs w:val="28"/>
        </w:rPr>
      </w:pPr>
    </w:p>
    <w:p w14:paraId="207FF99A" w14:textId="77777777" w:rsidR="00845E1D" w:rsidRDefault="00845E1D" w:rsidP="00845E1D">
      <w:pPr>
        <w:rPr>
          <w:rFonts w:ascii="Times New Roman" w:hAnsi="Times New Roman"/>
          <w:sz w:val="28"/>
          <w:szCs w:val="28"/>
        </w:rPr>
      </w:pPr>
    </w:p>
    <w:p w14:paraId="68974077" w14:textId="77777777" w:rsidR="00845E1D" w:rsidRDefault="00845E1D" w:rsidP="00845E1D">
      <w:pPr>
        <w:rPr>
          <w:rFonts w:ascii="Times New Roman" w:hAnsi="Times New Roman"/>
          <w:sz w:val="28"/>
          <w:szCs w:val="28"/>
        </w:rPr>
      </w:pPr>
    </w:p>
    <w:p w14:paraId="0D9105ED" w14:textId="77777777" w:rsidR="00845E1D" w:rsidRDefault="00845E1D" w:rsidP="00845E1D">
      <w:pPr>
        <w:rPr>
          <w:rFonts w:ascii="Times New Roman" w:hAnsi="Times New Roman"/>
          <w:sz w:val="28"/>
          <w:szCs w:val="28"/>
        </w:rPr>
      </w:pPr>
    </w:p>
    <w:p w14:paraId="0F9D0FC5" w14:textId="77777777" w:rsidR="00845E1D" w:rsidRDefault="00845E1D" w:rsidP="00845E1D">
      <w:pPr>
        <w:rPr>
          <w:rFonts w:ascii="Times New Roman" w:hAnsi="Times New Roman"/>
          <w:sz w:val="28"/>
          <w:szCs w:val="28"/>
        </w:rPr>
      </w:pPr>
    </w:p>
    <w:p w14:paraId="1772B4A9" w14:textId="77777777" w:rsidR="00845E1D" w:rsidRPr="008F1298" w:rsidRDefault="00845E1D" w:rsidP="00845E1D">
      <w:pPr>
        <w:rPr>
          <w:rFonts w:ascii="Times New Roman" w:hAnsi="Times New Roman"/>
          <w:sz w:val="28"/>
          <w:szCs w:val="28"/>
        </w:rPr>
      </w:pPr>
    </w:p>
    <w:p w14:paraId="268984CC" w14:textId="77777777" w:rsidR="00845E1D" w:rsidRDefault="00845E1D" w:rsidP="00845E1D">
      <w:pPr>
        <w:spacing w:before="920"/>
        <w:jc w:val="center"/>
        <w:rPr>
          <w:rFonts w:ascii="Times New Roman" w:hAnsi="Times New Roman"/>
          <w:b/>
          <w:sz w:val="28"/>
          <w:szCs w:val="28"/>
        </w:rPr>
      </w:pPr>
    </w:p>
    <w:p w14:paraId="04B851F1" w14:textId="77777777" w:rsidR="00845E1D" w:rsidRPr="00517352" w:rsidRDefault="00845E1D" w:rsidP="00845E1D">
      <w:pPr>
        <w:spacing w:before="920"/>
        <w:jc w:val="center"/>
        <w:rPr>
          <w:rFonts w:ascii="Times New Roman" w:hAnsi="Times New Roman"/>
          <w:b/>
          <w:sz w:val="28"/>
          <w:szCs w:val="28"/>
        </w:rPr>
      </w:pPr>
      <w:r>
        <w:rPr>
          <w:rFonts w:ascii="Times New Roman" w:hAnsi="Times New Roman"/>
          <w:b/>
          <w:sz w:val="28"/>
          <w:szCs w:val="28"/>
        </w:rPr>
        <w:t>М</w:t>
      </w:r>
      <w:r w:rsidRPr="00A16502">
        <w:rPr>
          <w:rFonts w:ascii="Times New Roman" w:hAnsi="Times New Roman"/>
          <w:b/>
          <w:sz w:val="28"/>
          <w:szCs w:val="28"/>
        </w:rPr>
        <w:t>осква 20</w:t>
      </w:r>
      <w:r>
        <w:rPr>
          <w:rFonts w:ascii="Times New Roman" w:hAnsi="Times New Roman"/>
          <w:b/>
          <w:sz w:val="28"/>
          <w:szCs w:val="28"/>
        </w:rPr>
        <w:t>1</w:t>
      </w:r>
      <w:r w:rsidRPr="00A16502">
        <w:rPr>
          <w:rFonts w:ascii="Times New Roman" w:hAnsi="Times New Roman"/>
          <w:b/>
          <w:sz w:val="28"/>
          <w:szCs w:val="28"/>
        </w:rPr>
        <w:t>3</w:t>
      </w:r>
    </w:p>
    <w:p w14:paraId="2E2C3722" w14:textId="77777777" w:rsidR="00845E1D" w:rsidRDefault="00845E1D" w:rsidP="00194DCC">
      <w:pPr>
        <w:ind w:right="-489"/>
        <w:jc w:val="both"/>
        <w:rPr>
          <w:rFonts w:ascii="Times New Roman" w:hAnsi="Times New Roman" w:cs="Times New Roman"/>
          <w:b/>
        </w:rPr>
      </w:pPr>
    </w:p>
    <w:p w14:paraId="714BF01C" w14:textId="77777777" w:rsidR="00845E1D" w:rsidRPr="00434D18" w:rsidRDefault="00845E1D" w:rsidP="008F653E">
      <w:pPr>
        <w:jc w:val="center"/>
        <w:rPr>
          <w:rFonts w:ascii="Times New Roman" w:hAnsi="Times New Roman" w:cs="Times New Roman"/>
          <w:noProof/>
          <w:sz w:val="28"/>
          <w:szCs w:val="28"/>
        </w:rPr>
      </w:pPr>
      <w:r w:rsidRPr="00434D18">
        <w:rPr>
          <w:rFonts w:ascii="Times New Roman" w:hAnsi="Times New Roman" w:cs="Times New Roman"/>
          <w:noProof/>
          <w:sz w:val="28"/>
          <w:szCs w:val="28"/>
        </w:rPr>
        <w:lastRenderedPageBreak/>
        <w:t>Со</w:t>
      </w:r>
      <w:r w:rsidR="008F653E" w:rsidRPr="00434D18">
        <w:rPr>
          <w:rFonts w:ascii="Times New Roman" w:hAnsi="Times New Roman" w:cs="Times New Roman"/>
          <w:noProof/>
          <w:sz w:val="28"/>
          <w:szCs w:val="28"/>
        </w:rPr>
        <w:t>держание</w:t>
      </w:r>
    </w:p>
    <w:p w14:paraId="09475D6F" w14:textId="77777777" w:rsidR="008F653E" w:rsidRPr="00434D18" w:rsidRDefault="008F653E" w:rsidP="00EF354C">
      <w:pPr>
        <w:spacing w:line="360" w:lineRule="auto"/>
        <w:ind w:right="-1338"/>
        <w:rPr>
          <w:rFonts w:ascii="Times New Roman" w:hAnsi="Times New Roman" w:cs="Times New Roman"/>
          <w:sz w:val="28"/>
          <w:szCs w:val="28"/>
          <w:shd w:val="clear" w:color="auto" w:fill="FFFFFF"/>
        </w:rPr>
      </w:pPr>
    </w:p>
    <w:tbl>
      <w:tblPr>
        <w:tblStyle w:val="TableGrid"/>
        <w:tblW w:w="98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26"/>
      </w:tblGrid>
      <w:tr w:rsidR="00EF354C" w:rsidRPr="00434D18" w14:paraId="7326E3FB" w14:textId="77777777" w:rsidTr="000D3393">
        <w:tc>
          <w:tcPr>
            <w:tcW w:w="9464" w:type="dxa"/>
          </w:tcPr>
          <w:p w14:paraId="11D81729" w14:textId="77777777" w:rsidR="00EF354C" w:rsidRPr="00434D18" w:rsidRDefault="00EF354C" w:rsidP="008F653E">
            <w:pPr>
              <w:spacing w:line="360" w:lineRule="auto"/>
              <w:ind w:right="-1338"/>
              <w:rPr>
                <w:rFonts w:ascii="Times New Roman" w:hAnsi="Times New Roman" w:cs="Times New Roman"/>
                <w:sz w:val="28"/>
                <w:szCs w:val="28"/>
                <w:shd w:val="clear" w:color="auto" w:fill="FFFFFF"/>
              </w:rPr>
            </w:pPr>
            <w:r w:rsidRPr="00434D18">
              <w:rPr>
                <w:rFonts w:ascii="Times New Roman" w:hAnsi="Times New Roman" w:cs="Times New Roman"/>
                <w:noProof/>
                <w:sz w:val="28"/>
                <w:szCs w:val="28"/>
              </w:rPr>
              <w:t>Введение</w:t>
            </w:r>
          </w:p>
        </w:tc>
        <w:tc>
          <w:tcPr>
            <w:tcW w:w="426" w:type="dxa"/>
          </w:tcPr>
          <w:p w14:paraId="29FD3D56" w14:textId="77777777" w:rsidR="00EF354C" w:rsidRPr="00434D18" w:rsidRDefault="00EF354C" w:rsidP="008F653E">
            <w:pPr>
              <w:spacing w:line="360" w:lineRule="auto"/>
              <w:ind w:right="-1338"/>
              <w:rPr>
                <w:rFonts w:ascii="Times New Roman" w:hAnsi="Times New Roman" w:cs="Times New Roman"/>
                <w:sz w:val="28"/>
                <w:szCs w:val="28"/>
                <w:shd w:val="clear" w:color="auto" w:fill="FFFFFF"/>
              </w:rPr>
            </w:pPr>
            <w:r w:rsidRPr="00434D18">
              <w:rPr>
                <w:rFonts w:ascii="Times New Roman" w:hAnsi="Times New Roman" w:cs="Times New Roman"/>
                <w:sz w:val="28"/>
                <w:szCs w:val="28"/>
                <w:shd w:val="clear" w:color="auto" w:fill="FFFFFF"/>
              </w:rPr>
              <w:t>3</w:t>
            </w:r>
          </w:p>
        </w:tc>
      </w:tr>
      <w:tr w:rsidR="00EF354C" w:rsidRPr="00434D18" w14:paraId="3CAC1C13" w14:textId="77777777" w:rsidTr="000D3393">
        <w:tc>
          <w:tcPr>
            <w:tcW w:w="9464" w:type="dxa"/>
          </w:tcPr>
          <w:p w14:paraId="360508EC" w14:textId="77777777" w:rsidR="00EF354C" w:rsidRPr="00434D18" w:rsidRDefault="00EF354C" w:rsidP="008F653E">
            <w:pPr>
              <w:spacing w:line="360" w:lineRule="auto"/>
              <w:ind w:right="-1338"/>
              <w:rPr>
                <w:rFonts w:ascii="Times New Roman" w:hAnsi="Times New Roman" w:cs="Times New Roman"/>
                <w:sz w:val="28"/>
                <w:szCs w:val="28"/>
                <w:shd w:val="clear" w:color="auto" w:fill="FFFFFF"/>
                <w:lang w:val="ru-RU"/>
              </w:rPr>
            </w:pPr>
            <w:r w:rsidRPr="00434D18">
              <w:rPr>
                <w:rFonts w:ascii="Times New Roman" w:hAnsi="Times New Roman" w:cs="Times New Roman"/>
                <w:noProof/>
                <w:sz w:val="28"/>
                <w:szCs w:val="28"/>
                <w:lang w:val="ru-RU"/>
              </w:rPr>
              <w:t xml:space="preserve">Глава 1. </w:t>
            </w:r>
            <w:r w:rsidRPr="00434D18">
              <w:rPr>
                <w:rFonts w:ascii="Times New Roman" w:hAnsi="Times New Roman" w:cs="Times New Roman"/>
                <w:sz w:val="28"/>
                <w:szCs w:val="28"/>
                <w:lang w:val="ru-RU"/>
              </w:rPr>
              <w:t>Финансовый рынок КНР как разновидность «нарождающихся» рынков</w:t>
            </w:r>
          </w:p>
        </w:tc>
        <w:tc>
          <w:tcPr>
            <w:tcW w:w="426" w:type="dxa"/>
          </w:tcPr>
          <w:p w14:paraId="7A341F92" w14:textId="11394F3D" w:rsidR="00EF354C" w:rsidRPr="00434D18" w:rsidRDefault="00434D18" w:rsidP="008F653E">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p>
        </w:tc>
      </w:tr>
      <w:tr w:rsidR="00EF354C" w:rsidRPr="00434D18" w14:paraId="3E030E7E" w14:textId="77777777" w:rsidTr="000D3393">
        <w:tc>
          <w:tcPr>
            <w:tcW w:w="9464" w:type="dxa"/>
          </w:tcPr>
          <w:p w14:paraId="31BDDE71" w14:textId="77777777" w:rsidR="00EF354C" w:rsidRPr="00434D18" w:rsidRDefault="00EF354C" w:rsidP="008F653E">
            <w:pPr>
              <w:spacing w:line="360" w:lineRule="auto"/>
              <w:ind w:right="-1338"/>
              <w:rPr>
                <w:rFonts w:ascii="Times New Roman" w:hAnsi="Times New Roman" w:cs="Times New Roman"/>
                <w:sz w:val="28"/>
                <w:szCs w:val="28"/>
                <w:shd w:val="clear" w:color="auto" w:fill="FFFFFF"/>
                <w:lang w:val="ru-RU"/>
              </w:rPr>
            </w:pPr>
            <w:r w:rsidRPr="00434D18">
              <w:rPr>
                <w:rFonts w:ascii="Times New Roman" w:hAnsi="Times New Roman" w:cs="Times New Roman"/>
                <w:sz w:val="28"/>
                <w:szCs w:val="28"/>
                <w:lang w:val="ru-RU"/>
              </w:rPr>
              <w:t>1.1 Развивающийся финансовый рынок: основные характеристики</w:t>
            </w:r>
          </w:p>
        </w:tc>
        <w:tc>
          <w:tcPr>
            <w:tcW w:w="426" w:type="dxa"/>
          </w:tcPr>
          <w:p w14:paraId="5C0B7136" w14:textId="794A1E9D" w:rsidR="00EF354C" w:rsidRPr="00434D18" w:rsidRDefault="00434D18" w:rsidP="008F653E">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p>
        </w:tc>
      </w:tr>
      <w:tr w:rsidR="00EF354C" w:rsidRPr="00434D18" w14:paraId="5B41A747" w14:textId="77777777" w:rsidTr="000D3393">
        <w:tc>
          <w:tcPr>
            <w:tcW w:w="9464" w:type="dxa"/>
          </w:tcPr>
          <w:p w14:paraId="164FC481" w14:textId="77777777" w:rsidR="00EF354C" w:rsidRPr="00434D18" w:rsidRDefault="00EF354C" w:rsidP="008F653E">
            <w:pPr>
              <w:spacing w:line="360" w:lineRule="auto"/>
              <w:ind w:right="-1338"/>
              <w:rPr>
                <w:rFonts w:ascii="Times New Roman" w:hAnsi="Times New Roman" w:cs="Times New Roman"/>
                <w:sz w:val="28"/>
                <w:szCs w:val="28"/>
              </w:rPr>
            </w:pPr>
            <w:r w:rsidRPr="00434D18">
              <w:rPr>
                <w:rFonts w:ascii="Times New Roman" w:hAnsi="Times New Roman" w:cs="Times New Roman"/>
                <w:sz w:val="28"/>
                <w:szCs w:val="28"/>
              </w:rPr>
              <w:t>1.2 Теория корпоративных инвестиций</w:t>
            </w:r>
          </w:p>
        </w:tc>
        <w:tc>
          <w:tcPr>
            <w:tcW w:w="426" w:type="dxa"/>
          </w:tcPr>
          <w:p w14:paraId="0D323C58" w14:textId="2B62C34C" w:rsidR="00EF354C" w:rsidRPr="00434D18" w:rsidRDefault="00434D18" w:rsidP="008F653E">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17</w:t>
            </w:r>
          </w:p>
        </w:tc>
      </w:tr>
      <w:tr w:rsidR="00EF354C" w:rsidRPr="00434D18" w14:paraId="7AFE92B9" w14:textId="77777777" w:rsidTr="000D3393">
        <w:tc>
          <w:tcPr>
            <w:tcW w:w="9464" w:type="dxa"/>
          </w:tcPr>
          <w:p w14:paraId="00BB2830" w14:textId="77777777" w:rsidR="00EF354C" w:rsidRPr="00434D18" w:rsidRDefault="00EF354C" w:rsidP="008F653E">
            <w:pPr>
              <w:spacing w:line="360" w:lineRule="auto"/>
              <w:ind w:right="-1338"/>
              <w:rPr>
                <w:rFonts w:ascii="Times New Roman" w:hAnsi="Times New Roman" w:cs="Times New Roman"/>
                <w:sz w:val="28"/>
                <w:szCs w:val="28"/>
                <w:shd w:val="clear" w:color="auto" w:fill="FFFFFF"/>
              </w:rPr>
            </w:pPr>
            <w:r w:rsidRPr="00434D18">
              <w:rPr>
                <w:rFonts w:ascii="Times New Roman" w:hAnsi="Times New Roman" w:cs="Times New Roman"/>
                <w:sz w:val="28"/>
                <w:szCs w:val="28"/>
              </w:rPr>
              <w:t>1.3 Особенности финансового рынка КНР</w:t>
            </w:r>
          </w:p>
        </w:tc>
        <w:tc>
          <w:tcPr>
            <w:tcW w:w="426" w:type="dxa"/>
          </w:tcPr>
          <w:p w14:paraId="2701614D" w14:textId="04008B81" w:rsidR="00EF354C" w:rsidRPr="00434D18" w:rsidRDefault="00434D18" w:rsidP="008F653E">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27</w:t>
            </w:r>
          </w:p>
        </w:tc>
      </w:tr>
      <w:tr w:rsidR="00EF354C" w:rsidRPr="00434D18" w14:paraId="2967E7B2" w14:textId="77777777" w:rsidTr="000D3393">
        <w:tc>
          <w:tcPr>
            <w:tcW w:w="9464" w:type="dxa"/>
          </w:tcPr>
          <w:p w14:paraId="134FC10D" w14:textId="77777777" w:rsidR="00EF354C" w:rsidRPr="00434D18" w:rsidRDefault="00EF354C" w:rsidP="008F653E">
            <w:pPr>
              <w:spacing w:line="360" w:lineRule="auto"/>
              <w:ind w:right="-1338"/>
              <w:rPr>
                <w:rFonts w:ascii="Times New Roman" w:hAnsi="Times New Roman" w:cs="Times New Roman"/>
                <w:sz w:val="28"/>
                <w:szCs w:val="28"/>
                <w:lang w:val="ru-RU"/>
              </w:rPr>
            </w:pPr>
            <w:r w:rsidRPr="00434D18">
              <w:rPr>
                <w:rFonts w:ascii="Times New Roman" w:hAnsi="Times New Roman" w:cs="Times New Roman"/>
                <w:sz w:val="28"/>
                <w:szCs w:val="28"/>
                <w:lang w:val="ru-RU"/>
              </w:rPr>
              <w:t>Глава 2. Формирование портфелей институциональных инвесторов на китайском фондовом рынке</w:t>
            </w:r>
          </w:p>
        </w:tc>
        <w:tc>
          <w:tcPr>
            <w:tcW w:w="426" w:type="dxa"/>
          </w:tcPr>
          <w:p w14:paraId="75ADD8ED" w14:textId="773DE32C" w:rsidR="00EF354C" w:rsidRPr="00434D18" w:rsidRDefault="00434D18" w:rsidP="008F653E">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44</w:t>
            </w:r>
          </w:p>
        </w:tc>
      </w:tr>
      <w:tr w:rsidR="00EF354C" w:rsidRPr="00434D18" w14:paraId="66CE2957" w14:textId="77777777" w:rsidTr="000D3393">
        <w:tc>
          <w:tcPr>
            <w:tcW w:w="9464" w:type="dxa"/>
          </w:tcPr>
          <w:p w14:paraId="12306B36" w14:textId="77777777" w:rsidR="00EF354C" w:rsidRPr="00434D18" w:rsidRDefault="00EF354C" w:rsidP="008F653E">
            <w:pPr>
              <w:spacing w:line="360" w:lineRule="auto"/>
              <w:ind w:right="-1338"/>
              <w:rPr>
                <w:rFonts w:ascii="Times New Roman" w:hAnsi="Times New Roman" w:cs="Times New Roman"/>
                <w:sz w:val="28"/>
                <w:szCs w:val="28"/>
                <w:lang w:val="ru-RU"/>
              </w:rPr>
            </w:pPr>
            <w:r w:rsidRPr="00434D18">
              <w:rPr>
                <w:rFonts w:ascii="Times New Roman" w:hAnsi="Times New Roman" w:cs="Times New Roman"/>
                <w:sz w:val="28"/>
                <w:szCs w:val="28"/>
                <w:lang w:val="ru-RU"/>
              </w:rPr>
              <w:t>2.1 Обзор деятельности институциональных портфельных инвесторов</w:t>
            </w:r>
          </w:p>
        </w:tc>
        <w:tc>
          <w:tcPr>
            <w:tcW w:w="426" w:type="dxa"/>
          </w:tcPr>
          <w:p w14:paraId="668DBE65" w14:textId="038C5D3F" w:rsidR="00EF354C" w:rsidRPr="00434D18" w:rsidRDefault="00434D18" w:rsidP="008F653E">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44</w:t>
            </w:r>
          </w:p>
        </w:tc>
      </w:tr>
      <w:tr w:rsidR="00EF354C" w:rsidRPr="00434D18" w14:paraId="6CAFD149" w14:textId="77777777" w:rsidTr="000D3393">
        <w:tc>
          <w:tcPr>
            <w:tcW w:w="9464" w:type="dxa"/>
          </w:tcPr>
          <w:p w14:paraId="0E14EA17" w14:textId="77777777" w:rsidR="00EF354C" w:rsidRPr="00434D18" w:rsidRDefault="00EF354C" w:rsidP="008F653E">
            <w:pPr>
              <w:spacing w:line="360" w:lineRule="auto"/>
              <w:ind w:right="-1338"/>
              <w:rPr>
                <w:rFonts w:ascii="Times New Roman" w:hAnsi="Times New Roman" w:cs="Times New Roman"/>
                <w:sz w:val="28"/>
                <w:szCs w:val="28"/>
                <w:shd w:val="clear" w:color="auto" w:fill="FFFFFF"/>
              </w:rPr>
            </w:pPr>
            <w:r w:rsidRPr="00434D18">
              <w:rPr>
                <w:rFonts w:ascii="Times New Roman" w:hAnsi="Times New Roman" w:cs="Times New Roman"/>
                <w:sz w:val="28"/>
                <w:szCs w:val="28"/>
              </w:rPr>
              <w:t>2.2 Модели формирования инвестиционных портфелей</w:t>
            </w:r>
          </w:p>
        </w:tc>
        <w:tc>
          <w:tcPr>
            <w:tcW w:w="426" w:type="dxa"/>
          </w:tcPr>
          <w:p w14:paraId="53653505" w14:textId="061FD432" w:rsidR="00EF354C" w:rsidRPr="00434D18" w:rsidRDefault="00434D18" w:rsidP="008F653E">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57</w:t>
            </w:r>
          </w:p>
        </w:tc>
      </w:tr>
      <w:tr w:rsidR="00EF354C" w:rsidRPr="00434D18" w14:paraId="379CAA9F" w14:textId="77777777" w:rsidTr="000D3393">
        <w:tc>
          <w:tcPr>
            <w:tcW w:w="9464" w:type="dxa"/>
          </w:tcPr>
          <w:p w14:paraId="2FFCE0DF" w14:textId="77777777" w:rsidR="00EF354C" w:rsidRPr="00434D18" w:rsidRDefault="00EF354C" w:rsidP="00EF354C">
            <w:pPr>
              <w:spacing w:line="360" w:lineRule="auto"/>
              <w:ind w:right="-1338"/>
              <w:rPr>
                <w:rFonts w:ascii="Times New Roman" w:eastAsia="Times New Roman" w:hAnsi="Times New Roman" w:cs="Times New Roman"/>
                <w:sz w:val="28"/>
                <w:szCs w:val="28"/>
                <w:lang w:val="ru-RU"/>
              </w:rPr>
            </w:pPr>
            <w:r w:rsidRPr="00434D18">
              <w:rPr>
                <w:rFonts w:ascii="Times New Roman" w:eastAsia="Times New Roman" w:hAnsi="Times New Roman" w:cs="Times New Roman"/>
                <w:sz w:val="28"/>
                <w:szCs w:val="28"/>
                <w:lang w:val="ru-RU"/>
              </w:rPr>
              <w:t xml:space="preserve">2.3 Адаптация моделей, описывающих поведение портфельных инвесторов, применительно к </w:t>
            </w:r>
          </w:p>
          <w:p w14:paraId="134B8E86" w14:textId="77777777" w:rsidR="00EF354C" w:rsidRPr="00434D18" w:rsidRDefault="00EF354C" w:rsidP="00EF354C">
            <w:pPr>
              <w:spacing w:line="360" w:lineRule="auto"/>
              <w:ind w:right="-1338"/>
              <w:rPr>
                <w:rFonts w:ascii="Times New Roman" w:hAnsi="Times New Roman" w:cs="Times New Roman"/>
                <w:sz w:val="28"/>
                <w:szCs w:val="28"/>
                <w:shd w:val="clear" w:color="auto" w:fill="FFFFFF"/>
              </w:rPr>
            </w:pPr>
            <w:r w:rsidRPr="00434D18">
              <w:rPr>
                <w:rFonts w:ascii="Times New Roman" w:eastAsia="Times New Roman" w:hAnsi="Times New Roman" w:cs="Times New Roman"/>
                <w:sz w:val="28"/>
                <w:szCs w:val="28"/>
              </w:rPr>
              <w:t>формирующимся рынкам</w:t>
            </w:r>
          </w:p>
        </w:tc>
        <w:tc>
          <w:tcPr>
            <w:tcW w:w="426" w:type="dxa"/>
          </w:tcPr>
          <w:p w14:paraId="54A77768" w14:textId="6D5C2E10" w:rsidR="00EF354C" w:rsidRPr="00434D18" w:rsidRDefault="00434D18" w:rsidP="00EF354C">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62</w:t>
            </w:r>
          </w:p>
        </w:tc>
      </w:tr>
      <w:tr w:rsidR="00EF354C" w:rsidRPr="00434D18" w14:paraId="6695C8B4" w14:textId="77777777" w:rsidTr="000D3393">
        <w:tc>
          <w:tcPr>
            <w:tcW w:w="9464" w:type="dxa"/>
          </w:tcPr>
          <w:p w14:paraId="104A6770" w14:textId="77777777" w:rsidR="00EF354C" w:rsidRPr="00434D18" w:rsidRDefault="00EF354C" w:rsidP="00EF354C">
            <w:pPr>
              <w:spacing w:line="360" w:lineRule="auto"/>
              <w:ind w:right="-1338"/>
              <w:rPr>
                <w:rFonts w:ascii="Times New Roman" w:hAnsi="Times New Roman" w:cs="Times New Roman"/>
                <w:sz w:val="28"/>
                <w:szCs w:val="28"/>
                <w:shd w:val="clear" w:color="auto" w:fill="FFFFFF"/>
                <w:lang w:val="ru-RU"/>
              </w:rPr>
            </w:pPr>
            <w:r w:rsidRPr="00434D18">
              <w:rPr>
                <w:rFonts w:ascii="Times New Roman" w:hAnsi="Times New Roman" w:cs="Times New Roman"/>
                <w:sz w:val="28"/>
                <w:szCs w:val="28"/>
                <w:lang w:val="ru-RU"/>
              </w:rPr>
              <w:t>Глава 3. Сравнительный анализ финансовых рынков России и Китая</w:t>
            </w:r>
          </w:p>
        </w:tc>
        <w:tc>
          <w:tcPr>
            <w:tcW w:w="426" w:type="dxa"/>
          </w:tcPr>
          <w:p w14:paraId="116EE6B8" w14:textId="3CEE6797" w:rsidR="00EF354C" w:rsidRPr="00434D18" w:rsidRDefault="00434D18" w:rsidP="00EF354C">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67</w:t>
            </w:r>
          </w:p>
        </w:tc>
      </w:tr>
      <w:tr w:rsidR="00EF354C" w:rsidRPr="00434D18" w14:paraId="3D5BE1C6" w14:textId="77777777" w:rsidTr="000D3393">
        <w:tc>
          <w:tcPr>
            <w:tcW w:w="9464" w:type="dxa"/>
          </w:tcPr>
          <w:p w14:paraId="1B419382" w14:textId="3A78C377" w:rsidR="00EF354C" w:rsidRPr="00434D18" w:rsidRDefault="00EF354C" w:rsidP="00434D18">
            <w:pPr>
              <w:spacing w:line="360" w:lineRule="auto"/>
              <w:ind w:right="-1338"/>
              <w:rPr>
                <w:rFonts w:ascii="Times New Roman" w:hAnsi="Times New Roman" w:cs="Times New Roman"/>
                <w:sz w:val="28"/>
                <w:szCs w:val="28"/>
                <w:shd w:val="clear" w:color="auto" w:fill="FFFFFF"/>
                <w:lang w:val="ru-RU"/>
              </w:rPr>
            </w:pPr>
            <w:r w:rsidRPr="00434D18">
              <w:rPr>
                <w:rFonts w:ascii="Times New Roman" w:hAnsi="Times New Roman" w:cs="Times New Roman"/>
                <w:sz w:val="28"/>
                <w:szCs w:val="28"/>
                <w:shd w:val="clear" w:color="auto" w:fill="FFFFFF"/>
                <w:lang w:val="ru-RU"/>
              </w:rPr>
              <w:t xml:space="preserve">3.1 </w:t>
            </w:r>
            <w:r w:rsidR="00434D18">
              <w:rPr>
                <w:rFonts w:ascii="Times New Roman" w:hAnsi="Times New Roman" w:cs="Times New Roman"/>
                <w:sz w:val="28"/>
                <w:szCs w:val="28"/>
                <w:shd w:val="clear" w:color="auto" w:fill="FFFFFF"/>
                <w:lang w:val="ru-RU"/>
              </w:rPr>
              <w:t>Этапы развития финансового рынка</w:t>
            </w:r>
            <w:r w:rsidRPr="00434D18">
              <w:rPr>
                <w:rFonts w:ascii="Times New Roman" w:hAnsi="Times New Roman" w:cs="Times New Roman"/>
                <w:sz w:val="28"/>
                <w:szCs w:val="28"/>
                <w:shd w:val="clear" w:color="auto" w:fill="FFFFFF"/>
                <w:lang w:val="ru-RU"/>
              </w:rPr>
              <w:t xml:space="preserve"> России</w:t>
            </w:r>
          </w:p>
        </w:tc>
        <w:tc>
          <w:tcPr>
            <w:tcW w:w="426" w:type="dxa"/>
          </w:tcPr>
          <w:p w14:paraId="3DC4AE34" w14:textId="23A8EB4D" w:rsidR="00EF354C" w:rsidRPr="00434D18" w:rsidRDefault="00434D18" w:rsidP="00EF354C">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67</w:t>
            </w:r>
          </w:p>
        </w:tc>
      </w:tr>
      <w:tr w:rsidR="00EF354C" w:rsidRPr="00434D18" w14:paraId="0E010C51" w14:textId="77777777" w:rsidTr="000D3393">
        <w:tc>
          <w:tcPr>
            <w:tcW w:w="9464" w:type="dxa"/>
          </w:tcPr>
          <w:p w14:paraId="08F13D74" w14:textId="77777777" w:rsidR="00EF354C" w:rsidRPr="00434D18" w:rsidRDefault="00EF354C" w:rsidP="00EF354C">
            <w:pPr>
              <w:spacing w:line="360" w:lineRule="auto"/>
              <w:ind w:right="-1338"/>
              <w:rPr>
                <w:rFonts w:ascii="Times New Roman" w:hAnsi="Times New Roman" w:cs="Times New Roman"/>
                <w:sz w:val="28"/>
                <w:szCs w:val="28"/>
                <w:shd w:val="clear" w:color="auto" w:fill="FFFFFF"/>
                <w:lang w:val="ru-RU"/>
              </w:rPr>
            </w:pPr>
            <w:r w:rsidRPr="00434D18">
              <w:rPr>
                <w:rFonts w:ascii="Times New Roman" w:hAnsi="Times New Roman" w:cs="Times New Roman"/>
                <w:sz w:val="28"/>
                <w:szCs w:val="28"/>
                <w:shd w:val="clear" w:color="auto" w:fill="FFFFFF"/>
                <w:lang w:val="ru-RU"/>
              </w:rPr>
              <w:t>3.2 Регулятивная база и типы инвесторов</w:t>
            </w:r>
          </w:p>
        </w:tc>
        <w:tc>
          <w:tcPr>
            <w:tcW w:w="426" w:type="dxa"/>
          </w:tcPr>
          <w:p w14:paraId="29CF3A6C" w14:textId="32B9CB4D" w:rsidR="00EF354C" w:rsidRPr="00434D18" w:rsidRDefault="00434D18" w:rsidP="00EF354C">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76</w:t>
            </w:r>
          </w:p>
        </w:tc>
      </w:tr>
      <w:tr w:rsidR="00EF354C" w:rsidRPr="00434D18" w14:paraId="2448E307" w14:textId="77777777" w:rsidTr="000D3393">
        <w:tc>
          <w:tcPr>
            <w:tcW w:w="9464" w:type="dxa"/>
          </w:tcPr>
          <w:p w14:paraId="5942330D" w14:textId="77777777" w:rsidR="00EF354C" w:rsidRPr="00434D18" w:rsidRDefault="00EF354C" w:rsidP="00EF354C">
            <w:pPr>
              <w:spacing w:line="360" w:lineRule="auto"/>
              <w:ind w:right="-1338"/>
              <w:rPr>
                <w:rFonts w:ascii="Times New Roman" w:hAnsi="Times New Roman" w:cs="Times New Roman"/>
                <w:sz w:val="28"/>
                <w:szCs w:val="28"/>
                <w:shd w:val="clear" w:color="auto" w:fill="FFFFFF"/>
                <w:lang w:val="ru-RU"/>
              </w:rPr>
            </w:pPr>
            <w:r w:rsidRPr="00434D18">
              <w:rPr>
                <w:rFonts w:ascii="Times New Roman" w:hAnsi="Times New Roman" w:cs="Times New Roman"/>
                <w:sz w:val="28"/>
                <w:szCs w:val="28"/>
                <w:shd w:val="clear" w:color="auto" w:fill="FFFFFF"/>
                <w:lang w:val="ru-RU"/>
              </w:rPr>
              <w:t xml:space="preserve">3.3 Сравнение рынков ценных бумаг при помощи модели </w:t>
            </w:r>
            <w:r w:rsidRPr="00434D18">
              <w:rPr>
                <w:rFonts w:ascii="Times New Roman" w:hAnsi="Times New Roman" w:cs="Times New Roman"/>
                <w:sz w:val="28"/>
                <w:szCs w:val="28"/>
                <w:shd w:val="clear" w:color="auto" w:fill="FFFFFF"/>
              </w:rPr>
              <w:t>EVA</w:t>
            </w:r>
          </w:p>
        </w:tc>
        <w:tc>
          <w:tcPr>
            <w:tcW w:w="426" w:type="dxa"/>
          </w:tcPr>
          <w:p w14:paraId="5BAD5954" w14:textId="144AB64F" w:rsidR="00EF354C" w:rsidRPr="00434D18" w:rsidRDefault="00434D18" w:rsidP="00EF354C">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84</w:t>
            </w:r>
          </w:p>
        </w:tc>
      </w:tr>
      <w:tr w:rsidR="00EF354C" w:rsidRPr="00434D18" w14:paraId="6DD53EAC" w14:textId="77777777" w:rsidTr="000D3393">
        <w:tc>
          <w:tcPr>
            <w:tcW w:w="9464" w:type="dxa"/>
          </w:tcPr>
          <w:p w14:paraId="1B3A5285" w14:textId="77777777" w:rsidR="00EF354C" w:rsidRPr="00434D18" w:rsidRDefault="00EF354C" w:rsidP="00EF354C">
            <w:pPr>
              <w:spacing w:line="360" w:lineRule="auto"/>
              <w:ind w:right="-1338"/>
              <w:rPr>
                <w:rFonts w:ascii="Times New Roman" w:hAnsi="Times New Roman" w:cs="Times New Roman"/>
                <w:sz w:val="28"/>
                <w:szCs w:val="28"/>
                <w:shd w:val="clear" w:color="auto" w:fill="FFFFFF"/>
              </w:rPr>
            </w:pPr>
            <w:r w:rsidRPr="00434D18">
              <w:rPr>
                <w:rFonts w:ascii="Times New Roman" w:hAnsi="Times New Roman" w:cs="Times New Roman"/>
                <w:sz w:val="28"/>
                <w:szCs w:val="28"/>
                <w:shd w:val="clear" w:color="auto" w:fill="FFFFFF"/>
              </w:rPr>
              <w:t>Заключение</w:t>
            </w:r>
          </w:p>
        </w:tc>
        <w:tc>
          <w:tcPr>
            <w:tcW w:w="426" w:type="dxa"/>
          </w:tcPr>
          <w:p w14:paraId="277C7D07" w14:textId="2EA61B34" w:rsidR="00EF354C" w:rsidRPr="00434D18" w:rsidRDefault="00434D18" w:rsidP="00EF354C">
            <w:pPr>
              <w:spacing w:line="360" w:lineRule="auto"/>
              <w:ind w:right="-133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92</w:t>
            </w:r>
          </w:p>
        </w:tc>
      </w:tr>
    </w:tbl>
    <w:p w14:paraId="13D55A50" w14:textId="77777777" w:rsidR="008F653E" w:rsidRPr="00434D18" w:rsidRDefault="008F653E" w:rsidP="008F653E">
      <w:pPr>
        <w:spacing w:line="360" w:lineRule="auto"/>
        <w:ind w:left="-851" w:right="-1338"/>
        <w:rPr>
          <w:rFonts w:ascii="Times New Roman" w:hAnsi="Times New Roman" w:cs="Times New Roman"/>
          <w:sz w:val="28"/>
          <w:szCs w:val="28"/>
          <w:shd w:val="clear" w:color="auto" w:fill="FFFFFF"/>
        </w:rPr>
      </w:pPr>
    </w:p>
    <w:p w14:paraId="7AF672CB" w14:textId="77777777" w:rsidR="008F653E" w:rsidRPr="008F653E" w:rsidRDefault="008F653E" w:rsidP="008F653E">
      <w:pPr>
        <w:spacing w:before="120"/>
        <w:ind w:left="-851" w:right="-631"/>
        <w:jc w:val="both"/>
        <w:rPr>
          <w:rFonts w:ascii="Times New Roman" w:hAnsi="Times New Roman" w:cs="Times New Roman"/>
        </w:rPr>
      </w:pPr>
    </w:p>
    <w:p w14:paraId="5B9EDDBD" w14:textId="77777777" w:rsidR="008F653E" w:rsidRPr="008F653E" w:rsidRDefault="008F653E" w:rsidP="008F653E">
      <w:pPr>
        <w:spacing w:before="120"/>
        <w:ind w:right="-631"/>
        <w:jc w:val="both"/>
        <w:rPr>
          <w:rFonts w:ascii="Times New Roman" w:hAnsi="Times New Roman" w:cs="Times New Roman"/>
        </w:rPr>
      </w:pPr>
    </w:p>
    <w:p w14:paraId="78AD8F92" w14:textId="77777777" w:rsidR="008F653E" w:rsidRPr="008F653E" w:rsidRDefault="008F653E" w:rsidP="00845E1D">
      <w:pPr>
        <w:rPr>
          <w:rFonts w:ascii="Times New Roman" w:hAnsi="Times New Roman" w:cs="Times New Roman"/>
          <w:noProof/>
          <w:lang w:val="en-US"/>
        </w:rPr>
      </w:pPr>
    </w:p>
    <w:p w14:paraId="3569D42B" w14:textId="77777777" w:rsidR="00845E1D" w:rsidRDefault="00845E1D" w:rsidP="00194DCC">
      <w:pPr>
        <w:ind w:right="-489"/>
        <w:jc w:val="both"/>
        <w:rPr>
          <w:rFonts w:ascii="Times New Roman" w:hAnsi="Times New Roman" w:cs="Times New Roman"/>
          <w:b/>
        </w:rPr>
      </w:pPr>
    </w:p>
    <w:p w14:paraId="37FD407A" w14:textId="77777777" w:rsidR="00845E1D" w:rsidRDefault="00845E1D" w:rsidP="00194DCC">
      <w:pPr>
        <w:ind w:right="-489"/>
        <w:jc w:val="both"/>
        <w:rPr>
          <w:rFonts w:ascii="Times New Roman" w:hAnsi="Times New Roman" w:cs="Times New Roman"/>
          <w:b/>
        </w:rPr>
      </w:pPr>
    </w:p>
    <w:p w14:paraId="099F4D68" w14:textId="77777777" w:rsidR="008F653E" w:rsidRDefault="008F653E" w:rsidP="00194DCC">
      <w:pPr>
        <w:ind w:right="-489"/>
        <w:jc w:val="both"/>
        <w:rPr>
          <w:rFonts w:ascii="Times New Roman" w:hAnsi="Times New Roman" w:cs="Times New Roman"/>
          <w:b/>
        </w:rPr>
      </w:pPr>
    </w:p>
    <w:p w14:paraId="3F695464" w14:textId="77777777" w:rsidR="008F653E" w:rsidRDefault="008F653E" w:rsidP="00194DCC">
      <w:pPr>
        <w:ind w:right="-489"/>
        <w:jc w:val="both"/>
        <w:rPr>
          <w:rFonts w:ascii="Times New Roman" w:hAnsi="Times New Roman" w:cs="Times New Roman"/>
          <w:b/>
        </w:rPr>
      </w:pPr>
    </w:p>
    <w:p w14:paraId="46D7505A" w14:textId="77777777" w:rsidR="008F653E" w:rsidRDefault="008F653E" w:rsidP="00194DCC">
      <w:pPr>
        <w:ind w:right="-489"/>
        <w:jc w:val="both"/>
        <w:rPr>
          <w:rFonts w:ascii="Times New Roman" w:hAnsi="Times New Roman" w:cs="Times New Roman"/>
          <w:b/>
        </w:rPr>
      </w:pPr>
    </w:p>
    <w:p w14:paraId="4D32663C" w14:textId="77777777" w:rsidR="008F653E" w:rsidRDefault="008F653E" w:rsidP="00194DCC">
      <w:pPr>
        <w:ind w:right="-489"/>
        <w:jc w:val="both"/>
        <w:rPr>
          <w:rFonts w:ascii="Times New Roman" w:hAnsi="Times New Roman" w:cs="Times New Roman"/>
          <w:b/>
        </w:rPr>
      </w:pPr>
    </w:p>
    <w:p w14:paraId="2188E7F6" w14:textId="77777777" w:rsidR="008F653E" w:rsidRDefault="008F653E" w:rsidP="00194DCC">
      <w:pPr>
        <w:ind w:right="-489"/>
        <w:jc w:val="both"/>
        <w:rPr>
          <w:rFonts w:ascii="Times New Roman" w:hAnsi="Times New Roman" w:cs="Times New Roman"/>
          <w:b/>
        </w:rPr>
      </w:pPr>
    </w:p>
    <w:p w14:paraId="1C378BE1" w14:textId="77777777" w:rsidR="008F653E" w:rsidRDefault="008F653E" w:rsidP="00194DCC">
      <w:pPr>
        <w:ind w:right="-489"/>
        <w:jc w:val="both"/>
        <w:rPr>
          <w:rFonts w:ascii="Times New Roman" w:hAnsi="Times New Roman" w:cs="Times New Roman"/>
          <w:b/>
        </w:rPr>
      </w:pPr>
    </w:p>
    <w:p w14:paraId="19FE0378" w14:textId="77777777" w:rsidR="008F653E" w:rsidRDefault="008F653E" w:rsidP="00194DCC">
      <w:pPr>
        <w:ind w:right="-489"/>
        <w:jc w:val="both"/>
        <w:rPr>
          <w:rFonts w:ascii="Times New Roman" w:hAnsi="Times New Roman" w:cs="Times New Roman"/>
          <w:b/>
        </w:rPr>
      </w:pPr>
    </w:p>
    <w:p w14:paraId="075ABB78" w14:textId="77777777" w:rsidR="008F653E" w:rsidRDefault="008F653E" w:rsidP="00194DCC">
      <w:pPr>
        <w:ind w:right="-489"/>
        <w:jc w:val="both"/>
        <w:rPr>
          <w:rFonts w:ascii="Times New Roman" w:hAnsi="Times New Roman" w:cs="Times New Roman"/>
          <w:b/>
        </w:rPr>
      </w:pPr>
    </w:p>
    <w:p w14:paraId="3ED69E38" w14:textId="77777777" w:rsidR="008F653E" w:rsidRDefault="008F653E" w:rsidP="00194DCC">
      <w:pPr>
        <w:ind w:right="-489"/>
        <w:jc w:val="both"/>
        <w:rPr>
          <w:rFonts w:ascii="Times New Roman" w:hAnsi="Times New Roman" w:cs="Times New Roman"/>
          <w:b/>
        </w:rPr>
      </w:pPr>
    </w:p>
    <w:p w14:paraId="4A80A9F4" w14:textId="77777777" w:rsidR="002313D7" w:rsidRPr="005F02A0" w:rsidRDefault="002313D7" w:rsidP="005F02A0">
      <w:pPr>
        <w:spacing w:line="360" w:lineRule="auto"/>
        <w:ind w:right="43"/>
        <w:jc w:val="both"/>
        <w:rPr>
          <w:rFonts w:ascii="Times New Roman" w:hAnsi="Times New Roman" w:cs="Times New Roman"/>
          <w:b/>
          <w:sz w:val="28"/>
          <w:szCs w:val="28"/>
        </w:rPr>
      </w:pPr>
      <w:r w:rsidRPr="005F02A0">
        <w:rPr>
          <w:rFonts w:ascii="Times New Roman" w:hAnsi="Times New Roman" w:cs="Times New Roman"/>
          <w:b/>
          <w:sz w:val="28"/>
          <w:szCs w:val="28"/>
        </w:rPr>
        <w:t>Введение</w:t>
      </w:r>
    </w:p>
    <w:p w14:paraId="4504C6CA" w14:textId="77777777" w:rsidR="002313D7" w:rsidRPr="005F02A0" w:rsidRDefault="002313D7" w:rsidP="005F02A0">
      <w:pPr>
        <w:spacing w:line="360" w:lineRule="auto"/>
        <w:ind w:right="43"/>
        <w:jc w:val="both"/>
        <w:rPr>
          <w:rFonts w:ascii="Times New Roman" w:hAnsi="Times New Roman" w:cs="Times New Roman"/>
          <w:sz w:val="28"/>
          <w:szCs w:val="28"/>
        </w:rPr>
      </w:pPr>
      <w:r w:rsidRPr="005F02A0">
        <w:rPr>
          <w:rFonts w:ascii="Times New Roman" w:hAnsi="Times New Roman" w:cs="Times New Roman"/>
          <w:b/>
          <w:sz w:val="28"/>
          <w:szCs w:val="28"/>
        </w:rPr>
        <w:lastRenderedPageBreak/>
        <w:t>Актуальность темы исследования</w:t>
      </w:r>
      <w:r w:rsidRPr="005F02A0">
        <w:rPr>
          <w:rFonts w:ascii="Times New Roman" w:hAnsi="Times New Roman" w:cs="Times New Roman"/>
          <w:sz w:val="28"/>
          <w:szCs w:val="28"/>
        </w:rPr>
        <w:t xml:space="preserve">. </w:t>
      </w:r>
    </w:p>
    <w:p w14:paraId="634B025B"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 xml:space="preserve">Первая половина </w:t>
      </w:r>
      <w:r w:rsidRPr="005F02A0">
        <w:rPr>
          <w:rFonts w:ascii="Times New Roman" w:hAnsi="Times New Roman" w:cs="Times New Roman"/>
          <w:sz w:val="28"/>
          <w:szCs w:val="28"/>
          <w:lang w:val="en-US"/>
        </w:rPr>
        <w:t>XXI</w:t>
      </w:r>
      <w:r w:rsidRPr="005F02A0">
        <w:rPr>
          <w:rFonts w:ascii="Times New Roman" w:hAnsi="Times New Roman" w:cs="Times New Roman"/>
          <w:sz w:val="28"/>
          <w:szCs w:val="28"/>
        </w:rPr>
        <w:t xml:space="preserve"> века отмечена значительным возрастанием роли институциональных инвесторов на финансовых рынках. Развитие деятельности институциональных посредников представляет собой важный для развития экономики процесс ввиду их способности инициировать, структурировать и мобилизировать финансовые ресурсы. </w:t>
      </w:r>
    </w:p>
    <w:p w14:paraId="4FA64821"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 xml:space="preserve">В последние десятилетия в развитых странах финансовое могущество сконцентрировалось в руках институциональных инвесторов, которые заняли ведущее положение в сфере инвестиционной деятельности. Однако их доля в развивающихся странах по-прежнему невелика. В настоящее время в странах с «нарождающимся» рынком существует острая необходимость поиска новых институтов привлечения и мобилизации инвестиционных ресурсов для модернизации экономики. </w:t>
      </w:r>
    </w:p>
    <w:p w14:paraId="392A097B"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С теоретической и практической точек зрения представляется важным исследование финансового рынка Китая, характеристика его модели, определение его показателей с последующим сравнением с показателями рынка ценных бумаг России. Радикальные институциональные преобразования входили в основу рыночной трансформации экономики Китая. Прежние государственные механизмы финансирования народного хозяйства сменились рыночными институтами в финансовой сфере. На китайском рынке ценных бумаг быстрыми темпами увеличивается численность и масштабы деятельности ряда финансовых институтов, образующих основу институциональных инвесторов, они осваивают новые инструменты и методы операций, вовлекают в свою сферу все более широкий круг инвесторов из числа физических лиц. Это определяет необходимость исследования опыта развития и накопления потенциала институциональных инвесторов как в экономике, так и на финансовом рынке Китая, в частности.</w:t>
      </w:r>
    </w:p>
    <w:p w14:paraId="1CBA9851"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 xml:space="preserve">Создание развитой системы институциональных инвесторов является принципиально важным вопросом и для России. В Китае, как и в России, рынки </w:t>
      </w:r>
      <w:r w:rsidRPr="005F02A0">
        <w:rPr>
          <w:rFonts w:ascii="Times New Roman" w:hAnsi="Times New Roman" w:cs="Times New Roman"/>
          <w:sz w:val="28"/>
          <w:szCs w:val="28"/>
        </w:rPr>
        <w:lastRenderedPageBreak/>
        <w:t xml:space="preserve">ценных бумаг практически отсутствовали до начала рыночных реформ. С началом экономических преобразований обе страны встали перед задачей создания национальных рынков ценных бумаг. Сопоставление развития финансовых рынков двух стран и деятельности институциональных инвесторов на них позволит определить экономический результат преобразований, а также оценить перспективы их будущего развития и обменом опыта между ними. </w:t>
      </w:r>
    </w:p>
    <w:p w14:paraId="3D720CBB"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b/>
          <w:sz w:val="28"/>
          <w:szCs w:val="28"/>
        </w:rPr>
        <w:t>Степень изученности проблемы</w:t>
      </w:r>
      <w:r w:rsidRPr="005F02A0">
        <w:rPr>
          <w:rFonts w:ascii="Times New Roman" w:hAnsi="Times New Roman" w:cs="Times New Roman"/>
          <w:sz w:val="28"/>
          <w:szCs w:val="28"/>
        </w:rPr>
        <w:t>.</w:t>
      </w:r>
    </w:p>
    <w:p w14:paraId="5B5F2957"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 xml:space="preserve">Во второй половине </w:t>
      </w:r>
      <w:r w:rsidRPr="005F02A0">
        <w:rPr>
          <w:rFonts w:ascii="Times New Roman" w:hAnsi="Times New Roman" w:cs="Times New Roman"/>
          <w:sz w:val="28"/>
          <w:szCs w:val="28"/>
          <w:lang w:val="en-US"/>
        </w:rPr>
        <w:t>XX</w:t>
      </w:r>
      <w:r w:rsidRPr="005F02A0">
        <w:rPr>
          <w:rFonts w:ascii="Times New Roman" w:hAnsi="Times New Roman" w:cs="Times New Roman"/>
          <w:sz w:val="28"/>
          <w:szCs w:val="28"/>
        </w:rPr>
        <w:t xml:space="preserve"> века большое количество работ зарубежных авторов было посвящено  исследованию причин и особенностей функционирования институциональных инвесторов, в которых сложилась система взглядов, которую часто называют «теорией финансового посредничества». Ее предметом являются механизмы работы, цели и функции финансовых посредников.</w:t>
      </w:r>
    </w:p>
    <w:p w14:paraId="6CC1CC6A"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Вопросам деятельности институциональных инвесторов на финансовом рынке Китая отводится большая роль как в зарубежных исследованиях, так и в научных работах китайских ученых. Среди авторов, в чьих работах представлены базовые понятия функционирования институциональных инвесторов и рынка ценных бумаг, можно выделить З. Боди «Принципы инвестирования», а также У. Шарпа «Инвестиции» и Р. Колба «Финансовые институты рынка». Однако в России эта проблематика недостаточно изучена. Вопросом функционирования рынков ценных бумаг в странах с формирующимся рынком занимались как отечественные авторы, например, Мозиас П. М., Шаринов Д. Н., Григорьев Л. М., так и зарубежные авторы –Чан К. С., Фан Х. Г., Дэвис П. и др.</w:t>
      </w:r>
    </w:p>
    <w:p w14:paraId="61CBE83B"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 xml:space="preserve">Эти вопросы являются одной из центральных тем в исследованиях международных финансовых организаций, таких как Всемирный банк, Банк международных расчетов, Международный валютный фонд и другие. </w:t>
      </w:r>
    </w:p>
    <w:p w14:paraId="669904A9"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b/>
          <w:sz w:val="28"/>
          <w:szCs w:val="28"/>
        </w:rPr>
        <w:t>Объект и предмет исследования</w:t>
      </w:r>
      <w:r w:rsidRPr="005F02A0">
        <w:rPr>
          <w:rFonts w:ascii="Times New Roman" w:hAnsi="Times New Roman" w:cs="Times New Roman"/>
          <w:sz w:val="28"/>
          <w:szCs w:val="28"/>
        </w:rPr>
        <w:t>.</w:t>
      </w:r>
    </w:p>
    <w:p w14:paraId="1754B072"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b/>
          <w:sz w:val="28"/>
          <w:szCs w:val="28"/>
        </w:rPr>
        <w:t>Объектом</w:t>
      </w:r>
      <w:r w:rsidRPr="005F02A0">
        <w:rPr>
          <w:rFonts w:ascii="Times New Roman" w:hAnsi="Times New Roman" w:cs="Times New Roman"/>
          <w:sz w:val="28"/>
          <w:szCs w:val="28"/>
        </w:rPr>
        <w:t xml:space="preserve"> исследования в данной работе являются институциональные инвесторы в Китае.</w:t>
      </w:r>
    </w:p>
    <w:p w14:paraId="2701D238"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b/>
          <w:sz w:val="28"/>
          <w:szCs w:val="28"/>
        </w:rPr>
        <w:lastRenderedPageBreak/>
        <w:t>Предметом</w:t>
      </w:r>
      <w:r w:rsidRPr="005F02A0">
        <w:rPr>
          <w:rFonts w:ascii="Times New Roman" w:hAnsi="Times New Roman" w:cs="Times New Roman"/>
          <w:sz w:val="28"/>
          <w:szCs w:val="28"/>
        </w:rPr>
        <w:t xml:space="preserve"> исследования является процесс развития институциональных инвесторов в Китае в условиях глобализации и роста его значения на финансовом рынке.</w:t>
      </w:r>
    </w:p>
    <w:p w14:paraId="0BEA68CB"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b/>
          <w:sz w:val="28"/>
          <w:szCs w:val="28"/>
        </w:rPr>
        <w:t>Цели и задачи исследования</w:t>
      </w:r>
      <w:r w:rsidRPr="005F02A0">
        <w:rPr>
          <w:rFonts w:ascii="Times New Roman" w:hAnsi="Times New Roman" w:cs="Times New Roman"/>
          <w:sz w:val="28"/>
          <w:szCs w:val="28"/>
        </w:rPr>
        <w:t>.</w:t>
      </w:r>
    </w:p>
    <w:p w14:paraId="3AC2DAEF"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Целью выпускной квалификационной работы является исследование сущности, выявление и обоснование важнейших характеристик институциональных инвесторов на «нарождающихся» рынках и, в частности, на финансовом рынке Китая, а также в выработке модели формирования инвестиционного портфеля применительно к формирующимся рынкам.</w:t>
      </w:r>
    </w:p>
    <w:p w14:paraId="6055DC96"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Для достижения обозначенной цели были поставлены следующие задачи:</w:t>
      </w:r>
    </w:p>
    <w:p w14:paraId="58FC578F" w14:textId="77777777" w:rsidR="002313D7" w:rsidRPr="005F02A0" w:rsidRDefault="002313D7" w:rsidP="005F02A0">
      <w:pPr>
        <w:pStyle w:val="ListParagraph"/>
        <w:numPr>
          <w:ilvl w:val="0"/>
          <w:numId w:val="1"/>
        </w:num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рассмотреть характерные черты "нарождающегося" финансового рынка как основной площадки для действий институциональных инвесторов;</w:t>
      </w:r>
    </w:p>
    <w:p w14:paraId="63B7E675" w14:textId="77777777" w:rsidR="002313D7" w:rsidRPr="005F02A0" w:rsidRDefault="002313D7" w:rsidP="005F02A0">
      <w:pPr>
        <w:pStyle w:val="ListParagraph"/>
        <w:numPr>
          <w:ilvl w:val="0"/>
          <w:numId w:val="1"/>
        </w:num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исследовать концептуальные вопросы деятельности институциональных инвесторов в контексте особенностей экономики Китая;</w:t>
      </w:r>
    </w:p>
    <w:p w14:paraId="21110AB8" w14:textId="77777777" w:rsidR="002313D7" w:rsidRPr="005F02A0" w:rsidRDefault="002313D7" w:rsidP="005F02A0">
      <w:pPr>
        <w:pStyle w:val="ListParagraph"/>
        <w:numPr>
          <w:ilvl w:val="0"/>
          <w:numId w:val="1"/>
        </w:num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определить модель формирования инвестиционного портфеля для институциональных инвесторов в контексте особенностей «нарождающегося» рынка;</w:t>
      </w:r>
    </w:p>
    <w:p w14:paraId="25D5041F" w14:textId="77777777" w:rsidR="002313D7" w:rsidRPr="005F02A0" w:rsidRDefault="002313D7" w:rsidP="005F02A0">
      <w:pPr>
        <w:pStyle w:val="ListParagraph"/>
        <w:numPr>
          <w:ilvl w:val="0"/>
          <w:numId w:val="1"/>
        </w:num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провести параллель между финансовыми рынками Китая и России для выявления перспективы обменом опыта.</w:t>
      </w:r>
    </w:p>
    <w:p w14:paraId="780BD37A"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b/>
          <w:sz w:val="28"/>
          <w:szCs w:val="28"/>
        </w:rPr>
        <w:t>Структура работы</w:t>
      </w:r>
      <w:r w:rsidRPr="005F02A0">
        <w:rPr>
          <w:rFonts w:ascii="Times New Roman" w:hAnsi="Times New Roman" w:cs="Times New Roman"/>
          <w:sz w:val="28"/>
          <w:szCs w:val="28"/>
        </w:rPr>
        <w:t>.</w:t>
      </w:r>
    </w:p>
    <w:p w14:paraId="78BCF4B1"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Выпускная квалификационная работа состоит из трех глав, которые соответствуют основным задачам исследования, введения, заключения и списка литературы.</w:t>
      </w:r>
    </w:p>
    <w:p w14:paraId="0404106F"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i/>
          <w:sz w:val="28"/>
          <w:szCs w:val="28"/>
        </w:rPr>
        <w:t>В главе 1</w:t>
      </w:r>
      <w:r w:rsidRPr="005F02A0">
        <w:rPr>
          <w:rFonts w:ascii="Times New Roman" w:hAnsi="Times New Roman" w:cs="Times New Roman"/>
          <w:sz w:val="28"/>
          <w:szCs w:val="28"/>
        </w:rPr>
        <w:t xml:space="preserve"> дано определение «нарождающемуся» рынку и выявлены его характерные черты; рассмотрена проблема соотношения акционерного и заемного капитала на финансовом рынке; даны определения таким основополагающим понятиям, как «инвестиции», «инвестиционная среда» и «инвестиционный процесс»; рассмотрена классификация инвесторов на </w:t>
      </w:r>
      <w:r w:rsidRPr="005F02A0">
        <w:rPr>
          <w:rFonts w:ascii="Times New Roman" w:hAnsi="Times New Roman" w:cs="Times New Roman"/>
          <w:sz w:val="28"/>
          <w:szCs w:val="28"/>
        </w:rPr>
        <w:lastRenderedPageBreak/>
        <w:t>финансовых ранках; определено воздействие фундаментальных факторов на формирование модели рынка ценных бумаг в Китае.</w:t>
      </w:r>
    </w:p>
    <w:p w14:paraId="2AF7159E"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 xml:space="preserve">В </w:t>
      </w:r>
      <w:r w:rsidRPr="005F02A0">
        <w:rPr>
          <w:rFonts w:ascii="Times New Roman" w:hAnsi="Times New Roman" w:cs="Times New Roman"/>
          <w:i/>
          <w:sz w:val="28"/>
          <w:szCs w:val="28"/>
        </w:rPr>
        <w:t>главе 2</w:t>
      </w:r>
      <w:r w:rsidRPr="005F02A0">
        <w:rPr>
          <w:rFonts w:ascii="Times New Roman" w:hAnsi="Times New Roman" w:cs="Times New Roman"/>
          <w:sz w:val="28"/>
          <w:szCs w:val="28"/>
        </w:rPr>
        <w:t xml:space="preserve"> представлен обзор деятельности институциональных инвесторов на рынке КНР; выявлены основные модели формирования инвестиционных портфелей и их модификация в контексте «нарождающегося» рынка.</w:t>
      </w:r>
    </w:p>
    <w:p w14:paraId="64051714"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 xml:space="preserve">В </w:t>
      </w:r>
      <w:r w:rsidRPr="005F02A0">
        <w:rPr>
          <w:rFonts w:ascii="Times New Roman" w:hAnsi="Times New Roman" w:cs="Times New Roman"/>
          <w:i/>
          <w:sz w:val="28"/>
          <w:szCs w:val="28"/>
        </w:rPr>
        <w:t xml:space="preserve">главе 3 </w:t>
      </w:r>
      <w:r w:rsidRPr="005F02A0">
        <w:rPr>
          <w:rFonts w:ascii="Times New Roman" w:hAnsi="Times New Roman" w:cs="Times New Roman"/>
          <w:sz w:val="28"/>
          <w:szCs w:val="28"/>
        </w:rPr>
        <w:t xml:space="preserve">проведено сравнение финансовых рынков России и Китая путем построения модели </w:t>
      </w:r>
      <w:r w:rsidRPr="005F02A0">
        <w:rPr>
          <w:rFonts w:ascii="Times New Roman" w:hAnsi="Times New Roman" w:cs="Times New Roman"/>
          <w:sz w:val="28"/>
          <w:szCs w:val="28"/>
          <w:lang w:val="en-US"/>
        </w:rPr>
        <w:t>EVA</w:t>
      </w:r>
      <w:r w:rsidRPr="005F02A0">
        <w:rPr>
          <w:rFonts w:ascii="Times New Roman" w:hAnsi="Times New Roman" w:cs="Times New Roman"/>
          <w:sz w:val="28"/>
          <w:szCs w:val="28"/>
        </w:rPr>
        <w:t>, в рамках которой сравнивались котирующиеся компании двух стран, а также путем рассмотрения этапов развития и главных показателей.</w:t>
      </w:r>
    </w:p>
    <w:p w14:paraId="32533B73"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b/>
          <w:sz w:val="28"/>
          <w:szCs w:val="28"/>
        </w:rPr>
        <w:t>Источники фактологии</w:t>
      </w:r>
      <w:r w:rsidRPr="005F02A0">
        <w:rPr>
          <w:rFonts w:ascii="Times New Roman" w:hAnsi="Times New Roman" w:cs="Times New Roman"/>
          <w:sz w:val="28"/>
          <w:szCs w:val="28"/>
        </w:rPr>
        <w:t>.</w:t>
      </w:r>
    </w:p>
    <w:p w14:paraId="3E1C74CF"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 xml:space="preserve">В ходе исследования были использованы труды российских и зарубежных авторов, практические и теоретические разработки в сфере рынка ценных бумаг и финансового рынка. </w:t>
      </w:r>
    </w:p>
    <w:p w14:paraId="64B9EE5B" w14:textId="77777777" w:rsidR="002313D7" w:rsidRPr="005F02A0"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В данном исследовании использовались статистические данные Комиссии по управлению и контролю рынка ценных бумаг, Народного банка Китая, МВФ, Международной федерации бирж, Шэньчжэньской и Шанхайской фондовых бирж.</w:t>
      </w:r>
    </w:p>
    <w:p w14:paraId="4BFA0C00" w14:textId="77777777" w:rsidR="002313D7" w:rsidRDefault="002313D7" w:rsidP="005F02A0">
      <w:pPr>
        <w:spacing w:line="360" w:lineRule="auto"/>
        <w:ind w:left="-567" w:right="43" w:firstLine="283"/>
        <w:jc w:val="both"/>
        <w:rPr>
          <w:rFonts w:ascii="Times New Roman" w:hAnsi="Times New Roman" w:cs="Times New Roman"/>
          <w:sz w:val="28"/>
          <w:szCs w:val="28"/>
        </w:rPr>
      </w:pPr>
      <w:r w:rsidRPr="005F02A0">
        <w:rPr>
          <w:rFonts w:ascii="Times New Roman" w:hAnsi="Times New Roman" w:cs="Times New Roman"/>
          <w:sz w:val="28"/>
          <w:szCs w:val="28"/>
        </w:rPr>
        <w:t>Методологическую основу исследования составляют сравнения статистических показателей, экономико-математические методы, а также общие принципы системного анализа.</w:t>
      </w:r>
    </w:p>
    <w:p w14:paraId="5838892F" w14:textId="77777777" w:rsidR="005F02A0" w:rsidRDefault="005F02A0" w:rsidP="005F02A0">
      <w:pPr>
        <w:spacing w:line="360" w:lineRule="auto"/>
        <w:ind w:left="-567" w:right="43" w:firstLine="283"/>
        <w:jc w:val="both"/>
        <w:rPr>
          <w:rFonts w:ascii="Times New Roman" w:hAnsi="Times New Roman" w:cs="Times New Roman"/>
          <w:sz w:val="28"/>
          <w:szCs w:val="28"/>
        </w:rPr>
      </w:pPr>
    </w:p>
    <w:p w14:paraId="0BF3C245" w14:textId="77777777" w:rsidR="005F02A0" w:rsidRDefault="005F02A0" w:rsidP="005F02A0">
      <w:pPr>
        <w:spacing w:line="360" w:lineRule="auto"/>
        <w:ind w:left="-567" w:right="43" w:firstLine="283"/>
        <w:jc w:val="both"/>
        <w:rPr>
          <w:rFonts w:ascii="Times New Roman" w:hAnsi="Times New Roman" w:cs="Times New Roman"/>
          <w:sz w:val="28"/>
          <w:szCs w:val="28"/>
        </w:rPr>
      </w:pPr>
    </w:p>
    <w:p w14:paraId="217094A7" w14:textId="77777777" w:rsidR="005F02A0" w:rsidRDefault="005F02A0" w:rsidP="005F02A0">
      <w:pPr>
        <w:spacing w:line="360" w:lineRule="auto"/>
        <w:ind w:left="-567" w:right="43" w:firstLine="283"/>
        <w:jc w:val="both"/>
        <w:rPr>
          <w:rFonts w:ascii="Times New Roman" w:hAnsi="Times New Roman" w:cs="Times New Roman"/>
          <w:sz w:val="28"/>
          <w:szCs w:val="28"/>
        </w:rPr>
      </w:pPr>
    </w:p>
    <w:p w14:paraId="77039E5C" w14:textId="77777777" w:rsidR="005F02A0" w:rsidRDefault="005F02A0" w:rsidP="005F02A0">
      <w:pPr>
        <w:spacing w:line="360" w:lineRule="auto"/>
        <w:ind w:left="-567" w:right="43" w:firstLine="283"/>
        <w:jc w:val="both"/>
        <w:rPr>
          <w:rFonts w:ascii="Times New Roman" w:hAnsi="Times New Roman" w:cs="Times New Roman"/>
          <w:sz w:val="28"/>
          <w:szCs w:val="28"/>
        </w:rPr>
      </w:pPr>
    </w:p>
    <w:p w14:paraId="0F38E6E6" w14:textId="77777777" w:rsidR="0057163E" w:rsidRDefault="0057163E" w:rsidP="005F02A0">
      <w:pPr>
        <w:spacing w:line="360" w:lineRule="auto"/>
        <w:ind w:left="-567" w:right="43" w:firstLine="283"/>
        <w:jc w:val="both"/>
        <w:rPr>
          <w:rFonts w:ascii="Times New Roman" w:hAnsi="Times New Roman" w:cs="Times New Roman"/>
          <w:sz w:val="28"/>
          <w:szCs w:val="28"/>
        </w:rPr>
      </w:pPr>
      <w:bookmarkStart w:id="0" w:name="_GoBack"/>
      <w:bookmarkEnd w:id="0"/>
    </w:p>
    <w:p w14:paraId="60DF2B80" w14:textId="77777777" w:rsidR="005F02A0" w:rsidRPr="005F02A0" w:rsidRDefault="005F02A0" w:rsidP="005F02A0">
      <w:pPr>
        <w:spacing w:line="360" w:lineRule="auto"/>
        <w:ind w:left="-567" w:right="43" w:firstLine="283"/>
        <w:jc w:val="both"/>
        <w:rPr>
          <w:rFonts w:ascii="Times New Roman" w:hAnsi="Times New Roman" w:cs="Times New Roman"/>
          <w:sz w:val="28"/>
          <w:szCs w:val="28"/>
        </w:rPr>
      </w:pPr>
    </w:p>
    <w:p w14:paraId="52AB27E7" w14:textId="77777777" w:rsidR="002313D7" w:rsidRDefault="002313D7" w:rsidP="00F95522">
      <w:pPr>
        <w:spacing w:before="120"/>
        <w:ind w:right="-631"/>
        <w:jc w:val="both"/>
        <w:rPr>
          <w:rFonts w:ascii="Times New Roman" w:hAnsi="Times New Roman" w:cs="Times New Roman"/>
          <w:b/>
        </w:rPr>
      </w:pPr>
    </w:p>
    <w:p w14:paraId="0B26A2D6" w14:textId="77777777" w:rsidR="00AD63F0" w:rsidRPr="00DD0782" w:rsidRDefault="00AD63F0" w:rsidP="005F02A0">
      <w:pPr>
        <w:spacing w:before="120" w:line="360" w:lineRule="auto"/>
        <w:ind w:right="-631"/>
        <w:jc w:val="both"/>
        <w:rPr>
          <w:rFonts w:ascii="Times New Roman" w:hAnsi="Times New Roman" w:cs="Times New Roman"/>
          <w:b/>
          <w:sz w:val="32"/>
          <w:szCs w:val="32"/>
        </w:rPr>
      </w:pPr>
      <w:r w:rsidRPr="00DD0782">
        <w:rPr>
          <w:rFonts w:ascii="Times New Roman" w:hAnsi="Times New Roman" w:cs="Times New Roman"/>
          <w:b/>
          <w:sz w:val="32"/>
          <w:szCs w:val="32"/>
        </w:rPr>
        <w:lastRenderedPageBreak/>
        <w:t>Глава 1. Финансовый рынок КНР как разновидность «нарождающихся» рынков</w:t>
      </w:r>
    </w:p>
    <w:p w14:paraId="64419E04" w14:textId="77777777" w:rsidR="00AD63F0" w:rsidRPr="00DD0782" w:rsidRDefault="00AD63F0" w:rsidP="005F02A0">
      <w:pPr>
        <w:pStyle w:val="ListParagraph"/>
        <w:numPr>
          <w:ilvl w:val="1"/>
          <w:numId w:val="2"/>
        </w:numPr>
        <w:spacing w:before="120" w:line="360" w:lineRule="auto"/>
        <w:ind w:right="-631"/>
        <w:jc w:val="both"/>
        <w:rPr>
          <w:rFonts w:ascii="Times New Roman" w:hAnsi="Times New Roman" w:cs="Times New Roman"/>
          <w:b/>
          <w:i/>
          <w:sz w:val="28"/>
          <w:szCs w:val="28"/>
        </w:rPr>
      </w:pPr>
      <w:r w:rsidRPr="00DD0782">
        <w:rPr>
          <w:rFonts w:ascii="Times New Roman" w:hAnsi="Times New Roman" w:cs="Times New Roman"/>
          <w:b/>
          <w:i/>
          <w:sz w:val="28"/>
          <w:szCs w:val="28"/>
        </w:rPr>
        <w:t>Развивающийся финансовый рынок: основные характеристики</w:t>
      </w:r>
    </w:p>
    <w:p w14:paraId="4457FB16"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Исследование китайского финансового рынка представляет немалый научный интерес. В КНР, как и в России, до начала экономических преобразований финансовые рынки практически отсутствовали. Несмотря на то, что с момента зарождения китайский финансовый рынок начал расти быстрыми темпами и на сегодняшний день по масштабу занимает 2-е место в мире, экономисты по-прежнему относят его к категории «нарождающихся». </w:t>
      </w:r>
    </w:p>
    <w:p w14:paraId="7E484997"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За последние три десятилетия мировая финансовая система, и, в частности, финансовые рынки, в значительной степени изменились: увеличилась их емкость, расширился спрос на финансовые активы. Финансовую глобализацию отличают как количественные характеристики (объем накопленных прямых инвестиций в мире, международных займов, эмиссии ценных бумаг в обращении, капитализация рынков ценных бумаг, стоимость активов финансовых институтов за рубежом и институциональных инвесторов), так и качественные изменения в структуре национальных и международных финансовых рынков, внедрение и развитие новых технологий, расширение деятельности официальных организаций и частных финансовых институтов, а также рост числа слияний и поглощений этих институтов. Одной из составляющих финансовой глобализации являются формирование финансовых рынков в развивающихся странах и открытие их для иностранного частного капитала. Под финансовым рынком в данной работе будет пониматься его узкое значение, а именно фондовый рынок и рынок долговых инструментов.</w:t>
      </w:r>
    </w:p>
    <w:p w14:paraId="363C1473"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Международные финансовые организации и институциональные инвесторы, а также ряд российских экономистов, обозначают рынки развивающихся стран как </w:t>
      </w:r>
      <w:r w:rsidRPr="00DD0782">
        <w:rPr>
          <w:rFonts w:ascii="Times New Roman" w:hAnsi="Times New Roman" w:cs="Times New Roman"/>
          <w:sz w:val="28"/>
          <w:szCs w:val="28"/>
        </w:rPr>
        <w:lastRenderedPageBreak/>
        <w:t>«формирующиеся»</w:t>
      </w:r>
      <w:r w:rsidRPr="00DD0782">
        <w:rPr>
          <w:rStyle w:val="FootnoteReference"/>
          <w:rFonts w:ascii="Times New Roman" w:hAnsi="Times New Roman" w:cs="Times New Roman"/>
          <w:sz w:val="28"/>
          <w:szCs w:val="28"/>
        </w:rPr>
        <w:footnoteReference w:id="1"/>
      </w:r>
      <w:r w:rsidRPr="00DD0782">
        <w:rPr>
          <w:rFonts w:ascii="Times New Roman" w:hAnsi="Times New Roman" w:cs="Times New Roman"/>
          <w:sz w:val="28"/>
          <w:szCs w:val="28"/>
        </w:rPr>
        <w:t>, «возникающие»</w:t>
      </w:r>
      <w:r w:rsidRPr="00DD0782">
        <w:rPr>
          <w:rStyle w:val="FootnoteReference"/>
          <w:rFonts w:ascii="Times New Roman" w:hAnsi="Times New Roman" w:cs="Times New Roman"/>
          <w:sz w:val="28"/>
          <w:szCs w:val="28"/>
        </w:rPr>
        <w:footnoteReference w:id="2"/>
      </w:r>
      <w:r w:rsidRPr="00DD0782">
        <w:rPr>
          <w:rFonts w:ascii="Times New Roman" w:hAnsi="Times New Roman" w:cs="Times New Roman"/>
          <w:sz w:val="28"/>
          <w:szCs w:val="28"/>
        </w:rPr>
        <w:t>, «нарождающиеся»</w:t>
      </w:r>
      <w:r w:rsidRPr="00DD0782">
        <w:rPr>
          <w:rStyle w:val="FootnoteReference"/>
          <w:rFonts w:ascii="Times New Roman" w:hAnsi="Times New Roman" w:cs="Times New Roman"/>
          <w:sz w:val="28"/>
          <w:szCs w:val="28"/>
        </w:rPr>
        <w:footnoteReference w:id="3"/>
      </w:r>
      <w:r w:rsidRPr="00DD0782">
        <w:rPr>
          <w:rFonts w:ascii="Times New Roman" w:hAnsi="Times New Roman" w:cs="Times New Roman"/>
          <w:sz w:val="28"/>
          <w:szCs w:val="28"/>
        </w:rPr>
        <w:t>,  в научном обороте также широко используется термин «развивающиеся рынки»</w:t>
      </w:r>
      <w:r w:rsidRPr="00DD0782">
        <w:rPr>
          <w:rStyle w:val="FootnoteReference"/>
          <w:rFonts w:ascii="Times New Roman" w:hAnsi="Times New Roman" w:cs="Times New Roman"/>
          <w:sz w:val="28"/>
          <w:szCs w:val="28"/>
        </w:rPr>
        <w:footnoteReference w:id="4"/>
      </w:r>
      <w:r w:rsidRPr="00DD0782">
        <w:rPr>
          <w:rFonts w:ascii="Times New Roman" w:hAnsi="Times New Roman" w:cs="Times New Roman"/>
          <w:sz w:val="28"/>
          <w:szCs w:val="28"/>
        </w:rPr>
        <w:t>, хотя он не эквивалентен английскому термину. В связи с тем, что российские экономисты до сих пор не пришли к единому названию для рынков развивающихся стран, в данной работе будет использоваться словосочетание «нарождающиеся рынки».</w:t>
      </w:r>
    </w:p>
    <w:p w14:paraId="39E95D83" w14:textId="77777777" w:rsidR="00AD63F0" w:rsidRPr="00DD0782" w:rsidRDefault="00AD63F0" w:rsidP="005F02A0">
      <w:pPr>
        <w:spacing w:line="360" w:lineRule="auto"/>
        <w:ind w:left="-567" w:right="-99" w:firstLine="284"/>
        <w:jc w:val="both"/>
        <w:rPr>
          <w:rFonts w:ascii="Times New Roman" w:eastAsia="Times New Roman" w:hAnsi="Times New Roman" w:cs="Times New Roman"/>
          <w:sz w:val="28"/>
          <w:szCs w:val="28"/>
          <w:shd w:val="clear" w:color="auto" w:fill="FFFFFF"/>
        </w:rPr>
      </w:pPr>
      <w:r w:rsidRPr="00DD0782">
        <w:rPr>
          <w:rFonts w:ascii="Times New Roman" w:hAnsi="Times New Roman" w:cs="Times New Roman"/>
          <w:sz w:val="28"/>
          <w:szCs w:val="28"/>
        </w:rPr>
        <w:t>Термин "нарождающиеся рынки" (</w:t>
      </w:r>
      <w:r w:rsidRPr="00DD0782">
        <w:rPr>
          <w:rFonts w:ascii="Times New Roman" w:hAnsi="Times New Roman" w:cs="Times New Roman"/>
          <w:sz w:val="28"/>
          <w:szCs w:val="28"/>
          <w:lang w:val="en-US"/>
        </w:rPr>
        <w:t>emerging</w:t>
      </w:r>
      <w:r w:rsidRPr="00DD0782">
        <w:rPr>
          <w:rFonts w:ascii="Times New Roman" w:hAnsi="Times New Roman" w:cs="Times New Roman"/>
          <w:sz w:val="28"/>
          <w:szCs w:val="28"/>
        </w:rPr>
        <w:t xml:space="preserve"> </w:t>
      </w:r>
      <w:r w:rsidRPr="00DD0782">
        <w:rPr>
          <w:rFonts w:ascii="Times New Roman" w:hAnsi="Times New Roman" w:cs="Times New Roman"/>
          <w:sz w:val="28"/>
          <w:szCs w:val="28"/>
          <w:lang w:val="en-US"/>
        </w:rPr>
        <w:t>markets</w:t>
      </w:r>
      <w:r w:rsidRPr="00DD0782">
        <w:rPr>
          <w:rFonts w:ascii="Times New Roman" w:hAnsi="Times New Roman" w:cs="Times New Roman"/>
          <w:sz w:val="28"/>
          <w:szCs w:val="28"/>
        </w:rPr>
        <w:t>) применительно к фондовым рынкам был введен в научный оборот в 1981 г. сотрудником Международной финансовой корпорации (МФК)</w:t>
      </w:r>
      <w:r w:rsidRPr="00DD0782">
        <w:rPr>
          <w:rStyle w:val="FootnoteReference"/>
          <w:rFonts w:ascii="Times New Roman" w:hAnsi="Times New Roman" w:cs="Times New Roman"/>
          <w:sz w:val="28"/>
          <w:szCs w:val="28"/>
        </w:rPr>
        <w:footnoteReference w:id="5"/>
      </w:r>
      <w:r w:rsidRPr="00DD0782">
        <w:rPr>
          <w:rFonts w:ascii="Times New Roman" w:hAnsi="Times New Roman" w:cs="Times New Roman"/>
          <w:sz w:val="28"/>
          <w:szCs w:val="28"/>
        </w:rPr>
        <w:t xml:space="preserve"> А. ван Агтмаелем с целью обозначить новую группу инвестиционных активов, а также выделить рынки развивающихся государств  в самостоятельную группу. В середине 1980-х годов этот термин получил широкое распространение, когда МФК начала разрабатывать концепцию развития рынков капитала в развивающихся странах. На тот момент инвестиционные активы там практически ничего не стоили, однако за прошедшие 25 лет совокупная капитализация фондовых рынков развивающихся стран достигла нескольких триллионов долларов. Аналитики одного из крупнейших швейцарских банков </w:t>
      </w:r>
      <w:r w:rsidRPr="00DD0782">
        <w:rPr>
          <w:rFonts w:ascii="Times New Roman" w:hAnsi="Times New Roman" w:cs="Times New Roman"/>
          <w:sz w:val="28"/>
          <w:szCs w:val="28"/>
          <w:lang w:val="en-US"/>
        </w:rPr>
        <w:t>Credit</w:t>
      </w:r>
      <w:r w:rsidRPr="00DD0782">
        <w:rPr>
          <w:rFonts w:ascii="Times New Roman" w:hAnsi="Times New Roman" w:cs="Times New Roman"/>
          <w:sz w:val="28"/>
          <w:szCs w:val="28"/>
        </w:rPr>
        <w:t xml:space="preserve"> </w:t>
      </w:r>
      <w:r w:rsidRPr="00DD0782">
        <w:rPr>
          <w:rFonts w:ascii="Times New Roman" w:hAnsi="Times New Roman" w:cs="Times New Roman"/>
          <w:sz w:val="28"/>
          <w:szCs w:val="28"/>
          <w:lang w:val="en-US"/>
        </w:rPr>
        <w:t>Suisse</w:t>
      </w:r>
      <w:r w:rsidRPr="00DD0782">
        <w:rPr>
          <w:rFonts w:ascii="Times New Roman" w:hAnsi="Times New Roman" w:cs="Times New Roman"/>
          <w:sz w:val="28"/>
          <w:szCs w:val="28"/>
        </w:rPr>
        <w:t xml:space="preserve"> утверждают, что «</w:t>
      </w:r>
      <w:r w:rsidRPr="00DD0782">
        <w:rPr>
          <w:rFonts w:ascii="Times New Roman" w:eastAsia="Times New Roman" w:hAnsi="Times New Roman" w:cs="Times New Roman"/>
          <w:sz w:val="28"/>
          <w:szCs w:val="28"/>
          <w:shd w:val="clear" w:color="auto" w:fill="FFFFFF"/>
        </w:rPr>
        <w:t xml:space="preserve">совокупный дневной объем торгов на рынках акций развивающихся стран за последние 16 лет вырос в 13 раз - до 55 млрд долл. в среднем (максимум, достигнутый в марте 2011 г., составлял </w:t>
      </w:r>
      <w:r w:rsidRPr="00DD0782">
        <w:rPr>
          <w:rFonts w:ascii="Times New Roman" w:eastAsia="Times New Roman" w:hAnsi="Times New Roman" w:cs="Times New Roman"/>
          <w:sz w:val="28"/>
          <w:szCs w:val="28"/>
          <w:shd w:val="clear" w:color="auto" w:fill="FFFFFF"/>
        </w:rPr>
        <w:lastRenderedPageBreak/>
        <w:t>79 млрд долл.). Теперь на развивающиеся рынки приходится около одной пятой мирового объема торгов акциями»</w:t>
      </w:r>
      <w:r w:rsidRPr="00DD0782">
        <w:rPr>
          <w:rStyle w:val="FootnoteReference"/>
          <w:rFonts w:ascii="Times New Roman" w:hAnsi="Times New Roman" w:cs="Times New Roman"/>
          <w:sz w:val="28"/>
          <w:szCs w:val="28"/>
          <w:shd w:val="clear" w:color="auto" w:fill="FFFFFF"/>
        </w:rPr>
        <w:footnoteReference w:id="6"/>
      </w:r>
      <w:r w:rsidRPr="00DD0782">
        <w:rPr>
          <w:rFonts w:ascii="Times New Roman" w:eastAsia="Times New Roman" w:hAnsi="Times New Roman" w:cs="Times New Roman"/>
          <w:sz w:val="28"/>
          <w:szCs w:val="28"/>
          <w:shd w:val="clear" w:color="auto" w:fill="FFFFFF"/>
        </w:rPr>
        <w:t>.</w:t>
      </w:r>
    </w:p>
    <w:p w14:paraId="48B54D58"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Экономический рост  стран с развивающимся рынком опережает рост развитых стран. В период с 2000 по 2010 гг. рост развивающихся экономик, а в особенности азиатских стран, ускорился в три раза, тогда как рост западных экономик значительно замедлился (рисунок 1). Международный валютный фонд (МВФ) прогнозирует, что к 2015 г. по отношению к 1992 г. доля развитых стран в мировом ВВП сократится на 17 п.п., тогда как доля развивающихся стран возрастет на 18 п.п. (рисунок 2). </w:t>
      </w:r>
    </w:p>
    <w:p w14:paraId="459ED0BC" w14:textId="77777777" w:rsidR="00DD0782" w:rsidRPr="00DD0782" w:rsidRDefault="00DD0782" w:rsidP="00DD0782">
      <w:pPr>
        <w:shd w:val="clear" w:color="auto" w:fill="FDFEFC"/>
        <w:spacing w:before="120"/>
        <w:ind w:left="-567" w:right="-631" w:firstLine="284"/>
        <w:jc w:val="both"/>
        <w:rPr>
          <w:rFonts w:ascii="Times New Roman" w:hAnsi="Times New Roman" w:cs="Times New Roman"/>
          <w:sz w:val="28"/>
          <w:szCs w:val="28"/>
        </w:rPr>
      </w:pPr>
      <w:r w:rsidRPr="00DD0782">
        <w:rPr>
          <w:rFonts w:ascii="Times New Roman" w:hAnsi="Times New Roman" w:cs="Times New Roman"/>
          <w:sz w:val="28"/>
          <w:szCs w:val="28"/>
        </w:rPr>
        <w:t>Рисунок 1. Рост ВВП развивающихся и развитых экономик, %</w:t>
      </w:r>
    </w:p>
    <w:p w14:paraId="78BA9CA7" w14:textId="77777777" w:rsidR="00DD0782" w:rsidRPr="005C626D" w:rsidRDefault="00DD0782" w:rsidP="00DD0782">
      <w:pPr>
        <w:shd w:val="clear" w:color="auto" w:fill="FDFEFC"/>
        <w:spacing w:before="120"/>
        <w:ind w:left="-567" w:right="-631" w:firstLine="284"/>
        <w:jc w:val="both"/>
        <w:rPr>
          <w:rFonts w:ascii="Times New Roman" w:hAnsi="Times New Roman" w:cs="Times New Roman"/>
        </w:rPr>
      </w:pPr>
      <w:r w:rsidRPr="005C626D">
        <w:rPr>
          <w:rFonts w:ascii="Times New Roman" w:hAnsi="Times New Roman" w:cs="Times New Roman"/>
          <w:noProof/>
          <w:lang w:val="en-US"/>
        </w:rPr>
        <w:drawing>
          <wp:inline distT="0" distB="0" distL="0" distR="0" wp14:anchorId="3531B48C" wp14:editId="4EE82657">
            <wp:extent cx="4191450" cy="18390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4118" b="15686"/>
                    <a:stretch>
                      <a:fillRect/>
                    </a:stretch>
                  </pic:blipFill>
                  <pic:spPr bwMode="auto">
                    <a:xfrm>
                      <a:off x="0" y="0"/>
                      <a:ext cx="4191450" cy="1839075"/>
                    </a:xfrm>
                    <a:prstGeom prst="rect">
                      <a:avLst/>
                    </a:prstGeom>
                    <a:noFill/>
                    <a:ln>
                      <a:noFill/>
                    </a:ln>
                  </pic:spPr>
                </pic:pic>
              </a:graphicData>
            </a:graphic>
          </wp:inline>
        </w:drawing>
      </w:r>
    </w:p>
    <w:p w14:paraId="2A18A323" w14:textId="77777777" w:rsidR="00DD0782" w:rsidRPr="006D5E67" w:rsidRDefault="00DD0782" w:rsidP="00DD0782">
      <w:pPr>
        <w:shd w:val="clear" w:color="auto" w:fill="FDFEFC"/>
        <w:spacing w:before="120"/>
        <w:ind w:left="-567" w:right="-631" w:firstLine="284"/>
        <w:jc w:val="both"/>
        <w:rPr>
          <w:rFonts w:ascii="Times New Roman" w:hAnsi="Times New Roman" w:cs="Times New Roman"/>
          <w:sz w:val="20"/>
          <w:szCs w:val="20"/>
        </w:rPr>
      </w:pPr>
      <w:r w:rsidRPr="001F3ED9">
        <w:rPr>
          <w:rFonts w:ascii="Times New Roman" w:hAnsi="Times New Roman" w:cs="Times New Roman"/>
          <w:sz w:val="20"/>
          <w:szCs w:val="20"/>
        </w:rPr>
        <w:t>Источник</w:t>
      </w:r>
      <w:r>
        <w:rPr>
          <w:rFonts w:ascii="Times New Roman" w:hAnsi="Times New Roman" w:cs="Times New Roman"/>
          <w:sz w:val="20"/>
          <w:szCs w:val="20"/>
          <w:lang w:val="en-US"/>
        </w:rPr>
        <w:t>: World Economic Outlook Database</w:t>
      </w:r>
      <w:r w:rsidRPr="00420AB5">
        <w:rPr>
          <w:rFonts w:ascii="Times New Roman" w:hAnsi="Times New Roman" w:cs="Times New Roman"/>
          <w:sz w:val="20"/>
          <w:szCs w:val="20"/>
          <w:lang w:val="en-US"/>
        </w:rPr>
        <w:t xml:space="preserve">. </w:t>
      </w:r>
      <w:r w:rsidRPr="00420AB5">
        <w:rPr>
          <w:rFonts w:ascii="Times New Roman" w:eastAsia="Times New Roman" w:hAnsi="Times New Roman" w:cs="Times New Roman"/>
          <w:color w:val="000000" w:themeColor="text1"/>
          <w:sz w:val="20"/>
          <w:szCs w:val="20"/>
          <w:shd w:val="clear" w:color="auto" w:fill="FFFFFF"/>
          <w:lang w:val="en-US"/>
        </w:rPr>
        <w:t xml:space="preserve">– </w:t>
      </w:r>
      <w:r>
        <w:rPr>
          <w:rFonts w:ascii="Times New Roman" w:eastAsia="Times New Roman" w:hAnsi="Times New Roman" w:cs="Times New Roman"/>
          <w:color w:val="000000" w:themeColor="text1"/>
          <w:sz w:val="20"/>
          <w:szCs w:val="20"/>
          <w:shd w:val="clear" w:color="auto" w:fill="FFFFFF"/>
          <w:lang w:val="en-US"/>
        </w:rPr>
        <w:t>IMF.</w:t>
      </w:r>
      <w:r w:rsidRPr="001F3ED9">
        <w:rPr>
          <w:rFonts w:ascii="Times New Roman" w:hAnsi="Times New Roman" w:cs="Times New Roman"/>
          <w:sz w:val="20"/>
          <w:szCs w:val="20"/>
          <w:lang w:val="en-US"/>
        </w:rPr>
        <w:t xml:space="preserve"> April</w:t>
      </w:r>
      <w:r w:rsidRPr="006D5E67">
        <w:rPr>
          <w:rFonts w:ascii="Times New Roman" w:hAnsi="Times New Roman" w:cs="Times New Roman"/>
          <w:sz w:val="20"/>
          <w:szCs w:val="20"/>
        </w:rPr>
        <w:t xml:space="preserve"> 2011.</w:t>
      </w:r>
    </w:p>
    <w:p w14:paraId="0E3741EC" w14:textId="77777777" w:rsidR="00DD0782" w:rsidRPr="00DD0782" w:rsidRDefault="00DD0782" w:rsidP="00DD0782">
      <w:pPr>
        <w:shd w:val="clear" w:color="auto" w:fill="FDFEFC"/>
        <w:spacing w:before="120"/>
        <w:ind w:left="-567" w:right="-631" w:firstLine="284"/>
        <w:jc w:val="both"/>
        <w:rPr>
          <w:rFonts w:ascii="Times New Roman" w:hAnsi="Times New Roman" w:cs="Times New Roman"/>
          <w:sz w:val="28"/>
          <w:szCs w:val="28"/>
        </w:rPr>
      </w:pPr>
      <w:r w:rsidRPr="00DD0782">
        <w:rPr>
          <w:rFonts w:ascii="Times New Roman" w:hAnsi="Times New Roman" w:cs="Times New Roman"/>
          <w:sz w:val="28"/>
          <w:szCs w:val="28"/>
        </w:rPr>
        <w:t>Рисунок 2. Доля развитых и развивающихся стран в мировом ВВП, %</w:t>
      </w:r>
    </w:p>
    <w:p w14:paraId="78E8A3CB" w14:textId="77777777" w:rsidR="00DD0782" w:rsidRPr="005C626D" w:rsidRDefault="00DD0782" w:rsidP="00DD0782">
      <w:pPr>
        <w:shd w:val="clear" w:color="auto" w:fill="FDFEFC"/>
        <w:spacing w:before="120"/>
        <w:ind w:left="-567" w:right="-631" w:firstLine="284"/>
        <w:jc w:val="both"/>
        <w:rPr>
          <w:rFonts w:ascii="Times New Roman" w:hAnsi="Times New Roman" w:cs="Times New Roman"/>
        </w:rPr>
      </w:pPr>
      <w:r w:rsidRPr="005C626D">
        <w:rPr>
          <w:rFonts w:ascii="Times New Roman" w:hAnsi="Times New Roman" w:cs="Times New Roman"/>
          <w:noProof/>
          <w:lang w:val="en-US"/>
        </w:rPr>
        <w:drawing>
          <wp:inline distT="0" distB="0" distL="0" distR="0" wp14:anchorId="3B13BC62" wp14:editId="7F2EE133">
            <wp:extent cx="6364675" cy="130481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14788" b="11207"/>
                    <a:stretch>
                      <a:fillRect/>
                    </a:stretch>
                  </pic:blipFill>
                  <pic:spPr bwMode="auto">
                    <a:xfrm>
                      <a:off x="0" y="0"/>
                      <a:ext cx="6370189" cy="1305949"/>
                    </a:xfrm>
                    <a:prstGeom prst="rect">
                      <a:avLst/>
                    </a:prstGeom>
                    <a:noFill/>
                    <a:ln>
                      <a:noFill/>
                    </a:ln>
                  </pic:spPr>
                </pic:pic>
              </a:graphicData>
            </a:graphic>
          </wp:inline>
        </w:drawing>
      </w:r>
    </w:p>
    <w:p w14:paraId="3EA846C5" w14:textId="2E47E322" w:rsidR="00DD0782" w:rsidRPr="00DD0782" w:rsidRDefault="00DD0782" w:rsidP="00DD0782">
      <w:pPr>
        <w:shd w:val="clear" w:color="auto" w:fill="FDFEFC"/>
        <w:spacing w:before="120"/>
        <w:ind w:left="-567" w:right="-631" w:firstLine="284"/>
        <w:jc w:val="both"/>
        <w:rPr>
          <w:rFonts w:ascii="Times New Roman" w:hAnsi="Times New Roman" w:cs="Times New Roman"/>
          <w:sz w:val="20"/>
          <w:szCs w:val="20"/>
        </w:rPr>
      </w:pPr>
      <w:r w:rsidRPr="001F3ED9">
        <w:rPr>
          <w:rFonts w:ascii="Times New Roman" w:hAnsi="Times New Roman" w:cs="Times New Roman"/>
          <w:sz w:val="20"/>
          <w:szCs w:val="20"/>
        </w:rPr>
        <w:t>Источник</w:t>
      </w:r>
      <w:r>
        <w:rPr>
          <w:rFonts w:ascii="Times New Roman" w:hAnsi="Times New Roman" w:cs="Times New Roman"/>
          <w:sz w:val="20"/>
          <w:szCs w:val="20"/>
          <w:lang w:val="en-US"/>
        </w:rPr>
        <w:t>: World Economic Outlook Database. – IMF.</w:t>
      </w:r>
      <w:r w:rsidRPr="001F3ED9">
        <w:rPr>
          <w:rFonts w:ascii="Times New Roman" w:hAnsi="Times New Roman" w:cs="Times New Roman"/>
          <w:sz w:val="20"/>
          <w:szCs w:val="20"/>
          <w:lang w:val="en-US"/>
        </w:rPr>
        <w:t xml:space="preserve"> April</w:t>
      </w:r>
      <w:r w:rsidRPr="006D5E67">
        <w:rPr>
          <w:rFonts w:ascii="Times New Roman" w:hAnsi="Times New Roman" w:cs="Times New Roman"/>
          <w:sz w:val="20"/>
          <w:szCs w:val="20"/>
        </w:rPr>
        <w:t xml:space="preserve"> 2011.</w:t>
      </w:r>
    </w:p>
    <w:p w14:paraId="6E65123E"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Страны с «нарождающимися» рынками представляют собой достаточно неоднородную группу. Масштабы некоторых рынков превосходят рынки малых и средних развитых стран (Китай, Корея, Бразилия). Некоторым свойственны достаточно жесткая система регулирования и иногда высокая степень </w:t>
      </w:r>
      <w:r w:rsidRPr="00DD0782">
        <w:rPr>
          <w:rFonts w:ascii="Times New Roman" w:hAnsi="Times New Roman" w:cs="Times New Roman"/>
          <w:sz w:val="28"/>
          <w:szCs w:val="28"/>
        </w:rPr>
        <w:lastRenderedPageBreak/>
        <w:t xml:space="preserve">прозрачности (Польша, Венгрия). История некоторых рынков насчитывает несколько десятилетий (Индия, рынки государств Латинской Америки), другие не существуют еще и 25 лет (страны Центральной и Восточной Европы). </w:t>
      </w:r>
      <w:r w:rsidRPr="00DD0782">
        <w:rPr>
          <w:rFonts w:ascii="Times New Roman" w:eastAsia="Times New Roman" w:hAnsi="Times New Roman" w:cs="Times New Roman"/>
          <w:sz w:val="28"/>
          <w:szCs w:val="28"/>
          <w:shd w:val="clear" w:color="auto" w:fill="FFFFFF"/>
        </w:rPr>
        <w:t xml:space="preserve">В одном случае рынки включаются в разряд «нарождающихся», если их капитализация составляет менее 3% от мирового уровня, в другом – если ежемесячный объем торгов составляет не менее 2 млрд. долл., а число зарегистрированных компаний составляет не менее 100. </w:t>
      </w:r>
      <w:r w:rsidRPr="00DD0782">
        <w:rPr>
          <w:rFonts w:ascii="Times New Roman" w:hAnsi="Times New Roman" w:cs="Times New Roman"/>
          <w:sz w:val="28"/>
          <w:szCs w:val="28"/>
        </w:rPr>
        <w:t>Как бы то ни было, существуют определенные общие черты, присущие «нарождающимся рынкам», которые отличают их от рынков развитых.</w:t>
      </w:r>
    </w:p>
    <w:p w14:paraId="3679B63B"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Основные макроэкономические характеристики компаний на развивающихся рынках представлены в таблице 1.</w:t>
      </w:r>
    </w:p>
    <w:p w14:paraId="685699AF" w14:textId="77777777" w:rsidR="00DD0782" w:rsidRPr="00DD0782" w:rsidRDefault="00DD0782" w:rsidP="00B3584B">
      <w:pPr>
        <w:shd w:val="clear" w:color="auto" w:fill="FDFEFC"/>
        <w:spacing w:before="120" w:line="360" w:lineRule="auto"/>
        <w:ind w:right="-631"/>
        <w:jc w:val="both"/>
        <w:rPr>
          <w:rFonts w:ascii="Times New Roman" w:hAnsi="Times New Roman" w:cs="Times New Roman"/>
          <w:sz w:val="28"/>
          <w:szCs w:val="28"/>
        </w:rPr>
      </w:pPr>
      <w:r w:rsidRPr="00DD0782">
        <w:rPr>
          <w:rFonts w:ascii="Times New Roman" w:hAnsi="Times New Roman" w:cs="Times New Roman"/>
          <w:sz w:val="28"/>
          <w:szCs w:val="28"/>
        </w:rPr>
        <w:t>Таблица 1. Специфика развивающихся и развитых рынков капитала</w:t>
      </w:r>
    </w:p>
    <w:p w14:paraId="5D52C017" w14:textId="77777777" w:rsidR="00DD0782" w:rsidRPr="005C626D" w:rsidRDefault="00DD0782" w:rsidP="00DD0782">
      <w:pPr>
        <w:shd w:val="clear" w:color="auto" w:fill="FDFEFC"/>
        <w:spacing w:before="120"/>
        <w:ind w:left="-567" w:right="-631" w:firstLine="284"/>
        <w:jc w:val="both"/>
        <w:rPr>
          <w:rFonts w:ascii="Times New Roman" w:hAnsi="Times New Roman" w:cs="Times New Roman"/>
        </w:rPr>
      </w:pPr>
      <w:r w:rsidRPr="005C626D">
        <w:rPr>
          <w:rFonts w:ascii="Times New Roman" w:hAnsi="Times New Roman" w:cs="Times New Roman"/>
          <w:noProof/>
          <w:lang w:val="en-US"/>
        </w:rPr>
        <w:lastRenderedPageBreak/>
        <w:drawing>
          <wp:inline distT="0" distB="0" distL="0" distR="0" wp14:anchorId="7A11BF8C" wp14:editId="15EE55BF">
            <wp:extent cx="5549329" cy="6165384"/>
            <wp:effectExtent l="0" t="0" r="0" b="698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4386"/>
                    <a:stretch>
                      <a:fillRect/>
                    </a:stretch>
                  </pic:blipFill>
                  <pic:spPr bwMode="auto">
                    <a:xfrm>
                      <a:off x="0" y="0"/>
                      <a:ext cx="5550454" cy="6166634"/>
                    </a:xfrm>
                    <a:prstGeom prst="rect">
                      <a:avLst/>
                    </a:prstGeom>
                    <a:noFill/>
                    <a:ln>
                      <a:noFill/>
                    </a:ln>
                  </pic:spPr>
                </pic:pic>
              </a:graphicData>
            </a:graphic>
          </wp:inline>
        </w:drawing>
      </w:r>
    </w:p>
    <w:p w14:paraId="21B60AE1" w14:textId="735C4BD6" w:rsidR="00DD0782" w:rsidRPr="00DD0782" w:rsidRDefault="00DD0782" w:rsidP="00DD0782">
      <w:pPr>
        <w:shd w:val="clear" w:color="auto" w:fill="FDFEFC"/>
        <w:spacing w:before="120"/>
        <w:ind w:left="-567" w:right="-631" w:firstLine="284"/>
        <w:jc w:val="both"/>
        <w:rPr>
          <w:rFonts w:ascii="Times New Roman" w:hAnsi="Times New Roman" w:cs="Times New Roman"/>
          <w:sz w:val="20"/>
          <w:szCs w:val="20"/>
        </w:rPr>
      </w:pPr>
      <w:r w:rsidRPr="00420AB5">
        <w:rPr>
          <w:rFonts w:ascii="Times New Roman" w:hAnsi="Times New Roman" w:cs="Times New Roman"/>
          <w:sz w:val="20"/>
          <w:szCs w:val="20"/>
        </w:rPr>
        <w:t xml:space="preserve">Источник: Герасимова С.М. Эмпирические исследования структуры капитала компаний на развивающихся рынках: специфика и методология. </w:t>
      </w:r>
      <w:r w:rsidRPr="00420AB5">
        <w:rPr>
          <w:rFonts w:ascii="Times New Roman" w:eastAsia="Times New Roman" w:hAnsi="Times New Roman" w:cs="Times New Roman"/>
          <w:color w:val="000000" w:themeColor="text1"/>
          <w:sz w:val="20"/>
          <w:szCs w:val="20"/>
          <w:shd w:val="clear" w:color="auto" w:fill="FFFFFF"/>
        </w:rPr>
        <w:t xml:space="preserve">– </w:t>
      </w:r>
      <w:r w:rsidRPr="00420AB5">
        <w:rPr>
          <w:rFonts w:ascii="Times New Roman" w:hAnsi="Times New Roman" w:cs="Times New Roman"/>
          <w:sz w:val="20"/>
          <w:szCs w:val="20"/>
        </w:rPr>
        <w:t xml:space="preserve">Электронный журнал </w:t>
      </w:r>
      <w:r>
        <w:rPr>
          <w:rFonts w:ascii="Times New Roman" w:hAnsi="Times New Roman" w:cs="Times New Roman"/>
          <w:sz w:val="20"/>
          <w:szCs w:val="20"/>
        </w:rPr>
        <w:t>«</w:t>
      </w:r>
      <w:r w:rsidRPr="00420AB5">
        <w:rPr>
          <w:rFonts w:ascii="Times New Roman" w:hAnsi="Times New Roman" w:cs="Times New Roman"/>
          <w:sz w:val="20"/>
          <w:szCs w:val="20"/>
        </w:rPr>
        <w:t>Корпоративные Финансы</w:t>
      </w:r>
      <w:r>
        <w:rPr>
          <w:rFonts w:ascii="Times New Roman" w:hAnsi="Times New Roman" w:cs="Times New Roman"/>
          <w:sz w:val="20"/>
          <w:szCs w:val="20"/>
        </w:rPr>
        <w:t>»</w:t>
      </w:r>
      <w:r w:rsidRPr="00420AB5">
        <w:rPr>
          <w:rFonts w:ascii="Times New Roman" w:hAnsi="Times New Roman" w:cs="Times New Roman"/>
          <w:sz w:val="20"/>
          <w:szCs w:val="20"/>
        </w:rPr>
        <w:t>. 2012, № 1(21). С. 214.</w:t>
      </w:r>
    </w:p>
    <w:p w14:paraId="7650C9E0" w14:textId="77777777" w:rsidR="00AD63F0" w:rsidRPr="00B3584B"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Самой яркой чертой является большая неустойчивость «нарождающихся» финансовых рынков в сравнении с рынками развитых государств и, в соответствии с этим, высокий уровень ценовых рисков</w:t>
      </w:r>
      <w:r w:rsidRPr="00B3584B">
        <w:rPr>
          <w:rStyle w:val="FootnoteReference"/>
          <w:rFonts w:ascii="Times New Roman" w:hAnsi="Times New Roman" w:cs="Times New Roman"/>
          <w:sz w:val="28"/>
          <w:szCs w:val="28"/>
        </w:rPr>
        <w:footnoteReference w:id="7"/>
      </w:r>
      <w:r w:rsidRPr="00B3584B">
        <w:rPr>
          <w:rFonts w:ascii="Times New Roman" w:hAnsi="Times New Roman" w:cs="Times New Roman"/>
          <w:sz w:val="28"/>
          <w:szCs w:val="28"/>
        </w:rPr>
        <w:t xml:space="preserve">. Для инвесторов и властей высокий уровень доходности и волатильности играет значительную роль. Волатильность развивающихся финансовых рынков, которая выражается показателем среднеквадратического отклонения курсов акций в год, в 4-5 раз </w:t>
      </w:r>
      <w:r w:rsidRPr="00B3584B">
        <w:rPr>
          <w:rFonts w:ascii="Times New Roman" w:hAnsi="Times New Roman" w:cs="Times New Roman"/>
          <w:sz w:val="28"/>
          <w:szCs w:val="28"/>
        </w:rPr>
        <w:lastRenderedPageBreak/>
        <w:t>выше, нежели на развитых рынках (рисунок 3). Стоимость заемных ресурсов и инвестиционная активность в экономике тесно связаны с уровнем доходности финансовых активов. Физические и юридические лица, принимающие инвестиционные решения, часто рассматривают оценки волатильности как один из показателей уязвимости как финансового рынка, так и всей экономики. К примеру, при определении   приоритетов   денежно-кредитной политики Федеральная резервная система США учитывает волатильность рынка ценных бумаг, иностранной валюты и различных товаров</w:t>
      </w:r>
      <w:r w:rsidRPr="00B3584B">
        <w:rPr>
          <w:rStyle w:val="FootnoteReference"/>
          <w:rFonts w:ascii="Times New Roman" w:hAnsi="Times New Roman" w:cs="Times New Roman"/>
          <w:sz w:val="28"/>
          <w:szCs w:val="28"/>
        </w:rPr>
        <w:footnoteReference w:id="8"/>
      </w:r>
      <w:r w:rsidRPr="00B3584B">
        <w:rPr>
          <w:rFonts w:ascii="Times New Roman" w:hAnsi="Times New Roman" w:cs="Times New Roman"/>
          <w:sz w:val="28"/>
          <w:szCs w:val="28"/>
        </w:rPr>
        <w:t xml:space="preserve">. Макроэкономическая нестабильность и высокая инфляция в развивающихся странах способствуют росту неопределенности для инвесторов и кредиторов.  </w:t>
      </w:r>
    </w:p>
    <w:p w14:paraId="04BF5AF8" w14:textId="77777777" w:rsidR="00DD0782" w:rsidRPr="00B3584B" w:rsidRDefault="00DD0782" w:rsidP="00B3584B">
      <w:pPr>
        <w:shd w:val="clear" w:color="auto" w:fill="FDFEFC"/>
        <w:spacing w:before="120" w:line="360" w:lineRule="auto"/>
        <w:ind w:right="-631"/>
        <w:jc w:val="both"/>
        <w:rPr>
          <w:rFonts w:ascii="Times New Roman" w:hAnsi="Times New Roman" w:cs="Times New Roman"/>
          <w:sz w:val="28"/>
          <w:szCs w:val="28"/>
        </w:rPr>
      </w:pPr>
      <w:r w:rsidRPr="00B3584B">
        <w:rPr>
          <w:rFonts w:ascii="Times New Roman" w:hAnsi="Times New Roman" w:cs="Times New Roman"/>
          <w:sz w:val="28"/>
          <w:szCs w:val="28"/>
        </w:rPr>
        <w:t>Рисунок 3. Волатильность развитых и развивающихся фондовых рынков</w:t>
      </w:r>
    </w:p>
    <w:p w14:paraId="3C1180A9" w14:textId="77777777" w:rsidR="00DD0782" w:rsidRPr="005C626D" w:rsidRDefault="00DD0782" w:rsidP="00DD0782">
      <w:pPr>
        <w:shd w:val="clear" w:color="auto" w:fill="FDFEFC"/>
        <w:spacing w:before="120"/>
        <w:ind w:left="-567" w:right="-631" w:firstLine="284"/>
        <w:jc w:val="both"/>
        <w:rPr>
          <w:rFonts w:ascii="Times New Roman" w:hAnsi="Times New Roman" w:cs="Times New Roman"/>
        </w:rPr>
      </w:pPr>
      <w:r w:rsidRPr="005C626D">
        <w:rPr>
          <w:rFonts w:ascii="Times New Roman" w:hAnsi="Times New Roman" w:cs="Times New Roman"/>
          <w:noProof/>
          <w:lang w:val="en-US"/>
        </w:rPr>
        <w:drawing>
          <wp:inline distT="0" distB="0" distL="0" distR="0" wp14:anchorId="35CEC044" wp14:editId="57B2C11A">
            <wp:extent cx="4645418" cy="2551495"/>
            <wp:effectExtent l="19050" t="0" r="2782"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8311" b="16275"/>
                    <a:stretch>
                      <a:fillRect/>
                    </a:stretch>
                  </pic:blipFill>
                  <pic:spPr bwMode="auto">
                    <a:xfrm>
                      <a:off x="0" y="0"/>
                      <a:ext cx="4650313" cy="2554183"/>
                    </a:xfrm>
                    <a:prstGeom prst="rect">
                      <a:avLst/>
                    </a:prstGeom>
                    <a:noFill/>
                    <a:ln>
                      <a:noFill/>
                    </a:ln>
                  </pic:spPr>
                </pic:pic>
              </a:graphicData>
            </a:graphic>
          </wp:inline>
        </w:drawing>
      </w:r>
    </w:p>
    <w:p w14:paraId="06819F73" w14:textId="77777777" w:rsidR="00DD0782" w:rsidRPr="00CC710D" w:rsidRDefault="00DD0782" w:rsidP="00DD0782">
      <w:pPr>
        <w:shd w:val="clear" w:color="auto" w:fill="FDFEFC"/>
        <w:spacing w:before="120"/>
        <w:ind w:left="-567" w:right="-631" w:firstLine="284"/>
        <w:rPr>
          <w:rFonts w:ascii="Times New Roman" w:hAnsi="Times New Roman" w:cs="Times New Roman"/>
          <w:sz w:val="20"/>
          <w:szCs w:val="20"/>
          <w:lang w:val="en-US"/>
        </w:rPr>
      </w:pPr>
      <w:r w:rsidRPr="00CC710D">
        <w:rPr>
          <w:rFonts w:ascii="Times New Roman" w:hAnsi="Times New Roman" w:cs="Times New Roman"/>
          <w:sz w:val="20"/>
          <w:szCs w:val="20"/>
        </w:rPr>
        <w:t>Источник</w:t>
      </w:r>
      <w:r w:rsidRPr="00CC710D">
        <w:rPr>
          <w:rFonts w:ascii="Times New Roman" w:hAnsi="Times New Roman" w:cs="Times New Roman"/>
          <w:sz w:val="20"/>
          <w:szCs w:val="20"/>
          <w:lang w:val="en-US"/>
        </w:rPr>
        <w:t>: The emergi</w:t>
      </w:r>
      <w:r>
        <w:rPr>
          <w:rFonts w:ascii="Times New Roman" w:hAnsi="Times New Roman" w:cs="Times New Roman"/>
          <w:sz w:val="20"/>
          <w:szCs w:val="20"/>
          <w:lang w:val="en-US"/>
        </w:rPr>
        <w:t>ng market benchmark bear hug.</w:t>
      </w:r>
      <w:r w:rsidRPr="00400FE9">
        <w:rPr>
          <w:rFonts w:ascii="Times New Roman" w:hAnsi="Times New Roman" w:cs="Times New Roman"/>
          <w:sz w:val="20"/>
          <w:szCs w:val="20"/>
          <w:lang w:val="en-US"/>
        </w:rPr>
        <w:t xml:space="preserve"> 2013. </w:t>
      </w:r>
      <w:r>
        <w:rPr>
          <w:rFonts w:ascii="Times New Roman" w:hAnsi="Times New Roman" w:cs="Times New Roman"/>
          <w:sz w:val="20"/>
          <w:szCs w:val="20"/>
          <w:lang w:val="en-US"/>
        </w:rPr>
        <w:t xml:space="preserve"> </w:t>
      </w:r>
      <w:r w:rsidRPr="00CD0AEC">
        <w:rPr>
          <w:rFonts w:ascii="Times New Roman" w:hAnsi="Times New Roman" w:cs="Times New Roman"/>
          <w:sz w:val="20"/>
          <w:szCs w:val="20"/>
          <w:lang w:val="en-US"/>
        </w:rPr>
        <w:t>–</w:t>
      </w:r>
      <w:r w:rsidRPr="00CC710D">
        <w:rPr>
          <w:rFonts w:ascii="Times New Roman" w:hAnsi="Times New Roman" w:cs="Times New Roman"/>
          <w:sz w:val="20"/>
          <w:szCs w:val="20"/>
          <w:lang w:val="en-US"/>
        </w:rPr>
        <w:t xml:space="preserve"> http://www.emergingglobaladvisors.com/pdf/expertseries/EGA%20Benchmark%20Bear%20Hug.pdf</w:t>
      </w:r>
    </w:p>
    <w:p w14:paraId="1B1CBC6E" w14:textId="77777777" w:rsidR="00DD0782" w:rsidRPr="00DD0782" w:rsidRDefault="00DD0782" w:rsidP="00DD0782">
      <w:pPr>
        <w:shd w:val="clear" w:color="auto" w:fill="FDFEFC"/>
        <w:ind w:left="-567" w:right="-772" w:firstLine="284"/>
        <w:jc w:val="both"/>
        <w:rPr>
          <w:rFonts w:ascii="Times New Roman" w:hAnsi="Times New Roman" w:cs="Times New Roman"/>
          <w:sz w:val="28"/>
          <w:szCs w:val="28"/>
        </w:rPr>
      </w:pPr>
    </w:p>
    <w:p w14:paraId="145D8B6A"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Другая отличительная черта – это объемы рынка. Во многих странах с «нарождающимися» рынками размеры финансовых рынков по отношению к ВВП в разы ниже, чем в развитых странах. </w:t>
      </w:r>
    </w:p>
    <w:p w14:paraId="63BA30DB"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Если рассматривать эффективность регулирования финансового рынка, то «нарождающиеся» рынки значительно отстают от развитых. Многие крупные инвестиционные банки относят развивающиеся рынки ценных бумаг к так </w:t>
      </w:r>
      <w:r w:rsidRPr="00DD0782">
        <w:rPr>
          <w:rFonts w:ascii="Times New Roman" w:hAnsi="Times New Roman" w:cs="Times New Roman"/>
          <w:sz w:val="28"/>
          <w:szCs w:val="28"/>
        </w:rPr>
        <w:lastRenderedPageBreak/>
        <w:t xml:space="preserve">называемым нерегулируемым рынкам, подразумевая под этим не отсутствие регуляторной политики как таковой, а ее неэффективность. </w:t>
      </w:r>
    </w:p>
    <w:p w14:paraId="78F1291B"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Значительная доля госкорпораций в структуре собственности экономики является еще одной чертой стран с «нарождающимися» рынками. Практически все развивающиеся страны характеризуются довольно высоким уровнем вмешательства государства в экономику. Во данных странах присутствует частный сектор, однако большинство крупных корпораций было создано при участии государства, к тому же, их финансовое состояние в долгосрочной перспективе крайне сложно предсказать.</w:t>
      </w:r>
    </w:p>
    <w:p w14:paraId="56C2F20F"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Финансирование субъектов экономики также различается. В странах с «нарождающимися» рынками такой источник финансирования как банковский кредит важнее, чем ценные бумаги. В отличие от развитых стран здесь такие институциональные инвесторы, как страховые компании и пенсионные фонды, играют незначительную роль на финансовом рынке. В работе П. Дэвиса и М. Стоуна приведены результаты исследования структуры капитала ряда развитых и развивающихся рынков</w:t>
      </w:r>
      <w:r w:rsidRPr="00DD0782">
        <w:rPr>
          <w:rStyle w:val="FootnoteReference"/>
          <w:rFonts w:ascii="Times New Roman" w:hAnsi="Times New Roman" w:cs="Times New Roman"/>
          <w:sz w:val="28"/>
          <w:szCs w:val="28"/>
        </w:rPr>
        <w:footnoteReference w:id="9"/>
      </w:r>
      <w:r w:rsidRPr="00DD0782">
        <w:rPr>
          <w:rFonts w:ascii="Times New Roman" w:hAnsi="Times New Roman" w:cs="Times New Roman"/>
          <w:sz w:val="28"/>
          <w:szCs w:val="28"/>
        </w:rPr>
        <w:t>. Авторы установили б</w:t>
      </w:r>
      <w:r w:rsidRPr="00DD0782">
        <w:rPr>
          <w:rFonts w:ascii="Times New Roman" w:hAnsi="Times New Roman" w:cs="Times New Roman"/>
          <w:color w:val="000000"/>
          <w:sz w:val="28"/>
          <w:szCs w:val="28"/>
        </w:rPr>
        <w:t>ó</w:t>
      </w:r>
      <w:r w:rsidRPr="00DD0782">
        <w:rPr>
          <w:rFonts w:ascii="Times New Roman" w:hAnsi="Times New Roman" w:cs="Times New Roman"/>
          <w:sz w:val="28"/>
          <w:szCs w:val="28"/>
        </w:rPr>
        <w:t>льшую зависимость «нарождающихся» рынков от внешнего финансирования, особенно банковского. Несмотря на то, что агрегированные уровни долговой нагрузки развитых и развивающихся рынков отличаются, более того, уровни долговой нагрузки последних также различны, компаниям на развивающихся рынках свойственны более высокие уровни долга.</w:t>
      </w:r>
    </w:p>
    <w:p w14:paraId="0FCD1008"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Проблема выбора оптимального соотношения акционерного и заемного капитала актуальна как для компании, так и для финансовой системы страны в целом. Слабое развитие финансовых рынков и невозможность привлечения определенного типа финансирования способны подавлять инвестиционную активность фирм и замедлять развитие всей экономики.</w:t>
      </w:r>
    </w:p>
    <w:p w14:paraId="48ECA992"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lastRenderedPageBreak/>
        <w:t>Изучению проблемы выбора структуры капитала на развитом рынке посвящена обширная теоретическая и эмпирическая литература. Гораздо меньшее внимание уделено компаниям, оперирующим в странах с развивающимися, не достаточно зрелыми рынками капитала. Несмотря на появление в последние годы ряда работ, проведенных на данных развивающихся рынков, многие вопросы формирования соотношения собственного и заемного капиталов на них остаются нерешенными.</w:t>
      </w:r>
    </w:p>
    <w:p w14:paraId="3A321564"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В настоящее время наиболее распространены две классические концепции целей выбора структуры капитала: теория порядка источников финансирования (</w:t>
      </w:r>
      <w:r w:rsidRPr="00DD0782">
        <w:rPr>
          <w:rFonts w:ascii="Times New Roman" w:hAnsi="Times New Roman" w:cs="Times New Roman"/>
          <w:sz w:val="28"/>
          <w:szCs w:val="28"/>
          <w:lang w:val="en-US"/>
        </w:rPr>
        <w:t>pecking</w:t>
      </w:r>
      <w:r w:rsidRPr="00DD0782">
        <w:rPr>
          <w:rFonts w:ascii="Times New Roman" w:hAnsi="Times New Roman" w:cs="Times New Roman"/>
          <w:sz w:val="28"/>
          <w:szCs w:val="28"/>
        </w:rPr>
        <w:t xml:space="preserve"> </w:t>
      </w:r>
      <w:r w:rsidRPr="00DD0782">
        <w:rPr>
          <w:rFonts w:ascii="Times New Roman" w:hAnsi="Times New Roman" w:cs="Times New Roman"/>
          <w:sz w:val="28"/>
          <w:szCs w:val="28"/>
          <w:lang w:val="en-US"/>
        </w:rPr>
        <w:t>order</w:t>
      </w:r>
      <w:r w:rsidRPr="00DD0782">
        <w:rPr>
          <w:rFonts w:ascii="Times New Roman" w:hAnsi="Times New Roman" w:cs="Times New Roman"/>
          <w:sz w:val="28"/>
          <w:szCs w:val="28"/>
        </w:rPr>
        <w:t xml:space="preserve"> </w:t>
      </w:r>
      <w:r w:rsidRPr="00DD0782">
        <w:rPr>
          <w:rFonts w:ascii="Times New Roman" w:hAnsi="Times New Roman" w:cs="Times New Roman"/>
          <w:sz w:val="28"/>
          <w:szCs w:val="28"/>
          <w:lang w:val="en-US"/>
        </w:rPr>
        <w:t>of</w:t>
      </w:r>
      <w:r w:rsidRPr="00DD0782">
        <w:rPr>
          <w:rFonts w:ascii="Times New Roman" w:hAnsi="Times New Roman" w:cs="Times New Roman"/>
          <w:sz w:val="28"/>
          <w:szCs w:val="28"/>
        </w:rPr>
        <w:t xml:space="preserve"> </w:t>
      </w:r>
      <w:r w:rsidRPr="00DD0782">
        <w:rPr>
          <w:rFonts w:ascii="Times New Roman" w:hAnsi="Times New Roman" w:cs="Times New Roman"/>
          <w:sz w:val="28"/>
          <w:szCs w:val="28"/>
          <w:lang w:val="en-US"/>
        </w:rPr>
        <w:t>financing</w:t>
      </w:r>
      <w:r w:rsidRPr="00DD0782">
        <w:rPr>
          <w:rFonts w:ascii="Times New Roman" w:hAnsi="Times New Roman" w:cs="Times New Roman"/>
          <w:sz w:val="28"/>
          <w:szCs w:val="28"/>
        </w:rPr>
        <w:t>) и теория компромисса (</w:t>
      </w:r>
      <w:r w:rsidRPr="00DD0782">
        <w:rPr>
          <w:rFonts w:ascii="Times New Roman" w:hAnsi="Times New Roman" w:cs="Times New Roman"/>
          <w:sz w:val="28"/>
          <w:szCs w:val="28"/>
          <w:lang w:val="en-US"/>
        </w:rPr>
        <w:t>trade</w:t>
      </w:r>
      <w:r w:rsidRPr="00DD0782">
        <w:rPr>
          <w:rFonts w:ascii="Times New Roman" w:hAnsi="Times New Roman" w:cs="Times New Roman"/>
          <w:sz w:val="28"/>
          <w:szCs w:val="28"/>
        </w:rPr>
        <w:t>-</w:t>
      </w:r>
      <w:r w:rsidRPr="00DD0782">
        <w:rPr>
          <w:rFonts w:ascii="Times New Roman" w:hAnsi="Times New Roman" w:cs="Times New Roman"/>
          <w:sz w:val="28"/>
          <w:szCs w:val="28"/>
          <w:lang w:val="en-US"/>
        </w:rPr>
        <w:t>off</w:t>
      </w:r>
      <w:r w:rsidRPr="00DD0782">
        <w:rPr>
          <w:rFonts w:ascii="Times New Roman" w:hAnsi="Times New Roman" w:cs="Times New Roman"/>
          <w:sz w:val="28"/>
          <w:szCs w:val="28"/>
        </w:rPr>
        <w:t>). В основе компромиссной теории лежит зависимость между текущим уровнем долга фирмы и ее способностью привлекать заемный капитал. Согласно этой теории, существует оптимальная для компании структура капитала, при которой издержки финансовой неустойчивости уравновешены налоговыми выгодами долгового финансирования. Компании, следующие теории порядка источников финансирования, ранжируют свои инструменты: сначала компании привлекают внутренние источники финансирования, затем наименее рискованные формы долга, постепенно переходя на более рискованные формы. Когда дальнейшее увеличение долга становится невозможным, компания начинает выпускать акции.</w:t>
      </w:r>
    </w:p>
    <w:p w14:paraId="2E6B5E84"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В большинстве эмпирических тестов проверяется не отдельно взятая концепция, а одновременно сопоставляются на одной и той же выборке несколько мотивов. Факторы, влияющие на выбор структуры капитала, схожи в различных теориях, поэтому в целях подтверждения или опровержения той или иной теории удобно сравнивать и сопоставлять результаты.</w:t>
      </w:r>
    </w:p>
    <w:p w14:paraId="6815C8D7"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На сегодняшний день тестирование различных концепций уже проведено на развитых и развивающихся рынках, однако выводы каждого исследования индивидуальны. Это связано с тем, что выборки различны как по страновому признаку, так и по составу компаний. Стоит также учитывать особенности экономики той или иной страны. К примеру, в некоторых развивающихся странах </w:t>
      </w:r>
      <w:r w:rsidRPr="00DD0782">
        <w:rPr>
          <w:rFonts w:ascii="Times New Roman" w:hAnsi="Times New Roman" w:cs="Times New Roman"/>
          <w:sz w:val="28"/>
          <w:szCs w:val="28"/>
        </w:rPr>
        <w:lastRenderedPageBreak/>
        <w:t>государство владеет долей изучаемых компаний, что существенно влияет на их показатели.</w:t>
      </w:r>
    </w:p>
    <w:p w14:paraId="26C6C69C" w14:textId="77777777" w:rsidR="00AD63F0" w:rsidRPr="00DD0782" w:rsidRDefault="00AD63F0" w:rsidP="005F02A0">
      <w:pPr>
        <w:autoSpaceDE w:val="0"/>
        <w:autoSpaceDN w:val="0"/>
        <w:adjustRightInd w:val="0"/>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Компромиссная теория и теория порядка финансирования отчасти объясняют выбор структуры капитала в странах Восточной Европы. В исследовании И.В. Ивашковской и П.В. Макарова выражено неоднозначное отношение к популярным концепциям, показано отсутствие какой-либо доминирующей концепции, максимально точно объясняющей изменения в структуре капитала</w:t>
      </w:r>
      <w:r w:rsidRPr="00DD0782">
        <w:rPr>
          <w:rStyle w:val="FootnoteReference"/>
          <w:rFonts w:ascii="Times New Roman" w:hAnsi="Times New Roman" w:cs="Times New Roman"/>
          <w:sz w:val="28"/>
          <w:szCs w:val="28"/>
        </w:rPr>
        <w:footnoteReference w:id="10"/>
      </w:r>
      <w:r w:rsidRPr="00DD0782">
        <w:rPr>
          <w:rFonts w:ascii="Times New Roman" w:hAnsi="Times New Roman" w:cs="Times New Roman"/>
          <w:sz w:val="28"/>
          <w:szCs w:val="28"/>
        </w:rPr>
        <w:t>. В работе был проведен регрессионный анализ данных за период с 2004 по 2008 год по компаниям из 10 стран Центральной и Восточной Европы. Результаты исследования выявили как влияние факторов, соответствующих компромиссной концепции (доля материальных активов и размер капитала), так и наличие взаимосвязей, соответствующих концепции порядка источников финансирования. Эмпирические тесты указывают на присутствие так называемой новой модели порядка финансирования стран ЦВЕ – сначала используется нераспределенная прибыль, затем акции, затем банковский и рыночный долг. Стоит также заметить, что в структуре капитала компаний из стран ЦВЕ преобладает краткосрочный долг, в то время как к долгосрочному заемному финансированию компании прибегают довольно редко. Менеджеры могут предпочитать акционерное финансирование долговому, потому что оно не накладывает каких-либо обязательств в будущем.</w:t>
      </w:r>
    </w:p>
    <w:p w14:paraId="32BE14BB" w14:textId="77777777" w:rsidR="00AD63F0" w:rsidRPr="00DD0782" w:rsidRDefault="00AD63F0" w:rsidP="005F02A0">
      <w:pPr>
        <w:autoSpaceDE w:val="0"/>
        <w:autoSpaceDN w:val="0"/>
        <w:adjustRightInd w:val="0"/>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Н. Делькур провела анализ на материалах Чехии, Польши, России, Словакии и нашла подтверждение модифицированной   концепции    порядка   финансирования</w:t>
      </w:r>
      <w:r w:rsidRPr="00DD0782">
        <w:rPr>
          <w:rStyle w:val="FootnoteReference"/>
          <w:rFonts w:ascii="Times New Roman" w:hAnsi="Times New Roman" w:cs="Times New Roman"/>
          <w:sz w:val="28"/>
          <w:szCs w:val="28"/>
        </w:rPr>
        <w:footnoteReference w:id="11"/>
      </w:r>
      <w:r w:rsidRPr="00DD0782">
        <w:rPr>
          <w:rFonts w:ascii="Times New Roman" w:hAnsi="Times New Roman" w:cs="Times New Roman"/>
          <w:sz w:val="28"/>
          <w:szCs w:val="28"/>
        </w:rPr>
        <w:t xml:space="preserve">. Данный   результат свидетельствует о том, что неразвитость долговых рынков делает более простым источником средств выпуск акционерного капитала. Кроме того, если в Чехии, Польше и Словакии выявлена положительная зависимость между размером компании и краткосрочным долгом </w:t>
      </w:r>
      <w:r w:rsidRPr="00DD0782">
        <w:rPr>
          <w:rFonts w:ascii="Times New Roman" w:hAnsi="Times New Roman" w:cs="Times New Roman"/>
          <w:sz w:val="28"/>
          <w:szCs w:val="28"/>
        </w:rPr>
        <w:lastRenderedPageBreak/>
        <w:t>и отрицательная – между размером и долгосрочным долгом, то в России последняя взаимосвязь является также положительной, что может быть связано с регулированием и государственной финансовой поддержкой крупных компаний. В работе также выявлена отрицательная взаимосвязь между риском и уровнем долга для Российской Федерации и Чехии, что соответствует компромиссной концепции и может быть объяснено тем, что в России закон о банкротстве начал работать только с 1998 года, а в Чехии плохо защищены права кредиторов. Похожие результаты получили А. Стефан, О. Талавера, А. Цапин, которые доказали, что украинские компании с ограниченным доступом к финансовым ресурсам привлекают краткосрочные кредитные средства</w:t>
      </w:r>
      <w:r w:rsidRPr="00DD0782">
        <w:rPr>
          <w:rStyle w:val="FootnoteReference"/>
          <w:rFonts w:ascii="Times New Roman" w:hAnsi="Times New Roman" w:cs="Times New Roman"/>
          <w:sz w:val="28"/>
          <w:szCs w:val="28"/>
        </w:rPr>
        <w:footnoteReference w:id="12"/>
      </w:r>
      <w:r w:rsidRPr="00DD0782">
        <w:rPr>
          <w:rFonts w:ascii="Times New Roman" w:hAnsi="Times New Roman" w:cs="Times New Roman"/>
          <w:sz w:val="28"/>
          <w:szCs w:val="28"/>
        </w:rPr>
        <w:t>.</w:t>
      </w:r>
    </w:p>
    <w:p w14:paraId="412E1D67" w14:textId="77777777" w:rsidR="00AD63F0" w:rsidRPr="00DD0782" w:rsidRDefault="00AD63F0" w:rsidP="005F02A0">
      <w:pPr>
        <w:autoSpaceDE w:val="0"/>
        <w:autoSpaceDN w:val="0"/>
        <w:adjustRightInd w:val="0"/>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В исследовании О. Медейроса и С. Дахера  на бразильском рынке тестируются статическая теория компромисса и теория порядка финансирования</w:t>
      </w:r>
      <w:r w:rsidRPr="00DD0782">
        <w:rPr>
          <w:rStyle w:val="FootnoteReference"/>
          <w:rFonts w:ascii="Times New Roman" w:hAnsi="Times New Roman" w:cs="Times New Roman"/>
          <w:sz w:val="28"/>
          <w:szCs w:val="28"/>
        </w:rPr>
        <w:footnoteReference w:id="13"/>
      </w:r>
      <w:r w:rsidRPr="00DD0782">
        <w:rPr>
          <w:rFonts w:ascii="Times New Roman" w:hAnsi="Times New Roman" w:cs="Times New Roman"/>
          <w:sz w:val="28"/>
          <w:szCs w:val="28"/>
        </w:rPr>
        <w:t>. Выборка включает публичные компании с биржи Сан-Пауло с 1995 по 2002 г. Сравнительный анализ двух теорий свидетельствует о том, что концепция порядка финансирования является адекватной при определении структуры капитала бразильских компаний. Знаки коэффициентов перед переменными в анализируемых регрессиях совпадают с предсказаниями теории порядка финансирования.</w:t>
      </w:r>
    </w:p>
    <w:p w14:paraId="212ADF99" w14:textId="77777777" w:rsidR="00AD63F0" w:rsidRPr="00DD0782" w:rsidRDefault="00AD63F0" w:rsidP="005F02A0">
      <w:pPr>
        <w:autoSpaceDE w:val="0"/>
        <w:autoSpaceDN w:val="0"/>
        <w:adjustRightInd w:val="0"/>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В работе Дж. Чена исследуются детерминанты структуры капитала на китайском рынке. Выборка включает данные по 77 публичным компаниям с 1995 по 2000 гг.</w:t>
      </w:r>
      <w:r w:rsidRPr="00DD0782">
        <w:rPr>
          <w:rStyle w:val="FootnoteReference"/>
          <w:rFonts w:ascii="Times New Roman" w:hAnsi="Times New Roman" w:cs="Times New Roman"/>
          <w:sz w:val="28"/>
          <w:szCs w:val="28"/>
        </w:rPr>
        <w:footnoteReference w:id="14"/>
      </w:r>
      <w:r w:rsidRPr="00DD0782">
        <w:rPr>
          <w:rFonts w:ascii="Times New Roman" w:hAnsi="Times New Roman" w:cs="Times New Roman"/>
          <w:sz w:val="28"/>
          <w:szCs w:val="28"/>
        </w:rPr>
        <w:t xml:space="preserve"> Результаты анализа свидетельствуют в пользу теории порядка финансирования. Переменные операционного риска компаний (он отражает финансовую неустойчивость), а также экономия на налоге на прибыль оказываются незначимыми факторами, что говорит о неприменимости теории компромисса. Тем не менее, теория порядка финансирования также не находит </w:t>
      </w:r>
      <w:r w:rsidRPr="00DD0782">
        <w:rPr>
          <w:rFonts w:ascii="Times New Roman" w:hAnsi="Times New Roman" w:cs="Times New Roman"/>
          <w:sz w:val="28"/>
          <w:szCs w:val="28"/>
        </w:rPr>
        <w:lastRenderedPageBreak/>
        <w:t>четкого подтверждения на исследованной выборке китайских компаний. Многие китайские компании прибегают к выпуску акций, хотя могли бы использовать долг в качестве источника финансирования. Автор выдвигает идею о существовании «новой теории порядка финансирования» для китайских компаний: сначала компании пользуются внутренними источниками финансирования, затем осуществляют акционерное финансирование и в последнюю очередь – долговое.</w:t>
      </w:r>
    </w:p>
    <w:p w14:paraId="04D0A8A2" w14:textId="77777777" w:rsidR="00AD63F0" w:rsidRPr="00DD0782" w:rsidRDefault="00AD63F0" w:rsidP="005F02A0">
      <w:pPr>
        <w:autoSpaceDE w:val="0"/>
        <w:autoSpaceDN w:val="0"/>
        <w:adjustRightInd w:val="0"/>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Таким образом, исследователи находят подтверждение существующих теоретических концепций на развивающихся рынках: наиболее часто подтверждается применение теории порядка финансирования. </w:t>
      </w:r>
    </w:p>
    <w:p w14:paraId="53E1FD3B" w14:textId="77777777" w:rsidR="00AD63F0" w:rsidRPr="00DD0782" w:rsidRDefault="00AD63F0" w:rsidP="005F02A0">
      <w:pPr>
        <w:shd w:val="clear" w:color="auto" w:fill="FDFEFC"/>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 На «нарождающихся» рынках наблюдается прилив финансового капитала, о чем нам говорит нарастающая доля </w:t>
      </w:r>
      <w:r w:rsidRPr="00DD0782">
        <w:rPr>
          <w:rFonts w:ascii="Times New Roman" w:hAnsi="Times New Roman" w:cs="Times New Roman"/>
          <w:sz w:val="28"/>
          <w:szCs w:val="28"/>
          <w:lang w:val="en-US"/>
        </w:rPr>
        <w:t>IPO</w:t>
      </w:r>
      <w:r w:rsidRPr="00DD0782">
        <w:rPr>
          <w:rFonts w:ascii="Times New Roman" w:hAnsi="Times New Roman" w:cs="Times New Roman"/>
          <w:sz w:val="28"/>
          <w:szCs w:val="28"/>
        </w:rPr>
        <w:t xml:space="preserve">, проведенных на своих финансовых площадках, и количество эмитентов на них. Следует также отметить, что азиатские рынки ценных бумаг по-прежнему находятся в процессе накопления ликвидности, которая поддерживается спекулянтами. Тем самым создается дополнительный риск, который с тем, что курс купленной сегодня краткосрочной ценной бумаги может оказаться ниже к моменту продажи, однако времени ожидания окончания игры на понижение нет. На рынках Индии и Китая, а также остальной части Азиатско-Тихоокеанского региона, пока еще формируется ресурсный потенциал, нерезиденты частично обеспечивают спрос на этих рынках, это делает рынки не столь привлекательными для </w:t>
      </w:r>
      <w:r w:rsidRPr="00DD0782">
        <w:rPr>
          <w:rFonts w:ascii="Times New Roman" w:hAnsi="Times New Roman" w:cs="Times New Roman"/>
          <w:sz w:val="28"/>
          <w:szCs w:val="28"/>
          <w:lang w:val="en-US"/>
        </w:rPr>
        <w:t>IPO</w:t>
      </w:r>
      <w:r w:rsidRPr="00DD0782">
        <w:rPr>
          <w:rFonts w:ascii="Times New Roman" w:hAnsi="Times New Roman" w:cs="Times New Roman"/>
          <w:sz w:val="28"/>
          <w:szCs w:val="28"/>
        </w:rPr>
        <w:t xml:space="preserve"> иностранных эмитентов.</w:t>
      </w:r>
    </w:p>
    <w:p w14:paraId="0F276798" w14:textId="52010997" w:rsidR="00DD0782" w:rsidRPr="00C70C91" w:rsidRDefault="00AD63F0" w:rsidP="005F02A0">
      <w:pPr>
        <w:pStyle w:val="ListParagraph"/>
        <w:numPr>
          <w:ilvl w:val="1"/>
          <w:numId w:val="2"/>
        </w:numPr>
        <w:spacing w:before="120" w:line="360" w:lineRule="auto"/>
        <w:ind w:right="-99"/>
        <w:jc w:val="both"/>
        <w:rPr>
          <w:rFonts w:ascii="Times New Roman" w:hAnsi="Times New Roman" w:cs="Times New Roman"/>
          <w:b/>
          <w:i/>
          <w:sz w:val="28"/>
          <w:szCs w:val="28"/>
        </w:rPr>
      </w:pPr>
      <w:r w:rsidRPr="00C70C91">
        <w:rPr>
          <w:rFonts w:ascii="Times New Roman" w:hAnsi="Times New Roman" w:cs="Times New Roman"/>
          <w:b/>
          <w:i/>
          <w:sz w:val="28"/>
          <w:szCs w:val="28"/>
        </w:rPr>
        <w:t>Теория корпоративных инвестиций</w:t>
      </w:r>
    </w:p>
    <w:p w14:paraId="23F84444"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В экономических публикациях термин «инвестиции» (</w:t>
      </w:r>
      <w:r w:rsidRPr="00DD0782">
        <w:rPr>
          <w:rFonts w:ascii="Times New Roman" w:hAnsi="Times New Roman" w:cs="Times New Roman"/>
          <w:sz w:val="28"/>
          <w:szCs w:val="28"/>
          <w:lang w:val="en-US"/>
        </w:rPr>
        <w:t>investment</w:t>
      </w:r>
      <w:r w:rsidRPr="00DD0782">
        <w:rPr>
          <w:rFonts w:ascii="Times New Roman" w:hAnsi="Times New Roman" w:cs="Times New Roman"/>
          <w:sz w:val="28"/>
          <w:szCs w:val="28"/>
        </w:rPr>
        <w:t xml:space="preserve">) обычно переводится как «капиталовложения». Но на самом деле капитальные вложения - это инвестиции в широком смысле слова. Под инвестированием в узком смысле понимают долгосрочные вложения капитала. В соответствии с этим, инвестиционные институты в узком смысле слова – это все организации, осуществляющие долгосрочные вложения. Поэтому коммерческие банки, </w:t>
      </w:r>
      <w:r w:rsidRPr="00DD0782">
        <w:rPr>
          <w:rFonts w:ascii="Times New Roman" w:hAnsi="Times New Roman" w:cs="Times New Roman"/>
          <w:sz w:val="28"/>
          <w:szCs w:val="28"/>
        </w:rPr>
        <w:lastRenderedPageBreak/>
        <w:t xml:space="preserve">осуществляющие краткосрочные и среднесрочные вложения, относятся к инвестиционным институтам лишь в том случае, когда используется расширенное толкование этого термина. </w:t>
      </w:r>
    </w:p>
    <w:p w14:paraId="7FA6D876" w14:textId="55358846" w:rsid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Существует два основных вида инвестиций: финансовые и реальные. Финансовые инвестиции - вложения в ценные бумаги с целью получения. Вложения в материальные активы называются реальными, так как именно эти активы образуют добавленную стоимость и увеличивают первоначальный инвестиционный капитала. В данном исследовании рассматриваются только финансовые инструменты, обращающиеся на рынке ценных бумаг. Под ценной бумагой будем понимать документ, удостоверяющий право на получение в будущем доходов при определенных условиях. Ниже представлена классификация ценных бумаг в зависимости от различных признаков (таблица 2).</w:t>
      </w:r>
    </w:p>
    <w:p w14:paraId="36D32026" w14:textId="77777777" w:rsidR="00DD0782" w:rsidRPr="00DD0782" w:rsidRDefault="00DD0782" w:rsidP="00DD0782">
      <w:pPr>
        <w:spacing w:before="120"/>
        <w:ind w:left="-567" w:right="-631" w:firstLine="284"/>
        <w:jc w:val="both"/>
        <w:rPr>
          <w:rFonts w:ascii="Times New Roman" w:hAnsi="Times New Roman" w:cs="Times New Roman"/>
          <w:noProof/>
          <w:sz w:val="28"/>
          <w:szCs w:val="28"/>
        </w:rPr>
      </w:pPr>
      <w:r w:rsidRPr="00DD0782">
        <w:rPr>
          <w:rFonts w:ascii="Times New Roman" w:hAnsi="Times New Roman" w:cs="Times New Roman"/>
          <w:noProof/>
          <w:sz w:val="28"/>
          <w:szCs w:val="28"/>
        </w:rPr>
        <w:t>Таблица 2. Классификация ценных бумаг</w:t>
      </w:r>
    </w:p>
    <w:tbl>
      <w:tblPr>
        <w:tblStyle w:val="TableGrid"/>
        <w:tblW w:w="9187" w:type="dxa"/>
        <w:tblLook w:val="04A0" w:firstRow="1" w:lastRow="0" w:firstColumn="1" w:lastColumn="0" w:noHBand="0" w:noVBand="1"/>
      </w:tblPr>
      <w:tblGrid>
        <w:gridCol w:w="3794"/>
        <w:gridCol w:w="5393"/>
      </w:tblGrid>
      <w:tr w:rsidR="00DD0782" w:rsidRPr="005C626D" w14:paraId="0D3B2F48" w14:textId="77777777" w:rsidTr="00DD0782">
        <w:tc>
          <w:tcPr>
            <w:tcW w:w="3794" w:type="dxa"/>
          </w:tcPr>
          <w:p w14:paraId="5C851BFB" w14:textId="77777777" w:rsidR="00DD0782" w:rsidRPr="00400FE9" w:rsidRDefault="00DD0782" w:rsidP="00DD0782">
            <w:pPr>
              <w:spacing w:before="120"/>
              <w:ind w:right="-631"/>
              <w:jc w:val="both"/>
              <w:rPr>
                <w:rFonts w:ascii="Times New Roman" w:hAnsi="Times New Roman" w:cs="Times New Roman"/>
                <w:b/>
                <w:szCs w:val="24"/>
                <w:lang w:val="ru-RU"/>
              </w:rPr>
            </w:pPr>
            <w:r w:rsidRPr="00400FE9">
              <w:rPr>
                <w:rFonts w:ascii="Times New Roman" w:hAnsi="Times New Roman" w:cs="Times New Roman"/>
                <w:b/>
                <w:szCs w:val="24"/>
                <w:lang w:val="ru-RU"/>
              </w:rPr>
              <w:t>Классификационный признак</w:t>
            </w:r>
          </w:p>
        </w:tc>
        <w:tc>
          <w:tcPr>
            <w:tcW w:w="5393" w:type="dxa"/>
          </w:tcPr>
          <w:p w14:paraId="798F65A4" w14:textId="77777777" w:rsidR="00DD0782" w:rsidRPr="00400FE9" w:rsidRDefault="00DD0782" w:rsidP="00DD0782">
            <w:pPr>
              <w:spacing w:before="120"/>
              <w:ind w:left="34"/>
              <w:jc w:val="both"/>
              <w:rPr>
                <w:rFonts w:ascii="Times New Roman" w:hAnsi="Times New Roman" w:cs="Times New Roman"/>
                <w:b/>
                <w:szCs w:val="24"/>
                <w:lang w:val="ru-RU"/>
              </w:rPr>
            </w:pPr>
            <w:r w:rsidRPr="00400FE9">
              <w:rPr>
                <w:rFonts w:ascii="Times New Roman" w:hAnsi="Times New Roman" w:cs="Times New Roman"/>
                <w:b/>
                <w:szCs w:val="24"/>
                <w:lang w:val="ru-RU"/>
              </w:rPr>
              <w:t>Виды ценных бумаг</w:t>
            </w:r>
          </w:p>
        </w:tc>
      </w:tr>
      <w:tr w:rsidR="00DD0782" w:rsidRPr="005C626D" w14:paraId="15127B15" w14:textId="77777777" w:rsidTr="00DD0782">
        <w:tc>
          <w:tcPr>
            <w:tcW w:w="3794" w:type="dxa"/>
          </w:tcPr>
          <w:p w14:paraId="32918372"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Срок существования</w:t>
            </w:r>
          </w:p>
        </w:tc>
        <w:tc>
          <w:tcPr>
            <w:tcW w:w="5393" w:type="dxa"/>
          </w:tcPr>
          <w:p w14:paraId="136C7F4A"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Срочные – ценные бумаги, имеющие установленный срок существования (долго-, средне- и краткосрочные).</w:t>
            </w:r>
          </w:p>
          <w:p w14:paraId="445BE950"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Бессрочные  - ценные бумаги, существующие вечно.</w:t>
            </w:r>
          </w:p>
        </w:tc>
      </w:tr>
      <w:tr w:rsidR="00DD0782" w:rsidRPr="005C626D" w14:paraId="13BC31B2" w14:textId="77777777" w:rsidTr="00DD0782">
        <w:tc>
          <w:tcPr>
            <w:tcW w:w="3794" w:type="dxa"/>
          </w:tcPr>
          <w:p w14:paraId="01088004"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Происхождение</w:t>
            </w:r>
          </w:p>
        </w:tc>
        <w:tc>
          <w:tcPr>
            <w:tcW w:w="5393" w:type="dxa"/>
          </w:tcPr>
          <w:p w14:paraId="3E23D373"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Первичные – ценные бумаги, основанные на активах, в число которых не входят сами ценные бумаги (акции, облигации, векселя, закладные и др.)</w:t>
            </w:r>
          </w:p>
          <w:p w14:paraId="7F73ACE1"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Вторичные – ценные бумаги, выпускаемые на основе первичных ценных бумаг; это ценные бумаги на сами ценные бумаги (варранты на ценные бумаги, депозитарные расписки и др.)</w:t>
            </w:r>
          </w:p>
        </w:tc>
      </w:tr>
      <w:tr w:rsidR="00DD0782" w:rsidRPr="005C626D" w14:paraId="40F3C096" w14:textId="77777777" w:rsidTr="00DD0782">
        <w:tc>
          <w:tcPr>
            <w:tcW w:w="3794" w:type="dxa"/>
          </w:tcPr>
          <w:p w14:paraId="35CB3A2E"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Формы существования</w:t>
            </w:r>
          </w:p>
        </w:tc>
        <w:tc>
          <w:tcPr>
            <w:tcW w:w="5393" w:type="dxa"/>
          </w:tcPr>
          <w:p w14:paraId="5083B93F"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Бумажные, или документарные</w:t>
            </w:r>
          </w:p>
          <w:p w14:paraId="68668B1D"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Безбумажные, или бездокументарные</w:t>
            </w:r>
          </w:p>
        </w:tc>
      </w:tr>
      <w:tr w:rsidR="00DD0782" w:rsidRPr="005C626D" w14:paraId="513085FA" w14:textId="77777777" w:rsidTr="00DD0782">
        <w:tc>
          <w:tcPr>
            <w:tcW w:w="3794" w:type="dxa"/>
          </w:tcPr>
          <w:p w14:paraId="6230074B"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Национальная принадлежность</w:t>
            </w:r>
          </w:p>
        </w:tc>
        <w:tc>
          <w:tcPr>
            <w:tcW w:w="5393" w:type="dxa"/>
          </w:tcPr>
          <w:p w14:paraId="6794A90D"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Отечественные</w:t>
            </w:r>
          </w:p>
          <w:p w14:paraId="4D264BA3"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Иностранные</w:t>
            </w:r>
          </w:p>
        </w:tc>
      </w:tr>
      <w:tr w:rsidR="00DD0782" w:rsidRPr="005C626D" w14:paraId="01008AC3" w14:textId="77777777" w:rsidTr="00DD0782">
        <w:tc>
          <w:tcPr>
            <w:tcW w:w="3794" w:type="dxa"/>
          </w:tcPr>
          <w:p w14:paraId="4D90B8E3"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Тип использования</w:t>
            </w:r>
          </w:p>
        </w:tc>
        <w:tc>
          <w:tcPr>
            <w:tcW w:w="5393" w:type="dxa"/>
          </w:tcPr>
          <w:p w14:paraId="4411B9FA"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Инвестиционные, или капитальные – ценные бумаги, являющиеся объектом вложения капитала (акции, облигации, фьючерсные контракты и др.)</w:t>
            </w:r>
          </w:p>
          <w:p w14:paraId="771879AB"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Неинвестиционные – ценные бумаги, которые обслуживают денежные расчеты на товарных или других рынках (векселя, чеки, коносаменты)</w:t>
            </w:r>
          </w:p>
        </w:tc>
      </w:tr>
      <w:tr w:rsidR="00DD0782" w:rsidRPr="005C626D" w14:paraId="1621E9EE" w14:textId="77777777" w:rsidTr="00DD0782">
        <w:tc>
          <w:tcPr>
            <w:tcW w:w="3794" w:type="dxa"/>
          </w:tcPr>
          <w:p w14:paraId="0CD81536"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Порядок владения</w:t>
            </w:r>
          </w:p>
        </w:tc>
        <w:tc>
          <w:tcPr>
            <w:tcW w:w="5393" w:type="dxa"/>
          </w:tcPr>
          <w:p w14:paraId="58B27F33"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 xml:space="preserve">Предъявительские  - ценные бумаги, которые не фиксируют имени их владельца, и их обращение </w:t>
            </w:r>
            <w:r w:rsidRPr="00400FE9">
              <w:rPr>
                <w:rFonts w:ascii="Times New Roman" w:hAnsi="Times New Roman" w:cs="Times New Roman"/>
                <w:szCs w:val="24"/>
                <w:lang w:val="ru-RU"/>
              </w:rPr>
              <w:lastRenderedPageBreak/>
              <w:t>осуществляется путем простой передачи от одного лица к другому</w:t>
            </w:r>
          </w:p>
          <w:p w14:paraId="52C6B0EA"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Именные – ценные бумаги, содержащие имя их владельца и, кроме того, регистрируемые в специальном реестре</w:t>
            </w:r>
          </w:p>
          <w:p w14:paraId="2B7DDA06"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Ордерные – именные ценные бумаги, передаваемые другому лицу путем совершения на них передаточной надписи (индоссамента)</w:t>
            </w:r>
          </w:p>
        </w:tc>
      </w:tr>
      <w:tr w:rsidR="00DD0782" w:rsidRPr="005C626D" w14:paraId="49B00BEE" w14:textId="77777777" w:rsidTr="00DD0782">
        <w:tc>
          <w:tcPr>
            <w:tcW w:w="3794" w:type="dxa"/>
          </w:tcPr>
          <w:p w14:paraId="2E180975"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lastRenderedPageBreak/>
              <w:t>Форма выпуска</w:t>
            </w:r>
          </w:p>
        </w:tc>
        <w:tc>
          <w:tcPr>
            <w:tcW w:w="5393" w:type="dxa"/>
          </w:tcPr>
          <w:p w14:paraId="6B2F979B"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Эмиссионные – ценные бумаги, выпускаемые обычно крупными сериями, в больших количествах, и внутри каждой серии все ценные бумаги абсолютно идентичны (акции и облигации)</w:t>
            </w:r>
          </w:p>
          <w:p w14:paraId="1BD807CD"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Неэмиссионные – ценные бумаги, выпускаемые поштучно или небольшими сериями</w:t>
            </w:r>
          </w:p>
        </w:tc>
      </w:tr>
      <w:tr w:rsidR="00DD0782" w:rsidRPr="005C626D" w14:paraId="75245667" w14:textId="77777777" w:rsidTr="00DD0782">
        <w:tc>
          <w:tcPr>
            <w:tcW w:w="3794" w:type="dxa"/>
          </w:tcPr>
          <w:p w14:paraId="01C675BE"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Форма собственности</w:t>
            </w:r>
          </w:p>
        </w:tc>
        <w:tc>
          <w:tcPr>
            <w:tcW w:w="5393" w:type="dxa"/>
          </w:tcPr>
          <w:p w14:paraId="359FAA0E"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Государственные</w:t>
            </w:r>
          </w:p>
          <w:p w14:paraId="494B9F1F"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Негосударственные – ценные бумаги, которые выпускаются в обращение корпорациями (компаниями, банками, организациями) и даже частными лицами</w:t>
            </w:r>
          </w:p>
        </w:tc>
      </w:tr>
      <w:tr w:rsidR="00DD0782" w:rsidRPr="005C626D" w14:paraId="0C5122D1" w14:textId="77777777" w:rsidTr="00DD0782">
        <w:tc>
          <w:tcPr>
            <w:tcW w:w="3794" w:type="dxa"/>
          </w:tcPr>
          <w:p w14:paraId="0E13AE13"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Характер обращаемости</w:t>
            </w:r>
          </w:p>
        </w:tc>
        <w:tc>
          <w:tcPr>
            <w:tcW w:w="5393" w:type="dxa"/>
          </w:tcPr>
          <w:p w14:paraId="2409BDBC"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 xml:space="preserve">Рыночные, или свободно обращающиеся </w:t>
            </w:r>
          </w:p>
          <w:p w14:paraId="24C09CEE"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Нерыночные (обращение ценных бумаг может быть ограничено, и ценную бумагу нельзя продать никому кроме ее эмитента и через оговоренный срок)</w:t>
            </w:r>
          </w:p>
        </w:tc>
      </w:tr>
      <w:tr w:rsidR="00DD0782" w:rsidRPr="005C626D" w14:paraId="18144A25" w14:textId="77777777" w:rsidTr="00DD0782">
        <w:tc>
          <w:tcPr>
            <w:tcW w:w="3794" w:type="dxa"/>
          </w:tcPr>
          <w:p w14:paraId="1FB162ED"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Уровень риска</w:t>
            </w:r>
          </w:p>
        </w:tc>
        <w:tc>
          <w:tcPr>
            <w:tcW w:w="5393" w:type="dxa"/>
          </w:tcPr>
          <w:p w14:paraId="732CDE02"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Безрисковые и малорисковые</w:t>
            </w:r>
          </w:p>
          <w:p w14:paraId="1B4DF09C"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Рисковые</w:t>
            </w:r>
          </w:p>
        </w:tc>
      </w:tr>
      <w:tr w:rsidR="00DD0782" w:rsidRPr="005C626D" w14:paraId="2A4E893E" w14:textId="77777777" w:rsidTr="00DD0782">
        <w:tc>
          <w:tcPr>
            <w:tcW w:w="3794" w:type="dxa"/>
          </w:tcPr>
          <w:p w14:paraId="5D6D2D21"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Наличие дохода</w:t>
            </w:r>
          </w:p>
        </w:tc>
        <w:tc>
          <w:tcPr>
            <w:tcW w:w="5393" w:type="dxa"/>
          </w:tcPr>
          <w:p w14:paraId="406933F7"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Доходные</w:t>
            </w:r>
          </w:p>
          <w:p w14:paraId="1EFB5091" w14:textId="77777777" w:rsidR="00DD0782" w:rsidRPr="00400FE9" w:rsidRDefault="00DD0782" w:rsidP="00DD0782">
            <w:pPr>
              <w:spacing w:before="120"/>
              <w:ind w:left="34"/>
              <w:jc w:val="both"/>
              <w:rPr>
                <w:rFonts w:ascii="Times New Roman" w:hAnsi="Times New Roman" w:cs="Times New Roman"/>
                <w:szCs w:val="24"/>
                <w:lang w:val="ru-RU"/>
              </w:rPr>
            </w:pPr>
            <w:r>
              <w:rPr>
                <w:rFonts w:ascii="Times New Roman" w:hAnsi="Times New Roman" w:cs="Times New Roman"/>
                <w:szCs w:val="24"/>
                <w:lang w:val="ru-RU"/>
              </w:rPr>
              <w:t>Бездох</w:t>
            </w:r>
            <w:r w:rsidRPr="00400FE9">
              <w:rPr>
                <w:rFonts w:ascii="Times New Roman" w:hAnsi="Times New Roman" w:cs="Times New Roman"/>
                <w:szCs w:val="24"/>
                <w:lang w:val="ru-RU"/>
              </w:rPr>
              <w:t>одные</w:t>
            </w:r>
          </w:p>
        </w:tc>
      </w:tr>
      <w:tr w:rsidR="00DD0782" w:rsidRPr="005C626D" w14:paraId="14878027" w14:textId="77777777" w:rsidTr="00DD0782">
        <w:tc>
          <w:tcPr>
            <w:tcW w:w="3794" w:type="dxa"/>
          </w:tcPr>
          <w:p w14:paraId="21F3DCB4" w14:textId="77777777" w:rsidR="00DD0782" w:rsidRPr="00400FE9" w:rsidRDefault="00DD0782" w:rsidP="00DD0782">
            <w:pPr>
              <w:spacing w:before="120"/>
              <w:ind w:right="-631"/>
              <w:jc w:val="both"/>
              <w:rPr>
                <w:rFonts w:ascii="Times New Roman" w:hAnsi="Times New Roman" w:cs="Times New Roman"/>
                <w:szCs w:val="24"/>
                <w:lang w:val="ru-RU"/>
              </w:rPr>
            </w:pPr>
            <w:r w:rsidRPr="00400FE9">
              <w:rPr>
                <w:rFonts w:ascii="Times New Roman" w:hAnsi="Times New Roman" w:cs="Times New Roman"/>
                <w:szCs w:val="24"/>
                <w:lang w:val="ru-RU"/>
              </w:rPr>
              <w:t>Форма вложения средств</w:t>
            </w:r>
          </w:p>
        </w:tc>
        <w:tc>
          <w:tcPr>
            <w:tcW w:w="5393" w:type="dxa"/>
          </w:tcPr>
          <w:p w14:paraId="23669C51"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Долговые – ценные бумаги, обычно имеющие фиксированную процентную ставку и являющиеся обязательством выплатить сумму долга на определенную дату в будущем (облигации, банковские сертификаты, векселя и др.)</w:t>
            </w:r>
          </w:p>
          <w:p w14:paraId="3287885F"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Владельческие долевые – ценные бумаги, дающие право собственности на соответствующие активы (акции, варранты, коносаменты и др.)</w:t>
            </w:r>
          </w:p>
        </w:tc>
      </w:tr>
      <w:tr w:rsidR="00DD0782" w:rsidRPr="005C626D" w14:paraId="64584C14" w14:textId="77777777" w:rsidTr="00DD0782">
        <w:tc>
          <w:tcPr>
            <w:tcW w:w="3794" w:type="dxa"/>
          </w:tcPr>
          <w:p w14:paraId="2D4C1144" w14:textId="77777777" w:rsidR="00DD0782" w:rsidRPr="00400FE9" w:rsidRDefault="00DD0782" w:rsidP="00DD0782">
            <w:pPr>
              <w:spacing w:before="120"/>
              <w:ind w:right="176"/>
              <w:jc w:val="both"/>
              <w:rPr>
                <w:rFonts w:ascii="Times New Roman" w:hAnsi="Times New Roman" w:cs="Times New Roman"/>
                <w:szCs w:val="24"/>
                <w:lang w:val="ru-RU"/>
              </w:rPr>
            </w:pPr>
            <w:r w:rsidRPr="00400FE9">
              <w:rPr>
                <w:rFonts w:ascii="Times New Roman" w:hAnsi="Times New Roman" w:cs="Times New Roman"/>
                <w:szCs w:val="24"/>
                <w:lang w:val="ru-RU"/>
              </w:rPr>
              <w:t>Экономическая сущность (вид прав)</w:t>
            </w:r>
          </w:p>
        </w:tc>
        <w:tc>
          <w:tcPr>
            <w:tcW w:w="5393" w:type="dxa"/>
          </w:tcPr>
          <w:p w14:paraId="5A3F20EA"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Акции</w:t>
            </w:r>
          </w:p>
          <w:p w14:paraId="42DE8839"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Облигации</w:t>
            </w:r>
          </w:p>
          <w:p w14:paraId="6E1CDD07" w14:textId="77777777" w:rsidR="00DD0782" w:rsidRPr="00400FE9" w:rsidRDefault="00DD0782" w:rsidP="00DD0782">
            <w:pPr>
              <w:spacing w:before="120"/>
              <w:ind w:left="34"/>
              <w:jc w:val="both"/>
              <w:rPr>
                <w:rFonts w:ascii="Times New Roman" w:hAnsi="Times New Roman" w:cs="Times New Roman"/>
                <w:szCs w:val="24"/>
                <w:lang w:val="ru-RU"/>
              </w:rPr>
            </w:pPr>
            <w:r w:rsidRPr="00400FE9">
              <w:rPr>
                <w:rFonts w:ascii="Times New Roman" w:hAnsi="Times New Roman" w:cs="Times New Roman"/>
                <w:szCs w:val="24"/>
                <w:lang w:val="ru-RU"/>
              </w:rPr>
              <w:t>Векселя и др.</w:t>
            </w:r>
          </w:p>
        </w:tc>
      </w:tr>
    </w:tbl>
    <w:p w14:paraId="2A6B82E5" w14:textId="77777777" w:rsidR="00DD0782" w:rsidRPr="009F093D" w:rsidRDefault="00DD0782" w:rsidP="00DD0782">
      <w:pPr>
        <w:spacing w:before="120"/>
        <w:ind w:left="-567" w:right="-631" w:firstLine="284"/>
        <w:jc w:val="both"/>
        <w:rPr>
          <w:rFonts w:ascii="Times New Roman" w:hAnsi="Times New Roman" w:cs="Times New Roman"/>
          <w:sz w:val="20"/>
          <w:szCs w:val="20"/>
        </w:rPr>
      </w:pPr>
      <w:r w:rsidRPr="00CE0078">
        <w:rPr>
          <w:rFonts w:ascii="Times New Roman" w:hAnsi="Times New Roman" w:cs="Times New Roman"/>
          <w:sz w:val="20"/>
          <w:szCs w:val="20"/>
        </w:rPr>
        <w:t xml:space="preserve">Источник: </w:t>
      </w:r>
      <w:r w:rsidRPr="00CE0078">
        <w:rPr>
          <w:rFonts w:ascii="Times New Roman" w:hAnsi="Times New Roman" w:cs="Times New Roman"/>
          <w:color w:val="000000"/>
          <w:sz w:val="20"/>
          <w:szCs w:val="20"/>
          <w:shd w:val="clear" w:color="auto" w:fill="FFFFFF"/>
        </w:rPr>
        <w:t xml:space="preserve">Банковское дело: Учебник для вузов. Под. ред. В.И. Колесникова, Л.П. Кроливецкой. </w:t>
      </w:r>
      <w:r w:rsidRPr="00CE0078">
        <w:rPr>
          <w:rFonts w:ascii="Times New Roman" w:eastAsia="Times New Roman" w:hAnsi="Times New Roman" w:cs="Times New Roman"/>
          <w:color w:val="000000" w:themeColor="text1"/>
          <w:sz w:val="20"/>
          <w:szCs w:val="20"/>
          <w:shd w:val="clear" w:color="auto" w:fill="FFFFFF"/>
        </w:rPr>
        <w:t xml:space="preserve">– </w:t>
      </w:r>
      <w:r>
        <w:rPr>
          <w:rFonts w:ascii="Times New Roman" w:eastAsia="Times New Roman" w:hAnsi="Times New Roman" w:cs="Times New Roman"/>
          <w:color w:val="000000" w:themeColor="text1"/>
          <w:sz w:val="20"/>
          <w:szCs w:val="20"/>
          <w:shd w:val="clear" w:color="auto" w:fill="FFFFFF"/>
        </w:rPr>
        <w:t xml:space="preserve">М.: </w:t>
      </w:r>
      <w:r>
        <w:rPr>
          <w:rFonts w:ascii="Times New Roman" w:hAnsi="Times New Roman" w:cs="Times New Roman"/>
          <w:color w:val="000000"/>
          <w:sz w:val="20"/>
          <w:szCs w:val="20"/>
          <w:shd w:val="clear" w:color="auto" w:fill="FFFFFF"/>
        </w:rPr>
        <w:t>Финансы и статистика</w:t>
      </w:r>
      <w:r w:rsidRPr="00CE0078">
        <w:rPr>
          <w:rFonts w:ascii="Times New Roman" w:hAnsi="Times New Roman" w:cs="Times New Roman"/>
          <w:color w:val="000000"/>
          <w:sz w:val="20"/>
          <w:szCs w:val="20"/>
          <w:shd w:val="clear" w:color="auto" w:fill="FFFFFF"/>
        </w:rPr>
        <w:t xml:space="preserve">. 2001. </w:t>
      </w:r>
      <w:r>
        <w:rPr>
          <w:rFonts w:ascii="Times New Roman" w:hAnsi="Times New Roman" w:cs="Times New Roman"/>
          <w:color w:val="000000"/>
          <w:sz w:val="20"/>
          <w:szCs w:val="20"/>
          <w:shd w:val="clear" w:color="auto" w:fill="FFFFFF"/>
        </w:rPr>
        <w:t>С. 278</w:t>
      </w:r>
      <w:r w:rsidRPr="00CE0078">
        <w:rPr>
          <w:rFonts w:ascii="Times New Roman" w:hAnsi="Times New Roman" w:cs="Times New Roman"/>
          <w:color w:val="000000"/>
          <w:sz w:val="20"/>
          <w:szCs w:val="20"/>
          <w:shd w:val="clear" w:color="auto" w:fill="FFFFFF"/>
        </w:rPr>
        <w:t>.</w:t>
      </w:r>
    </w:p>
    <w:p w14:paraId="3ECB14CA" w14:textId="77777777" w:rsidR="00DD0782" w:rsidRPr="00DD0782" w:rsidRDefault="00DD0782" w:rsidP="00DD0782">
      <w:pPr>
        <w:ind w:left="-567" w:right="-771" w:firstLine="284"/>
        <w:jc w:val="both"/>
        <w:rPr>
          <w:rFonts w:ascii="Times New Roman" w:hAnsi="Times New Roman" w:cs="Times New Roman"/>
          <w:sz w:val="28"/>
          <w:szCs w:val="28"/>
        </w:rPr>
      </w:pPr>
    </w:p>
    <w:p w14:paraId="1C8ECC30"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Инвесторы на рынке также неоднородны. Целесообразно выделить четыре больших класса:</w:t>
      </w:r>
    </w:p>
    <w:p w14:paraId="2D3C0722" w14:textId="77777777" w:rsidR="00AD63F0" w:rsidRPr="00DD0782" w:rsidRDefault="00AD63F0" w:rsidP="005F02A0">
      <w:pPr>
        <w:pStyle w:val="ListParagraph"/>
        <w:numPr>
          <w:ilvl w:val="0"/>
          <w:numId w:val="3"/>
        </w:num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lastRenderedPageBreak/>
        <w:t>Нефинансовые компании (промышленные, торговые, строительные и др.): они не могут рассматриваться как профессиональные игроки финансового рынка. Их доходы порождаются выручкой от реализации продукции и услуг, расходы связаны с приобретением сырья, комплектующих, оплатой труда, а инвестиционные решения – с созданием новых или модернизацией существующих активов, что позволяет либо наращивать объемы деятельности и доходы, либо совершенствовать продукты (услуги), либо сокращать расходы и соответственно увеличивать прибыль и денежные потоки от операционной деятельности. Как правило, эти инвесторы ориентированы на первичный рынок объектов инвестирования, это так называемые реальные инвестиции. В значительной степени принятие инвестиционных решений представителей этого класса ориентировано на стратегию развития собственного бизнеса: органический рост (капитальные вложения), либо покупка контроля над другими функционирующими компаниями рынка (например, конкурентами). В большинстве случаев за принятием инвестиционного решения инвесторами первого класса лежит анализ инвестиционного проекта.</w:t>
      </w:r>
    </w:p>
    <w:p w14:paraId="72EA77F1" w14:textId="77777777" w:rsidR="00AD63F0" w:rsidRPr="00DD0782" w:rsidRDefault="00AD63F0" w:rsidP="005F02A0">
      <w:pPr>
        <w:pStyle w:val="ListParagraph"/>
        <w:numPr>
          <w:ilvl w:val="0"/>
          <w:numId w:val="3"/>
        </w:num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Государство. Доходы государства складываются из налогов и сборов, выпуска долговых ценных бумаг (например, долго- или краткосрочных государственных облигаций), процентов и иных выгод от долей собственности. Привлеченные деньги, кроме тех, которые расходуются на текущие нужды (содержание аппарата, поддержание социальной сферы, обороны, безопасности и т.п.), государство инвестирует. Это могут быть как прямые реальные инвестиции (например, в развитие отдельных сфер экономик, часто в форме софинансирования с частными фирмами), так и финансовые вложения (на внутреннем рынке страны или на внешнем (мировом) рынке капитала. У стран-экспортеров природных ресурсов (например, нефти) такую функцию выполняют так называемые суверенные (государственные) инвестиционные фонды, иначе называемые «суверенные фонды благосостояния» (Sovereign Wealth Fund (SWF)). </w:t>
      </w:r>
      <w:r w:rsidRPr="00DD0782">
        <w:rPr>
          <w:rFonts w:ascii="Times New Roman" w:hAnsi="Times New Roman" w:cs="Times New Roman"/>
          <w:sz w:val="28"/>
          <w:szCs w:val="28"/>
        </w:rPr>
        <w:lastRenderedPageBreak/>
        <w:t>В литературе часто используются следующие их обозначения: стабилизационный фонд, фонд будущих поколений, резервный фонд.</w:t>
      </w:r>
    </w:p>
    <w:p w14:paraId="74051952" w14:textId="1F3598F5" w:rsidR="00DD0782" w:rsidRDefault="00AD63F0" w:rsidP="005F02A0">
      <w:pPr>
        <w:pStyle w:val="ListParagraph"/>
        <w:numPr>
          <w:ilvl w:val="0"/>
          <w:numId w:val="3"/>
        </w:numPr>
        <w:suppressAutoHyphens/>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Институциональные инвесторы. Инвесторов этого класса часто называют финансовыми посредниками, так как они аккумулируют деньги частных лиц, фирм, государства и вкладывают их в объекты инвестиционного рынка. Этот класс формируют коммерческие и инвестиционные банки, сберегательные и страховые организации; управляющие компании, предлагающие рынку фонды коллективного инвестирования (взаимные фонды – mutual funds), пенсионные фонды (pension funds), включая негосударственные пенсионные фонды; фонды прямых инвестиций (private equity); венчурные фонды  и хедж-фонды (hedge funds). Профессиональные игроки могут объединять капитал для вложений в определенные объекты инвестирования (например, в фонды или трасты недвижимости – Real Estate Investments Funds или же в фонды, работающие с художественными ценностями), либо работать с широким кругом активов. Особенность институциональных инвесторов – следование портфельной стратегии, т.е. работа с той или иной степенью диверсификации капитала по инвестиционным объектам. Традиционная область работы институциональных инвесторов – рынок ценных бумаг, прежде всего - акций (фондовый рынок). В современной науке существуют разные подходы к исследованию институциональных инвесторов, обобщение которых позволило систематизировать современные представления о сути, предназначении и функциях институциональных инвесторов </w:t>
      </w:r>
      <w:r w:rsidR="00DD0782">
        <w:rPr>
          <w:rFonts w:ascii="Times New Roman" w:hAnsi="Times New Roman" w:cs="Times New Roman"/>
          <w:sz w:val="28"/>
          <w:szCs w:val="28"/>
        </w:rPr>
        <w:t>(таблица 3)</w:t>
      </w:r>
      <w:r w:rsidR="00B3584B">
        <w:rPr>
          <w:rFonts w:ascii="Times New Roman" w:hAnsi="Times New Roman" w:cs="Times New Roman"/>
          <w:sz w:val="28"/>
          <w:szCs w:val="28"/>
        </w:rPr>
        <w:t>.</w:t>
      </w:r>
    </w:p>
    <w:p w14:paraId="4C8EBE06" w14:textId="798946AE" w:rsidR="00DD0782" w:rsidRPr="00DD0782" w:rsidRDefault="00DD0782" w:rsidP="00DD0782">
      <w:pPr>
        <w:suppressAutoHyphens/>
        <w:spacing w:before="120"/>
        <w:ind w:right="-631"/>
        <w:jc w:val="both"/>
        <w:rPr>
          <w:rFonts w:ascii="Times New Roman" w:hAnsi="Times New Roman" w:cs="Times New Roman"/>
          <w:sz w:val="28"/>
          <w:szCs w:val="28"/>
        </w:rPr>
      </w:pPr>
      <w:r w:rsidRPr="00DD0782">
        <w:rPr>
          <w:rFonts w:ascii="Times New Roman" w:hAnsi="Times New Roman" w:cs="Times New Roman"/>
          <w:sz w:val="28"/>
          <w:szCs w:val="28"/>
        </w:rPr>
        <w:t>Таблица 3. Классификация институциональных инвесторов</w:t>
      </w:r>
    </w:p>
    <w:tbl>
      <w:tblPr>
        <w:tblW w:w="96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75"/>
        <w:gridCol w:w="1678"/>
        <w:gridCol w:w="1904"/>
        <w:gridCol w:w="2065"/>
      </w:tblGrid>
      <w:tr w:rsidR="00DD0782" w:rsidRPr="00DD0782" w14:paraId="093E6A72" w14:textId="77777777" w:rsidTr="00DD0782">
        <w:tc>
          <w:tcPr>
            <w:tcW w:w="2127" w:type="dxa"/>
          </w:tcPr>
          <w:p w14:paraId="3F6E1858"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b/>
                <w:sz w:val="22"/>
              </w:rPr>
              <w:t>Тип инвестора</w:t>
            </w:r>
          </w:p>
        </w:tc>
        <w:tc>
          <w:tcPr>
            <w:tcW w:w="1875" w:type="dxa"/>
          </w:tcPr>
          <w:p w14:paraId="7DA8BDD5" w14:textId="77777777" w:rsidR="00DD0782" w:rsidRPr="00400FE9" w:rsidRDefault="00DD0782" w:rsidP="00DD0782">
            <w:pPr>
              <w:suppressAutoHyphens/>
              <w:spacing w:before="120"/>
              <w:ind w:left="34"/>
              <w:jc w:val="both"/>
              <w:rPr>
                <w:rFonts w:ascii="Times New Roman" w:hAnsi="Times New Roman" w:cs="Times New Roman"/>
                <w:b/>
                <w:sz w:val="22"/>
              </w:rPr>
            </w:pPr>
            <w:r w:rsidRPr="00400FE9">
              <w:rPr>
                <w:rFonts w:ascii="Times New Roman" w:hAnsi="Times New Roman" w:cs="Times New Roman"/>
                <w:b/>
                <w:sz w:val="22"/>
              </w:rPr>
              <w:t>Собственник</w:t>
            </w:r>
          </w:p>
        </w:tc>
        <w:tc>
          <w:tcPr>
            <w:tcW w:w="1678" w:type="dxa"/>
          </w:tcPr>
          <w:p w14:paraId="4D879ABA" w14:textId="77777777" w:rsidR="00DD0782" w:rsidRPr="00400FE9" w:rsidRDefault="00DD0782" w:rsidP="00DD0782">
            <w:pPr>
              <w:suppressAutoHyphens/>
              <w:spacing w:before="120"/>
              <w:ind w:left="34"/>
              <w:jc w:val="both"/>
              <w:rPr>
                <w:rFonts w:ascii="Times New Roman" w:hAnsi="Times New Roman" w:cs="Times New Roman"/>
                <w:b/>
                <w:sz w:val="22"/>
              </w:rPr>
            </w:pPr>
            <w:r w:rsidRPr="00400FE9">
              <w:rPr>
                <w:rFonts w:ascii="Times New Roman" w:hAnsi="Times New Roman" w:cs="Times New Roman"/>
                <w:b/>
                <w:sz w:val="22"/>
              </w:rPr>
              <w:t>Управление активами</w:t>
            </w:r>
          </w:p>
        </w:tc>
        <w:tc>
          <w:tcPr>
            <w:tcW w:w="1904" w:type="dxa"/>
          </w:tcPr>
          <w:p w14:paraId="66479F45" w14:textId="77777777" w:rsidR="00DD0782" w:rsidRPr="00400FE9" w:rsidRDefault="00DD0782" w:rsidP="00DD0782">
            <w:pPr>
              <w:suppressAutoHyphens/>
              <w:spacing w:before="120"/>
              <w:ind w:left="34"/>
              <w:jc w:val="both"/>
              <w:rPr>
                <w:rFonts w:ascii="Times New Roman" w:hAnsi="Times New Roman" w:cs="Times New Roman"/>
                <w:b/>
                <w:sz w:val="22"/>
              </w:rPr>
            </w:pPr>
            <w:r w:rsidRPr="00400FE9">
              <w:rPr>
                <w:rFonts w:ascii="Times New Roman" w:hAnsi="Times New Roman" w:cs="Times New Roman"/>
                <w:b/>
                <w:sz w:val="22"/>
              </w:rPr>
              <w:t>Мониторинг</w:t>
            </w:r>
          </w:p>
          <w:p w14:paraId="64B601C4" w14:textId="77777777" w:rsidR="00DD0782" w:rsidRPr="00400FE9" w:rsidRDefault="00DD0782" w:rsidP="00DD0782">
            <w:pPr>
              <w:suppressAutoHyphens/>
              <w:spacing w:before="120"/>
              <w:ind w:left="34"/>
              <w:jc w:val="both"/>
              <w:rPr>
                <w:rFonts w:ascii="Times New Roman" w:hAnsi="Times New Roman" w:cs="Times New Roman"/>
                <w:b/>
                <w:sz w:val="22"/>
              </w:rPr>
            </w:pPr>
            <w:r w:rsidRPr="00400FE9">
              <w:rPr>
                <w:rFonts w:ascii="Times New Roman" w:hAnsi="Times New Roman" w:cs="Times New Roman"/>
                <w:b/>
                <w:sz w:val="22"/>
              </w:rPr>
              <w:t>и оценка</w:t>
            </w:r>
          </w:p>
          <w:p w14:paraId="356EA507" w14:textId="77777777" w:rsidR="00DD0782" w:rsidRPr="00400FE9" w:rsidRDefault="00DD0782" w:rsidP="00DD0782">
            <w:pPr>
              <w:suppressAutoHyphens/>
              <w:spacing w:before="120"/>
              <w:ind w:left="34"/>
              <w:jc w:val="both"/>
              <w:rPr>
                <w:rFonts w:ascii="Times New Roman" w:hAnsi="Times New Roman" w:cs="Times New Roman"/>
                <w:b/>
                <w:sz w:val="22"/>
              </w:rPr>
            </w:pPr>
            <w:r w:rsidRPr="00400FE9">
              <w:rPr>
                <w:rFonts w:ascii="Times New Roman" w:hAnsi="Times New Roman" w:cs="Times New Roman"/>
                <w:b/>
                <w:sz w:val="22"/>
              </w:rPr>
              <w:t>эффективности</w:t>
            </w:r>
          </w:p>
        </w:tc>
        <w:tc>
          <w:tcPr>
            <w:tcW w:w="2065" w:type="dxa"/>
          </w:tcPr>
          <w:p w14:paraId="70BDDBCD" w14:textId="77777777" w:rsidR="00DD0782" w:rsidRPr="00400FE9" w:rsidRDefault="00DD0782" w:rsidP="00DD0782">
            <w:pPr>
              <w:suppressAutoHyphens/>
              <w:spacing w:before="120"/>
              <w:ind w:left="34"/>
              <w:jc w:val="both"/>
              <w:rPr>
                <w:rFonts w:ascii="Times New Roman" w:hAnsi="Times New Roman" w:cs="Times New Roman"/>
                <w:b/>
                <w:sz w:val="22"/>
              </w:rPr>
            </w:pPr>
            <w:r w:rsidRPr="00400FE9">
              <w:rPr>
                <w:rFonts w:ascii="Times New Roman" w:hAnsi="Times New Roman" w:cs="Times New Roman"/>
                <w:b/>
                <w:sz w:val="22"/>
              </w:rPr>
              <w:t>Конечный носитель</w:t>
            </w:r>
          </w:p>
          <w:p w14:paraId="3EA634A5" w14:textId="77777777" w:rsidR="00DD0782" w:rsidRPr="00400FE9" w:rsidRDefault="00DD0782" w:rsidP="00DD0782">
            <w:pPr>
              <w:suppressAutoHyphens/>
              <w:spacing w:before="120"/>
              <w:ind w:left="34"/>
              <w:jc w:val="both"/>
              <w:rPr>
                <w:rFonts w:ascii="Times New Roman" w:hAnsi="Times New Roman" w:cs="Times New Roman"/>
                <w:b/>
                <w:sz w:val="22"/>
              </w:rPr>
            </w:pPr>
            <w:r w:rsidRPr="00400FE9">
              <w:rPr>
                <w:rFonts w:ascii="Times New Roman" w:hAnsi="Times New Roman" w:cs="Times New Roman"/>
                <w:b/>
                <w:sz w:val="22"/>
              </w:rPr>
              <w:t>рисков</w:t>
            </w:r>
          </w:p>
        </w:tc>
      </w:tr>
      <w:tr w:rsidR="00DD0782" w:rsidRPr="005C626D" w14:paraId="77F59539" w14:textId="77777777" w:rsidTr="00DD0782">
        <w:tc>
          <w:tcPr>
            <w:tcW w:w="2127" w:type="dxa"/>
          </w:tcPr>
          <w:p w14:paraId="3A865C59"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Инвестиционные фонды (розничный бизнес)</w:t>
            </w:r>
          </w:p>
        </w:tc>
        <w:tc>
          <w:tcPr>
            <w:tcW w:w="1875" w:type="dxa"/>
          </w:tcPr>
          <w:p w14:paraId="4F91A05E"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Домашние </w:t>
            </w:r>
          </w:p>
          <w:p w14:paraId="20C20E6B"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хозяйства</w:t>
            </w:r>
          </w:p>
          <w:p w14:paraId="4FAFD14C"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Юридические </w:t>
            </w:r>
          </w:p>
          <w:p w14:paraId="26FD33D1"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лица</w:t>
            </w:r>
          </w:p>
        </w:tc>
        <w:tc>
          <w:tcPr>
            <w:tcW w:w="1678" w:type="dxa"/>
          </w:tcPr>
          <w:p w14:paraId="5AB99F48"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Управление собственными активами</w:t>
            </w:r>
          </w:p>
        </w:tc>
        <w:tc>
          <w:tcPr>
            <w:tcW w:w="1904" w:type="dxa"/>
          </w:tcPr>
          <w:p w14:paraId="1E207C81"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Инвесторы, рейтинговые агентства</w:t>
            </w:r>
          </w:p>
        </w:tc>
        <w:tc>
          <w:tcPr>
            <w:tcW w:w="2065" w:type="dxa"/>
          </w:tcPr>
          <w:p w14:paraId="5F551131"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Домашние </w:t>
            </w:r>
          </w:p>
          <w:p w14:paraId="5D8164B5"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хозяйства</w:t>
            </w:r>
          </w:p>
          <w:p w14:paraId="480160C6"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Юридические </w:t>
            </w:r>
          </w:p>
          <w:p w14:paraId="77EA70C8"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лица</w:t>
            </w:r>
          </w:p>
        </w:tc>
      </w:tr>
      <w:tr w:rsidR="00DD0782" w:rsidRPr="005C626D" w14:paraId="6366A664" w14:textId="77777777" w:rsidTr="00DD0782">
        <w:tc>
          <w:tcPr>
            <w:tcW w:w="2127" w:type="dxa"/>
          </w:tcPr>
          <w:p w14:paraId="236AB38E"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lastRenderedPageBreak/>
              <w:t xml:space="preserve">Управляющие </w:t>
            </w:r>
          </w:p>
          <w:p w14:paraId="4F770E33"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активами (оптовый бизнес)</w:t>
            </w:r>
          </w:p>
        </w:tc>
        <w:tc>
          <w:tcPr>
            <w:tcW w:w="1875" w:type="dxa"/>
          </w:tcPr>
          <w:p w14:paraId="25689C89"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Институцио-</w:t>
            </w:r>
          </w:p>
          <w:p w14:paraId="3949FDB9"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нальные</w:t>
            </w:r>
          </w:p>
          <w:p w14:paraId="669786C2"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инвесторы</w:t>
            </w:r>
          </w:p>
        </w:tc>
        <w:tc>
          <w:tcPr>
            <w:tcW w:w="1678" w:type="dxa"/>
          </w:tcPr>
          <w:p w14:paraId="5E19B789"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Управление внешними </w:t>
            </w:r>
          </w:p>
          <w:p w14:paraId="1BA2F4AA"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активами</w:t>
            </w:r>
          </w:p>
        </w:tc>
        <w:tc>
          <w:tcPr>
            <w:tcW w:w="1904" w:type="dxa"/>
          </w:tcPr>
          <w:p w14:paraId="5590D4D4"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Инвесторы, консультанты</w:t>
            </w:r>
          </w:p>
        </w:tc>
        <w:tc>
          <w:tcPr>
            <w:tcW w:w="2065" w:type="dxa"/>
          </w:tcPr>
          <w:p w14:paraId="3041B643"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Институцио-</w:t>
            </w:r>
          </w:p>
          <w:p w14:paraId="63F9FBBC"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нальные</w:t>
            </w:r>
          </w:p>
          <w:p w14:paraId="083B3B82"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инвесторы</w:t>
            </w:r>
          </w:p>
        </w:tc>
      </w:tr>
      <w:tr w:rsidR="00DD0782" w:rsidRPr="005C626D" w14:paraId="7C28AE60" w14:textId="77777777" w:rsidTr="00DD0782">
        <w:tc>
          <w:tcPr>
            <w:tcW w:w="2127" w:type="dxa"/>
          </w:tcPr>
          <w:p w14:paraId="740A450F"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Общие фонды банковского управления</w:t>
            </w:r>
          </w:p>
        </w:tc>
        <w:tc>
          <w:tcPr>
            <w:tcW w:w="1875" w:type="dxa"/>
          </w:tcPr>
          <w:p w14:paraId="49083E85"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Бенефициары</w:t>
            </w:r>
          </w:p>
        </w:tc>
        <w:tc>
          <w:tcPr>
            <w:tcW w:w="1678" w:type="dxa"/>
          </w:tcPr>
          <w:p w14:paraId="5C5347B6"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Управление собственными</w:t>
            </w:r>
          </w:p>
          <w:p w14:paraId="01F2F154"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 и внешними </w:t>
            </w:r>
          </w:p>
          <w:p w14:paraId="6020DFAE"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активами</w:t>
            </w:r>
          </w:p>
        </w:tc>
        <w:tc>
          <w:tcPr>
            <w:tcW w:w="1904" w:type="dxa"/>
          </w:tcPr>
          <w:p w14:paraId="683210F2"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Доверенные лица, консультанты</w:t>
            </w:r>
          </w:p>
        </w:tc>
        <w:tc>
          <w:tcPr>
            <w:tcW w:w="2065" w:type="dxa"/>
          </w:tcPr>
          <w:p w14:paraId="63C0F29F"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Бенефициары</w:t>
            </w:r>
          </w:p>
        </w:tc>
      </w:tr>
      <w:tr w:rsidR="00DD0782" w:rsidRPr="005C626D" w14:paraId="1439B4FD" w14:textId="77777777" w:rsidTr="00DD0782">
        <w:tc>
          <w:tcPr>
            <w:tcW w:w="2127" w:type="dxa"/>
          </w:tcPr>
          <w:p w14:paraId="3FB6994D"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Пенсионные фонды (система </w:t>
            </w:r>
          </w:p>
          <w:p w14:paraId="5B2405B3"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пенсионных </w:t>
            </w:r>
          </w:p>
          <w:p w14:paraId="0FFB7EFE"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вкладов)</w:t>
            </w:r>
          </w:p>
        </w:tc>
        <w:tc>
          <w:tcPr>
            <w:tcW w:w="1875" w:type="dxa"/>
          </w:tcPr>
          <w:p w14:paraId="3E439D61"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Бенефициары</w:t>
            </w:r>
          </w:p>
        </w:tc>
        <w:tc>
          <w:tcPr>
            <w:tcW w:w="1678" w:type="dxa"/>
          </w:tcPr>
          <w:p w14:paraId="42F97A8A"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Управление собственными</w:t>
            </w:r>
          </w:p>
          <w:p w14:paraId="77DED3F9"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 внешними активами</w:t>
            </w:r>
          </w:p>
        </w:tc>
        <w:tc>
          <w:tcPr>
            <w:tcW w:w="1904" w:type="dxa"/>
          </w:tcPr>
          <w:p w14:paraId="3A77017A"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Доверенные лица, консультанты</w:t>
            </w:r>
          </w:p>
        </w:tc>
        <w:tc>
          <w:tcPr>
            <w:tcW w:w="2065" w:type="dxa"/>
          </w:tcPr>
          <w:p w14:paraId="02806F47"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Бенефициары</w:t>
            </w:r>
          </w:p>
        </w:tc>
      </w:tr>
      <w:tr w:rsidR="00DD0782" w:rsidRPr="005C626D" w14:paraId="3EBF5847" w14:textId="77777777" w:rsidTr="00DD0782">
        <w:tc>
          <w:tcPr>
            <w:tcW w:w="2127" w:type="dxa"/>
          </w:tcPr>
          <w:p w14:paraId="04E0F840" w14:textId="77777777" w:rsidR="00DD0782" w:rsidRPr="00400FE9" w:rsidRDefault="00DD0782" w:rsidP="00DD0782">
            <w:pPr>
              <w:tabs>
                <w:tab w:val="left" w:pos="1877"/>
              </w:tabs>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Страховые </w:t>
            </w:r>
          </w:p>
          <w:p w14:paraId="45A06B6B" w14:textId="77777777" w:rsidR="00DD0782" w:rsidRPr="00400FE9" w:rsidRDefault="00DD0782" w:rsidP="00DD0782">
            <w:pPr>
              <w:tabs>
                <w:tab w:val="left" w:pos="1877"/>
              </w:tabs>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компании</w:t>
            </w:r>
          </w:p>
        </w:tc>
        <w:tc>
          <w:tcPr>
            <w:tcW w:w="1875" w:type="dxa"/>
          </w:tcPr>
          <w:p w14:paraId="3645BC3E"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Страховые </w:t>
            </w:r>
          </w:p>
          <w:p w14:paraId="2C535E3B"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компании</w:t>
            </w:r>
          </w:p>
        </w:tc>
        <w:tc>
          <w:tcPr>
            <w:tcW w:w="1678" w:type="dxa"/>
          </w:tcPr>
          <w:p w14:paraId="1552D0C2"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Управление собственными</w:t>
            </w:r>
          </w:p>
          <w:p w14:paraId="251F555B"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и внешними активами</w:t>
            </w:r>
          </w:p>
        </w:tc>
        <w:tc>
          <w:tcPr>
            <w:tcW w:w="1904" w:type="dxa"/>
          </w:tcPr>
          <w:p w14:paraId="3E1A4459"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Страховые</w:t>
            </w:r>
          </w:p>
          <w:p w14:paraId="10BCDE54"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компании, консультанты</w:t>
            </w:r>
          </w:p>
        </w:tc>
        <w:tc>
          <w:tcPr>
            <w:tcW w:w="2065" w:type="dxa"/>
          </w:tcPr>
          <w:p w14:paraId="38AA07BF"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Страховые</w:t>
            </w:r>
          </w:p>
          <w:p w14:paraId="6DF7EBF2"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компании, </w:t>
            </w:r>
          </w:p>
          <w:p w14:paraId="5B23A0A4"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владельцы </w:t>
            </w:r>
          </w:p>
          <w:p w14:paraId="00D6ABFE"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страховых </w:t>
            </w:r>
          </w:p>
          <w:p w14:paraId="4690DEC7"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полисов</w:t>
            </w:r>
          </w:p>
        </w:tc>
      </w:tr>
      <w:tr w:rsidR="00DD0782" w:rsidRPr="005C626D" w14:paraId="2C7CC588" w14:textId="77777777" w:rsidTr="00DD0782">
        <w:tc>
          <w:tcPr>
            <w:tcW w:w="2127" w:type="dxa"/>
          </w:tcPr>
          <w:p w14:paraId="4DAA74E2"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Доверительное управление </w:t>
            </w:r>
          </w:p>
        </w:tc>
        <w:tc>
          <w:tcPr>
            <w:tcW w:w="1875" w:type="dxa"/>
          </w:tcPr>
          <w:p w14:paraId="1F52DAD2"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Домашние </w:t>
            </w:r>
          </w:p>
          <w:p w14:paraId="48A1602A"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хозяйства</w:t>
            </w:r>
          </w:p>
        </w:tc>
        <w:tc>
          <w:tcPr>
            <w:tcW w:w="1678" w:type="dxa"/>
          </w:tcPr>
          <w:p w14:paraId="71F2F5BC"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Управление внешними </w:t>
            </w:r>
          </w:p>
          <w:p w14:paraId="10CA1C45"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активами</w:t>
            </w:r>
          </w:p>
        </w:tc>
        <w:tc>
          <w:tcPr>
            <w:tcW w:w="1904" w:type="dxa"/>
          </w:tcPr>
          <w:p w14:paraId="34AB36FE"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Доверенные лица, консультанты</w:t>
            </w:r>
          </w:p>
        </w:tc>
        <w:tc>
          <w:tcPr>
            <w:tcW w:w="2065" w:type="dxa"/>
          </w:tcPr>
          <w:p w14:paraId="27698365"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Домашние </w:t>
            </w:r>
          </w:p>
          <w:p w14:paraId="15E27A5B"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хозяйства</w:t>
            </w:r>
          </w:p>
        </w:tc>
      </w:tr>
      <w:tr w:rsidR="00DD0782" w:rsidRPr="005C626D" w14:paraId="0E5D5677" w14:textId="77777777" w:rsidTr="00DD0782">
        <w:tc>
          <w:tcPr>
            <w:tcW w:w="2127" w:type="dxa"/>
          </w:tcPr>
          <w:p w14:paraId="49B2CF64"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Кредитные союзы</w:t>
            </w:r>
          </w:p>
        </w:tc>
        <w:tc>
          <w:tcPr>
            <w:tcW w:w="1875" w:type="dxa"/>
          </w:tcPr>
          <w:p w14:paraId="6BCB1920"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Домашние </w:t>
            </w:r>
          </w:p>
          <w:p w14:paraId="698FCCBF"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хозяйства</w:t>
            </w:r>
          </w:p>
        </w:tc>
        <w:tc>
          <w:tcPr>
            <w:tcW w:w="1678" w:type="dxa"/>
          </w:tcPr>
          <w:p w14:paraId="4CAE996C"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Управление собственными активами</w:t>
            </w:r>
          </w:p>
        </w:tc>
        <w:tc>
          <w:tcPr>
            <w:tcW w:w="1904" w:type="dxa"/>
          </w:tcPr>
          <w:p w14:paraId="61409C80"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Домашние </w:t>
            </w:r>
          </w:p>
          <w:p w14:paraId="06C0B34B"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хозяйства, рейтинговые агентства</w:t>
            </w:r>
          </w:p>
        </w:tc>
        <w:tc>
          <w:tcPr>
            <w:tcW w:w="2065" w:type="dxa"/>
          </w:tcPr>
          <w:p w14:paraId="29AB0117"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 xml:space="preserve">Домашние </w:t>
            </w:r>
          </w:p>
          <w:p w14:paraId="205595B7" w14:textId="77777777" w:rsidR="00DD0782" w:rsidRPr="00400FE9" w:rsidRDefault="00DD0782" w:rsidP="00DD0782">
            <w:pPr>
              <w:suppressAutoHyphens/>
              <w:spacing w:before="120"/>
              <w:ind w:left="34"/>
              <w:jc w:val="both"/>
              <w:rPr>
                <w:rFonts w:ascii="Times New Roman" w:hAnsi="Times New Roman" w:cs="Times New Roman"/>
                <w:sz w:val="22"/>
              </w:rPr>
            </w:pPr>
            <w:r w:rsidRPr="00400FE9">
              <w:rPr>
                <w:rFonts w:ascii="Times New Roman" w:hAnsi="Times New Roman" w:cs="Times New Roman"/>
                <w:sz w:val="22"/>
              </w:rPr>
              <w:t>хозяйства</w:t>
            </w:r>
          </w:p>
        </w:tc>
      </w:tr>
    </w:tbl>
    <w:p w14:paraId="7C7FB61F" w14:textId="1DF6DAB9" w:rsidR="00DD0782" w:rsidRPr="00DD0782" w:rsidRDefault="00DD0782" w:rsidP="00DD0782">
      <w:pPr>
        <w:spacing w:before="120"/>
        <w:ind w:right="-631"/>
        <w:jc w:val="both"/>
        <w:rPr>
          <w:rFonts w:ascii="Times New Roman" w:hAnsi="Times New Roman" w:cs="Times New Roman"/>
          <w:color w:val="000000" w:themeColor="text1"/>
          <w:sz w:val="20"/>
          <w:szCs w:val="20"/>
        </w:rPr>
      </w:pPr>
      <w:r w:rsidRPr="00DD0782">
        <w:rPr>
          <w:rFonts w:ascii="Times New Roman" w:hAnsi="Times New Roman" w:cs="Times New Roman"/>
          <w:color w:val="000000" w:themeColor="text1"/>
          <w:sz w:val="20"/>
          <w:szCs w:val="20"/>
        </w:rPr>
        <w:t>Источник: Трофимовская А.В. Институциональные инвесторы на фондовом рынке России</w:t>
      </w:r>
      <w:r w:rsidRPr="00DD0782">
        <w:rPr>
          <w:rFonts w:ascii="Times New Roman" w:hAnsi="Times New Roman" w:cs="Times New Roman"/>
          <w:color w:val="000000" w:themeColor="text1"/>
          <w:sz w:val="20"/>
          <w:szCs w:val="20"/>
          <w:shd w:val="clear" w:color="auto" w:fill="FFFFFF"/>
        </w:rPr>
        <w:t>. М., 2009. С. 74.</w:t>
      </w:r>
    </w:p>
    <w:p w14:paraId="7D28B771" w14:textId="77777777" w:rsidR="00DD0782" w:rsidRPr="00DD0782" w:rsidRDefault="00DD0782" w:rsidP="00DD0782">
      <w:pPr>
        <w:suppressAutoHyphens/>
        <w:ind w:right="-771"/>
        <w:jc w:val="both"/>
        <w:rPr>
          <w:rFonts w:ascii="Times New Roman" w:hAnsi="Times New Roman" w:cs="Times New Roman"/>
          <w:sz w:val="28"/>
          <w:szCs w:val="28"/>
        </w:rPr>
      </w:pPr>
    </w:p>
    <w:p w14:paraId="63AC1100" w14:textId="77F7B3AC" w:rsidR="00AD63F0" w:rsidRPr="00DD0782" w:rsidRDefault="00AD63F0" w:rsidP="005F02A0">
      <w:pPr>
        <w:pStyle w:val="ListParagraph"/>
        <w:suppressAutoHyphens/>
        <w:spacing w:line="360" w:lineRule="auto"/>
        <w:ind w:left="-567" w:right="43" w:firstLine="567"/>
        <w:jc w:val="both"/>
        <w:rPr>
          <w:rFonts w:ascii="Times New Roman" w:hAnsi="Times New Roman" w:cs="Times New Roman"/>
          <w:sz w:val="28"/>
          <w:szCs w:val="28"/>
        </w:rPr>
      </w:pPr>
      <w:r w:rsidRPr="00DD0782">
        <w:rPr>
          <w:rFonts w:ascii="Times New Roman" w:hAnsi="Times New Roman" w:cs="Times New Roman"/>
          <w:sz w:val="28"/>
          <w:szCs w:val="28"/>
        </w:rPr>
        <w:t>Представленная классификация показывает, внимание акцен</w:t>
      </w:r>
      <w:r w:rsidR="006945DD">
        <w:rPr>
          <w:rFonts w:ascii="Times New Roman" w:hAnsi="Times New Roman" w:cs="Times New Roman"/>
          <w:sz w:val="28"/>
          <w:szCs w:val="28"/>
        </w:rPr>
        <w:t>тируется на определенных сторона</w:t>
      </w:r>
      <w:r w:rsidRPr="00DD0782">
        <w:rPr>
          <w:rFonts w:ascii="Times New Roman" w:hAnsi="Times New Roman" w:cs="Times New Roman"/>
          <w:sz w:val="28"/>
          <w:szCs w:val="28"/>
        </w:rPr>
        <w:t>х деятельности институциональных инвесторов ввиду отсутствия общепринятого определения.</w:t>
      </w:r>
    </w:p>
    <w:p w14:paraId="5B15075D" w14:textId="77777777" w:rsidR="00AD63F0" w:rsidRPr="00DD0782" w:rsidRDefault="00AD63F0" w:rsidP="005F02A0">
      <w:pPr>
        <w:pStyle w:val="ListParagraph"/>
        <w:numPr>
          <w:ilvl w:val="0"/>
          <w:numId w:val="3"/>
        </w:numPr>
        <w:spacing w:line="360" w:lineRule="auto"/>
        <w:ind w:left="-567" w:right="43"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Частные инвесторы. К таковым традиционно относят население, рассматривающее инвестиционный рынок как инструмент сбережения, и «бизнес-ангелов». Банковский сектор экономики предлагает в качестве инвестиционных вариантов депозиты для физических лиц. Еще один возможный вариант инвестирования – фонды коллективных инвестиций или интернет-трейдинг через различные управляющие компании. С определенной долей условности к частным инвесторам может быть отнесен менеджмент компаний, реализующий выкуп контроля у собственников. Ключевым фактором, который </w:t>
      </w:r>
      <w:r w:rsidRPr="00DD0782">
        <w:rPr>
          <w:rFonts w:ascii="Times New Roman" w:hAnsi="Times New Roman" w:cs="Times New Roman"/>
          <w:sz w:val="28"/>
          <w:szCs w:val="28"/>
        </w:rPr>
        <w:lastRenderedPageBreak/>
        <w:t>влияет на мотивы и цели инвестирования у частных инвесторов, является их возраст, который часто определяет выбор связки «риск-доходность-горизонт инвестирования».</w:t>
      </w:r>
    </w:p>
    <w:p w14:paraId="50C856DF" w14:textId="77777777" w:rsidR="00AD63F0" w:rsidRPr="00DD0782" w:rsidRDefault="00AD63F0" w:rsidP="005F02A0">
      <w:pPr>
        <w:spacing w:line="360" w:lineRule="auto"/>
        <w:ind w:left="-567" w:right="43" w:firstLine="283"/>
        <w:jc w:val="both"/>
        <w:rPr>
          <w:rFonts w:ascii="Times New Roman" w:hAnsi="Times New Roman" w:cs="Times New Roman"/>
          <w:sz w:val="28"/>
          <w:szCs w:val="28"/>
        </w:rPr>
      </w:pPr>
      <w:r w:rsidRPr="00DD0782">
        <w:rPr>
          <w:rFonts w:ascii="Times New Roman" w:hAnsi="Times New Roman" w:cs="Times New Roman"/>
          <w:sz w:val="28"/>
          <w:szCs w:val="28"/>
        </w:rPr>
        <w:t xml:space="preserve">В данной работе в качестве субъекта инвестирования будут рассматриваться институциональные инвесторы, роль и влияние которых возросли на мировых финансовых рынках в последние десятилетия. Развитие финансовой посреднической деятельности представляет собой важный для развития экономики процесс ввиду способности институциональных инвесторов инициировать, структурировать и мобилизовывать финансовые ресурсы. </w:t>
      </w:r>
    </w:p>
    <w:p w14:paraId="30B98BEB"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В частности, В США в начале </w:t>
      </w:r>
      <w:r w:rsidRPr="00DD0782">
        <w:rPr>
          <w:rFonts w:ascii="Times New Roman" w:hAnsi="Times New Roman" w:cs="Times New Roman"/>
          <w:sz w:val="28"/>
          <w:szCs w:val="28"/>
          <w:lang w:val="en-US"/>
        </w:rPr>
        <w:t>XXI</w:t>
      </w:r>
      <w:r w:rsidRPr="00DD0782">
        <w:rPr>
          <w:rFonts w:ascii="Times New Roman" w:hAnsi="Times New Roman" w:cs="Times New Roman"/>
          <w:sz w:val="28"/>
          <w:szCs w:val="28"/>
        </w:rPr>
        <w:t xml:space="preserve"> века был достигнут самый высокий в мире уровень развития финансовых инструментов и институтов.  Данный опыт доказывает, что в последние десятилетия в развитых странах финансовое могущество сконцентрировалось в руках институциональных инвесторов, которые заняли ведущее положение в сфере инвестиционной деятельности. Большая численность, крупные размеры финансовых ресурсов и налаженный механизм взаимодействия на фондовом рынке – все это помогло институциональным инвесторам образовать влиятельную систему для скопления денежных ресурсов и их дальнейшего инвестирования в финансовые инструменты.  В настоящее время институциональные инвесторы в США контролируют более 75% денежных ресурсов и более 70% дневного оборота на Нью-Йоркской фондовой бирже (</w:t>
      </w:r>
      <w:r w:rsidRPr="00DD0782">
        <w:rPr>
          <w:rFonts w:ascii="Times New Roman" w:hAnsi="Times New Roman" w:cs="Times New Roman"/>
          <w:sz w:val="28"/>
          <w:szCs w:val="28"/>
          <w:lang w:val="en-US"/>
        </w:rPr>
        <w:t>NYSE</w:t>
      </w:r>
      <w:r w:rsidRPr="00DD0782">
        <w:rPr>
          <w:rFonts w:ascii="Times New Roman" w:hAnsi="Times New Roman" w:cs="Times New Roman"/>
          <w:sz w:val="28"/>
          <w:szCs w:val="28"/>
        </w:rPr>
        <w:t>)</w:t>
      </w:r>
      <w:r w:rsidRPr="00DD0782">
        <w:rPr>
          <w:rStyle w:val="FootnoteReference"/>
          <w:rFonts w:ascii="Times New Roman" w:hAnsi="Times New Roman" w:cs="Times New Roman"/>
          <w:sz w:val="28"/>
          <w:szCs w:val="28"/>
          <w:lang w:val="en-US"/>
        </w:rPr>
        <w:footnoteReference w:id="15"/>
      </w:r>
      <w:r w:rsidRPr="00DD0782">
        <w:rPr>
          <w:rFonts w:ascii="Times New Roman" w:hAnsi="Times New Roman" w:cs="Times New Roman"/>
          <w:sz w:val="28"/>
          <w:szCs w:val="28"/>
        </w:rPr>
        <w:t>, а также доминируют в торговле ценными бумагами.</w:t>
      </w:r>
    </w:p>
    <w:p w14:paraId="59398738" w14:textId="77777777" w:rsidR="00AD63F0" w:rsidRPr="00DD0782" w:rsidRDefault="00AD63F0" w:rsidP="005F02A0">
      <w:pPr>
        <w:spacing w:line="360" w:lineRule="auto"/>
        <w:ind w:left="-567" w:right="-99" w:firstLine="283"/>
        <w:jc w:val="both"/>
        <w:rPr>
          <w:rFonts w:ascii="Times New Roman" w:hAnsi="Times New Roman" w:cs="Times New Roman"/>
          <w:sz w:val="28"/>
          <w:szCs w:val="28"/>
        </w:rPr>
      </w:pPr>
      <w:r w:rsidRPr="00DD0782">
        <w:rPr>
          <w:rFonts w:ascii="Times New Roman" w:hAnsi="Times New Roman" w:cs="Times New Roman"/>
          <w:sz w:val="28"/>
          <w:szCs w:val="28"/>
        </w:rPr>
        <w:t xml:space="preserve">Во второй половине </w:t>
      </w:r>
      <w:r w:rsidRPr="00DD0782">
        <w:rPr>
          <w:rFonts w:ascii="Times New Roman" w:hAnsi="Times New Roman" w:cs="Times New Roman"/>
          <w:sz w:val="28"/>
          <w:szCs w:val="28"/>
          <w:lang w:val="en-US"/>
        </w:rPr>
        <w:t>XX</w:t>
      </w:r>
      <w:r w:rsidRPr="00DD0782">
        <w:rPr>
          <w:rFonts w:ascii="Times New Roman" w:hAnsi="Times New Roman" w:cs="Times New Roman"/>
          <w:sz w:val="28"/>
          <w:szCs w:val="28"/>
        </w:rPr>
        <w:t xml:space="preserve"> века большое количество работ зарубежных авторов было посвящено  исследованию причин и особенностей функционирования институциональных инвесторов, в которых сложилась система взглядов, которую часто называют «теорией финансового посредничества». Финансовый посредник – это « кредитно-финансовый институт, аккумулирующий денежные средства и </w:t>
      </w:r>
      <w:r w:rsidRPr="00DD0782">
        <w:rPr>
          <w:rFonts w:ascii="Times New Roman" w:hAnsi="Times New Roman" w:cs="Times New Roman"/>
          <w:sz w:val="28"/>
          <w:szCs w:val="28"/>
        </w:rPr>
        <w:lastRenderedPageBreak/>
        <w:t>вкладывающий их в различные ценные бумаги»</w:t>
      </w:r>
      <w:r w:rsidRPr="00DD0782">
        <w:rPr>
          <w:rStyle w:val="FootnoteReference"/>
          <w:rFonts w:ascii="Times New Roman" w:hAnsi="Times New Roman" w:cs="Times New Roman"/>
          <w:sz w:val="28"/>
          <w:szCs w:val="28"/>
        </w:rPr>
        <w:footnoteReference w:id="16"/>
      </w:r>
      <w:r w:rsidRPr="00DD0782">
        <w:rPr>
          <w:rFonts w:ascii="Times New Roman" w:hAnsi="Times New Roman" w:cs="Times New Roman"/>
          <w:sz w:val="28"/>
          <w:szCs w:val="28"/>
        </w:rPr>
        <w:t>. Также распространено определение: финансовый посредник – это «экономический агент, специализирующийся на покупке и продаже (совершаемых, как правило, параллельно во времени) финансовых контрактов и ценных бумаг»</w:t>
      </w:r>
      <w:r w:rsidRPr="00DD0782">
        <w:rPr>
          <w:rStyle w:val="FootnoteReference"/>
          <w:rFonts w:ascii="Times New Roman" w:hAnsi="Times New Roman" w:cs="Times New Roman"/>
          <w:sz w:val="28"/>
          <w:szCs w:val="28"/>
        </w:rPr>
        <w:footnoteReference w:id="17"/>
      </w:r>
      <w:r w:rsidRPr="00DD0782">
        <w:rPr>
          <w:rFonts w:ascii="Times New Roman" w:hAnsi="Times New Roman" w:cs="Times New Roman"/>
          <w:sz w:val="28"/>
          <w:szCs w:val="28"/>
        </w:rPr>
        <w:t>. Финансовые посредники выполняют важную роль, которая заключается в предоставлении сберегателям объектов для инвестирования, которые по факту представляют собой диверсифицированные портфели ценных бумаг.</w:t>
      </w:r>
    </w:p>
    <w:p w14:paraId="0F0548D0"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В основе развития финансовых институтов и их взаимодействия на фондовом рынке лежит ряд принципов, заложенных в трудах Дж. М. Кейнса, А. Пигу и развитых в работах Р. Голдсмита, Дж. Герли, Е.Шоу, Й. Шумпетера и других экономистов. </w:t>
      </w:r>
    </w:p>
    <w:p w14:paraId="732105B6" w14:textId="55A0EDC9"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Дж. М. Кейнс анализировал склонность людей к сбережению и инвестированию и сформулировал основы подхода, определив восемь основных целей, побуждающих людей воздерживаться от расходования своего</w:t>
      </w:r>
      <w:r w:rsidR="00DF7F50" w:rsidRPr="00DD0782">
        <w:rPr>
          <w:rFonts w:ascii="Times New Roman" w:hAnsi="Times New Roman" w:cs="Times New Roman"/>
          <w:sz w:val="28"/>
          <w:szCs w:val="28"/>
        </w:rPr>
        <w:t xml:space="preserve"> дохода</w:t>
      </w:r>
      <w:r w:rsidRPr="00DD0782">
        <w:rPr>
          <w:rStyle w:val="FootnoteReference"/>
          <w:rFonts w:ascii="Times New Roman" w:hAnsi="Times New Roman" w:cs="Times New Roman"/>
          <w:sz w:val="28"/>
          <w:szCs w:val="28"/>
        </w:rPr>
        <w:footnoteReference w:id="18"/>
      </w:r>
      <w:r w:rsidRPr="00DD0782">
        <w:rPr>
          <w:rFonts w:ascii="Times New Roman" w:hAnsi="Times New Roman" w:cs="Times New Roman"/>
          <w:sz w:val="28"/>
          <w:szCs w:val="28"/>
        </w:rPr>
        <w:t>.</w:t>
      </w:r>
      <w:r w:rsidR="00DF7F50" w:rsidRPr="00DD0782">
        <w:rPr>
          <w:rFonts w:ascii="Times New Roman" w:hAnsi="Times New Roman" w:cs="Times New Roman"/>
          <w:sz w:val="28"/>
          <w:szCs w:val="28"/>
        </w:rPr>
        <w:t xml:space="preserve"> Его работа позволила выявить тот факт, что в зависимости от мотивов сбережений, можно выделить различные типы институциональных инвесторов: коммерческие банки, страховые компании, негосударственные пенсионные и инвестиционные фонды, кредитные союзы.</w:t>
      </w:r>
    </w:p>
    <w:p w14:paraId="6F8F26A4"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А. Пигу сформулировал основные принципы, лежащие в основе объективных причин зарождения институциональных инвесторов. В своей работе «Экономическая теория благосостояния» А. Пигу писал, что рынок ценных бумаг и кредитная система обеспечивают экономический рост</w:t>
      </w:r>
      <w:r w:rsidRPr="00DD0782">
        <w:rPr>
          <w:rStyle w:val="FootnoteReference"/>
          <w:rFonts w:ascii="Times New Roman" w:hAnsi="Times New Roman" w:cs="Times New Roman"/>
          <w:sz w:val="28"/>
          <w:szCs w:val="28"/>
        </w:rPr>
        <w:footnoteReference w:id="19"/>
      </w:r>
      <w:r w:rsidRPr="00DD0782">
        <w:rPr>
          <w:rFonts w:ascii="Times New Roman" w:hAnsi="Times New Roman" w:cs="Times New Roman"/>
          <w:sz w:val="28"/>
          <w:szCs w:val="28"/>
        </w:rPr>
        <w:t xml:space="preserve">. Он сделал вывод о том, что чем оптимальнее распределение труда и капитала, тем выше «национальный дивиденд» (ВВП). А. Пигу выделяет две основные характеристики капитала как фактора экономического роста: отсрочка потребления (неопределенность временного промежутка получения дохода после инвестирования) и бремя </w:t>
      </w:r>
      <w:r w:rsidRPr="00DD0782">
        <w:rPr>
          <w:rFonts w:ascii="Times New Roman" w:hAnsi="Times New Roman" w:cs="Times New Roman"/>
          <w:sz w:val="28"/>
          <w:szCs w:val="28"/>
        </w:rPr>
        <w:lastRenderedPageBreak/>
        <w:t>неопределенности (будущие результаты вложений неизвестны). Он также разделил инвесторов на реальные и потенциальные в соответствии с распределением рисков и назвал институт, выступающий посредником между ними «системой гарантий», или кредитными учреждениями. Таким образом, учреждения кредитной системы могут взять на себя инвестиционные риски, рационально распределить капитал и ускорить экономический рост.</w:t>
      </w:r>
    </w:p>
    <w:p w14:paraId="61CA66CD"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 Р. Голдсмит подтвердил рассуждения А. Пигу и продолжил исследование роли и значения финансовых посредников</w:t>
      </w:r>
      <w:r w:rsidRPr="00DD0782">
        <w:rPr>
          <w:rStyle w:val="FootnoteReference"/>
          <w:rFonts w:ascii="Times New Roman" w:hAnsi="Times New Roman" w:cs="Times New Roman"/>
          <w:sz w:val="28"/>
          <w:szCs w:val="28"/>
        </w:rPr>
        <w:footnoteReference w:id="20"/>
      </w:r>
      <w:r w:rsidRPr="00DD0782">
        <w:rPr>
          <w:rFonts w:ascii="Times New Roman" w:hAnsi="Times New Roman" w:cs="Times New Roman"/>
          <w:sz w:val="28"/>
          <w:szCs w:val="28"/>
        </w:rPr>
        <w:t xml:space="preserve">. Он сделал вывод, что развитие учреждений кредитной системы приводит к разделению двух функций – сбережений и инвестирования, что в свою очередь стимулирует экономический рост. Также Р. Голдсмит показал, что кредитные учреждения, выпускающие «вторичные обязательства», привлекают лица, не склонные инвестировать в «первичные обязатальства», тем самым расширяя круг инвесторов и осуществляя трансформацию потенциальных инвесторов в реальные. </w:t>
      </w:r>
    </w:p>
    <w:p w14:paraId="2CD69ED1"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Дж. Герли и Е. Шоу ввели в научный оборот о взаимосвязи роста доходов и накопления активов</w:t>
      </w:r>
      <w:r w:rsidRPr="00DD0782">
        <w:rPr>
          <w:rStyle w:val="FootnoteReference"/>
          <w:rFonts w:ascii="Times New Roman" w:hAnsi="Times New Roman" w:cs="Times New Roman"/>
          <w:sz w:val="28"/>
          <w:szCs w:val="28"/>
        </w:rPr>
        <w:footnoteReference w:id="21"/>
      </w:r>
      <w:r w:rsidRPr="00DD0782">
        <w:rPr>
          <w:rFonts w:ascii="Times New Roman" w:hAnsi="Times New Roman" w:cs="Times New Roman"/>
          <w:sz w:val="28"/>
          <w:szCs w:val="28"/>
        </w:rPr>
        <w:t>. Это означает, что склонность к косвенным инвестициям растет по мере роста доходов индивидов. Для того, чтобы реализовать склонность индивида к косвенным инвестициям, кредитная система должна все время поддерживать техническое развитие и географическую экспансию. Ряд ученых дальше исследовали эти вопросы, а также изучали проблему снижения рисков инвестирования в условиях неопределенности. В конце концов, было сформулировано положение о том, что главной функцией финансовых посредников является обеспечение эффективного размещения инвестиций в экономике. Исследования диверсификации рисков по видам, а также их страхование и распределение между агентами значительно обогатили теорию финансовых посредников.</w:t>
      </w:r>
    </w:p>
    <w:p w14:paraId="40977152" w14:textId="77777777" w:rsidR="00AD63F0" w:rsidRPr="00DD0782" w:rsidRDefault="00AD63F0" w:rsidP="005F02A0">
      <w:pPr>
        <w:tabs>
          <w:tab w:val="left" w:pos="2410"/>
        </w:tabs>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lastRenderedPageBreak/>
        <w:t>Проведенные в последние десятилетия исследования внесли немаловажный вклад в понимание основ работы рынка ценных бумаг и финансовых институтов, действующих на нем. Такие теории как теория оценки стоимости компаний,  портфельный анализ, принципы эффективности применения финансовых инструментов и т.п. легли в основу изучения деятельности участников финансового рынка.</w:t>
      </w:r>
    </w:p>
    <w:p w14:paraId="0CE335E0" w14:textId="77777777" w:rsidR="00AD63F0" w:rsidRPr="00DD0782" w:rsidRDefault="00AD63F0" w:rsidP="005F02A0">
      <w:p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В рамках инвестиционного процесса основными факторами выступают время и стоимость. Все инвестиционные активы изменяются в стоимости со временем, причем изменение стоимости инвестиционного актива не всегда пропорциональному времени. В связи с этим, важным понятием при принятии инвестиционных решений является риск, который с течением времени также изменяется и не имеет единого направления. Таким образом, инвестиционный процесс состоит из следующих шагов:</w:t>
      </w:r>
    </w:p>
    <w:p w14:paraId="0396991C" w14:textId="77777777" w:rsidR="00AD63F0" w:rsidRPr="00DD0782" w:rsidRDefault="00AD63F0" w:rsidP="005F02A0">
      <w:pPr>
        <w:pStyle w:val="ListParagraph"/>
        <w:numPr>
          <w:ilvl w:val="0"/>
          <w:numId w:val="5"/>
        </w:num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Выбор целей инвестиций и объема инвестируемых средств.</w:t>
      </w:r>
    </w:p>
    <w:p w14:paraId="437C8CA1" w14:textId="77777777" w:rsidR="00AD63F0" w:rsidRPr="00DD0782" w:rsidRDefault="00AD63F0" w:rsidP="005F02A0">
      <w:pPr>
        <w:pStyle w:val="ListParagraph"/>
        <w:numPr>
          <w:ilvl w:val="0"/>
          <w:numId w:val="5"/>
        </w:num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 xml:space="preserve">Анализ рынка ценных бумаг. Этот этап включает в себя сопоставление и изучение видов ценных бумаг, особенно неверно оцененных. </w:t>
      </w:r>
    </w:p>
    <w:p w14:paraId="1C2BE4F1" w14:textId="77777777" w:rsidR="00AD63F0" w:rsidRPr="00DD0782" w:rsidRDefault="00AD63F0" w:rsidP="005F02A0">
      <w:pPr>
        <w:pStyle w:val="ListParagraph"/>
        <w:numPr>
          <w:ilvl w:val="0"/>
          <w:numId w:val="5"/>
        </w:num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Формирование портфеля ценных бумаг. На данном этапе инвестор определяет конкретные активы для вложения, а также пропорции распределения капитала между активами. Для этого составляются прогнозы цен на определенные виды ценных бумаг, после чего инвестиционный портфель диверсифицируют, т.е. формируют такой портфель, который при заданных ограничениях соответствовал бы целям инвестора. Моделирование инвестиционного портфеля и измерение портфельного риска будут подробнее рассмотрены во второй главе.</w:t>
      </w:r>
    </w:p>
    <w:p w14:paraId="5AFAACF8" w14:textId="77777777" w:rsidR="00AD63F0" w:rsidRPr="00DD0782" w:rsidRDefault="00AD63F0" w:rsidP="005F02A0">
      <w:pPr>
        <w:pStyle w:val="ListParagraph"/>
        <w:numPr>
          <w:ilvl w:val="0"/>
          <w:numId w:val="5"/>
        </w:numPr>
        <w:spacing w:line="360" w:lineRule="auto"/>
        <w:ind w:left="-567" w:right="-99" w:firstLine="284"/>
        <w:jc w:val="both"/>
        <w:rPr>
          <w:rFonts w:ascii="Times New Roman" w:hAnsi="Times New Roman" w:cs="Times New Roman"/>
          <w:sz w:val="28"/>
          <w:szCs w:val="28"/>
        </w:rPr>
      </w:pPr>
      <w:r w:rsidRPr="00DD0782">
        <w:rPr>
          <w:rFonts w:ascii="Times New Roman" w:hAnsi="Times New Roman" w:cs="Times New Roman"/>
          <w:sz w:val="28"/>
          <w:szCs w:val="28"/>
        </w:rPr>
        <w:t>Оценка эффективности портфеля. Через определенные периоды времени необходимо проводить переоценку инвестиционного портфеля, т.к. движение рынка непредсказуемо, что может негативно отразиться на эффективности работы набора активов в портфеле. Для этого необходимо заново пройти через все предшествующие этапы.</w:t>
      </w:r>
    </w:p>
    <w:p w14:paraId="5DCA8181" w14:textId="77777777" w:rsidR="00AD63F0" w:rsidRPr="00DD0782" w:rsidRDefault="00AD63F0" w:rsidP="005F02A0">
      <w:pPr>
        <w:spacing w:line="360" w:lineRule="auto"/>
        <w:ind w:right="-99"/>
        <w:rPr>
          <w:sz w:val="28"/>
          <w:szCs w:val="28"/>
        </w:rPr>
      </w:pPr>
    </w:p>
    <w:p w14:paraId="3CD722C8" w14:textId="491414B6" w:rsidR="00AD63F0" w:rsidRPr="005F02A0" w:rsidRDefault="00AD63F0" w:rsidP="005F02A0">
      <w:pPr>
        <w:pStyle w:val="ListParagraph"/>
        <w:numPr>
          <w:ilvl w:val="1"/>
          <w:numId w:val="2"/>
        </w:numPr>
        <w:spacing w:before="120" w:line="360" w:lineRule="auto"/>
        <w:ind w:right="-99"/>
        <w:jc w:val="both"/>
        <w:rPr>
          <w:rFonts w:ascii="Times New Roman" w:hAnsi="Times New Roman" w:cs="Times New Roman"/>
          <w:b/>
          <w:i/>
          <w:sz w:val="28"/>
          <w:szCs w:val="28"/>
        </w:rPr>
      </w:pPr>
      <w:r w:rsidRPr="005F02A0">
        <w:rPr>
          <w:rFonts w:ascii="Times New Roman" w:hAnsi="Times New Roman" w:cs="Times New Roman"/>
          <w:b/>
          <w:i/>
          <w:sz w:val="28"/>
          <w:szCs w:val="28"/>
        </w:rPr>
        <w:lastRenderedPageBreak/>
        <w:t>Особенности финансового рынка КНР</w:t>
      </w:r>
    </w:p>
    <w:p w14:paraId="245E223B" w14:textId="77777777" w:rsidR="00AD63F0" w:rsidRPr="00B3584B" w:rsidRDefault="00AD63F0" w:rsidP="005F02A0">
      <w:pPr>
        <w:shd w:val="clear" w:color="auto" w:fill="FDFEFC"/>
        <w:spacing w:before="120"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Для того, чтобы инвестирование оказалось действенным нужно принимать во внимание характерные особенности финансового рынка той или иной страны. Это даст возможность не только сформировать  инвестиционный портфель, который соответствует оптимальным критериям и достичь  высочайшей доходности, но и свести вероятные риски к минимуму. </w:t>
      </w:r>
    </w:p>
    <w:p w14:paraId="4A540787" w14:textId="77777777" w:rsidR="00AD63F0" w:rsidRPr="00B3584B" w:rsidRDefault="00AD63F0" w:rsidP="005F02A0">
      <w:pPr>
        <w:shd w:val="clear" w:color="auto" w:fill="FDFEFC"/>
        <w:spacing w:before="120"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По данным  некоторых источников,  ценными бумагами на территории государства Китай начали торговать в Шанхае в конце 60-х годов </w:t>
      </w:r>
      <w:r w:rsidRPr="00B3584B">
        <w:rPr>
          <w:rFonts w:ascii="Times New Roman" w:hAnsi="Times New Roman" w:cs="Times New Roman"/>
          <w:sz w:val="28"/>
          <w:szCs w:val="28"/>
          <w:lang w:val="en-US"/>
        </w:rPr>
        <w:t>XIX</w:t>
      </w:r>
      <w:r w:rsidRPr="00B3584B">
        <w:rPr>
          <w:rFonts w:ascii="Times New Roman" w:hAnsi="Times New Roman" w:cs="Times New Roman"/>
          <w:sz w:val="28"/>
          <w:szCs w:val="28"/>
        </w:rPr>
        <w:t xml:space="preserve"> века. Несколькими иностранными компаниями была создана  фирма по торговле  ценными бумагами(акциями и облигациями). В Шанхае в 1891 г. создается  первая брокерская ассоциация . В 1904 году   Китай принимает  Закон о ценных бумагах .  Пекинская фондовая биржа начинает действовать в 1918 году.  Открытие Шанхайской фондовой и товарной биржи соответствует 1920 г., а Шанхайской Хуашангской фондовой бирже -  1921 г. Новая Шанхайская фондовая биржа в 1946 году возникает на базе этой биржи.. Но в связи с тем, что  экономика Китая была в основном аграрной, акционерные компании и биржи играли незначительную роль в экономическом процессе. Шанхайская фондовая биржа перестала существовать в 1949 году.. После образования КНР свою работу начали две биржи – Пекинская в 1949 г. и Тяньцзиньская в 1950 г., на них в основном осуществлялись операции с государственными облигациями. В 1952 году обе биржи были закрыты  по причине несовместимости с социалистической системой хозяйства</w:t>
      </w:r>
      <w:r w:rsidRPr="00B3584B">
        <w:rPr>
          <w:rStyle w:val="FootnoteReference"/>
          <w:rFonts w:ascii="Times New Roman" w:hAnsi="Times New Roman" w:cs="Times New Roman"/>
          <w:sz w:val="28"/>
          <w:szCs w:val="28"/>
        </w:rPr>
        <w:footnoteReference w:id="22"/>
      </w:r>
      <w:r w:rsidRPr="00B3584B">
        <w:rPr>
          <w:rFonts w:ascii="Times New Roman" w:hAnsi="Times New Roman" w:cs="Times New Roman"/>
          <w:sz w:val="28"/>
          <w:szCs w:val="28"/>
        </w:rPr>
        <w:t>. Возрождение рынка ценных бумаг (РЦБ) Китая началось в начале 1980-х годов. Сначала стали выпускаться гособлигации, затем появились акции.  Основу фондового рынка КНР создали Шанхайская фондовая биржа ,которая была образована в 1990 году, и в 1991 году Шэньчжэньская фондовая биржа</w:t>
      </w:r>
      <w:r w:rsidRPr="00B3584B">
        <w:rPr>
          <w:rStyle w:val="FootnoteReference"/>
          <w:rFonts w:ascii="Times New Roman" w:hAnsi="Times New Roman" w:cs="Times New Roman"/>
          <w:sz w:val="28"/>
          <w:szCs w:val="28"/>
        </w:rPr>
        <w:footnoteReference w:id="23"/>
      </w:r>
      <w:r w:rsidRPr="00B3584B">
        <w:rPr>
          <w:rFonts w:ascii="Times New Roman" w:hAnsi="Times New Roman" w:cs="Times New Roman"/>
          <w:sz w:val="28"/>
          <w:szCs w:val="28"/>
        </w:rPr>
        <w:t>.</w:t>
      </w:r>
    </w:p>
    <w:p w14:paraId="14B19492" w14:textId="77777777" w:rsidR="00AD63F0" w:rsidRPr="00B3584B" w:rsidRDefault="00AD63F0" w:rsidP="005F02A0">
      <w:pPr>
        <w:tabs>
          <w:tab w:val="left" w:pos="1560"/>
        </w:tabs>
        <w:spacing w:before="120" w:line="360" w:lineRule="auto"/>
        <w:ind w:left="-567" w:right="-99"/>
        <w:jc w:val="both"/>
        <w:rPr>
          <w:rFonts w:ascii="Times New Roman" w:hAnsi="Times New Roman" w:cs="Times New Roman"/>
          <w:sz w:val="28"/>
          <w:szCs w:val="28"/>
        </w:rPr>
      </w:pPr>
      <w:r w:rsidRPr="00B3584B">
        <w:rPr>
          <w:rFonts w:ascii="Times New Roman" w:hAnsi="Times New Roman" w:cs="Times New Roman"/>
          <w:sz w:val="28"/>
          <w:szCs w:val="28"/>
        </w:rPr>
        <w:lastRenderedPageBreak/>
        <w:t>Так как экономика Китая является развивающейся, следовательно РЦБ Китая характеризуется ограниченным набором  финансовых инструментов. Основными инструментами фондового рынка Китая являются  различные типы акций и облигаций. Их общая характеристика представлена в таблице  4.</w:t>
      </w:r>
    </w:p>
    <w:p w14:paraId="03F4253D" w14:textId="77777777" w:rsidR="00B3584B" w:rsidRPr="00B3584B" w:rsidRDefault="00B3584B" w:rsidP="005F02A0">
      <w:pPr>
        <w:tabs>
          <w:tab w:val="left" w:pos="1560"/>
        </w:tabs>
        <w:spacing w:before="120"/>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Таблица 4. Общая характеристики ценных бумаг КНР по видам</w:t>
      </w:r>
    </w:p>
    <w:p w14:paraId="48455154" w14:textId="77777777" w:rsidR="00B3584B" w:rsidRDefault="00B3584B" w:rsidP="005F02A0">
      <w:pPr>
        <w:tabs>
          <w:tab w:val="left" w:pos="1560"/>
        </w:tabs>
        <w:spacing w:before="120"/>
        <w:ind w:left="-567" w:right="-99" w:firstLine="284"/>
        <w:jc w:val="both"/>
        <w:rPr>
          <w:rFonts w:ascii="Times New Roman" w:hAnsi="Times New Roman" w:cs="Times New Roman"/>
        </w:rPr>
      </w:pPr>
      <w:r w:rsidRPr="005C626D">
        <w:rPr>
          <w:rFonts w:ascii="Times New Roman" w:hAnsi="Times New Roman" w:cs="Times New Roman"/>
          <w:noProof/>
          <w:lang w:val="en-US"/>
        </w:rPr>
        <w:drawing>
          <wp:inline distT="0" distB="0" distL="0" distR="0" wp14:anchorId="135FE72D" wp14:editId="6134564E">
            <wp:extent cx="5270500" cy="4268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4268045"/>
                    </a:xfrm>
                    <a:prstGeom prst="rect">
                      <a:avLst/>
                    </a:prstGeom>
                    <a:noFill/>
                    <a:ln>
                      <a:noFill/>
                    </a:ln>
                  </pic:spPr>
                </pic:pic>
              </a:graphicData>
            </a:graphic>
          </wp:inline>
        </w:drawing>
      </w:r>
    </w:p>
    <w:p w14:paraId="7B9D664C" w14:textId="2FDFC794" w:rsidR="00AD63F0" w:rsidRPr="00B3584B" w:rsidRDefault="00B3584B" w:rsidP="005F02A0">
      <w:pPr>
        <w:tabs>
          <w:tab w:val="left" w:pos="1560"/>
        </w:tabs>
        <w:spacing w:before="120"/>
        <w:ind w:left="-567" w:right="-99" w:firstLine="284"/>
        <w:jc w:val="both"/>
        <w:rPr>
          <w:rFonts w:ascii="Times New Roman" w:hAnsi="Times New Roman" w:cs="Times New Roman"/>
          <w:sz w:val="20"/>
          <w:szCs w:val="20"/>
        </w:rPr>
      </w:pPr>
      <w:r w:rsidRPr="00C963E6">
        <w:rPr>
          <w:rFonts w:ascii="Times New Roman" w:hAnsi="Times New Roman" w:cs="Times New Roman"/>
          <w:sz w:val="20"/>
          <w:szCs w:val="20"/>
        </w:rPr>
        <w:t>Источник: Вахрушин И.В. Институциональные инвесторы фондового рынка КНР: современны</w:t>
      </w:r>
      <w:r>
        <w:rPr>
          <w:rFonts w:ascii="Times New Roman" w:hAnsi="Times New Roman" w:cs="Times New Roman"/>
          <w:sz w:val="20"/>
          <w:szCs w:val="20"/>
        </w:rPr>
        <w:t>е тенденции развития.</w:t>
      </w:r>
      <w:r w:rsidRPr="00C963E6">
        <w:rPr>
          <w:rFonts w:ascii="Times New Roman" w:hAnsi="Times New Roman" w:cs="Times New Roman"/>
          <w:sz w:val="20"/>
          <w:szCs w:val="20"/>
        </w:rPr>
        <w:t xml:space="preserve"> –</w:t>
      </w:r>
      <w:r>
        <w:rPr>
          <w:rFonts w:ascii="Times New Roman" w:hAnsi="Times New Roman" w:cs="Times New Roman"/>
          <w:sz w:val="20"/>
          <w:szCs w:val="20"/>
        </w:rPr>
        <w:t xml:space="preserve"> Финансы и кредит</w:t>
      </w:r>
      <w:r w:rsidRPr="00C963E6">
        <w:rPr>
          <w:rFonts w:ascii="Times New Roman" w:hAnsi="Times New Roman" w:cs="Times New Roman"/>
          <w:sz w:val="20"/>
          <w:szCs w:val="20"/>
        </w:rPr>
        <w:t>.</w:t>
      </w:r>
      <w:r>
        <w:rPr>
          <w:rFonts w:ascii="Times New Roman" w:hAnsi="Times New Roman" w:cs="Times New Roman"/>
          <w:sz w:val="20"/>
          <w:szCs w:val="20"/>
        </w:rPr>
        <w:t xml:space="preserve"> </w:t>
      </w:r>
      <w:r w:rsidRPr="00C963E6">
        <w:rPr>
          <w:rFonts w:ascii="Times New Roman" w:hAnsi="Times New Roman" w:cs="Times New Roman"/>
          <w:sz w:val="20"/>
          <w:szCs w:val="20"/>
        </w:rPr>
        <w:t>2008</w:t>
      </w:r>
      <w:r w:rsidRPr="006D5E67">
        <w:rPr>
          <w:rFonts w:ascii="Times New Roman" w:hAnsi="Times New Roman" w:cs="Times New Roman"/>
          <w:sz w:val="20"/>
          <w:szCs w:val="20"/>
        </w:rPr>
        <w:t xml:space="preserve">, </w:t>
      </w:r>
      <w:r>
        <w:rPr>
          <w:rFonts w:ascii="Times New Roman" w:hAnsi="Times New Roman" w:cs="Times New Roman"/>
          <w:sz w:val="20"/>
          <w:szCs w:val="20"/>
        </w:rPr>
        <w:t>№6</w:t>
      </w:r>
      <w:r w:rsidRPr="00C963E6">
        <w:rPr>
          <w:rFonts w:ascii="Times New Roman" w:hAnsi="Times New Roman" w:cs="Times New Roman"/>
          <w:sz w:val="20"/>
          <w:szCs w:val="20"/>
        </w:rPr>
        <w:t>. С. 67.</w:t>
      </w:r>
    </w:p>
    <w:p w14:paraId="606A79D4" w14:textId="77777777" w:rsidR="00AD63F0" w:rsidRPr="00B3584B" w:rsidRDefault="00AD63F0" w:rsidP="005F02A0">
      <w:pPr>
        <w:tabs>
          <w:tab w:val="left" w:pos="1560"/>
        </w:tabs>
        <w:spacing w:before="120"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РЦБ Китая  ограничивается тремя типами облигаций и тремя типами акций, нерыночные механизмы размещения и эмиссии ценных бумаг составляют значительную долю. Реально доступными для частных (индивидуальных) инвесторов  являются лишь рыночные акции  и казначейские облигации.</w:t>
      </w:r>
    </w:p>
    <w:p w14:paraId="6FD09C8B" w14:textId="77777777" w:rsidR="00AD63F0" w:rsidRDefault="00AD63F0" w:rsidP="005F02A0">
      <w:pPr>
        <w:tabs>
          <w:tab w:val="left" w:pos="1560"/>
        </w:tabs>
        <w:spacing w:before="120"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Таблица 5 наглядно иллюстрирует как экономика наполнена  акциями, облигациями, банковскими кредитами и инвестициями в основной капитал. Эти данные позволяют понять решающее значение различных элементов рынка ценных бумаг в финансировании  экономики.   </w:t>
      </w:r>
    </w:p>
    <w:p w14:paraId="7FB321BF" w14:textId="77777777" w:rsidR="00B3584B" w:rsidRPr="00B3584B" w:rsidRDefault="00B3584B" w:rsidP="005F02A0">
      <w:pPr>
        <w:tabs>
          <w:tab w:val="left" w:pos="1560"/>
        </w:tabs>
        <w:spacing w:before="120"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lastRenderedPageBreak/>
        <w:t>Таблица 5. Значение инвестиций в основной капитал, рынка акций, облигаций и банковского кредитования в финансировании экономики (в % к ВВП)</w:t>
      </w:r>
    </w:p>
    <w:p w14:paraId="1622A941" w14:textId="77777777" w:rsidR="00B3584B" w:rsidRDefault="00B3584B" w:rsidP="005F02A0">
      <w:pPr>
        <w:tabs>
          <w:tab w:val="left" w:pos="142"/>
        </w:tabs>
        <w:spacing w:before="120"/>
        <w:ind w:left="-567" w:right="-99" w:hanging="142"/>
        <w:jc w:val="both"/>
        <w:rPr>
          <w:rFonts w:ascii="Times New Roman" w:hAnsi="Times New Roman" w:cs="Times New Roman"/>
        </w:rPr>
      </w:pPr>
      <w:r w:rsidRPr="005C626D">
        <w:rPr>
          <w:rFonts w:ascii="Times New Roman" w:hAnsi="Times New Roman" w:cs="Times New Roman"/>
        </w:rPr>
        <w:t xml:space="preserve">            </w:t>
      </w:r>
      <w:r w:rsidRPr="005C626D">
        <w:rPr>
          <w:rFonts w:ascii="Times New Roman" w:hAnsi="Times New Roman" w:cs="Times New Roman"/>
          <w:noProof/>
          <w:lang w:val="en-US"/>
        </w:rPr>
        <w:drawing>
          <wp:inline distT="0" distB="0" distL="0" distR="0" wp14:anchorId="58C1E1F4" wp14:editId="210634D2">
            <wp:extent cx="4775787" cy="1788241"/>
            <wp:effectExtent l="19050" t="0" r="5763"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2867" cy="1790892"/>
                    </a:xfrm>
                    <a:prstGeom prst="rect">
                      <a:avLst/>
                    </a:prstGeom>
                    <a:noFill/>
                    <a:ln>
                      <a:noFill/>
                    </a:ln>
                  </pic:spPr>
                </pic:pic>
              </a:graphicData>
            </a:graphic>
          </wp:inline>
        </w:drawing>
      </w:r>
    </w:p>
    <w:p w14:paraId="0A6798DC" w14:textId="06251457" w:rsidR="00B3584B" w:rsidRPr="00B3584B" w:rsidRDefault="00B3584B" w:rsidP="005F02A0">
      <w:pPr>
        <w:tabs>
          <w:tab w:val="left" w:pos="1560"/>
        </w:tabs>
        <w:spacing w:before="120"/>
        <w:ind w:left="-567" w:right="-99" w:firstLine="284"/>
        <w:jc w:val="both"/>
        <w:rPr>
          <w:sz w:val="20"/>
          <w:szCs w:val="20"/>
        </w:rPr>
      </w:pPr>
      <w:r w:rsidRPr="00C963E6">
        <w:rPr>
          <w:rFonts w:ascii="Times New Roman" w:hAnsi="Times New Roman" w:cs="Times New Roman"/>
          <w:sz w:val="20"/>
          <w:szCs w:val="20"/>
        </w:rPr>
        <w:t xml:space="preserve">Источник: Вахрушин И.В. Институциональные инвесторы фондового рынка КНР: современные тенденции развития. – </w:t>
      </w:r>
      <w:r>
        <w:rPr>
          <w:rFonts w:ascii="Times New Roman" w:hAnsi="Times New Roman" w:cs="Times New Roman"/>
          <w:sz w:val="20"/>
          <w:szCs w:val="20"/>
        </w:rPr>
        <w:t>М.: Финансы и кредит</w:t>
      </w:r>
      <w:r w:rsidRPr="00C963E6">
        <w:rPr>
          <w:rFonts w:ascii="Times New Roman" w:hAnsi="Times New Roman" w:cs="Times New Roman"/>
          <w:sz w:val="20"/>
          <w:szCs w:val="20"/>
        </w:rPr>
        <w:t>. 2008, №6.</w:t>
      </w:r>
      <w:r>
        <w:rPr>
          <w:rFonts w:ascii="Times New Roman" w:hAnsi="Times New Roman" w:cs="Times New Roman"/>
          <w:sz w:val="20"/>
          <w:szCs w:val="20"/>
        </w:rPr>
        <w:t xml:space="preserve"> </w:t>
      </w:r>
      <w:r>
        <w:rPr>
          <w:rFonts w:ascii="Times New Roman" w:hAnsi="Times New Roman" w:cs="Times New Roman"/>
          <w:sz w:val="20"/>
          <w:szCs w:val="20"/>
          <w:lang w:val="en-US"/>
        </w:rPr>
        <w:t>C</w:t>
      </w:r>
      <w:r w:rsidRPr="00C963E6">
        <w:rPr>
          <w:rFonts w:ascii="Times New Roman" w:hAnsi="Times New Roman" w:cs="Times New Roman"/>
          <w:sz w:val="20"/>
          <w:szCs w:val="20"/>
        </w:rPr>
        <w:t>. 67</w:t>
      </w:r>
      <w:r w:rsidRPr="00C963E6">
        <w:rPr>
          <w:sz w:val="20"/>
          <w:szCs w:val="20"/>
        </w:rPr>
        <w:t>.</w:t>
      </w:r>
    </w:p>
    <w:p w14:paraId="31127B3B" w14:textId="77777777" w:rsidR="00AD63F0" w:rsidRPr="00B3584B" w:rsidRDefault="00AD63F0" w:rsidP="005F02A0">
      <w:pPr>
        <w:tabs>
          <w:tab w:val="left" w:pos="1560"/>
        </w:tabs>
        <w:spacing w:before="120"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Из таблицы 5 очевидно, что банковское кредитование  играет  решающую роль в экономике КНР, а  роль рынка облигаций не слишком велика, хотя  в последнее время рынок облигаций  демонстрирует  тенденцию  роста.</w:t>
      </w:r>
    </w:p>
    <w:p w14:paraId="2D0E4E4B"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В 1998 году в Китае был принят «Закон о  ценных бумагах» , им  определяются основные виды профессиональной деятельности в торговле ценными бумагам, подлежащие лицензированию: 1)  брокерские услуги , 2) дилерская деятельность, 3) консультации в области инвестирования, , 4) андеррайтинг, 5) непосредственное управление ценными бумагами</w:t>
      </w:r>
      <w:r w:rsidRPr="00B3584B">
        <w:rPr>
          <w:rStyle w:val="FootnoteReference"/>
          <w:rFonts w:ascii="Times New Roman" w:hAnsi="Times New Roman" w:cs="Times New Roman"/>
          <w:sz w:val="28"/>
          <w:szCs w:val="28"/>
        </w:rPr>
        <w:footnoteReference w:id="24"/>
      </w:r>
      <w:r w:rsidRPr="00B3584B">
        <w:rPr>
          <w:rFonts w:ascii="Times New Roman" w:hAnsi="Times New Roman" w:cs="Times New Roman"/>
          <w:sz w:val="28"/>
          <w:szCs w:val="28"/>
        </w:rPr>
        <w:t>. Лицензии получают также на операции с иностранными ценными бумаг</w:t>
      </w:r>
      <w:r w:rsidRPr="00B3584B">
        <w:rPr>
          <w:rFonts w:ascii="Times New Roman" w:hAnsi="Times New Roman" w:cs="Times New Roman"/>
          <w:sz w:val="28"/>
          <w:szCs w:val="28"/>
          <w:lang w:val="en-US"/>
        </w:rPr>
        <w:t>a</w:t>
      </w:r>
      <w:r w:rsidRPr="00B3584B">
        <w:rPr>
          <w:rFonts w:ascii="Times New Roman" w:hAnsi="Times New Roman" w:cs="Times New Roman"/>
          <w:sz w:val="28"/>
          <w:szCs w:val="28"/>
        </w:rPr>
        <w:t xml:space="preserve">ми, проведение операций с </w:t>
      </w:r>
      <w:r w:rsidRPr="00B3584B">
        <w:rPr>
          <w:rFonts w:ascii="Times New Roman" w:hAnsi="Times New Roman" w:cs="Times New Roman"/>
          <w:sz w:val="28"/>
          <w:szCs w:val="28"/>
          <w:lang w:val="en-US"/>
        </w:rPr>
        <w:t>cc</w:t>
      </w:r>
      <w:r w:rsidRPr="00B3584B">
        <w:rPr>
          <w:rFonts w:ascii="Times New Roman" w:hAnsi="Times New Roman" w:cs="Times New Roman"/>
          <w:sz w:val="28"/>
          <w:szCs w:val="28"/>
        </w:rPr>
        <w:t>удными и заемными  ценными бумагами подлежит лицензированию д</w:t>
      </w:r>
      <w:r w:rsidRPr="00B3584B">
        <w:rPr>
          <w:rFonts w:ascii="Times New Roman" w:hAnsi="Times New Roman" w:cs="Times New Roman"/>
          <w:sz w:val="28"/>
          <w:szCs w:val="28"/>
          <w:lang w:val="en-US"/>
        </w:rPr>
        <w:t>e</w:t>
      </w:r>
      <w:r w:rsidRPr="00B3584B">
        <w:rPr>
          <w:rFonts w:ascii="Times New Roman" w:hAnsi="Times New Roman" w:cs="Times New Roman"/>
          <w:sz w:val="28"/>
          <w:szCs w:val="28"/>
        </w:rPr>
        <w:t>ятельности по к</w:t>
      </w:r>
      <w:r w:rsidRPr="00B3584B">
        <w:rPr>
          <w:rFonts w:ascii="Times New Roman" w:hAnsi="Times New Roman" w:cs="Times New Roman"/>
          <w:sz w:val="28"/>
          <w:szCs w:val="28"/>
          <w:lang w:val="en-US"/>
        </w:rPr>
        <w:t>o</w:t>
      </w:r>
      <w:r w:rsidRPr="00B3584B">
        <w:rPr>
          <w:rFonts w:ascii="Times New Roman" w:hAnsi="Times New Roman" w:cs="Times New Roman"/>
          <w:sz w:val="28"/>
          <w:szCs w:val="28"/>
        </w:rPr>
        <w:t>ллективному и сп</w:t>
      </w:r>
      <w:r w:rsidRPr="00B3584B">
        <w:rPr>
          <w:rFonts w:ascii="Times New Roman" w:hAnsi="Times New Roman" w:cs="Times New Roman"/>
          <w:sz w:val="28"/>
          <w:szCs w:val="28"/>
          <w:lang w:val="en-US"/>
        </w:rPr>
        <w:t>e</w:t>
      </w:r>
      <w:r w:rsidRPr="00B3584B">
        <w:rPr>
          <w:rFonts w:ascii="Times New Roman" w:hAnsi="Times New Roman" w:cs="Times New Roman"/>
          <w:sz w:val="28"/>
          <w:szCs w:val="28"/>
        </w:rPr>
        <w:t>циальному трастовому управлению, деятельности в качестве квалифицированного иностранного институцион</w:t>
      </w:r>
      <w:r w:rsidRPr="00B3584B">
        <w:rPr>
          <w:rFonts w:ascii="Times New Roman" w:hAnsi="Times New Roman" w:cs="Times New Roman"/>
          <w:sz w:val="28"/>
          <w:szCs w:val="28"/>
          <w:lang w:val="en-US"/>
        </w:rPr>
        <w:t>a</w:t>
      </w:r>
      <w:r w:rsidRPr="00B3584B">
        <w:rPr>
          <w:rFonts w:ascii="Times New Roman" w:hAnsi="Times New Roman" w:cs="Times New Roman"/>
          <w:sz w:val="28"/>
          <w:szCs w:val="28"/>
        </w:rPr>
        <w:t>льного инвестора, деятельности по инвести</w:t>
      </w:r>
      <w:r w:rsidRPr="00B3584B">
        <w:rPr>
          <w:rFonts w:ascii="Times New Roman" w:hAnsi="Times New Roman" w:cs="Times New Roman"/>
          <w:sz w:val="28"/>
          <w:szCs w:val="28"/>
          <w:lang w:val="en-US"/>
        </w:rPr>
        <w:t>p</w:t>
      </w:r>
      <w:r w:rsidRPr="00B3584B">
        <w:rPr>
          <w:rFonts w:ascii="Times New Roman" w:hAnsi="Times New Roman" w:cs="Times New Roman"/>
          <w:sz w:val="28"/>
          <w:szCs w:val="28"/>
        </w:rPr>
        <w:t>ованию на иност</w:t>
      </w:r>
      <w:r w:rsidRPr="00B3584B">
        <w:rPr>
          <w:rFonts w:ascii="Times New Roman" w:hAnsi="Times New Roman" w:cs="Times New Roman"/>
          <w:sz w:val="28"/>
          <w:szCs w:val="28"/>
          <w:lang w:val="en-US"/>
        </w:rPr>
        <w:t>p</w:t>
      </w:r>
      <w:r w:rsidRPr="00B3584B">
        <w:rPr>
          <w:rFonts w:ascii="Times New Roman" w:hAnsi="Times New Roman" w:cs="Times New Roman"/>
          <w:sz w:val="28"/>
          <w:szCs w:val="28"/>
        </w:rPr>
        <w:t>анных ф</w:t>
      </w:r>
      <w:r w:rsidRPr="00B3584B">
        <w:rPr>
          <w:rFonts w:ascii="Times New Roman" w:hAnsi="Times New Roman" w:cs="Times New Roman"/>
          <w:sz w:val="28"/>
          <w:szCs w:val="28"/>
          <w:lang w:val="en-US"/>
        </w:rPr>
        <w:t>o</w:t>
      </w:r>
      <w:r w:rsidRPr="00B3584B">
        <w:rPr>
          <w:rFonts w:ascii="Times New Roman" w:hAnsi="Times New Roman" w:cs="Times New Roman"/>
          <w:sz w:val="28"/>
          <w:szCs w:val="28"/>
        </w:rPr>
        <w:t>ндовых би</w:t>
      </w:r>
      <w:r w:rsidRPr="00B3584B">
        <w:rPr>
          <w:rFonts w:ascii="Times New Roman" w:hAnsi="Times New Roman" w:cs="Times New Roman"/>
          <w:sz w:val="28"/>
          <w:szCs w:val="28"/>
          <w:lang w:val="en-US"/>
        </w:rPr>
        <w:t>p</w:t>
      </w:r>
      <w:r w:rsidRPr="00B3584B">
        <w:rPr>
          <w:rFonts w:ascii="Times New Roman" w:hAnsi="Times New Roman" w:cs="Times New Roman"/>
          <w:sz w:val="28"/>
          <w:szCs w:val="28"/>
        </w:rPr>
        <w:t>жах</w:t>
      </w:r>
      <w:r w:rsidRPr="00B3584B">
        <w:rPr>
          <w:rStyle w:val="FootnoteReference"/>
          <w:rFonts w:ascii="Times New Roman" w:hAnsi="Times New Roman" w:cs="Times New Roman"/>
          <w:sz w:val="28"/>
          <w:szCs w:val="28"/>
        </w:rPr>
        <w:footnoteReference w:id="25"/>
      </w:r>
      <w:r w:rsidRPr="00B3584B">
        <w:rPr>
          <w:rFonts w:ascii="Times New Roman" w:hAnsi="Times New Roman" w:cs="Times New Roman"/>
          <w:sz w:val="28"/>
          <w:szCs w:val="28"/>
        </w:rPr>
        <w:t>.</w:t>
      </w:r>
    </w:p>
    <w:p w14:paraId="18DE4E24"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lang w:val="en-US"/>
        </w:rPr>
        <w:t>C</w:t>
      </w:r>
      <w:r w:rsidRPr="00B3584B">
        <w:rPr>
          <w:rFonts w:ascii="Times New Roman" w:hAnsi="Times New Roman" w:cs="Times New Roman"/>
          <w:sz w:val="28"/>
          <w:szCs w:val="28"/>
        </w:rPr>
        <w:t xml:space="preserve">истема по </w:t>
      </w:r>
      <w:r w:rsidRPr="00B3584B">
        <w:rPr>
          <w:rFonts w:ascii="Times New Roman" w:hAnsi="Times New Roman" w:cs="Times New Roman"/>
          <w:sz w:val="28"/>
          <w:szCs w:val="28"/>
          <w:lang w:val="en-US"/>
        </w:rPr>
        <w:t>p</w:t>
      </w:r>
      <w:r w:rsidRPr="00B3584B">
        <w:rPr>
          <w:rFonts w:ascii="Times New Roman" w:hAnsi="Times New Roman" w:cs="Times New Roman"/>
          <w:sz w:val="28"/>
          <w:szCs w:val="28"/>
        </w:rPr>
        <w:t>егулированию РЦБ Китая, как и во многих развивающихся рынках, создавалась по модели США: во главе стоит  правительственный орган, который выполняет все функции  по регулированию РЦБ. В КНР в 1992 году была создана Комиссия по управлению и контролю рынка ценных бумаг при Госсовете КНР(КУКЦБ),она служит главным регулятором РЦБ Китая..</w:t>
      </w:r>
    </w:p>
    <w:p w14:paraId="23688C14"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lastRenderedPageBreak/>
        <w:t>Тем не менее  всю полноту полномочий по централизованному регулированию Комиссия получала постепенно: до середины 1990-х голов региональные рынки ценных бумаг находились  в подчинении  региональных правительств, и только в 1998 году контроль над Шанхайской и Шэнчжэньской фондовыми биржами перешел к Комиссии по управлению и контролю РЦБ от Народного банка Китая. Таким образом, формирование системы централизованного регулирования было завершено.</w:t>
      </w:r>
    </w:p>
    <w:p w14:paraId="7CD29C4D"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Регулирование фондового рынка Китая - это  выверенная система мер, во многом копирующая  США, характеризующаяся четкой регламентацией и исполнения абсолютно  всех административных  процедур от  процесса выпуска ЦБ и до  допуска их  к обращению. К ним относятся требования к комплекту пакета первичных документов, поданых на заявку, сроки и порядок их рассмотрения регулирующим органом. В Китае, как и в США и в России,  в обращение не допускаются эмиссионные ценные бумаги без регистрации  регулирующим органом ,это запрещено законом. Но, в отличие от США и России, в Китае действует система квотирования публичных размещений. Данная стратегия ориентирована на сдерживание роста рынка в связи с тем, что китайская экономика обладает огромным эмиссионным потенциалом. В последнее время система квотирования претерпела серьезные изменения :  ранее квоты по </w:t>
      </w:r>
      <w:r w:rsidRPr="00B3584B">
        <w:rPr>
          <w:rFonts w:ascii="Times New Roman" w:hAnsi="Times New Roman" w:cs="Times New Roman"/>
          <w:sz w:val="28"/>
          <w:szCs w:val="28"/>
          <w:lang w:val="en-US"/>
        </w:rPr>
        <w:t>IPO</w:t>
      </w:r>
      <w:r w:rsidRPr="00B3584B">
        <w:rPr>
          <w:rFonts w:ascii="Times New Roman" w:hAnsi="Times New Roman" w:cs="Times New Roman"/>
          <w:sz w:val="28"/>
          <w:szCs w:val="28"/>
        </w:rPr>
        <w:t xml:space="preserve">  доводились до региональных правительств,  отныне они распределяются среди крупнейших инвестиционных банков, и те сами отбирают кандидатов на размещение.</w:t>
      </w:r>
    </w:p>
    <w:p w14:paraId="36C3294A"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В КНР действуют и так называемые саморегулируемые организации(СРО), формально  к таким организациям  относятся Шанхайская и Шэньчжэньская фондовые биржи, Китайская ассоциация участников рынка ценных бумаг, Китайская ассоциация участников срочного финансового рынка, Китайская государственная депозитарно-клиринговая компания</w:t>
      </w:r>
      <w:r w:rsidRPr="00B3584B">
        <w:rPr>
          <w:rStyle w:val="FootnoteReference"/>
          <w:rFonts w:ascii="Times New Roman" w:hAnsi="Times New Roman" w:cs="Times New Roman"/>
          <w:sz w:val="28"/>
          <w:szCs w:val="28"/>
        </w:rPr>
        <w:footnoteReference w:id="26"/>
      </w:r>
      <w:r w:rsidRPr="00B3584B">
        <w:rPr>
          <w:rFonts w:ascii="Times New Roman" w:hAnsi="Times New Roman" w:cs="Times New Roman"/>
          <w:sz w:val="28"/>
          <w:szCs w:val="28"/>
        </w:rPr>
        <w:t>.</w:t>
      </w:r>
    </w:p>
    <w:p w14:paraId="7813C456"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lastRenderedPageBreak/>
        <w:t>В Китае регулирование Фондового рынка носит централизованный характер, поэтому все вышеперечисленные организации – это СРО лишь по формальным признакам. Несмотря на это, в Китае действует единая СРО для всего фондового рынка – Китайская ассоциация рынка ценных бумаг, которая объединяет всех посредников финансового рынка, ассоциация является общей для обеих фондовых бирж. Формально являясь СРО, ассоциация все равно непосредственно подчиняется  регулирующему органу, это касается  и  фондовых бирж,  которые, напрямую подчинены и  подконтрольны регулятору, формально при этом являясь СРО.</w:t>
      </w:r>
    </w:p>
    <w:p w14:paraId="296009E2"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Поэтому можно утверждать, что в китайской практике фондового рынка любое одобрение регулятором первичного публичного размещения акций предполагает автоматическое включение ЦБ в биржевой список (листинг) на одной из фондовых бирж.</w:t>
      </w:r>
    </w:p>
    <w:p w14:paraId="6467F9A4"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Китайский РЦБ по составу профессиональных участников  наиболее приближен к англо-американской модели: все операции на рынке осуществляются только небанковскими  финансовыми структурами (компании по ценным бумагам, страховые компании). Несомненно, коммерческие банки Китая стоят особняком от РЦБ (только иностранные банки имеют статус квалифицированного иностранного институционального инвестора). Деятельность институциональных инвесторов в Китае будет описана во второй главе.</w:t>
      </w:r>
    </w:p>
    <w:p w14:paraId="03E100EB"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Необходимо отметить, что и по механизмам рыночных котировок акций китайский рынок наиболее близок к англо-американской модели, так как повышение котировок –это основное, что волнует китайского индивидуального инвестора. Но из-за того, что  невозможно получить контроль над компаниями, из- за отсутствия заинтересованности в их эффективности и прибыльности, китайский рынок занимает самую спекулятивную позицию в мире. Частные(индивидуальные) инвесторы, которые собственно и  определяют движение рынка в Китае, изначально настроены на спекуляцию: вливание в рынок  новых финансовых ресурсов способствует сильному разогреву рынка, как </w:t>
      </w:r>
      <w:r w:rsidRPr="00B3584B">
        <w:rPr>
          <w:rFonts w:ascii="Times New Roman" w:hAnsi="Times New Roman" w:cs="Times New Roman"/>
          <w:sz w:val="28"/>
          <w:szCs w:val="28"/>
        </w:rPr>
        <w:lastRenderedPageBreak/>
        <w:t>следствие возникают колоссальные «пузыри». Соответственно, на сильно перегретом рынке часто случаются обвалы . В связи с вышесказанным, становится очевидным, ,что  рыночные котировки  на рынке акций Китая не отражают эффективность и реальное финансовое положение компаний, и как результат не выполняют своей  самой важной экономической функции.</w:t>
      </w:r>
    </w:p>
    <w:p w14:paraId="69ECDFE8"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Высокий уровень  волатильности и как следствие  высокий уровень рисков-вот отличительные черты развивающегося РЦБ Китая. По этому показателю (волатильности котировок) , РЦБ Китая  опережает многие развивающиеся страны в мире .</w:t>
      </w:r>
    </w:p>
    <w:p w14:paraId="3F56AB63"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Количество  финансовых инструментов в КНР невелико и они слабо доступны,  в зачаточном состоянии находится рынок срочных инструментов.</w:t>
      </w:r>
    </w:p>
    <w:p w14:paraId="7AF9C236"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Чтобы понять особенности развития  РЦБ в Китае необходимо обратиться к  уровню жизни и традиционным ценностям (менталитету) населения. Рассматривая менталитет населения Китая, прежде всего стоит отметить, что их отличают существенные особенности в мышлении, чему способствует в первую очередь конфуцианство, это учение привносит динамизм в национальную культуру, что  означает «работу и жизнь, ориентированные на будущее, бережливость и склонность к долгосрочным инвестициям» В этой связи неудивительно, что население обладает значительными размерами накоплений, что способствует  крупным притокам финансовых ресурсов в кредитный сектор. Это является характерной чертой финансового рынка КНР.</w:t>
      </w:r>
    </w:p>
    <w:p w14:paraId="5A9C9C3C"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Объем рынка, квотируемый  государством , не в состоянии полностью удовлетворить  инвестиционный «голод» населения, поэтому спрос на ценные бумаги многократно превышает предложение. В связи с высоким спросом на акции со стороны физических лиц , рост котировок ЦБ зиждется на спекулятивном ожидании и лишь в незначительной мере связан с  реальными показателями деятельности компаний. Поэтому котировки акций сильно оторваны от своей реальной, экономически обусловленной цены, что приводит к </w:t>
      </w:r>
      <w:r w:rsidRPr="00B3584B">
        <w:rPr>
          <w:rFonts w:ascii="Times New Roman" w:hAnsi="Times New Roman" w:cs="Times New Roman"/>
          <w:sz w:val="28"/>
          <w:szCs w:val="28"/>
        </w:rPr>
        <w:lastRenderedPageBreak/>
        <w:t>образованию «пузырей», прорыв которых  неизбежен и обусловлен психологическими факторами поведения индивидуальных  инвесторов.</w:t>
      </w:r>
    </w:p>
    <w:p w14:paraId="45228522"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Как было замечено ранее, в менталитете китайской нации присутствует стремление к активной экономической позиции , она способна положительно воспринимать принципы свободного рынка, поэтому предпочтение отдает спекулятивному инвестированию, что делает фондовый рынок Китая – «народным» и чрезвычайно спекулятивным.</w:t>
      </w:r>
    </w:p>
    <w:p w14:paraId="3AC95547" w14:textId="631DE9AD" w:rsidR="00B3584B" w:rsidRDefault="00AD63F0" w:rsidP="00434D18">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Для оценки одного из показателей развития РЦБ важно понять роль долгового финансирования (показателем долгового финансирования является объем кредита внутри страны) в финансовой системе КНР и соотношение  объемов долгового финансирования с объемом рынка ЦБ. Внутренний кредит -это общий объем заемных средств, предоставляемых резидентами  страны для  внутреннего </w:t>
      </w:r>
      <w:r w:rsidR="00B3584B">
        <w:rPr>
          <w:rFonts w:ascii="Times New Roman" w:hAnsi="Times New Roman" w:cs="Times New Roman"/>
          <w:sz w:val="28"/>
          <w:szCs w:val="28"/>
        </w:rPr>
        <w:t>использования</w:t>
      </w:r>
      <w:r w:rsidRPr="00B3584B">
        <w:rPr>
          <w:rFonts w:ascii="Times New Roman" w:hAnsi="Times New Roman" w:cs="Times New Roman"/>
          <w:sz w:val="28"/>
          <w:szCs w:val="28"/>
        </w:rPr>
        <w:t>, он складывается из суммы банковских кредитов, задолженности по долговым ценным бумагам и другим видам задолженности государственных  и прочих экономических субъектов.</w:t>
      </w:r>
    </w:p>
    <w:p w14:paraId="26CB161E" w14:textId="77777777" w:rsidR="00B3584B" w:rsidRPr="00B3584B" w:rsidRDefault="00B3584B" w:rsidP="005F02A0">
      <w:pPr>
        <w:tabs>
          <w:tab w:val="left" w:pos="1560"/>
        </w:tabs>
        <w:spacing w:before="120"/>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Таблица 6. Отношение массы внутреннего кредита к капитализации рынка ценных бумаг</w:t>
      </w:r>
    </w:p>
    <w:p w14:paraId="581C56F6" w14:textId="77777777" w:rsidR="00B3584B" w:rsidRDefault="00B3584B" w:rsidP="005F02A0">
      <w:pPr>
        <w:tabs>
          <w:tab w:val="left" w:pos="1560"/>
        </w:tabs>
        <w:spacing w:before="120"/>
        <w:ind w:left="-567" w:right="-99" w:firstLine="284"/>
        <w:jc w:val="both"/>
        <w:rPr>
          <w:rFonts w:ascii="Times New Roman" w:hAnsi="Times New Roman" w:cs="Times New Roman"/>
        </w:rPr>
      </w:pPr>
      <w:r w:rsidRPr="005C626D">
        <w:rPr>
          <w:rFonts w:ascii="Times New Roman" w:hAnsi="Times New Roman" w:cs="Times New Roman"/>
          <w:b/>
          <w:noProof/>
          <w:lang w:val="en-US"/>
        </w:rPr>
        <w:drawing>
          <wp:inline distT="0" distB="0" distL="0" distR="0" wp14:anchorId="22F46DF1" wp14:editId="162A85E7">
            <wp:extent cx="5269534" cy="998924"/>
            <wp:effectExtent l="19050" t="0" r="7316"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
                      <a:extLst>
                        <a:ext uri="{28A0092B-C50C-407E-A947-70E740481C1C}">
                          <a14:useLocalDpi xmlns:a14="http://schemas.microsoft.com/office/drawing/2010/main" val="0"/>
                        </a:ext>
                      </a:extLst>
                    </a:blip>
                    <a:srcRect t="5670" b="32911"/>
                    <a:stretch>
                      <a:fillRect/>
                    </a:stretch>
                  </pic:blipFill>
                  <pic:spPr bwMode="auto">
                    <a:xfrm>
                      <a:off x="0" y="0"/>
                      <a:ext cx="5269534" cy="998924"/>
                    </a:xfrm>
                    <a:prstGeom prst="rect">
                      <a:avLst/>
                    </a:prstGeom>
                    <a:noFill/>
                    <a:ln>
                      <a:noFill/>
                    </a:ln>
                  </pic:spPr>
                </pic:pic>
              </a:graphicData>
            </a:graphic>
          </wp:inline>
        </w:drawing>
      </w:r>
    </w:p>
    <w:p w14:paraId="524101F1" w14:textId="77777777" w:rsidR="00B3584B" w:rsidRPr="00C963E6" w:rsidRDefault="00B3584B" w:rsidP="005F02A0">
      <w:pPr>
        <w:tabs>
          <w:tab w:val="left" w:pos="1560"/>
        </w:tabs>
        <w:spacing w:before="120"/>
        <w:ind w:left="-567" w:right="-99" w:firstLine="284"/>
        <w:rPr>
          <w:rFonts w:ascii="Times New Roman" w:hAnsi="Times New Roman" w:cs="Times New Roman"/>
          <w:sz w:val="20"/>
          <w:szCs w:val="20"/>
          <w:lang w:val="en-US"/>
        </w:rPr>
      </w:pPr>
      <w:r w:rsidRPr="00C963E6">
        <w:rPr>
          <w:rFonts w:ascii="Times New Roman" w:hAnsi="Times New Roman" w:cs="Times New Roman"/>
          <w:sz w:val="20"/>
          <w:szCs w:val="20"/>
        </w:rPr>
        <w:t>Источник</w:t>
      </w:r>
      <w:r w:rsidRPr="00C963E6">
        <w:rPr>
          <w:rFonts w:ascii="Times New Roman" w:hAnsi="Times New Roman" w:cs="Times New Roman"/>
          <w:sz w:val="20"/>
          <w:szCs w:val="20"/>
          <w:lang w:val="en-US"/>
        </w:rPr>
        <w:t xml:space="preserve">: </w:t>
      </w:r>
      <w:r w:rsidRPr="00C963E6">
        <w:rPr>
          <w:rFonts w:ascii="Times New Roman" w:hAnsi="Times New Roman" w:cs="Times New Roman"/>
          <w:sz w:val="20"/>
          <w:szCs w:val="20"/>
        </w:rPr>
        <w:t>Данные</w:t>
      </w:r>
      <w:r w:rsidRPr="00C963E6">
        <w:rPr>
          <w:rFonts w:ascii="Times New Roman" w:hAnsi="Times New Roman" w:cs="Times New Roman"/>
          <w:sz w:val="20"/>
          <w:szCs w:val="20"/>
          <w:lang w:val="en-US"/>
        </w:rPr>
        <w:t xml:space="preserve"> </w:t>
      </w:r>
      <w:r w:rsidRPr="00C963E6">
        <w:rPr>
          <w:rFonts w:ascii="Times New Roman" w:hAnsi="Times New Roman" w:cs="Times New Roman"/>
          <w:sz w:val="20"/>
          <w:szCs w:val="20"/>
        </w:rPr>
        <w:t>по</w:t>
      </w:r>
      <w:r w:rsidRPr="00C963E6">
        <w:rPr>
          <w:rFonts w:ascii="Times New Roman" w:hAnsi="Times New Roman" w:cs="Times New Roman"/>
          <w:sz w:val="20"/>
          <w:szCs w:val="20"/>
          <w:lang w:val="en-US"/>
        </w:rPr>
        <w:t xml:space="preserve"> </w:t>
      </w:r>
      <w:r w:rsidRPr="00C963E6">
        <w:rPr>
          <w:rFonts w:ascii="Times New Roman" w:hAnsi="Times New Roman" w:cs="Times New Roman"/>
          <w:sz w:val="20"/>
          <w:szCs w:val="20"/>
        </w:rPr>
        <w:t>внутреннему</w:t>
      </w:r>
      <w:r w:rsidRPr="00C963E6">
        <w:rPr>
          <w:rFonts w:ascii="Times New Roman" w:hAnsi="Times New Roman" w:cs="Times New Roman"/>
          <w:sz w:val="20"/>
          <w:szCs w:val="20"/>
          <w:lang w:val="en-US"/>
        </w:rPr>
        <w:t xml:space="preserve"> </w:t>
      </w:r>
      <w:r w:rsidRPr="00C963E6">
        <w:rPr>
          <w:rFonts w:ascii="Times New Roman" w:hAnsi="Times New Roman" w:cs="Times New Roman"/>
          <w:sz w:val="20"/>
          <w:szCs w:val="20"/>
        </w:rPr>
        <w:t>кредиту</w:t>
      </w:r>
      <w:r>
        <w:rPr>
          <w:rFonts w:ascii="Times New Roman" w:hAnsi="Times New Roman" w:cs="Times New Roman"/>
          <w:sz w:val="20"/>
          <w:szCs w:val="20"/>
          <w:lang w:val="en-US"/>
        </w:rPr>
        <w:t xml:space="preserve"> </w:t>
      </w:r>
      <w:r w:rsidRPr="00C963E6">
        <w:rPr>
          <w:rFonts w:ascii="Times New Roman" w:hAnsi="Times New Roman" w:cs="Times New Roman"/>
          <w:sz w:val="20"/>
          <w:szCs w:val="20"/>
          <w:lang w:val="en-US"/>
        </w:rPr>
        <w:t>International Financial Statistics (</w:t>
      </w:r>
      <w:r w:rsidRPr="00C963E6">
        <w:rPr>
          <w:rFonts w:ascii="Times New Roman" w:hAnsi="Times New Roman" w:cs="Times New Roman"/>
          <w:sz w:val="20"/>
          <w:szCs w:val="20"/>
        </w:rPr>
        <w:t>раздел</w:t>
      </w:r>
      <w:r w:rsidRPr="00C963E6">
        <w:rPr>
          <w:rFonts w:ascii="Times New Roman" w:hAnsi="Times New Roman" w:cs="Times New Roman"/>
          <w:sz w:val="20"/>
          <w:szCs w:val="20"/>
          <w:lang w:val="en-US"/>
        </w:rPr>
        <w:t xml:space="preserve"> Monetary Survey – Domestic Credit)</w:t>
      </w:r>
      <w:r>
        <w:rPr>
          <w:rFonts w:ascii="Times New Roman" w:hAnsi="Times New Roman" w:cs="Times New Roman"/>
          <w:sz w:val="20"/>
          <w:szCs w:val="20"/>
          <w:lang w:val="en-US"/>
        </w:rPr>
        <w:t>.</w:t>
      </w:r>
      <w:r w:rsidRPr="00CD0AE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C963E6">
        <w:rPr>
          <w:sz w:val="20"/>
          <w:szCs w:val="20"/>
          <w:lang w:val="en-US"/>
        </w:rPr>
        <w:t>http://elibrary-data.imf.org/FindDataReports.aspx?d=33061&amp;e=169393</w:t>
      </w:r>
    </w:p>
    <w:p w14:paraId="58D96380" w14:textId="77777777" w:rsidR="00B3584B" w:rsidRDefault="00B3584B" w:rsidP="005F02A0">
      <w:pPr>
        <w:tabs>
          <w:tab w:val="left" w:pos="1560"/>
        </w:tabs>
        <w:spacing w:line="360" w:lineRule="auto"/>
        <w:ind w:left="-567" w:right="-99" w:firstLine="284"/>
        <w:jc w:val="both"/>
        <w:rPr>
          <w:rFonts w:ascii="Times New Roman" w:hAnsi="Times New Roman" w:cs="Times New Roman"/>
          <w:sz w:val="28"/>
          <w:szCs w:val="28"/>
        </w:rPr>
      </w:pPr>
    </w:p>
    <w:p w14:paraId="1C3A84AC"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Анализируя данные таблицы 6 можно сделать вывод, что долговое финансирование в Китае значительно превалирует над финансированием посредством акций. Отношение объема кредита внутри страны к объему рыночной капитализации рынка акций для Китая оставалось очень высоким вплоть до 2006-2008 гг., далее наблюдается значительное снижение данного </w:t>
      </w:r>
      <w:r w:rsidRPr="00B3584B">
        <w:rPr>
          <w:rFonts w:ascii="Times New Roman" w:hAnsi="Times New Roman" w:cs="Times New Roman"/>
          <w:sz w:val="28"/>
          <w:szCs w:val="28"/>
        </w:rPr>
        <w:lastRenderedPageBreak/>
        <w:t>показателя для Китая, это можно  объяснить выходом рынка ценных бумаг из депрессии и многократным увеличением рыночной капитализации.</w:t>
      </w:r>
    </w:p>
    <w:p w14:paraId="0C0069D8"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Степень   централизации ресурсов также является важным фактором, который влияет  на развитие РЦБ Китая. Чтобы оценить уровень его влияния на объем фондового рынка необходимо рассмотреть такие показатели, как доля государства во внутреннем кредите и отношение капитализации фондового рынка к ВВП (наполненность экономики ценными бумагами). Несмотря на то, что уровень централизации финансовых ресурсов в Китае достаточно низок, масштаб фондового рынка страны также невысок, хотя мог бы быть существенно выше. Можно с уверенностью сказать, что  относительно низкие значения  показателя уровня централизованного перераспределения средств не отражают подлинной  картины децентрализации ресурсов в экономике, а лишь создают перенос центра тяжести на региональный правительственный уровень</w:t>
      </w:r>
    </w:p>
    <w:p w14:paraId="06E92F28"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Централизация и перераспределение ресурсов в Китае по прежнему осуществляются преимущественно государственными  банками и банками развития, именно они играют роль финансового источника  предприятий, а не рынок акций.</w:t>
      </w:r>
    </w:p>
    <w:p w14:paraId="3AC2C109"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Таким образом, средства, привлеченные экономикой с помощью фондового рынка, несравнимы с величиной кредитного портфеля банков, что еще раз доказывает долговой характер финансового рынка.</w:t>
      </w:r>
    </w:p>
    <w:p w14:paraId="5C745640"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Финансовая глубина и отраслевая структура макроэкономики также являются важнейшими показателями развития РЦБ в КНР. Финансовая глубина экономики отражена в коэффициенте  монетизации хозяйственного оборота, который  рассчитывается как отношение суммарного показателя «деньги-квазиденьги» к  ВВП государства.</w:t>
      </w:r>
    </w:p>
    <w:p w14:paraId="761DC93C" w14:textId="77777777" w:rsidR="00AD63F0" w:rsidRPr="00B3584B" w:rsidRDefault="00AD63F0" w:rsidP="005F02A0">
      <w:pPr>
        <w:tabs>
          <w:tab w:val="left" w:pos="1560"/>
        </w:tabs>
        <w:spacing w:line="360" w:lineRule="auto"/>
        <w:ind w:left="-567" w:right="-99"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Коэффициент монетизации Китая предельно высок для развивающейся экономики (таблица 7). Для большинства мировых фондовых рынков существует прямая корреляция между уровнем монетизации и рыночной капитализацией </w:t>
      </w:r>
      <w:r w:rsidRPr="00B3584B">
        <w:rPr>
          <w:rFonts w:ascii="Times New Roman" w:hAnsi="Times New Roman" w:cs="Times New Roman"/>
          <w:sz w:val="28"/>
          <w:szCs w:val="28"/>
        </w:rPr>
        <w:lastRenderedPageBreak/>
        <w:t>рынков ценных бумаг( т.е. чем больше капитализация фондового рынка, тем выше коэффициент монетизации при прочих равных условиях).</w:t>
      </w:r>
    </w:p>
    <w:p w14:paraId="727E5319" w14:textId="77777777" w:rsidR="00B3584B" w:rsidRPr="00B3584B" w:rsidRDefault="00B3584B" w:rsidP="005F02A0">
      <w:pPr>
        <w:tabs>
          <w:tab w:val="left" w:pos="1560"/>
        </w:tabs>
        <w:spacing w:line="360" w:lineRule="auto"/>
        <w:ind w:left="-567" w:right="-99" w:firstLine="284"/>
        <w:jc w:val="both"/>
        <w:rPr>
          <w:rStyle w:val="Strong"/>
          <w:rFonts w:ascii="Times New Roman" w:hAnsi="Times New Roman" w:cs="Times New Roman"/>
          <w:b w:val="0"/>
          <w:bCs w:val="0"/>
          <w:sz w:val="28"/>
          <w:szCs w:val="28"/>
        </w:rPr>
      </w:pPr>
      <w:r w:rsidRPr="00B3584B">
        <w:rPr>
          <w:rFonts w:ascii="Times New Roman" w:hAnsi="Times New Roman" w:cs="Times New Roman"/>
          <w:sz w:val="28"/>
          <w:szCs w:val="28"/>
        </w:rPr>
        <w:t>Таблица 7. Коэффициенты монетизации экономики отдельных стран мира в процентах на конец года</w:t>
      </w:r>
    </w:p>
    <w:p w14:paraId="7346EC20" w14:textId="77777777" w:rsidR="00B3584B" w:rsidRDefault="00B3584B" w:rsidP="00B3584B">
      <w:pPr>
        <w:tabs>
          <w:tab w:val="left" w:pos="1560"/>
        </w:tabs>
        <w:spacing w:before="120"/>
        <w:ind w:left="-567" w:right="-631" w:firstLine="284"/>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0771649D" wp14:editId="242D7C9B">
            <wp:extent cx="4499162" cy="259427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30126" t="39119" r="33698" b="23820"/>
                    <a:stretch>
                      <a:fillRect/>
                    </a:stretch>
                  </pic:blipFill>
                  <pic:spPr bwMode="auto">
                    <a:xfrm>
                      <a:off x="0" y="0"/>
                      <a:ext cx="4513103" cy="2602314"/>
                    </a:xfrm>
                    <a:prstGeom prst="rect">
                      <a:avLst/>
                    </a:prstGeom>
                    <a:noFill/>
                    <a:ln w="9525">
                      <a:noFill/>
                      <a:miter lim="800000"/>
                      <a:headEnd/>
                      <a:tailEnd/>
                    </a:ln>
                  </pic:spPr>
                </pic:pic>
              </a:graphicData>
            </a:graphic>
          </wp:inline>
        </w:drawing>
      </w:r>
    </w:p>
    <w:p w14:paraId="00D56EC1" w14:textId="62C4491C" w:rsidR="00B3584B" w:rsidRDefault="00B3584B" w:rsidP="00B3584B">
      <w:pPr>
        <w:tabs>
          <w:tab w:val="left" w:pos="1560"/>
        </w:tabs>
        <w:spacing w:before="120"/>
        <w:ind w:left="-567" w:right="-631" w:firstLine="284"/>
        <w:jc w:val="both"/>
        <w:rPr>
          <w:rFonts w:ascii="Times New Roman" w:hAnsi="Times New Roman" w:cs="Times New Roman"/>
          <w:color w:val="000000"/>
          <w:sz w:val="20"/>
          <w:szCs w:val="20"/>
          <w:shd w:val="clear" w:color="auto" w:fill="FFFFFF"/>
        </w:rPr>
      </w:pPr>
      <w:r w:rsidRPr="00C963E6">
        <w:rPr>
          <w:rFonts w:ascii="Times New Roman" w:hAnsi="Times New Roman" w:cs="Times New Roman"/>
          <w:sz w:val="20"/>
          <w:szCs w:val="20"/>
        </w:rPr>
        <w:t xml:space="preserve">Источник: </w:t>
      </w:r>
      <w:r w:rsidRPr="00C963E6">
        <w:rPr>
          <w:rFonts w:ascii="Times New Roman" w:hAnsi="Times New Roman" w:cs="Times New Roman"/>
          <w:color w:val="000000"/>
          <w:sz w:val="20"/>
          <w:szCs w:val="20"/>
          <w:shd w:val="clear" w:color="auto" w:fill="FFFFFF"/>
        </w:rPr>
        <w:t xml:space="preserve">Андрианов В. Д. Монетизация экономики. </w:t>
      </w:r>
      <w:r>
        <w:rPr>
          <w:rFonts w:ascii="Times New Roman" w:hAnsi="Times New Roman" w:cs="Times New Roman"/>
          <w:color w:val="000000"/>
          <w:sz w:val="20"/>
          <w:szCs w:val="20"/>
          <w:shd w:val="clear" w:color="auto" w:fill="FFFFFF"/>
        </w:rPr>
        <w:t xml:space="preserve">2009. </w:t>
      </w:r>
      <w:r>
        <w:rPr>
          <w:rFonts w:ascii="Times New Roman" w:hAnsi="Times New Roman" w:cs="Times New Roman"/>
          <w:sz w:val="20"/>
          <w:szCs w:val="20"/>
        </w:rPr>
        <w:t xml:space="preserve">– </w:t>
      </w:r>
      <w:r w:rsidRPr="00B3584B">
        <w:rPr>
          <w:rFonts w:ascii="Times New Roman" w:hAnsi="Times New Roman" w:cs="Times New Roman"/>
          <w:color w:val="000000"/>
          <w:sz w:val="20"/>
          <w:szCs w:val="20"/>
          <w:shd w:val="clear" w:color="auto" w:fill="FFFFFF"/>
        </w:rPr>
        <w:t>http://www.andrianov.viperson.ru/</w:t>
      </w:r>
    </w:p>
    <w:p w14:paraId="2A83559A" w14:textId="77777777" w:rsidR="00B3584B" w:rsidRPr="00B3584B" w:rsidRDefault="00B3584B" w:rsidP="00B3584B">
      <w:pPr>
        <w:tabs>
          <w:tab w:val="left" w:pos="1560"/>
        </w:tabs>
        <w:spacing w:before="120"/>
        <w:ind w:left="-567" w:right="-631" w:firstLine="284"/>
        <w:jc w:val="both"/>
        <w:rPr>
          <w:rFonts w:ascii="Times New Roman" w:hAnsi="Times New Roman" w:cs="Times New Roman"/>
          <w:sz w:val="20"/>
          <w:szCs w:val="20"/>
        </w:rPr>
      </w:pPr>
    </w:p>
    <w:p w14:paraId="6FBE09E4" w14:textId="77777777" w:rsidR="00AD63F0" w:rsidRPr="00B3584B" w:rsidRDefault="00AD63F0" w:rsidP="005F02A0">
      <w:pPr>
        <w:tabs>
          <w:tab w:val="left" w:pos="1560"/>
        </w:tabs>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Иностранные инвестиции отражают степень открытости страны и уровень либерализации ее экономики, это необходимые условия для эффективного развития РЦБ  . Иностранный капитал имеет свободный доступ  почти ко всем отраслям  экономики современного Китая, за исключением тех отраслей, которые имеют стратегическое значение. Государством созданы механизмы слияний и поглощений китайских компаний иностранным капиталом, однако китайские власти обеспокоены тем, что  иностранный капитал может поглощать целые отрасли. </w:t>
      </w:r>
    </w:p>
    <w:p w14:paraId="688E5CD9" w14:textId="77777777" w:rsidR="00AD63F0" w:rsidRDefault="00AD63F0" w:rsidP="005F02A0">
      <w:pPr>
        <w:spacing w:line="360" w:lineRule="auto"/>
        <w:ind w:left="-567" w:right="43" w:firstLine="284"/>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 xml:space="preserve">Зарождение рынка облигаций КНР началось в  1981 год, тогда же  выпустили казначейские облигации (Treasury Bonds). За ним, в 1987 году начал функционировать вторичный рынок гособлигаций . В 1981 году их эмиссия составила 4,9 млрд. юаней, в 2012 году эта цифра достигла 2,2 трлн. юаней (289 млрд. долл.) (рисунок 4). В настоящее время структура долговых ценных бумаг КНР состоит из казначейских облигаций (гособлигации), финансовых облигаций и корпоративных облигаций. На долю гособлигаций и финансовых облигаций </w:t>
      </w:r>
      <w:r w:rsidRPr="00B3584B">
        <w:rPr>
          <w:rFonts w:ascii="Times New Roman" w:eastAsia="Times New Roman" w:hAnsi="Times New Roman" w:cs="Times New Roman"/>
          <w:sz w:val="28"/>
          <w:szCs w:val="28"/>
          <w:lang w:eastAsia="ru-RU"/>
        </w:rPr>
        <w:lastRenderedPageBreak/>
        <w:t>приходится более 90% всей эмиссионной стоимости по разным видам облигаций, что является большинством выпущенных долговых бумаг</w:t>
      </w:r>
      <w:r w:rsidRPr="00B3584B">
        <w:rPr>
          <w:rStyle w:val="FootnoteReference"/>
          <w:rFonts w:ascii="Times New Roman" w:eastAsia="Times New Roman" w:hAnsi="Times New Roman" w:cs="Times New Roman"/>
          <w:sz w:val="28"/>
          <w:szCs w:val="28"/>
          <w:lang w:eastAsia="ru-RU"/>
        </w:rPr>
        <w:footnoteReference w:id="27"/>
      </w:r>
      <w:r w:rsidRPr="00B3584B">
        <w:rPr>
          <w:rFonts w:ascii="Times New Roman" w:eastAsia="Times New Roman" w:hAnsi="Times New Roman" w:cs="Times New Roman"/>
          <w:sz w:val="28"/>
          <w:szCs w:val="28"/>
          <w:lang w:eastAsia="ru-RU"/>
        </w:rPr>
        <w:t>.  Рынок облигаций Китая как и рынок акций, подвергается жесткому государственному регулированию. Осуществляется предоставление правительством государственных гарантий по всем выпускаемым облигационным займам. Также действует централизованное обслуживание всех облигационных займов, которое осуществляет Китайская государственная депозитарно-клиринговая корпорация, эта организация полностью подконтрольна правительству. По состоянию на начало 2008 года в ее управлении находилось 997 эмиссий облигаций, на начало 2007 г. – 774</w:t>
      </w:r>
      <w:r w:rsidRPr="00B3584B">
        <w:rPr>
          <w:rStyle w:val="FootnoteReference"/>
          <w:rFonts w:ascii="Times New Roman" w:eastAsia="Times New Roman" w:hAnsi="Times New Roman" w:cs="Times New Roman"/>
          <w:sz w:val="28"/>
          <w:szCs w:val="28"/>
          <w:lang w:eastAsia="ru-RU"/>
        </w:rPr>
        <w:footnoteReference w:id="28"/>
      </w:r>
      <w:r w:rsidRPr="00B3584B">
        <w:rPr>
          <w:rFonts w:ascii="Times New Roman" w:eastAsia="Times New Roman" w:hAnsi="Times New Roman" w:cs="Times New Roman"/>
          <w:sz w:val="28"/>
          <w:szCs w:val="28"/>
          <w:lang w:eastAsia="ru-RU"/>
        </w:rPr>
        <w:t xml:space="preserve">. </w:t>
      </w:r>
    </w:p>
    <w:p w14:paraId="6C419B78" w14:textId="77777777" w:rsidR="00B3584B" w:rsidRPr="00B3584B" w:rsidRDefault="00B3584B" w:rsidP="005F02A0">
      <w:pPr>
        <w:spacing w:before="120"/>
        <w:ind w:right="43"/>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Рисунок 4. Вторичный рынок ценных бумаг</w:t>
      </w:r>
    </w:p>
    <w:p w14:paraId="2BF64C39" w14:textId="77777777" w:rsidR="00B3584B" w:rsidRPr="0094304D" w:rsidRDefault="00B3584B" w:rsidP="005F02A0">
      <w:pPr>
        <w:spacing w:before="120"/>
        <w:ind w:left="-993" w:right="43" w:firstLine="284"/>
        <w:jc w:val="both"/>
        <w:rPr>
          <w:rFonts w:ascii="Times New Roman" w:eastAsia="Times New Roman" w:hAnsi="Times New Roman" w:cs="Times New Roman"/>
          <w:lang w:eastAsia="ru-RU"/>
        </w:rPr>
      </w:pPr>
      <w:r w:rsidRPr="0094304D">
        <w:rPr>
          <w:rFonts w:ascii="Times New Roman" w:eastAsia="Times New Roman" w:hAnsi="Times New Roman" w:cs="Times New Roman"/>
          <w:noProof/>
          <w:lang w:val="en-US"/>
        </w:rPr>
        <w:drawing>
          <wp:inline distT="0" distB="0" distL="0" distR="0" wp14:anchorId="6DC6D937" wp14:editId="00880FAA">
            <wp:extent cx="6279657" cy="2054831"/>
            <wp:effectExtent l="19050" t="0" r="6843" b="0"/>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8425" t="38924" r="14613" b="20208"/>
                    <a:stretch>
                      <a:fillRect/>
                    </a:stretch>
                  </pic:blipFill>
                  <pic:spPr bwMode="auto">
                    <a:xfrm>
                      <a:off x="0" y="0"/>
                      <a:ext cx="6279657" cy="2054831"/>
                    </a:xfrm>
                    <a:prstGeom prst="rect">
                      <a:avLst/>
                    </a:prstGeom>
                    <a:noFill/>
                    <a:ln w="9525">
                      <a:noFill/>
                      <a:miter lim="800000"/>
                      <a:headEnd/>
                      <a:tailEnd/>
                    </a:ln>
                  </pic:spPr>
                </pic:pic>
              </a:graphicData>
            </a:graphic>
          </wp:inline>
        </w:drawing>
      </w:r>
    </w:p>
    <w:p w14:paraId="09F3D6B3" w14:textId="7ECDA9D2" w:rsidR="00B3584B" w:rsidRDefault="00B3584B" w:rsidP="005F02A0">
      <w:pPr>
        <w:spacing w:before="120"/>
        <w:ind w:left="-567" w:right="43" w:firstLine="284"/>
        <w:rPr>
          <w:rFonts w:ascii="Times New Roman" w:eastAsia="Times New Roman" w:hAnsi="Times New Roman" w:cs="Times New Roman"/>
          <w:sz w:val="20"/>
          <w:szCs w:val="20"/>
          <w:lang w:val="en-US" w:eastAsia="ru-RU"/>
        </w:rPr>
      </w:pPr>
      <w:r w:rsidRPr="00C963E6">
        <w:rPr>
          <w:rFonts w:ascii="Times New Roman" w:eastAsia="Times New Roman" w:hAnsi="Times New Roman" w:cs="Times New Roman"/>
          <w:sz w:val="20"/>
          <w:szCs w:val="20"/>
          <w:lang w:eastAsia="ru-RU"/>
        </w:rPr>
        <w:t>Источник</w:t>
      </w:r>
      <w:r w:rsidRPr="00C963E6">
        <w:rPr>
          <w:rFonts w:ascii="Times New Roman" w:eastAsia="Times New Roman" w:hAnsi="Times New Roman" w:cs="Times New Roman"/>
          <w:sz w:val="20"/>
          <w:szCs w:val="20"/>
          <w:lang w:val="en-US" w:eastAsia="ru-RU"/>
        </w:rPr>
        <w:t xml:space="preserve">: China’s Bond Market. 2013. </w:t>
      </w:r>
      <w:r w:rsidRPr="00CD0AEC">
        <w:rPr>
          <w:rFonts w:ascii="Times New Roman" w:hAnsi="Times New Roman" w:cs="Times New Roman"/>
          <w:sz w:val="20"/>
          <w:szCs w:val="20"/>
          <w:lang w:val="en-US"/>
        </w:rPr>
        <w:t>–</w:t>
      </w:r>
      <w:r w:rsidRPr="00C963E6">
        <w:rPr>
          <w:rFonts w:ascii="Times New Roman" w:hAnsi="Times New Roman" w:cs="Times New Roman"/>
          <w:sz w:val="20"/>
          <w:szCs w:val="20"/>
          <w:lang w:val="en-US"/>
        </w:rPr>
        <w:t>http://www.goldmansachs.com/gsam/docs/fundsgeneral/general_education/economic_and_market_perspectives/china_bond_market_faq.pdf</w:t>
      </w:r>
    </w:p>
    <w:p w14:paraId="32F8DEEB" w14:textId="77777777" w:rsidR="00B3584B" w:rsidRPr="00B3584B" w:rsidRDefault="00B3584B" w:rsidP="005F02A0">
      <w:pPr>
        <w:spacing w:before="120"/>
        <w:ind w:left="-567" w:right="43" w:firstLine="284"/>
        <w:rPr>
          <w:rFonts w:ascii="Times New Roman" w:eastAsia="Times New Roman" w:hAnsi="Times New Roman" w:cs="Times New Roman"/>
          <w:sz w:val="20"/>
          <w:szCs w:val="20"/>
          <w:lang w:val="en-US" w:eastAsia="ru-RU"/>
        </w:rPr>
      </w:pPr>
    </w:p>
    <w:p w14:paraId="388CD5C3" w14:textId="77777777" w:rsidR="00AD63F0" w:rsidRPr="00B3584B" w:rsidRDefault="00AD63F0" w:rsidP="005F02A0">
      <w:pPr>
        <w:spacing w:line="360" w:lineRule="auto"/>
        <w:ind w:left="-567" w:right="43" w:firstLine="284"/>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 xml:space="preserve">Казначейские облигации представлены в  наибольшем количестве в структуре облигационных займов . Выпуск этих бумаг начался  в 1981 году ,после начала реформ , необходимо было покрыть  бюджетный дефицит, который был обусловлен растущими расходами, а также  падением уровня госдоходов в связи со снижением эффективности и конкурентоспособности госпредприятий. Министерство финансов КНР выступает эмитентом казначейских облигаций. В </w:t>
      </w:r>
      <w:r w:rsidRPr="00B3584B">
        <w:rPr>
          <w:rFonts w:ascii="Times New Roman" w:eastAsia="Times New Roman" w:hAnsi="Times New Roman" w:cs="Times New Roman"/>
          <w:sz w:val="28"/>
          <w:szCs w:val="28"/>
          <w:lang w:eastAsia="ru-RU"/>
        </w:rPr>
        <w:lastRenderedPageBreak/>
        <w:t xml:space="preserve">середине 1990-х годов произошел резкий скачок в объемах эмиссий этих бумаг, когда в бюджетное законодательство были внесены поправки, согласно которым правительство обязано было покрыть огромную часть бюджетного дефицита заимствованиями на открытом рынке ценных бумаг в противовес кредитам «овердрафт» Народного банка Китая. </w:t>
      </w:r>
    </w:p>
    <w:p w14:paraId="0DF16705" w14:textId="77777777" w:rsidR="00AD63F0" w:rsidRPr="00B3584B" w:rsidRDefault="00AD63F0" w:rsidP="005F02A0">
      <w:pPr>
        <w:spacing w:line="360" w:lineRule="auto"/>
        <w:ind w:left="-567" w:right="43" w:firstLine="284"/>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 xml:space="preserve"> На  фискальные государственные облигации приходится примерно 75% внутреннего госдолга КНР, их выпустили с целью </w:t>
      </w:r>
      <w:bookmarkStart w:id="1" w:name="62"/>
      <w:bookmarkEnd w:id="1"/>
      <w:r w:rsidRPr="00B3584B">
        <w:rPr>
          <w:rFonts w:ascii="Times New Roman" w:eastAsia="Times New Roman" w:hAnsi="Times New Roman" w:cs="Times New Roman"/>
          <w:sz w:val="28"/>
          <w:szCs w:val="28"/>
          <w:lang w:eastAsia="ru-RU"/>
        </w:rPr>
        <w:t xml:space="preserve"> финансирования бюджетных расходов, и 25% </w:t>
      </w:r>
      <w:r w:rsidRPr="00B3584B">
        <w:rPr>
          <w:rFonts w:ascii="Times New Roman" w:hAnsi="Times New Roman" w:cs="Times New Roman"/>
          <w:sz w:val="28"/>
          <w:szCs w:val="28"/>
        </w:rPr>
        <w:t xml:space="preserve">– </w:t>
      </w:r>
      <w:r w:rsidRPr="00B3584B">
        <w:rPr>
          <w:rFonts w:ascii="Times New Roman" w:eastAsia="Times New Roman" w:hAnsi="Times New Roman" w:cs="Times New Roman"/>
          <w:sz w:val="28"/>
          <w:szCs w:val="28"/>
          <w:lang w:eastAsia="ru-RU"/>
        </w:rPr>
        <w:t>на целевые казначейские обязательства, которые используются для  строительства ключевых объектов инфраструктуры.</w:t>
      </w:r>
    </w:p>
    <w:p w14:paraId="0109E1BE" w14:textId="77777777" w:rsidR="00AD63F0" w:rsidRPr="00B3584B" w:rsidRDefault="00AD63F0" w:rsidP="005F02A0">
      <w:pPr>
        <w:spacing w:line="360" w:lineRule="auto"/>
        <w:ind w:left="-567" w:right="43" w:firstLine="284"/>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 xml:space="preserve"> Второе место на облигационном рынке занимают  финансовые облигации</w:t>
      </w:r>
      <w:r w:rsidRPr="00B3584B">
        <w:rPr>
          <w:rFonts w:ascii="Times New Roman" w:eastAsia="Times New Roman" w:hAnsi="Times New Roman" w:cs="Times New Roman"/>
          <w:b/>
          <w:sz w:val="28"/>
          <w:szCs w:val="28"/>
          <w:lang w:eastAsia="ru-RU"/>
        </w:rPr>
        <w:t xml:space="preserve">. </w:t>
      </w:r>
      <w:r w:rsidRPr="00B3584B">
        <w:rPr>
          <w:rFonts w:ascii="Times New Roman" w:eastAsia="Times New Roman" w:hAnsi="Times New Roman" w:cs="Times New Roman"/>
          <w:sz w:val="28"/>
          <w:szCs w:val="28"/>
          <w:lang w:eastAsia="ru-RU"/>
        </w:rPr>
        <w:t>До 1992 года шесть крупных государственных инвестиционных компаний выпускали специальные  облигации для финансирования строительства государственных объектов. С 1992 г. выпускаются специальные облигации для пенсионных фондов и фондов социального страхования  по закрытой подписке.</w:t>
      </w:r>
    </w:p>
    <w:p w14:paraId="7325EEF7" w14:textId="77777777" w:rsidR="00AD63F0" w:rsidRPr="00B3584B" w:rsidRDefault="00AD63F0" w:rsidP="005F02A0">
      <w:pPr>
        <w:spacing w:line="360" w:lineRule="auto"/>
        <w:ind w:left="-567" w:right="43" w:firstLine="284"/>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Обращение облигаций в КНР осуществляется на межбанковском, биржевом и внебиржевом рынках. Межбанковский рынок-главный участник на вторичном рынке облигаций .</w:t>
      </w:r>
    </w:p>
    <w:p w14:paraId="114D7BBC" w14:textId="77777777" w:rsidR="00AD63F0" w:rsidRPr="00B3584B" w:rsidRDefault="00AD63F0" w:rsidP="005F02A0">
      <w:pPr>
        <w:spacing w:line="360" w:lineRule="auto"/>
        <w:ind w:left="-567" w:right="43" w:firstLine="284"/>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В Китае  в настоящее время полным ходом идет процесс создания многоуровневого РЦБ, его составляет основной биржевой рынок, биржевой рынок «компаний роста» (GEM, Growing Enterprises Market) и общенациональный внебиржевой рынок. Полностью реализована схема  основного биржевого рынка. С 2004 г. на Шэньчжэньской фондовой бирже существует отдельный биржевой рынок средних и малых компаний (</w:t>
      </w:r>
      <w:r w:rsidRPr="00B3584B">
        <w:rPr>
          <w:rFonts w:ascii="Times New Roman" w:eastAsia="Times New Roman" w:hAnsi="Times New Roman" w:cs="Times New Roman"/>
          <w:sz w:val="28"/>
          <w:szCs w:val="28"/>
          <w:lang w:val="en-US" w:eastAsia="ru-RU"/>
        </w:rPr>
        <w:t>Small</w:t>
      </w:r>
      <w:r w:rsidRPr="00B3584B">
        <w:rPr>
          <w:rFonts w:ascii="Times New Roman" w:eastAsia="Times New Roman" w:hAnsi="Times New Roman" w:cs="Times New Roman"/>
          <w:sz w:val="28"/>
          <w:szCs w:val="28"/>
          <w:lang w:eastAsia="ru-RU"/>
        </w:rPr>
        <w:t xml:space="preserve"> </w:t>
      </w:r>
      <w:r w:rsidRPr="00B3584B">
        <w:rPr>
          <w:rFonts w:ascii="Times New Roman" w:eastAsia="Times New Roman" w:hAnsi="Times New Roman" w:cs="Times New Roman"/>
          <w:sz w:val="28"/>
          <w:szCs w:val="28"/>
          <w:lang w:val="en-US" w:eastAsia="ru-RU"/>
        </w:rPr>
        <w:t>and</w:t>
      </w:r>
      <w:r w:rsidRPr="00B3584B">
        <w:rPr>
          <w:rFonts w:ascii="Times New Roman" w:eastAsia="Times New Roman" w:hAnsi="Times New Roman" w:cs="Times New Roman"/>
          <w:sz w:val="28"/>
          <w:szCs w:val="28"/>
          <w:lang w:eastAsia="ru-RU"/>
        </w:rPr>
        <w:t xml:space="preserve"> </w:t>
      </w:r>
      <w:r w:rsidRPr="00B3584B">
        <w:rPr>
          <w:rFonts w:ascii="Times New Roman" w:eastAsia="Times New Roman" w:hAnsi="Times New Roman" w:cs="Times New Roman"/>
          <w:sz w:val="28"/>
          <w:szCs w:val="28"/>
          <w:lang w:val="en-US" w:eastAsia="ru-RU"/>
        </w:rPr>
        <w:t>Medium</w:t>
      </w:r>
      <w:r w:rsidRPr="00B3584B">
        <w:rPr>
          <w:rFonts w:ascii="Times New Roman" w:eastAsia="Times New Roman" w:hAnsi="Times New Roman" w:cs="Times New Roman"/>
          <w:sz w:val="28"/>
          <w:szCs w:val="28"/>
          <w:lang w:eastAsia="ru-RU"/>
        </w:rPr>
        <w:t>-</w:t>
      </w:r>
      <w:r w:rsidRPr="00B3584B">
        <w:rPr>
          <w:rFonts w:ascii="Times New Roman" w:eastAsia="Times New Roman" w:hAnsi="Times New Roman" w:cs="Times New Roman"/>
          <w:sz w:val="28"/>
          <w:szCs w:val="28"/>
          <w:lang w:val="en-US" w:eastAsia="ru-RU"/>
        </w:rPr>
        <w:t>sized</w:t>
      </w:r>
      <w:r w:rsidRPr="00B3584B">
        <w:rPr>
          <w:rFonts w:ascii="Times New Roman" w:eastAsia="Times New Roman" w:hAnsi="Times New Roman" w:cs="Times New Roman"/>
          <w:sz w:val="28"/>
          <w:szCs w:val="28"/>
          <w:lang w:eastAsia="ru-RU"/>
        </w:rPr>
        <w:t xml:space="preserve"> </w:t>
      </w:r>
      <w:r w:rsidRPr="00B3584B">
        <w:rPr>
          <w:rFonts w:ascii="Times New Roman" w:eastAsia="Times New Roman" w:hAnsi="Times New Roman" w:cs="Times New Roman"/>
          <w:sz w:val="28"/>
          <w:szCs w:val="28"/>
          <w:lang w:val="en-US" w:eastAsia="ru-RU"/>
        </w:rPr>
        <w:t>Enterprise</w:t>
      </w:r>
      <w:r w:rsidRPr="00B3584B">
        <w:rPr>
          <w:rFonts w:ascii="Times New Roman" w:eastAsia="Times New Roman" w:hAnsi="Times New Roman" w:cs="Times New Roman"/>
          <w:sz w:val="28"/>
          <w:szCs w:val="28"/>
          <w:lang w:eastAsia="ru-RU"/>
        </w:rPr>
        <w:t xml:space="preserve"> </w:t>
      </w:r>
      <w:r w:rsidRPr="00B3584B">
        <w:rPr>
          <w:rFonts w:ascii="Times New Roman" w:eastAsia="Times New Roman" w:hAnsi="Times New Roman" w:cs="Times New Roman"/>
          <w:sz w:val="28"/>
          <w:szCs w:val="28"/>
          <w:lang w:val="en-US" w:eastAsia="ru-RU"/>
        </w:rPr>
        <w:t>Board</w:t>
      </w:r>
      <w:r w:rsidRPr="00B3584B">
        <w:rPr>
          <w:rFonts w:ascii="Times New Roman" w:eastAsia="Times New Roman" w:hAnsi="Times New Roman" w:cs="Times New Roman"/>
          <w:sz w:val="28"/>
          <w:szCs w:val="28"/>
          <w:lang w:eastAsia="ru-RU"/>
        </w:rPr>
        <w:t xml:space="preserve">, </w:t>
      </w:r>
      <w:r w:rsidRPr="00B3584B">
        <w:rPr>
          <w:rFonts w:ascii="Times New Roman" w:eastAsia="Times New Roman" w:hAnsi="Times New Roman" w:cs="Times New Roman"/>
          <w:sz w:val="28"/>
          <w:szCs w:val="28"/>
          <w:lang w:val="en-US" w:eastAsia="ru-RU"/>
        </w:rPr>
        <w:t>SME</w:t>
      </w:r>
      <w:r w:rsidRPr="00B3584B">
        <w:rPr>
          <w:rFonts w:ascii="Times New Roman" w:eastAsia="Times New Roman" w:hAnsi="Times New Roman" w:cs="Times New Roman"/>
          <w:sz w:val="28"/>
          <w:szCs w:val="28"/>
          <w:lang w:eastAsia="ru-RU"/>
        </w:rPr>
        <w:t xml:space="preserve"> Board), однако требования к листингу по нему совпадают с основным списком биржи. Рынок «компаний роста» (</w:t>
      </w:r>
      <w:r w:rsidRPr="00B3584B">
        <w:rPr>
          <w:rFonts w:ascii="Times New Roman" w:eastAsia="Times New Roman" w:hAnsi="Times New Roman" w:cs="Times New Roman"/>
          <w:sz w:val="28"/>
          <w:szCs w:val="28"/>
          <w:lang w:val="en-US" w:eastAsia="ru-RU"/>
        </w:rPr>
        <w:t>GEB</w:t>
      </w:r>
      <w:r w:rsidRPr="00B3584B">
        <w:rPr>
          <w:rFonts w:ascii="Times New Roman" w:eastAsia="Times New Roman" w:hAnsi="Times New Roman" w:cs="Times New Roman"/>
          <w:sz w:val="28"/>
          <w:szCs w:val="28"/>
          <w:lang w:eastAsia="ru-RU"/>
        </w:rPr>
        <w:t>) начал работать с 2009 года.</w:t>
      </w:r>
    </w:p>
    <w:p w14:paraId="6490A001" w14:textId="77777777" w:rsidR="00AD63F0" w:rsidRDefault="00AD63F0" w:rsidP="005F02A0">
      <w:pPr>
        <w:spacing w:line="360" w:lineRule="auto"/>
        <w:ind w:left="-567" w:right="43" w:firstLine="284"/>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 xml:space="preserve">Две биржи представляют фондовый рынок в Китае. Общая рыночная капитализация более 2000 компаний, имеющих листинг на Шанхайской и  Шэньчжэньской фондовых биржах, на начало 2011 года достигала 4,3 трлн. </w:t>
      </w:r>
      <w:r w:rsidRPr="00B3584B">
        <w:rPr>
          <w:rFonts w:ascii="Times New Roman" w:eastAsia="Times New Roman" w:hAnsi="Times New Roman" w:cs="Times New Roman"/>
          <w:sz w:val="28"/>
          <w:szCs w:val="28"/>
          <w:lang w:eastAsia="ru-RU"/>
        </w:rPr>
        <w:lastRenderedPageBreak/>
        <w:t>долл. (рисунок 5). Рыночная капитализация акций в свободном обращении (free float) достигла 1,22 трлн. долл. при годовом росте в 270%</w:t>
      </w:r>
      <w:r w:rsidRPr="00B3584B">
        <w:rPr>
          <w:rStyle w:val="FootnoteReference"/>
          <w:rFonts w:ascii="Times New Roman" w:eastAsia="Times New Roman" w:hAnsi="Times New Roman" w:cs="Times New Roman"/>
          <w:sz w:val="28"/>
          <w:szCs w:val="28"/>
          <w:lang w:eastAsia="ru-RU"/>
        </w:rPr>
        <w:footnoteReference w:id="29"/>
      </w:r>
      <w:r w:rsidRPr="00B3584B">
        <w:rPr>
          <w:rFonts w:ascii="Times New Roman" w:eastAsia="Times New Roman" w:hAnsi="Times New Roman" w:cs="Times New Roman"/>
          <w:sz w:val="28"/>
          <w:szCs w:val="28"/>
          <w:lang w:eastAsia="ru-RU"/>
        </w:rPr>
        <w:t>.</w:t>
      </w:r>
    </w:p>
    <w:p w14:paraId="61A5F845" w14:textId="77777777" w:rsidR="00B3584B" w:rsidRPr="00B3584B" w:rsidRDefault="00B3584B" w:rsidP="005F02A0">
      <w:pPr>
        <w:spacing w:before="120"/>
        <w:ind w:left="-567" w:right="43" w:firstLine="284"/>
        <w:jc w:val="both"/>
        <w:rPr>
          <w:rFonts w:ascii="Times New Roman" w:eastAsia="Times New Roman" w:hAnsi="Times New Roman" w:cs="Times New Roman"/>
          <w:sz w:val="28"/>
          <w:szCs w:val="28"/>
          <w:lang w:eastAsia="ru-RU"/>
        </w:rPr>
      </w:pPr>
      <w:r w:rsidRPr="00B3584B">
        <w:rPr>
          <w:rFonts w:ascii="Times New Roman" w:eastAsia="Times New Roman" w:hAnsi="Times New Roman" w:cs="Times New Roman"/>
          <w:sz w:val="28"/>
          <w:szCs w:val="28"/>
          <w:lang w:eastAsia="ru-RU"/>
        </w:rPr>
        <w:t>Рисунок 5. Капитализация китайского фондового рынка, млрд долл.</w:t>
      </w:r>
    </w:p>
    <w:p w14:paraId="37324C81" w14:textId="77777777" w:rsidR="00B3584B" w:rsidRPr="00CD0AEC" w:rsidRDefault="00B3584B" w:rsidP="005F02A0">
      <w:pPr>
        <w:spacing w:before="120"/>
        <w:ind w:left="-567" w:right="43" w:firstLine="284"/>
        <w:jc w:val="both"/>
        <w:rPr>
          <w:rFonts w:ascii="Times New Roman" w:eastAsia="Times New Roman" w:hAnsi="Times New Roman" w:cs="Times New Roman"/>
          <w:lang w:val="en-US" w:eastAsia="ru-RU"/>
        </w:rPr>
      </w:pPr>
      <w:r>
        <w:rPr>
          <w:rFonts w:ascii="Times New Roman" w:eastAsia="Times New Roman" w:hAnsi="Times New Roman" w:cs="Times New Roman"/>
          <w:noProof/>
          <w:lang w:val="en-US"/>
        </w:rPr>
        <w:drawing>
          <wp:inline distT="0" distB="0" distL="0" distR="0" wp14:anchorId="666EEDC8" wp14:editId="48A4F1DD">
            <wp:extent cx="5062213" cy="2465797"/>
            <wp:effectExtent l="19050" t="0" r="5087"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21323" t="24339" r="11325" b="17339"/>
                    <a:stretch>
                      <a:fillRect/>
                    </a:stretch>
                  </pic:blipFill>
                  <pic:spPr bwMode="auto">
                    <a:xfrm>
                      <a:off x="0" y="0"/>
                      <a:ext cx="5062213" cy="2465797"/>
                    </a:xfrm>
                    <a:prstGeom prst="rect">
                      <a:avLst/>
                    </a:prstGeom>
                    <a:noFill/>
                    <a:ln w="9525">
                      <a:noFill/>
                      <a:miter lim="800000"/>
                      <a:headEnd/>
                      <a:tailEnd/>
                    </a:ln>
                  </pic:spPr>
                </pic:pic>
              </a:graphicData>
            </a:graphic>
          </wp:inline>
        </w:drawing>
      </w:r>
      <w:r w:rsidRPr="00CD0AEC">
        <w:rPr>
          <w:rFonts w:ascii="Times New Roman" w:eastAsia="Times New Roman" w:hAnsi="Times New Roman" w:cs="Times New Roman"/>
          <w:lang w:val="en-US" w:eastAsia="ru-RU"/>
        </w:rPr>
        <w:t xml:space="preserve"> </w:t>
      </w:r>
    </w:p>
    <w:p w14:paraId="1FADB7BF" w14:textId="77777777" w:rsidR="00B3584B" w:rsidRPr="009F093D" w:rsidRDefault="00B3584B" w:rsidP="005F02A0">
      <w:pPr>
        <w:spacing w:before="120"/>
        <w:ind w:left="-567" w:right="43" w:firstLine="284"/>
        <w:jc w:val="both"/>
        <w:rPr>
          <w:rFonts w:ascii="Times New Roman" w:eastAsia="Times New Roman" w:hAnsi="Times New Roman" w:cs="Times New Roman"/>
          <w:sz w:val="20"/>
          <w:szCs w:val="20"/>
          <w:lang w:eastAsia="ru-RU"/>
        </w:rPr>
      </w:pPr>
      <w:r w:rsidRPr="00CD0AEC">
        <w:rPr>
          <w:rFonts w:ascii="Times New Roman" w:eastAsia="Times New Roman" w:hAnsi="Times New Roman" w:cs="Times New Roman"/>
          <w:sz w:val="20"/>
          <w:szCs w:val="20"/>
          <w:lang w:eastAsia="ru-RU"/>
        </w:rPr>
        <w:t>Источник</w:t>
      </w:r>
      <w:r w:rsidRPr="00CD0AEC">
        <w:rPr>
          <w:rFonts w:ascii="Times New Roman" w:eastAsia="Times New Roman" w:hAnsi="Times New Roman" w:cs="Times New Roman"/>
          <w:sz w:val="20"/>
          <w:szCs w:val="20"/>
          <w:lang w:val="en-US" w:eastAsia="ru-RU"/>
        </w:rPr>
        <w:t xml:space="preserve">: </w:t>
      </w:r>
      <w:r>
        <w:rPr>
          <w:rFonts w:ascii="Times New Roman" w:hAnsi="Times New Roman" w:cs="Times New Roman"/>
          <w:color w:val="000000"/>
          <w:sz w:val="20"/>
          <w:szCs w:val="20"/>
          <w:lang w:val="en-US"/>
        </w:rPr>
        <w:t>FTSE, Stirling Finance Limited</w:t>
      </w:r>
      <w:r w:rsidRPr="00CD0AEC">
        <w:rPr>
          <w:rFonts w:ascii="Times New Roman" w:hAnsi="Times New Roman" w:cs="Times New Roman"/>
          <w:color w:val="000000"/>
          <w:sz w:val="20"/>
          <w:szCs w:val="20"/>
          <w:lang w:val="en-US"/>
        </w:rPr>
        <w:t>. March</w:t>
      </w:r>
      <w:r w:rsidRPr="00CD0AEC">
        <w:rPr>
          <w:rFonts w:ascii="Times New Roman" w:hAnsi="Times New Roman" w:cs="Times New Roman"/>
          <w:color w:val="000000"/>
          <w:sz w:val="20"/>
          <w:szCs w:val="20"/>
        </w:rPr>
        <w:t xml:space="preserve"> 2011</w:t>
      </w:r>
      <w:r>
        <w:rPr>
          <w:rFonts w:ascii="Times New Roman" w:hAnsi="Times New Roman" w:cs="Times New Roman"/>
          <w:color w:val="000000"/>
          <w:sz w:val="20"/>
          <w:szCs w:val="20"/>
        </w:rPr>
        <w:t>.</w:t>
      </w:r>
    </w:p>
    <w:p w14:paraId="108CA588" w14:textId="77777777" w:rsidR="00B3584B" w:rsidRPr="00B3584B" w:rsidRDefault="00B3584B" w:rsidP="005F02A0">
      <w:pPr>
        <w:spacing w:line="360" w:lineRule="auto"/>
        <w:ind w:left="-567" w:right="43" w:firstLine="284"/>
        <w:jc w:val="both"/>
        <w:rPr>
          <w:rFonts w:ascii="Times New Roman" w:eastAsia="Times New Roman" w:hAnsi="Times New Roman" w:cs="Times New Roman"/>
          <w:sz w:val="28"/>
          <w:szCs w:val="28"/>
          <w:lang w:eastAsia="ru-RU"/>
        </w:rPr>
      </w:pPr>
    </w:p>
    <w:p w14:paraId="1B5735DC" w14:textId="77777777" w:rsidR="00AD63F0" w:rsidRPr="00B3584B" w:rsidRDefault="00AD63F0" w:rsidP="005F02A0">
      <w:pPr>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Структура собственности РЦБ Китая состоит из крупных пакетов, которые практически исключены из рыночного оборота и небольшим количеством  свободного обращения акций (</w:t>
      </w:r>
      <w:r w:rsidRPr="00B3584B">
        <w:rPr>
          <w:rFonts w:ascii="Times New Roman" w:hAnsi="Times New Roman" w:cs="Times New Roman"/>
          <w:sz w:val="28"/>
          <w:szCs w:val="28"/>
          <w:lang w:val="en-US"/>
        </w:rPr>
        <w:t>free</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float</w:t>
      </w:r>
      <w:r w:rsidRPr="00B3584B">
        <w:rPr>
          <w:rFonts w:ascii="Times New Roman" w:hAnsi="Times New Roman" w:cs="Times New Roman"/>
          <w:sz w:val="28"/>
          <w:szCs w:val="28"/>
        </w:rPr>
        <w:t>). Такой тип построения фондового рынка называется «</w:t>
      </w:r>
      <w:r w:rsidRPr="00B3584B">
        <w:rPr>
          <w:rFonts w:ascii="Times New Roman" w:hAnsi="Times New Roman" w:cs="Times New Roman"/>
          <w:sz w:val="28"/>
          <w:szCs w:val="28"/>
          <w:lang w:val="en-US"/>
        </w:rPr>
        <w:t>stakeholders</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capitalism</w:t>
      </w:r>
      <w:r w:rsidRPr="00B3584B">
        <w:rPr>
          <w:rFonts w:ascii="Times New Roman" w:hAnsi="Times New Roman" w:cs="Times New Roman"/>
          <w:sz w:val="28"/>
          <w:szCs w:val="28"/>
        </w:rPr>
        <w:t xml:space="preserve">»-«капитализм держателей крупных пакетов», рынка крупных, необращающихся пакетов акций в корпорациях. В странах с такой структурой рынка акций в национальной экономике как правило преобладает долговое финансирование хозяйства (включающее банковские кредиты и облигации), так как контролирующие акционеры не  продают свои акции </w:t>
      </w:r>
      <w:r w:rsidRPr="00B3584B">
        <w:rPr>
          <w:rStyle w:val="FootnoteReference"/>
          <w:rFonts w:ascii="Times New Roman" w:hAnsi="Times New Roman" w:cs="Times New Roman"/>
          <w:sz w:val="28"/>
          <w:szCs w:val="28"/>
        </w:rPr>
        <w:footnoteReference w:id="30"/>
      </w:r>
      <w:r w:rsidRPr="00B3584B">
        <w:rPr>
          <w:rFonts w:ascii="Times New Roman" w:hAnsi="Times New Roman" w:cs="Times New Roman"/>
          <w:sz w:val="28"/>
          <w:szCs w:val="28"/>
        </w:rPr>
        <w:t>.</w:t>
      </w:r>
    </w:p>
    <w:p w14:paraId="7BB9F72F" w14:textId="77777777" w:rsidR="00AD63F0" w:rsidRPr="00B3584B" w:rsidRDefault="00AD63F0" w:rsidP="005F02A0">
      <w:pPr>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Правительство КНР сильно обеспокоено сохранением контроля над государственной собственностью и  всячески препятствует неконтролируемому перетеканию активов к частным (в том числе иностранным) инвесторам, именно </w:t>
      </w:r>
      <w:r w:rsidRPr="00B3584B">
        <w:rPr>
          <w:rFonts w:ascii="Times New Roman" w:hAnsi="Times New Roman" w:cs="Times New Roman"/>
          <w:sz w:val="28"/>
          <w:szCs w:val="28"/>
        </w:rPr>
        <w:lastRenderedPageBreak/>
        <w:t xml:space="preserve">это заставляет КНР выпускать несколько типов акций, которые обращаются на различных частях рынка и рассчитаны на разные категории инвесторов. </w:t>
      </w:r>
    </w:p>
    <w:p w14:paraId="284CC41B" w14:textId="77777777" w:rsidR="00AD63F0" w:rsidRDefault="00AD63F0" w:rsidP="005F02A0">
      <w:pPr>
        <w:tabs>
          <w:tab w:val="left" w:pos="1560"/>
        </w:tabs>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Специфика Фондового рынка КНР состоит в том, что все акции делятся на рыночные (свободно обращающиеся) и нерыночные (необращающиеся). При этом до 2005 г. две трети от общего количества акций были запрещены к открытой продаже на рынке и оставались собственностью правительства, министерств и ведомств</w:t>
      </w:r>
      <w:r w:rsidRPr="00B3584B">
        <w:rPr>
          <w:rStyle w:val="FootnoteReference"/>
          <w:rFonts w:ascii="Times New Roman" w:hAnsi="Times New Roman" w:cs="Times New Roman"/>
          <w:sz w:val="28"/>
          <w:szCs w:val="28"/>
        </w:rPr>
        <w:footnoteReference w:id="31"/>
      </w:r>
      <w:r w:rsidRPr="00B3584B">
        <w:rPr>
          <w:rFonts w:ascii="Times New Roman" w:hAnsi="Times New Roman" w:cs="Times New Roman"/>
          <w:sz w:val="28"/>
          <w:szCs w:val="28"/>
        </w:rPr>
        <w:t xml:space="preserve">.  На рисунке 6 схематично представлена структура акционерного капитала государственных корпораций: </w:t>
      </w:r>
    </w:p>
    <w:p w14:paraId="133D2C75" w14:textId="77777777" w:rsidR="00C70C91" w:rsidRPr="00C70C91" w:rsidRDefault="00C70C91" w:rsidP="005F02A0">
      <w:pPr>
        <w:tabs>
          <w:tab w:val="left" w:pos="1560"/>
        </w:tabs>
        <w:spacing w:before="120"/>
        <w:ind w:left="-567" w:right="43" w:firstLine="284"/>
        <w:jc w:val="both"/>
        <w:rPr>
          <w:rFonts w:ascii="Times New Roman" w:hAnsi="Times New Roman" w:cs="Times New Roman"/>
          <w:sz w:val="28"/>
          <w:szCs w:val="28"/>
        </w:rPr>
      </w:pPr>
      <w:r w:rsidRPr="00C70C91">
        <w:rPr>
          <w:rFonts w:ascii="Times New Roman" w:hAnsi="Times New Roman" w:cs="Times New Roman"/>
          <w:sz w:val="28"/>
          <w:szCs w:val="28"/>
        </w:rPr>
        <w:t>Рисунок 6. Виды и структура владения акциями в КНР</w:t>
      </w:r>
    </w:p>
    <w:p w14:paraId="2CDF4F5C" w14:textId="77777777" w:rsidR="00C70C91" w:rsidRPr="005C626D" w:rsidRDefault="00C70C91" w:rsidP="005F02A0">
      <w:pPr>
        <w:tabs>
          <w:tab w:val="left" w:pos="1560"/>
        </w:tabs>
        <w:spacing w:before="120"/>
        <w:ind w:left="-567" w:right="43" w:firstLine="284"/>
        <w:jc w:val="both"/>
        <w:rPr>
          <w:rFonts w:ascii="Times New Roman" w:hAnsi="Times New Roman" w:cs="Times New Roman"/>
        </w:rPr>
      </w:pPr>
      <w:r w:rsidRPr="005C626D">
        <w:rPr>
          <w:rFonts w:ascii="Times New Roman" w:hAnsi="Times New Roman" w:cs="Times New Roman"/>
          <w:noProof/>
          <w:lang w:val="en-US"/>
        </w:rPr>
        <w:drawing>
          <wp:inline distT="0" distB="0" distL="0" distR="0" wp14:anchorId="6E81DDD5" wp14:editId="07282AC5">
            <wp:extent cx="4933094" cy="3880828"/>
            <wp:effectExtent l="19050" t="0" r="856"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1532" cy="3879599"/>
                    </a:xfrm>
                    <a:prstGeom prst="rect">
                      <a:avLst/>
                    </a:prstGeom>
                    <a:noFill/>
                    <a:ln>
                      <a:noFill/>
                    </a:ln>
                  </pic:spPr>
                </pic:pic>
              </a:graphicData>
            </a:graphic>
          </wp:inline>
        </w:drawing>
      </w:r>
    </w:p>
    <w:p w14:paraId="0DF44182" w14:textId="77777777" w:rsidR="00C70C91" w:rsidRPr="00CD0AEC" w:rsidRDefault="00C70C91" w:rsidP="005F02A0">
      <w:pPr>
        <w:tabs>
          <w:tab w:val="left" w:pos="1560"/>
        </w:tabs>
        <w:spacing w:before="120"/>
        <w:ind w:left="-567" w:right="43" w:firstLine="284"/>
        <w:jc w:val="both"/>
        <w:rPr>
          <w:rFonts w:ascii="Times New Roman" w:hAnsi="Times New Roman" w:cs="Times New Roman"/>
          <w:sz w:val="20"/>
          <w:szCs w:val="20"/>
        </w:rPr>
      </w:pPr>
      <w:r w:rsidRPr="00CD0AEC">
        <w:rPr>
          <w:rFonts w:ascii="Times New Roman" w:hAnsi="Times New Roman" w:cs="Times New Roman"/>
          <w:sz w:val="20"/>
          <w:szCs w:val="20"/>
        </w:rPr>
        <w:t xml:space="preserve">Источник: Вахрушин И.В. Институциональные инвесторы фондового рынка КНР: современные тенденции развития. </w:t>
      </w:r>
      <w:r>
        <w:rPr>
          <w:rFonts w:ascii="Times New Roman" w:hAnsi="Times New Roman" w:cs="Times New Roman"/>
          <w:sz w:val="20"/>
          <w:szCs w:val="20"/>
        </w:rPr>
        <w:t xml:space="preserve">– </w:t>
      </w:r>
      <w:r w:rsidRPr="00CD0AEC">
        <w:rPr>
          <w:rFonts w:ascii="Times New Roman" w:hAnsi="Times New Roman" w:cs="Times New Roman"/>
          <w:sz w:val="20"/>
          <w:szCs w:val="20"/>
        </w:rPr>
        <w:t xml:space="preserve"> </w:t>
      </w:r>
      <w:r>
        <w:rPr>
          <w:rFonts w:ascii="Times New Roman" w:hAnsi="Times New Roman" w:cs="Times New Roman"/>
          <w:sz w:val="20"/>
          <w:szCs w:val="20"/>
        </w:rPr>
        <w:t>Финансы и кредит.</w:t>
      </w:r>
      <w:r w:rsidRPr="00CD0AEC">
        <w:rPr>
          <w:rFonts w:ascii="Times New Roman" w:hAnsi="Times New Roman" w:cs="Times New Roman"/>
          <w:sz w:val="20"/>
          <w:szCs w:val="20"/>
        </w:rPr>
        <w:t xml:space="preserve"> 2008, №6. </w:t>
      </w:r>
      <w:r w:rsidRPr="00CD0AEC">
        <w:rPr>
          <w:rFonts w:ascii="Times New Roman" w:hAnsi="Times New Roman" w:cs="Times New Roman"/>
          <w:sz w:val="20"/>
          <w:szCs w:val="20"/>
          <w:lang w:val="en-US"/>
        </w:rPr>
        <w:t>C</w:t>
      </w:r>
      <w:r w:rsidRPr="00CD0AEC">
        <w:rPr>
          <w:rFonts w:ascii="Times New Roman" w:hAnsi="Times New Roman" w:cs="Times New Roman"/>
          <w:sz w:val="20"/>
          <w:szCs w:val="20"/>
        </w:rPr>
        <w:t>. 67</w:t>
      </w:r>
      <w:r>
        <w:rPr>
          <w:rFonts w:ascii="Times New Roman" w:hAnsi="Times New Roman" w:cs="Times New Roman"/>
          <w:sz w:val="20"/>
          <w:szCs w:val="20"/>
        </w:rPr>
        <w:t>.</w:t>
      </w:r>
    </w:p>
    <w:p w14:paraId="01B9DA8C" w14:textId="77777777" w:rsidR="00C70C91" w:rsidRPr="00B3584B" w:rsidRDefault="00C70C91" w:rsidP="005F02A0">
      <w:pPr>
        <w:tabs>
          <w:tab w:val="left" w:pos="1560"/>
        </w:tabs>
        <w:spacing w:line="360" w:lineRule="auto"/>
        <w:ind w:left="-567" w:right="43" w:firstLine="284"/>
        <w:jc w:val="both"/>
        <w:rPr>
          <w:rFonts w:ascii="Times New Roman" w:hAnsi="Times New Roman" w:cs="Times New Roman"/>
          <w:sz w:val="28"/>
          <w:szCs w:val="28"/>
        </w:rPr>
      </w:pPr>
    </w:p>
    <w:p w14:paraId="240C075E" w14:textId="77777777" w:rsidR="00AD63F0" w:rsidRPr="00B3584B" w:rsidRDefault="00AD63F0" w:rsidP="005F02A0">
      <w:pPr>
        <w:tabs>
          <w:tab w:val="left" w:pos="1560"/>
        </w:tabs>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Акции юридических лиц</w:t>
      </w:r>
      <w:r w:rsidRPr="00B3584B">
        <w:rPr>
          <w:rFonts w:ascii="Times New Roman" w:hAnsi="Times New Roman" w:cs="Times New Roman"/>
          <w:b/>
          <w:sz w:val="28"/>
          <w:szCs w:val="28"/>
        </w:rPr>
        <w:t xml:space="preserve"> </w:t>
      </w:r>
      <w:r w:rsidRPr="00B3584B">
        <w:rPr>
          <w:rFonts w:ascii="Times New Roman" w:hAnsi="Times New Roman" w:cs="Times New Roman"/>
          <w:sz w:val="28"/>
          <w:szCs w:val="28"/>
        </w:rPr>
        <w:t>(</w:t>
      </w:r>
      <w:r w:rsidRPr="00B3584B">
        <w:rPr>
          <w:rFonts w:ascii="Times New Roman" w:hAnsi="Times New Roman" w:cs="Times New Roman"/>
          <w:sz w:val="28"/>
          <w:szCs w:val="28"/>
          <w:lang w:val="en-US"/>
        </w:rPr>
        <w:t>Legal</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Person</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Shares</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LP</w:t>
      </w:r>
      <w:r w:rsidRPr="00B3584B">
        <w:rPr>
          <w:rFonts w:ascii="Times New Roman" w:hAnsi="Times New Roman" w:cs="Times New Roman"/>
          <w:sz w:val="28"/>
          <w:szCs w:val="28"/>
        </w:rPr>
        <w:t>-</w:t>
      </w:r>
      <w:r w:rsidRPr="00B3584B">
        <w:rPr>
          <w:rFonts w:ascii="Times New Roman" w:hAnsi="Times New Roman" w:cs="Times New Roman"/>
          <w:sz w:val="28"/>
          <w:szCs w:val="28"/>
          <w:lang w:val="en-US"/>
        </w:rPr>
        <w:t>Shares</w:t>
      </w:r>
      <w:r w:rsidRPr="00B3584B">
        <w:rPr>
          <w:rFonts w:ascii="Times New Roman" w:hAnsi="Times New Roman" w:cs="Times New Roman"/>
          <w:sz w:val="28"/>
          <w:szCs w:val="28"/>
        </w:rPr>
        <w:t xml:space="preserve">) принадлежат, как правило, основным(материнским) компаниям и соучредителям листинговой компании, являющимся национальными организациями (акционерные общества, </w:t>
      </w:r>
      <w:r w:rsidRPr="00B3584B">
        <w:rPr>
          <w:rFonts w:ascii="Times New Roman" w:hAnsi="Times New Roman" w:cs="Times New Roman"/>
          <w:sz w:val="28"/>
          <w:szCs w:val="28"/>
        </w:rPr>
        <w:lastRenderedPageBreak/>
        <w:t>небанковские финансовые структуры, госпредприятия, в которых есть хотя бы один негосударственный собственник).</w:t>
      </w:r>
    </w:p>
    <w:p w14:paraId="7C836687" w14:textId="77777777" w:rsidR="00AD63F0" w:rsidRPr="00B3584B" w:rsidRDefault="00AD63F0" w:rsidP="005F02A0">
      <w:pPr>
        <w:tabs>
          <w:tab w:val="left" w:pos="1560"/>
        </w:tabs>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Если одна из перечисленных организаций полностью принадлежит государству, то  пакет акций выделяется в категорию «акции государства, принадлежащие национальным юридическим лицам». Акции этого типа составляют около одной трети совокупного капитала компаний и не могут выступать объектом торговли на фондовой бирже, но они могут относительно свободно участвовать во внебиржевых  сделках.</w:t>
      </w:r>
    </w:p>
    <w:p w14:paraId="580150E3" w14:textId="77777777" w:rsidR="00AD63F0" w:rsidRPr="00B3584B" w:rsidRDefault="00AD63F0" w:rsidP="005F02A0">
      <w:pPr>
        <w:tabs>
          <w:tab w:val="left" w:pos="1560"/>
        </w:tabs>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Другая треть всех акций – это акции государства (</w:t>
      </w:r>
      <w:r w:rsidRPr="00B3584B">
        <w:rPr>
          <w:rFonts w:ascii="Times New Roman" w:hAnsi="Times New Roman" w:cs="Times New Roman"/>
          <w:sz w:val="28"/>
          <w:szCs w:val="28"/>
          <w:lang w:val="en-US"/>
        </w:rPr>
        <w:t>state</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shares</w:t>
      </w:r>
      <w:r w:rsidRPr="00B3584B">
        <w:rPr>
          <w:rFonts w:ascii="Times New Roman" w:hAnsi="Times New Roman" w:cs="Times New Roman"/>
          <w:sz w:val="28"/>
          <w:szCs w:val="28"/>
        </w:rPr>
        <w:t xml:space="preserve">), представляющие долю </w:t>
      </w:r>
      <w:r w:rsidRPr="00B3584B">
        <w:rPr>
          <w:rFonts w:ascii="Times New Roman" w:hAnsi="Times New Roman" w:cs="Times New Roman"/>
          <w:sz w:val="28"/>
          <w:szCs w:val="28"/>
          <w:lang w:val="en-US"/>
        </w:rPr>
        <w:t>c</w:t>
      </w:r>
      <w:r w:rsidRPr="00B3584B">
        <w:rPr>
          <w:rFonts w:ascii="Times New Roman" w:hAnsi="Times New Roman" w:cs="Times New Roman"/>
          <w:sz w:val="28"/>
          <w:szCs w:val="28"/>
        </w:rPr>
        <w:t>обственности г</w:t>
      </w:r>
      <w:r w:rsidRPr="00B3584B">
        <w:rPr>
          <w:rFonts w:ascii="Times New Roman" w:hAnsi="Times New Roman" w:cs="Times New Roman"/>
          <w:sz w:val="28"/>
          <w:szCs w:val="28"/>
          <w:lang w:val="en-US"/>
        </w:rPr>
        <w:t>o</w:t>
      </w:r>
      <w:r w:rsidRPr="00B3584B">
        <w:rPr>
          <w:rFonts w:ascii="Times New Roman" w:hAnsi="Times New Roman" w:cs="Times New Roman"/>
          <w:sz w:val="28"/>
          <w:szCs w:val="28"/>
        </w:rPr>
        <w:t>сударства в листинговых к</w:t>
      </w:r>
      <w:r w:rsidRPr="00B3584B">
        <w:rPr>
          <w:rFonts w:ascii="Times New Roman" w:hAnsi="Times New Roman" w:cs="Times New Roman"/>
          <w:sz w:val="28"/>
          <w:szCs w:val="28"/>
          <w:lang w:val="en-US"/>
        </w:rPr>
        <w:t>o</w:t>
      </w:r>
      <w:r w:rsidRPr="00B3584B">
        <w:rPr>
          <w:rFonts w:ascii="Times New Roman" w:hAnsi="Times New Roman" w:cs="Times New Roman"/>
          <w:sz w:val="28"/>
          <w:szCs w:val="28"/>
        </w:rPr>
        <w:t>мпаниях. Они принадлежат либ</w:t>
      </w:r>
      <w:r w:rsidRPr="00B3584B">
        <w:rPr>
          <w:rFonts w:ascii="Times New Roman" w:hAnsi="Times New Roman" w:cs="Times New Roman"/>
          <w:sz w:val="28"/>
          <w:szCs w:val="28"/>
          <w:lang w:val="en-US"/>
        </w:rPr>
        <w:t>o</w:t>
      </w:r>
      <w:r w:rsidRPr="00B3584B">
        <w:rPr>
          <w:rFonts w:ascii="Times New Roman" w:hAnsi="Times New Roman" w:cs="Times New Roman"/>
          <w:sz w:val="28"/>
          <w:szCs w:val="28"/>
        </w:rPr>
        <w:t xml:space="preserve"> региональным органам управления го</w:t>
      </w:r>
      <w:r w:rsidRPr="00B3584B">
        <w:rPr>
          <w:rFonts w:ascii="Times New Roman" w:hAnsi="Times New Roman" w:cs="Times New Roman"/>
          <w:sz w:val="28"/>
          <w:szCs w:val="28"/>
          <w:lang w:val="en-US"/>
        </w:rPr>
        <w:t>c</w:t>
      </w:r>
      <w:r w:rsidRPr="00B3584B">
        <w:rPr>
          <w:rFonts w:ascii="Times New Roman" w:hAnsi="Times New Roman" w:cs="Times New Roman"/>
          <w:sz w:val="28"/>
          <w:szCs w:val="28"/>
        </w:rPr>
        <w:t>имуществом, либо центральным п</w:t>
      </w:r>
      <w:r w:rsidRPr="00B3584B">
        <w:rPr>
          <w:rFonts w:ascii="Times New Roman" w:hAnsi="Times New Roman" w:cs="Times New Roman"/>
          <w:sz w:val="28"/>
          <w:szCs w:val="28"/>
          <w:lang w:val="en-US"/>
        </w:rPr>
        <w:t>p</w:t>
      </w:r>
      <w:r w:rsidRPr="00B3584B">
        <w:rPr>
          <w:rFonts w:ascii="Times New Roman" w:hAnsi="Times New Roman" w:cs="Times New Roman"/>
          <w:sz w:val="28"/>
          <w:szCs w:val="28"/>
        </w:rPr>
        <w:t>авительственным органам, в зависимости от того,кому подчинялось бывшее госпредприятие. Эти акции  не обыли в свободном обращении на рынке, не выступали объектом купли-продажи. Для того, чтобы передать их другим субъектам ,необходимо преодолеть многочисленные административные барьеры.</w:t>
      </w:r>
    </w:p>
    <w:p w14:paraId="4588FA71" w14:textId="77777777" w:rsidR="00AD63F0" w:rsidRPr="00B3584B" w:rsidRDefault="00AD63F0" w:rsidP="005F02A0">
      <w:pPr>
        <w:tabs>
          <w:tab w:val="left" w:pos="1560"/>
        </w:tabs>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Для свободного обращения на фондовых биржах выделены три типа акций:  акции типа «А» – для обращени в пределах КНР между резидентами, акции типа «В» – для обращения между физическими и юридическими лицами-нерезидентами , а также физическими лицами-резидентами КНР, акции типа «</w:t>
      </w:r>
      <w:r w:rsidRPr="00B3584B">
        <w:rPr>
          <w:rFonts w:ascii="Times New Roman" w:hAnsi="Times New Roman" w:cs="Times New Roman"/>
          <w:sz w:val="28"/>
          <w:szCs w:val="28"/>
          <w:lang w:val="en-US"/>
        </w:rPr>
        <w:t>H</w:t>
      </w:r>
      <w:r w:rsidRPr="00B3584B">
        <w:rPr>
          <w:rFonts w:ascii="Times New Roman" w:hAnsi="Times New Roman" w:cs="Times New Roman"/>
          <w:sz w:val="28"/>
          <w:szCs w:val="28"/>
        </w:rPr>
        <w:t>/</w:t>
      </w:r>
      <w:r w:rsidRPr="00B3584B">
        <w:rPr>
          <w:rFonts w:ascii="Times New Roman" w:hAnsi="Times New Roman" w:cs="Times New Roman"/>
          <w:sz w:val="28"/>
          <w:szCs w:val="28"/>
          <w:lang w:val="en-US"/>
        </w:rPr>
        <w:t>N</w:t>
      </w:r>
      <w:r w:rsidRPr="00B3584B">
        <w:rPr>
          <w:rFonts w:ascii="Times New Roman" w:hAnsi="Times New Roman" w:cs="Times New Roman"/>
          <w:sz w:val="28"/>
          <w:szCs w:val="28"/>
        </w:rPr>
        <w:t>/</w:t>
      </w:r>
      <w:r w:rsidRPr="00B3584B">
        <w:rPr>
          <w:rFonts w:ascii="Times New Roman" w:hAnsi="Times New Roman" w:cs="Times New Roman"/>
          <w:sz w:val="28"/>
          <w:szCs w:val="28"/>
          <w:lang w:val="en-US"/>
        </w:rPr>
        <w:t>L</w:t>
      </w:r>
      <w:r w:rsidRPr="00B3584B">
        <w:rPr>
          <w:rFonts w:ascii="Times New Roman" w:hAnsi="Times New Roman" w:cs="Times New Roman"/>
          <w:sz w:val="28"/>
          <w:szCs w:val="28"/>
        </w:rPr>
        <w:t>/</w:t>
      </w:r>
      <w:r w:rsidRPr="00B3584B">
        <w:rPr>
          <w:rFonts w:ascii="Times New Roman" w:hAnsi="Times New Roman" w:cs="Times New Roman"/>
          <w:sz w:val="28"/>
          <w:szCs w:val="28"/>
          <w:lang w:val="en-US"/>
        </w:rPr>
        <w:t>S</w:t>
      </w:r>
      <w:r w:rsidRPr="00B3584B">
        <w:rPr>
          <w:rFonts w:ascii="Times New Roman" w:hAnsi="Times New Roman" w:cs="Times New Roman"/>
          <w:sz w:val="28"/>
          <w:szCs w:val="28"/>
        </w:rPr>
        <w:t>» – они зарегистрированы соответственно на Гонконгской, Нью-Йоркской, Лондонской и Сингапурской фондовых биржах и обращаются только на указанных биржах.</w:t>
      </w:r>
    </w:p>
    <w:p w14:paraId="32FCA30F" w14:textId="77777777" w:rsidR="00AD63F0" w:rsidRPr="00B3584B" w:rsidRDefault="00AD63F0" w:rsidP="005F02A0">
      <w:pPr>
        <w:tabs>
          <w:tab w:val="left" w:pos="1560"/>
        </w:tabs>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Единственным источником реального финансирования для компаний являются рыночные акции, так как акционеры-держатели акций юридических лиц обычно обмениваются акциями, а государство, как держатель государственных акций, не делает никаких взносов.</w:t>
      </w:r>
    </w:p>
    <w:p w14:paraId="21084068" w14:textId="77777777" w:rsidR="00AD63F0" w:rsidRDefault="00AD63F0" w:rsidP="005F02A0">
      <w:pPr>
        <w:tabs>
          <w:tab w:val="left" w:pos="1560"/>
        </w:tabs>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В таблице 8 представлена структура капитала акционерных компаний Китая в разрезе количества выпущенных акций.</w:t>
      </w:r>
    </w:p>
    <w:p w14:paraId="460B58CD" w14:textId="77777777" w:rsidR="00B3584B" w:rsidRPr="00B3584B" w:rsidRDefault="00B3584B" w:rsidP="005F02A0">
      <w:pPr>
        <w:tabs>
          <w:tab w:val="left" w:pos="284"/>
        </w:tabs>
        <w:spacing w:before="120"/>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lastRenderedPageBreak/>
        <w:t>Таблица 8. Структура совокупного акционерного капитала компаний в КНР</w:t>
      </w:r>
    </w:p>
    <w:p w14:paraId="3C5A8152" w14:textId="77777777" w:rsidR="00B3584B" w:rsidRDefault="00B3584B" w:rsidP="005F02A0">
      <w:pPr>
        <w:tabs>
          <w:tab w:val="left" w:pos="1560"/>
        </w:tabs>
        <w:spacing w:before="120"/>
        <w:ind w:left="-567" w:right="43" w:firstLine="284"/>
        <w:jc w:val="both"/>
        <w:rPr>
          <w:rFonts w:ascii="Times New Roman" w:hAnsi="Times New Roman" w:cs="Times New Roman"/>
        </w:rPr>
      </w:pPr>
      <w:r w:rsidRPr="005C626D">
        <w:rPr>
          <w:rFonts w:ascii="Times New Roman" w:hAnsi="Times New Roman" w:cs="Times New Roman"/>
          <w:noProof/>
          <w:lang w:val="en-US"/>
        </w:rPr>
        <w:drawing>
          <wp:inline distT="0" distB="0" distL="0" distR="0" wp14:anchorId="21B692CF" wp14:editId="742AD6E7">
            <wp:extent cx="5265791" cy="147947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
                      <a:extLst>
                        <a:ext uri="{28A0092B-C50C-407E-A947-70E740481C1C}">
                          <a14:useLocalDpi xmlns:a14="http://schemas.microsoft.com/office/drawing/2010/main" val="0"/>
                        </a:ext>
                      </a:extLst>
                    </a:blip>
                    <a:srcRect b="11656"/>
                    <a:stretch>
                      <a:fillRect/>
                    </a:stretch>
                  </pic:blipFill>
                  <pic:spPr bwMode="auto">
                    <a:xfrm>
                      <a:off x="0" y="0"/>
                      <a:ext cx="5265791" cy="1479478"/>
                    </a:xfrm>
                    <a:prstGeom prst="rect">
                      <a:avLst/>
                    </a:prstGeom>
                    <a:noFill/>
                    <a:ln>
                      <a:noFill/>
                    </a:ln>
                  </pic:spPr>
                </pic:pic>
              </a:graphicData>
            </a:graphic>
          </wp:inline>
        </w:drawing>
      </w:r>
    </w:p>
    <w:p w14:paraId="77200040" w14:textId="77777777" w:rsidR="00B3584B" w:rsidRPr="00400FE9" w:rsidRDefault="00B3584B" w:rsidP="005F02A0">
      <w:pPr>
        <w:tabs>
          <w:tab w:val="left" w:pos="1560"/>
        </w:tabs>
        <w:spacing w:before="120"/>
        <w:ind w:left="-567" w:right="43" w:firstLine="284"/>
        <w:jc w:val="both"/>
        <w:rPr>
          <w:rFonts w:ascii="Times New Roman" w:hAnsi="Times New Roman" w:cs="Times New Roman"/>
          <w:sz w:val="20"/>
          <w:szCs w:val="20"/>
        </w:rPr>
      </w:pPr>
      <w:r w:rsidRPr="00400FE9">
        <w:rPr>
          <w:rFonts w:ascii="Times New Roman" w:hAnsi="Times New Roman" w:cs="Times New Roman"/>
          <w:sz w:val="20"/>
          <w:szCs w:val="20"/>
        </w:rPr>
        <w:t>Источник: Данные К</w:t>
      </w:r>
      <w:r>
        <w:rPr>
          <w:rFonts w:ascii="Times New Roman" w:hAnsi="Times New Roman" w:cs="Times New Roman"/>
          <w:sz w:val="20"/>
          <w:szCs w:val="20"/>
        </w:rPr>
        <w:t xml:space="preserve">УКЦБ. – </w:t>
      </w:r>
      <w:r w:rsidRPr="00400FE9">
        <w:rPr>
          <w:rFonts w:ascii="Times New Roman" w:hAnsi="Times New Roman" w:cs="Times New Roman"/>
          <w:sz w:val="20"/>
          <w:szCs w:val="20"/>
        </w:rPr>
        <w:t xml:space="preserve"> </w:t>
      </w:r>
      <w:r w:rsidRPr="00400FE9">
        <w:rPr>
          <w:rFonts w:ascii="Times New Roman" w:hAnsi="Times New Roman" w:cs="Times New Roman"/>
          <w:sz w:val="20"/>
          <w:szCs w:val="20"/>
          <w:lang w:val="en-US"/>
        </w:rPr>
        <w:t>www</w:t>
      </w:r>
      <w:r w:rsidRPr="00400FE9">
        <w:rPr>
          <w:rFonts w:ascii="Times New Roman" w:hAnsi="Times New Roman" w:cs="Times New Roman"/>
          <w:sz w:val="20"/>
          <w:szCs w:val="20"/>
        </w:rPr>
        <w:t>.</w:t>
      </w:r>
      <w:r w:rsidRPr="00400FE9">
        <w:rPr>
          <w:rFonts w:ascii="Times New Roman" w:hAnsi="Times New Roman" w:cs="Times New Roman"/>
          <w:sz w:val="20"/>
          <w:szCs w:val="20"/>
          <w:lang w:val="en-US"/>
        </w:rPr>
        <w:t>csrc</w:t>
      </w:r>
      <w:r w:rsidRPr="00400FE9">
        <w:rPr>
          <w:rFonts w:ascii="Times New Roman" w:hAnsi="Times New Roman" w:cs="Times New Roman"/>
          <w:sz w:val="20"/>
          <w:szCs w:val="20"/>
        </w:rPr>
        <w:t>.</w:t>
      </w:r>
      <w:r w:rsidRPr="00400FE9">
        <w:rPr>
          <w:rFonts w:ascii="Times New Roman" w:hAnsi="Times New Roman" w:cs="Times New Roman"/>
          <w:sz w:val="20"/>
          <w:szCs w:val="20"/>
          <w:lang w:val="en-US"/>
        </w:rPr>
        <w:t>gov</w:t>
      </w:r>
      <w:r w:rsidRPr="00400FE9">
        <w:rPr>
          <w:rFonts w:ascii="Times New Roman" w:hAnsi="Times New Roman" w:cs="Times New Roman"/>
          <w:sz w:val="20"/>
          <w:szCs w:val="20"/>
        </w:rPr>
        <w:t>.</w:t>
      </w:r>
      <w:r w:rsidRPr="00400FE9">
        <w:rPr>
          <w:rFonts w:ascii="Times New Roman" w:hAnsi="Times New Roman" w:cs="Times New Roman"/>
          <w:sz w:val="20"/>
          <w:szCs w:val="20"/>
          <w:lang w:val="en-US"/>
        </w:rPr>
        <w:t>cn</w:t>
      </w:r>
      <w:r w:rsidRPr="00400FE9">
        <w:rPr>
          <w:rFonts w:ascii="Times New Roman" w:hAnsi="Times New Roman" w:cs="Times New Roman"/>
          <w:sz w:val="20"/>
          <w:szCs w:val="20"/>
        </w:rPr>
        <w:t>.</w:t>
      </w:r>
    </w:p>
    <w:p w14:paraId="08E25468" w14:textId="77777777" w:rsidR="00B3584B" w:rsidRPr="00B3584B" w:rsidRDefault="00B3584B" w:rsidP="005F02A0">
      <w:pPr>
        <w:tabs>
          <w:tab w:val="left" w:pos="1560"/>
        </w:tabs>
        <w:spacing w:line="360" w:lineRule="auto"/>
        <w:ind w:left="-567" w:right="43" w:firstLine="284"/>
        <w:jc w:val="both"/>
        <w:rPr>
          <w:rFonts w:ascii="Times New Roman" w:hAnsi="Times New Roman" w:cs="Times New Roman"/>
          <w:sz w:val="28"/>
          <w:szCs w:val="28"/>
        </w:rPr>
      </w:pPr>
    </w:p>
    <w:p w14:paraId="549B93F9" w14:textId="77777777" w:rsidR="00AD63F0" w:rsidRDefault="00AD63F0" w:rsidP="005F02A0">
      <w:pPr>
        <w:spacing w:line="360" w:lineRule="auto"/>
        <w:ind w:left="-567" w:right="43" w:firstLine="284"/>
        <w:jc w:val="both"/>
        <w:rPr>
          <w:rFonts w:ascii="Times New Roman" w:hAnsi="Times New Roman" w:cs="Times New Roman"/>
          <w:sz w:val="28"/>
          <w:szCs w:val="28"/>
        </w:rPr>
      </w:pPr>
      <w:r w:rsidRPr="00B3584B">
        <w:rPr>
          <w:rFonts w:ascii="Times New Roman" w:hAnsi="Times New Roman" w:cs="Times New Roman"/>
          <w:sz w:val="28"/>
          <w:szCs w:val="28"/>
        </w:rPr>
        <w:t xml:space="preserve">Из таблицы 8 видно, что доля нерыночных акций значительно снизилась к 2008 г. Это в первую очередь связано с тем, что в ходе реформы очередные компании, выходящие на  </w:t>
      </w:r>
      <w:r w:rsidRPr="00B3584B">
        <w:rPr>
          <w:rFonts w:ascii="Times New Roman" w:hAnsi="Times New Roman" w:cs="Times New Roman"/>
          <w:sz w:val="28"/>
          <w:szCs w:val="28"/>
          <w:lang w:val="en-US"/>
        </w:rPr>
        <w:t>IPO</w:t>
      </w:r>
      <w:r w:rsidRPr="00B3584B">
        <w:rPr>
          <w:rFonts w:ascii="Times New Roman" w:hAnsi="Times New Roman" w:cs="Times New Roman"/>
          <w:sz w:val="28"/>
          <w:szCs w:val="28"/>
        </w:rPr>
        <w:t>, уже все их акции  рыночные, что снижает долю нерыночных акций.  Необходимость снижения доли государства на фондовом рынке вполне осознана правительством КНР, поэтому с 2005 г. оно начало осуществлять реформу акционерного капитала государственных компаний, в результате которой нерыночные государственные  ЦБ постепенно выводятся на рынок. Реформа рассчитана на многие годы. Результатом ее успешного завершения должно стать то, что доля необращающихся акций в компаниях должна быть сведена к минимуму. На конец 2011 г. количество свободно обращающихся акций увеличилось до 36096.</w:t>
      </w:r>
    </w:p>
    <w:p w14:paraId="4246D0DE" w14:textId="77777777" w:rsidR="00C70C91" w:rsidRPr="00C70C91" w:rsidRDefault="00C70C91" w:rsidP="00C70C91">
      <w:pPr>
        <w:spacing w:before="120"/>
        <w:ind w:left="-567" w:right="-631" w:firstLine="284"/>
        <w:jc w:val="both"/>
        <w:rPr>
          <w:rFonts w:ascii="Times New Roman" w:hAnsi="Times New Roman" w:cs="Times New Roman"/>
          <w:sz w:val="28"/>
          <w:szCs w:val="28"/>
        </w:rPr>
      </w:pPr>
      <w:r w:rsidRPr="00C70C91">
        <w:rPr>
          <w:rFonts w:ascii="Times New Roman" w:hAnsi="Times New Roman" w:cs="Times New Roman"/>
          <w:sz w:val="28"/>
          <w:szCs w:val="28"/>
        </w:rPr>
        <w:t>Таблица 9. Количество свободно обращающихся акций в 2007-2011 гг.</w:t>
      </w:r>
    </w:p>
    <w:tbl>
      <w:tblPr>
        <w:tblStyle w:val="TableGrid"/>
        <w:tblW w:w="0" w:type="auto"/>
        <w:tblInd w:w="-567" w:type="dxa"/>
        <w:tblLook w:val="04A0" w:firstRow="1" w:lastRow="0" w:firstColumn="1" w:lastColumn="0" w:noHBand="0" w:noVBand="1"/>
      </w:tblPr>
      <w:tblGrid>
        <w:gridCol w:w="1703"/>
        <w:gridCol w:w="1703"/>
        <w:gridCol w:w="1703"/>
        <w:gridCol w:w="1703"/>
        <w:gridCol w:w="1704"/>
      </w:tblGrid>
      <w:tr w:rsidR="00C70C91" w14:paraId="151CBC81" w14:textId="77777777" w:rsidTr="00C70C91">
        <w:tc>
          <w:tcPr>
            <w:tcW w:w="1703" w:type="dxa"/>
          </w:tcPr>
          <w:p w14:paraId="31C7A5CC"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2007</w:t>
            </w:r>
          </w:p>
        </w:tc>
        <w:tc>
          <w:tcPr>
            <w:tcW w:w="1703" w:type="dxa"/>
          </w:tcPr>
          <w:p w14:paraId="53305D8C"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2008</w:t>
            </w:r>
          </w:p>
        </w:tc>
        <w:tc>
          <w:tcPr>
            <w:tcW w:w="1703" w:type="dxa"/>
          </w:tcPr>
          <w:p w14:paraId="0181A6EB"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2009</w:t>
            </w:r>
          </w:p>
        </w:tc>
        <w:tc>
          <w:tcPr>
            <w:tcW w:w="1703" w:type="dxa"/>
          </w:tcPr>
          <w:p w14:paraId="65ED3DCA"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2010</w:t>
            </w:r>
          </w:p>
        </w:tc>
        <w:tc>
          <w:tcPr>
            <w:tcW w:w="1704" w:type="dxa"/>
          </w:tcPr>
          <w:p w14:paraId="596865F8"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2011</w:t>
            </w:r>
          </w:p>
        </w:tc>
      </w:tr>
      <w:tr w:rsidR="00C70C91" w14:paraId="11FDB330" w14:textId="77777777" w:rsidTr="00C70C91">
        <w:tc>
          <w:tcPr>
            <w:tcW w:w="1703" w:type="dxa"/>
          </w:tcPr>
          <w:p w14:paraId="0A785970"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22417</w:t>
            </w:r>
          </w:p>
        </w:tc>
        <w:tc>
          <w:tcPr>
            <w:tcW w:w="1703" w:type="dxa"/>
          </w:tcPr>
          <w:p w14:paraId="460BD67C"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24523</w:t>
            </w:r>
          </w:p>
        </w:tc>
        <w:tc>
          <w:tcPr>
            <w:tcW w:w="1703" w:type="dxa"/>
          </w:tcPr>
          <w:p w14:paraId="4F3020BF"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26163</w:t>
            </w:r>
          </w:p>
        </w:tc>
        <w:tc>
          <w:tcPr>
            <w:tcW w:w="1703" w:type="dxa"/>
          </w:tcPr>
          <w:p w14:paraId="04652717"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33184</w:t>
            </w:r>
          </w:p>
        </w:tc>
        <w:tc>
          <w:tcPr>
            <w:tcW w:w="1704" w:type="dxa"/>
          </w:tcPr>
          <w:p w14:paraId="37995FD1" w14:textId="77777777" w:rsidR="00C70C91" w:rsidRDefault="00C70C91" w:rsidP="00C70C91">
            <w:pPr>
              <w:spacing w:before="120"/>
              <w:ind w:right="-631"/>
              <w:jc w:val="both"/>
              <w:rPr>
                <w:rFonts w:ascii="Times New Roman" w:hAnsi="Times New Roman" w:cs="Times New Roman"/>
              </w:rPr>
            </w:pPr>
            <w:r>
              <w:rPr>
                <w:rFonts w:ascii="Times New Roman" w:hAnsi="Times New Roman" w:cs="Times New Roman"/>
              </w:rPr>
              <w:t>36096</w:t>
            </w:r>
          </w:p>
        </w:tc>
      </w:tr>
    </w:tbl>
    <w:p w14:paraId="4CCFFF3F" w14:textId="77777777" w:rsidR="00C70C91" w:rsidRPr="00361978" w:rsidRDefault="00C70C91" w:rsidP="00C70C91">
      <w:pPr>
        <w:rPr>
          <w:rFonts w:ascii="Times" w:eastAsia="Times New Roman" w:hAnsi="Times" w:cs="Times New Roman"/>
          <w:sz w:val="20"/>
          <w:szCs w:val="20"/>
        </w:rPr>
      </w:pPr>
      <w:r w:rsidRPr="004A6615">
        <w:rPr>
          <w:rFonts w:ascii="Times New Roman" w:hAnsi="Times New Roman" w:cs="Times New Roman"/>
          <w:sz w:val="20"/>
          <w:szCs w:val="20"/>
        </w:rPr>
        <w:t xml:space="preserve">Источник: </w:t>
      </w:r>
      <w:r w:rsidRPr="004F056C">
        <w:rPr>
          <w:rFonts w:ascii="Times New Roman" w:eastAsia="Times New Roman" w:hAnsi="Times New Roman" w:cs="Times New Roman"/>
          <w:bCs/>
          <w:sz w:val="20"/>
          <w:szCs w:val="20"/>
          <w:shd w:val="clear" w:color="auto" w:fill="FFFFFF"/>
        </w:rPr>
        <w:t xml:space="preserve">Чжунго тунцзи </w:t>
      </w:r>
      <w:r>
        <w:rPr>
          <w:rFonts w:ascii="Times New Roman" w:eastAsia="Times New Roman" w:hAnsi="Times New Roman" w:cs="Times New Roman"/>
          <w:bCs/>
          <w:sz w:val="20"/>
          <w:szCs w:val="20"/>
          <w:shd w:val="clear" w:color="auto" w:fill="FFFFFF"/>
        </w:rPr>
        <w:t>чжайяо</w:t>
      </w:r>
      <w:r w:rsidRPr="004F056C">
        <w:rPr>
          <w:rFonts w:ascii="Times New Roman" w:eastAsia="Times New Roman" w:hAnsi="Times New Roman" w:cs="Times New Roman"/>
          <w:bCs/>
          <w:sz w:val="20"/>
          <w:szCs w:val="20"/>
          <w:shd w:val="clear" w:color="auto" w:fill="FFFFFF"/>
        </w:rPr>
        <w:t xml:space="preserve"> </w:t>
      </w:r>
      <w:r w:rsidRPr="004F056C">
        <w:rPr>
          <w:rFonts w:ascii="Times New Roman" w:hAnsi="Times New Roman" w:cs="Times New Roman"/>
          <w:sz w:val="20"/>
          <w:szCs w:val="20"/>
        </w:rPr>
        <w:t>(Краткий</w:t>
      </w:r>
      <w:r>
        <w:rPr>
          <w:rFonts w:ascii="Times New Roman" w:hAnsi="Times New Roman" w:cs="Times New Roman"/>
          <w:sz w:val="20"/>
          <w:szCs w:val="20"/>
        </w:rPr>
        <w:t xml:space="preserve"> ежегодный статистический справочник Китаяю. 2012). Пекин. </w:t>
      </w:r>
      <w:r w:rsidRPr="00361978">
        <w:rPr>
          <w:rFonts w:ascii="Times New Roman" w:hAnsi="Times New Roman" w:cs="Times New Roman"/>
          <w:sz w:val="20"/>
          <w:szCs w:val="20"/>
        </w:rPr>
        <w:t>2012.</w:t>
      </w:r>
      <w:r>
        <w:rPr>
          <w:rFonts w:ascii="Times New Roman" w:hAnsi="Times New Roman" w:cs="Times New Roman"/>
          <w:sz w:val="20"/>
          <w:szCs w:val="20"/>
        </w:rPr>
        <w:t xml:space="preserve"> </w:t>
      </w:r>
    </w:p>
    <w:p w14:paraId="2AFD7ABE" w14:textId="77777777" w:rsidR="00C70C91" w:rsidRPr="00B3584B" w:rsidRDefault="00C70C91" w:rsidP="00B3584B">
      <w:pPr>
        <w:spacing w:line="360" w:lineRule="auto"/>
        <w:ind w:left="-567" w:right="-629" w:firstLine="284"/>
        <w:jc w:val="both"/>
        <w:rPr>
          <w:rFonts w:ascii="Times New Roman" w:hAnsi="Times New Roman" w:cs="Times New Roman"/>
          <w:sz w:val="28"/>
          <w:szCs w:val="28"/>
        </w:rPr>
      </w:pPr>
    </w:p>
    <w:p w14:paraId="6F888827" w14:textId="77777777" w:rsidR="00AD63F0" w:rsidRPr="00B3584B" w:rsidRDefault="00AD63F0" w:rsidP="00B3584B">
      <w:pPr>
        <w:tabs>
          <w:tab w:val="left" w:pos="1560"/>
        </w:tabs>
        <w:spacing w:line="360" w:lineRule="auto"/>
        <w:ind w:left="-567" w:right="-629" w:firstLine="284"/>
        <w:jc w:val="both"/>
        <w:rPr>
          <w:rFonts w:ascii="Times New Roman" w:hAnsi="Times New Roman" w:cs="Times New Roman"/>
          <w:sz w:val="28"/>
          <w:szCs w:val="28"/>
        </w:rPr>
      </w:pPr>
      <w:r w:rsidRPr="00B3584B">
        <w:rPr>
          <w:rFonts w:ascii="Times New Roman" w:hAnsi="Times New Roman" w:cs="Times New Roman"/>
          <w:sz w:val="28"/>
          <w:szCs w:val="28"/>
        </w:rPr>
        <w:t>Правительство КНР произвело ряд мер, направленных на либерализацию и разгосударствление рынка акций (с целью увеличения «</w:t>
      </w:r>
      <w:r w:rsidRPr="00B3584B">
        <w:rPr>
          <w:rFonts w:ascii="Times New Roman" w:hAnsi="Times New Roman" w:cs="Times New Roman"/>
          <w:sz w:val="28"/>
          <w:szCs w:val="28"/>
          <w:lang w:val="en-US"/>
        </w:rPr>
        <w:t>free</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float</w:t>
      </w:r>
      <w:r w:rsidRPr="00B3584B">
        <w:rPr>
          <w:rFonts w:ascii="Times New Roman" w:hAnsi="Times New Roman" w:cs="Times New Roman"/>
          <w:sz w:val="28"/>
          <w:szCs w:val="28"/>
        </w:rPr>
        <w:t xml:space="preserve">»), также на рынок были допущены иностранные институциональные инвесторы. С этой целью в 2002 г. была введена система </w:t>
      </w:r>
      <w:r w:rsidRPr="00B3584B">
        <w:rPr>
          <w:rFonts w:ascii="Times New Roman" w:hAnsi="Times New Roman" w:cs="Times New Roman"/>
          <w:sz w:val="28"/>
          <w:szCs w:val="28"/>
          <w:lang w:val="en-US"/>
        </w:rPr>
        <w:t>QFII</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Qualified</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Foreign</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Institutional</w:t>
      </w:r>
      <w:r w:rsidRPr="00B3584B">
        <w:rPr>
          <w:rFonts w:ascii="Times New Roman" w:hAnsi="Times New Roman" w:cs="Times New Roman"/>
          <w:sz w:val="28"/>
          <w:szCs w:val="28"/>
        </w:rPr>
        <w:t xml:space="preserve"> </w:t>
      </w:r>
      <w:r w:rsidRPr="00B3584B">
        <w:rPr>
          <w:rFonts w:ascii="Times New Roman" w:hAnsi="Times New Roman" w:cs="Times New Roman"/>
          <w:sz w:val="28"/>
          <w:szCs w:val="28"/>
          <w:lang w:val="en-US"/>
        </w:rPr>
        <w:t>Investors</w:t>
      </w:r>
      <w:r w:rsidRPr="00B3584B">
        <w:rPr>
          <w:rFonts w:ascii="Times New Roman" w:hAnsi="Times New Roman" w:cs="Times New Roman"/>
          <w:sz w:val="28"/>
          <w:szCs w:val="28"/>
        </w:rPr>
        <w:t xml:space="preserve">) -- «квалифицированных иностранных институциональных инвесторов» (рисунок 7). Однако для квалифицированных инвесторов регулятором ежегодно устанавливается </w:t>
      </w:r>
      <w:r w:rsidRPr="00B3584B">
        <w:rPr>
          <w:rFonts w:ascii="Times New Roman" w:hAnsi="Times New Roman" w:cs="Times New Roman"/>
          <w:sz w:val="28"/>
          <w:szCs w:val="28"/>
        </w:rPr>
        <w:lastRenderedPageBreak/>
        <w:t xml:space="preserve">квота в пределах которой разрешается осуществлять инвестиции  (рисунок 8). Такими мерами государство сохраняет большую часть ликвидного объема акций для внутренних инвесторов, в первую очередь для розничных. </w:t>
      </w:r>
    </w:p>
    <w:p w14:paraId="63DC320F" w14:textId="77777777" w:rsidR="00AD63F0" w:rsidRPr="00B327AB" w:rsidRDefault="00AD63F0" w:rsidP="00AD63F0">
      <w:pPr>
        <w:tabs>
          <w:tab w:val="left" w:pos="1560"/>
        </w:tabs>
        <w:spacing w:before="120"/>
        <w:ind w:left="-567" w:right="-631" w:firstLine="284"/>
        <w:jc w:val="both"/>
        <w:rPr>
          <w:rFonts w:ascii="Times New Roman" w:hAnsi="Times New Roman" w:cs="Times New Roman"/>
        </w:rPr>
      </w:pPr>
      <w:r w:rsidRPr="00B327AB">
        <w:rPr>
          <w:rFonts w:ascii="Times New Roman" w:hAnsi="Times New Roman" w:cs="Times New Roman"/>
        </w:rPr>
        <w:t>Рисунок 7. Число и объем вложений квалифицированных зарубежных институциональных инвесторов в 2003-2012 гг.</w:t>
      </w:r>
    </w:p>
    <w:p w14:paraId="117946E3" w14:textId="77777777" w:rsidR="00AD63F0" w:rsidRPr="00B327AB" w:rsidRDefault="00AD63F0" w:rsidP="00AD63F0">
      <w:pPr>
        <w:tabs>
          <w:tab w:val="left" w:pos="1560"/>
        </w:tabs>
        <w:spacing w:before="120" w:after="240"/>
        <w:ind w:left="-567" w:right="-631" w:firstLine="284"/>
        <w:rPr>
          <w:rFonts w:ascii="Times New Roman" w:hAnsi="Times New Roman" w:cs="Times New Roman"/>
          <w:sz w:val="20"/>
          <w:szCs w:val="20"/>
          <w:lang w:val="en-US"/>
        </w:rPr>
      </w:pPr>
      <w:r w:rsidRPr="00B327AB">
        <w:rPr>
          <w:rFonts w:ascii="Times New Roman" w:hAnsi="Times New Roman" w:cs="Times New Roman"/>
          <w:noProof/>
          <w:lang w:val="en-US"/>
        </w:rPr>
        <w:drawing>
          <wp:inline distT="0" distB="0" distL="0" distR="0" wp14:anchorId="5CC94610" wp14:editId="3091CD1F">
            <wp:extent cx="4275455" cy="1920875"/>
            <wp:effectExtent l="19050" t="0" r="0" b="0"/>
            <wp:docPr id="227" name="Picture 7" descr="http://www.chinadaily.com.cn/bizchina/images/attachement/jpg/site1/20120405/0013729e3c9010e73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nadaily.com.cn/bizchina/images/attachement/jpg/site1/20120405/0013729e3c9010e7340002.jpg"/>
                    <pic:cNvPicPr>
                      <a:picLocks noChangeAspect="1" noChangeArrowheads="1"/>
                    </pic:cNvPicPr>
                  </pic:nvPicPr>
                  <pic:blipFill>
                    <a:blip r:embed="rId21" cstate="print"/>
                    <a:srcRect t="9687" b="12147"/>
                    <a:stretch>
                      <a:fillRect/>
                    </a:stretch>
                  </pic:blipFill>
                  <pic:spPr bwMode="auto">
                    <a:xfrm>
                      <a:off x="0" y="0"/>
                      <a:ext cx="4275455" cy="1920875"/>
                    </a:xfrm>
                    <a:prstGeom prst="rect">
                      <a:avLst/>
                    </a:prstGeom>
                    <a:noFill/>
                    <a:ln w="9525">
                      <a:noFill/>
                      <a:miter lim="800000"/>
                      <a:headEnd/>
                      <a:tailEnd/>
                    </a:ln>
                  </pic:spPr>
                </pic:pic>
              </a:graphicData>
            </a:graphic>
          </wp:inline>
        </w:drawing>
      </w:r>
      <w:r w:rsidRPr="00B327AB">
        <w:rPr>
          <w:rFonts w:ascii="Times New Roman" w:hAnsi="Times New Roman" w:cs="Times New Roman"/>
          <w:lang w:val="en-US"/>
        </w:rPr>
        <w:br w:type="textWrapping" w:clear="all"/>
      </w:r>
      <w:r w:rsidRPr="00B327AB">
        <w:rPr>
          <w:rFonts w:ascii="Times New Roman" w:hAnsi="Times New Roman" w:cs="Times New Roman"/>
          <w:sz w:val="20"/>
          <w:szCs w:val="20"/>
        </w:rPr>
        <w:t>Источник</w:t>
      </w:r>
      <w:r w:rsidRPr="00B327AB">
        <w:rPr>
          <w:rFonts w:ascii="Times New Roman" w:hAnsi="Times New Roman" w:cs="Times New Roman"/>
          <w:sz w:val="20"/>
          <w:szCs w:val="20"/>
          <w:lang w:val="en-US"/>
        </w:rPr>
        <w:t xml:space="preserve">: Jia C. Expanded QFII quotas signal of faster opening up. 2012. – </w:t>
      </w:r>
      <w:r w:rsidRPr="00B327AB">
        <w:rPr>
          <w:sz w:val="20"/>
          <w:szCs w:val="20"/>
          <w:lang w:val="en-US"/>
        </w:rPr>
        <w:t>http://www.chinadaily.com.cn/bizchina/2012-04/05/content_14979284.htm</w:t>
      </w:r>
    </w:p>
    <w:p w14:paraId="74A13958" w14:textId="77777777" w:rsidR="00AD63F0" w:rsidRPr="00B327AB" w:rsidRDefault="00AD63F0" w:rsidP="00AD63F0">
      <w:pPr>
        <w:tabs>
          <w:tab w:val="left" w:pos="1560"/>
        </w:tabs>
        <w:spacing w:before="120"/>
        <w:ind w:left="-567" w:right="-631" w:firstLine="284"/>
        <w:jc w:val="both"/>
        <w:rPr>
          <w:rFonts w:ascii="Times New Roman" w:hAnsi="Times New Roman" w:cs="Times New Roman"/>
        </w:rPr>
      </w:pPr>
      <w:r w:rsidRPr="00B327AB">
        <w:rPr>
          <w:rFonts w:ascii="Times New Roman" w:hAnsi="Times New Roman" w:cs="Times New Roman"/>
        </w:rPr>
        <w:t>Рисунок 8. Утверждение квот для квалифицированных зарубежных институциональных инвесторов</w:t>
      </w:r>
    </w:p>
    <w:p w14:paraId="6821DEBA" w14:textId="77777777" w:rsidR="00AD63F0" w:rsidRPr="00B327AB" w:rsidRDefault="00AD63F0" w:rsidP="00AD63F0">
      <w:pPr>
        <w:tabs>
          <w:tab w:val="left" w:pos="1560"/>
        </w:tabs>
        <w:spacing w:before="120"/>
        <w:ind w:left="-567" w:right="-631" w:firstLine="284"/>
        <w:jc w:val="both"/>
        <w:rPr>
          <w:rFonts w:ascii="Times New Roman" w:hAnsi="Times New Roman" w:cs="Times New Roman"/>
        </w:rPr>
      </w:pPr>
      <w:r w:rsidRPr="00B327AB">
        <w:rPr>
          <w:noProof/>
          <w:lang w:val="en-US"/>
        </w:rPr>
        <w:drawing>
          <wp:inline distT="0" distB="0" distL="0" distR="0" wp14:anchorId="6476FB05" wp14:editId="4388EA13">
            <wp:extent cx="4229586" cy="2504995"/>
            <wp:effectExtent l="19050" t="0" r="0" b="0"/>
            <wp:docPr id="228" name="Picture 10" descr="http://sg-com-csf-file.s3.amazonaws.com/file/news/image/20120405/8425a860b8443d67e939b3113cdc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com-csf-file.s3.amazonaws.com/file/news/image/20120405/8425a860b8443d67e939b3113cdc2602.jpg"/>
                    <pic:cNvPicPr>
                      <a:picLocks noChangeAspect="1" noChangeArrowheads="1"/>
                    </pic:cNvPicPr>
                  </pic:nvPicPr>
                  <pic:blipFill>
                    <a:blip r:embed="rId22" cstate="print"/>
                    <a:srcRect t="5913" b="10283"/>
                    <a:stretch>
                      <a:fillRect/>
                    </a:stretch>
                  </pic:blipFill>
                  <pic:spPr bwMode="auto">
                    <a:xfrm>
                      <a:off x="0" y="0"/>
                      <a:ext cx="4229586" cy="2504995"/>
                    </a:xfrm>
                    <a:prstGeom prst="rect">
                      <a:avLst/>
                    </a:prstGeom>
                    <a:noFill/>
                    <a:ln w="9525">
                      <a:noFill/>
                      <a:miter lim="800000"/>
                      <a:headEnd/>
                      <a:tailEnd/>
                    </a:ln>
                  </pic:spPr>
                </pic:pic>
              </a:graphicData>
            </a:graphic>
          </wp:inline>
        </w:drawing>
      </w:r>
    </w:p>
    <w:p w14:paraId="766A65DA" w14:textId="77777777" w:rsidR="00AD63F0" w:rsidRPr="00B327AB" w:rsidRDefault="00AD63F0" w:rsidP="00AD63F0">
      <w:pPr>
        <w:spacing w:before="120"/>
        <w:ind w:right="-631"/>
        <w:jc w:val="both"/>
        <w:rPr>
          <w:rFonts w:ascii="Times New Roman" w:hAnsi="Times New Roman" w:cs="Times New Roman"/>
          <w:lang w:val="en-US"/>
        </w:rPr>
      </w:pPr>
      <w:r w:rsidRPr="00B327AB">
        <w:rPr>
          <w:rFonts w:ascii="Times New Roman" w:hAnsi="Times New Roman" w:cs="Times New Roman"/>
          <w:sz w:val="20"/>
          <w:szCs w:val="20"/>
        </w:rPr>
        <w:t>Источник</w:t>
      </w:r>
      <w:r w:rsidRPr="00B327AB">
        <w:rPr>
          <w:rFonts w:ascii="Times New Roman" w:hAnsi="Times New Roman" w:cs="Times New Roman"/>
          <w:sz w:val="20"/>
          <w:szCs w:val="20"/>
          <w:lang w:val="en-US"/>
        </w:rPr>
        <w:t xml:space="preserve">: Jia C. Expanded QFII quotas signal of faster opening up. 2012. – </w:t>
      </w:r>
      <w:r w:rsidRPr="00B327AB">
        <w:rPr>
          <w:sz w:val="20"/>
          <w:szCs w:val="20"/>
          <w:lang w:val="en-US"/>
        </w:rPr>
        <w:t>http://www.chinadaily.com.cn/bizchina/2012-04/05/content_14979284.htm</w:t>
      </w:r>
    </w:p>
    <w:p w14:paraId="6AD245B1" w14:textId="77777777" w:rsidR="00AD63F0" w:rsidRPr="00B3584B" w:rsidRDefault="00AD63F0" w:rsidP="00C51E5C">
      <w:pPr>
        <w:spacing w:line="360" w:lineRule="auto"/>
        <w:ind w:left="-567" w:right="-629" w:firstLine="284"/>
        <w:jc w:val="both"/>
        <w:rPr>
          <w:rFonts w:ascii="Times New Roman" w:hAnsi="Times New Roman" w:cs="Times New Roman"/>
          <w:sz w:val="28"/>
          <w:szCs w:val="28"/>
        </w:rPr>
      </w:pPr>
      <w:r w:rsidRPr="00B3584B">
        <w:rPr>
          <w:rFonts w:ascii="Times New Roman" w:hAnsi="Times New Roman" w:cs="Times New Roman"/>
          <w:sz w:val="28"/>
          <w:szCs w:val="28"/>
        </w:rPr>
        <w:t>Несмотря на принятые меры, пока сохраняется  высокая доля необращающихся акций в компаниях Китая, показатель рыночной капитализации фондового рынка является несколько искусственным и не отражает реальной роли акционерных капиталов в финансировании компаний ,так как по прежнему сохраняются ограничения для привлечения капитала компаниями на фондовом рынке .</w:t>
      </w:r>
    </w:p>
    <w:p w14:paraId="1FC88DEA" w14:textId="77777777" w:rsidR="00EF354C" w:rsidRPr="00B3584B" w:rsidRDefault="00AD63F0" w:rsidP="00C51E5C">
      <w:pPr>
        <w:spacing w:line="360" w:lineRule="auto"/>
        <w:ind w:left="-567" w:right="-629" w:firstLine="284"/>
        <w:jc w:val="both"/>
        <w:rPr>
          <w:rFonts w:ascii="Times New Roman" w:hAnsi="Times New Roman" w:cs="Times New Roman"/>
          <w:sz w:val="28"/>
          <w:szCs w:val="28"/>
        </w:rPr>
      </w:pPr>
      <w:r w:rsidRPr="00B3584B">
        <w:rPr>
          <w:rFonts w:ascii="Times New Roman" w:hAnsi="Times New Roman" w:cs="Times New Roman"/>
          <w:sz w:val="28"/>
          <w:szCs w:val="28"/>
        </w:rPr>
        <w:lastRenderedPageBreak/>
        <w:t>В связи с тем, что государство доминирует  как собственник , ограничены возможности   перераспределения ресурсов эффективно, сдержано стратегическое инвестирование.. В отсутствие этих функций, характерных для развитых рынков, на рынке акций Китая чрезмерно сильна спекулятивная составляющая. Значительная часть ликвидного рынка наводнена краткосрочными спекулятивными сделками. Вследствие этого происходят резкие взлеты и падения, характерные для фондового рынка КНР.</w:t>
      </w:r>
    </w:p>
    <w:p w14:paraId="6BF91229" w14:textId="77777777" w:rsidR="005F2CC0" w:rsidRDefault="005F2CC0" w:rsidP="00C51E5C">
      <w:pPr>
        <w:spacing w:line="360" w:lineRule="auto"/>
        <w:ind w:left="-567" w:right="-629" w:firstLine="284"/>
        <w:jc w:val="both"/>
        <w:rPr>
          <w:rFonts w:ascii="Times New Roman" w:hAnsi="Times New Roman" w:cs="Times New Roman"/>
          <w:sz w:val="28"/>
          <w:szCs w:val="28"/>
        </w:rPr>
      </w:pPr>
    </w:p>
    <w:p w14:paraId="61C8AF30" w14:textId="77777777" w:rsidR="00C51E5C" w:rsidRDefault="00C51E5C" w:rsidP="00C51E5C">
      <w:pPr>
        <w:spacing w:line="360" w:lineRule="auto"/>
        <w:ind w:left="-567" w:right="-629" w:firstLine="284"/>
        <w:jc w:val="both"/>
        <w:rPr>
          <w:rFonts w:ascii="Times New Roman" w:hAnsi="Times New Roman" w:cs="Times New Roman"/>
          <w:sz w:val="28"/>
          <w:szCs w:val="28"/>
        </w:rPr>
      </w:pPr>
    </w:p>
    <w:p w14:paraId="6AF5AB50" w14:textId="77777777" w:rsidR="00C51E5C" w:rsidRDefault="00C51E5C" w:rsidP="00C51E5C">
      <w:pPr>
        <w:spacing w:line="360" w:lineRule="auto"/>
        <w:ind w:left="-567" w:right="-629" w:firstLine="284"/>
        <w:jc w:val="both"/>
        <w:rPr>
          <w:rFonts w:ascii="Times New Roman" w:hAnsi="Times New Roman" w:cs="Times New Roman"/>
          <w:sz w:val="28"/>
          <w:szCs w:val="28"/>
        </w:rPr>
      </w:pPr>
    </w:p>
    <w:p w14:paraId="6DBA04F6" w14:textId="77777777" w:rsidR="00C51E5C" w:rsidRDefault="00C51E5C" w:rsidP="00C51E5C">
      <w:pPr>
        <w:spacing w:line="360" w:lineRule="auto"/>
        <w:ind w:left="-567" w:right="-629" w:firstLine="284"/>
        <w:jc w:val="both"/>
        <w:rPr>
          <w:rFonts w:ascii="Times New Roman" w:hAnsi="Times New Roman" w:cs="Times New Roman"/>
          <w:sz w:val="28"/>
          <w:szCs w:val="28"/>
        </w:rPr>
      </w:pPr>
    </w:p>
    <w:p w14:paraId="6C94C5E8"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22795184"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2338EEBA"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5A2B0AC5"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4049000F"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4B9406C8"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08D4FD80"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6E0DDEFB"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253027F7"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4379EE0C"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37AE087E"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2A88A437"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57108EAC"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313E3B45"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3B74974A" w14:textId="77777777" w:rsidR="005F02A0" w:rsidRDefault="005F02A0" w:rsidP="00C51E5C">
      <w:pPr>
        <w:spacing w:line="360" w:lineRule="auto"/>
        <w:ind w:left="-567" w:right="-629" w:firstLine="284"/>
        <w:jc w:val="both"/>
        <w:rPr>
          <w:rFonts w:ascii="Times New Roman" w:hAnsi="Times New Roman" w:cs="Times New Roman"/>
          <w:sz w:val="28"/>
          <w:szCs w:val="28"/>
        </w:rPr>
      </w:pPr>
    </w:p>
    <w:p w14:paraId="145D3699" w14:textId="77777777" w:rsidR="00C51E5C" w:rsidRDefault="00C51E5C" w:rsidP="00C51E5C">
      <w:pPr>
        <w:spacing w:line="360" w:lineRule="auto"/>
        <w:ind w:left="-567" w:right="-629" w:firstLine="284"/>
        <w:jc w:val="both"/>
        <w:rPr>
          <w:rFonts w:ascii="Times New Roman" w:hAnsi="Times New Roman" w:cs="Times New Roman"/>
          <w:sz w:val="28"/>
          <w:szCs w:val="28"/>
        </w:rPr>
      </w:pPr>
    </w:p>
    <w:p w14:paraId="57044E58" w14:textId="77777777" w:rsidR="00C51E5C" w:rsidRPr="00B3584B" w:rsidRDefault="00C51E5C" w:rsidP="00C51E5C">
      <w:pPr>
        <w:spacing w:line="360" w:lineRule="auto"/>
        <w:ind w:left="-567" w:right="-629" w:firstLine="284"/>
        <w:jc w:val="both"/>
        <w:rPr>
          <w:rFonts w:ascii="Times New Roman" w:hAnsi="Times New Roman" w:cs="Times New Roman"/>
          <w:sz w:val="28"/>
          <w:szCs w:val="28"/>
        </w:rPr>
      </w:pPr>
    </w:p>
    <w:p w14:paraId="4D3AAC06" w14:textId="77777777" w:rsidR="009C080C" w:rsidRPr="00C51E5C" w:rsidRDefault="009C080C" w:rsidP="009C080C">
      <w:pPr>
        <w:ind w:left="-426" w:right="50" w:firstLine="426"/>
        <w:jc w:val="both"/>
        <w:rPr>
          <w:rFonts w:ascii="Times New Roman" w:hAnsi="Times New Roman" w:cs="Times New Roman"/>
          <w:b/>
          <w:sz w:val="32"/>
          <w:szCs w:val="32"/>
        </w:rPr>
      </w:pPr>
      <w:r w:rsidRPr="00C51E5C">
        <w:rPr>
          <w:rFonts w:ascii="Times New Roman" w:hAnsi="Times New Roman" w:cs="Times New Roman"/>
          <w:b/>
          <w:sz w:val="32"/>
          <w:szCs w:val="32"/>
        </w:rPr>
        <w:lastRenderedPageBreak/>
        <w:t>Глава 2. Формирование портфелей институциональных инвесторов на китайском фондовом рынке</w:t>
      </w:r>
    </w:p>
    <w:p w14:paraId="5EE64934" w14:textId="77777777" w:rsidR="009C080C" w:rsidRPr="00C51E5C" w:rsidRDefault="009C080C" w:rsidP="009C080C">
      <w:pPr>
        <w:ind w:left="-426" w:right="50" w:firstLine="426"/>
        <w:jc w:val="both"/>
        <w:rPr>
          <w:rFonts w:ascii="Times New Roman" w:hAnsi="Times New Roman" w:cs="Times New Roman"/>
          <w:b/>
          <w:sz w:val="32"/>
          <w:szCs w:val="32"/>
        </w:rPr>
      </w:pPr>
    </w:p>
    <w:p w14:paraId="040D2A8F" w14:textId="5B3E59BD" w:rsidR="009C080C" w:rsidRPr="00C51E5C" w:rsidRDefault="009C080C" w:rsidP="00C51E5C">
      <w:pPr>
        <w:spacing w:line="360" w:lineRule="auto"/>
        <w:ind w:left="-426" w:right="50" w:firstLine="426"/>
        <w:jc w:val="both"/>
        <w:rPr>
          <w:rFonts w:ascii="Times New Roman" w:hAnsi="Times New Roman" w:cs="Times New Roman"/>
          <w:b/>
          <w:i/>
          <w:sz w:val="28"/>
          <w:szCs w:val="28"/>
        </w:rPr>
      </w:pPr>
      <w:r w:rsidRPr="00C51E5C">
        <w:rPr>
          <w:rFonts w:ascii="Times New Roman" w:hAnsi="Times New Roman" w:cs="Times New Roman"/>
          <w:b/>
          <w:i/>
          <w:sz w:val="28"/>
          <w:szCs w:val="28"/>
        </w:rPr>
        <w:t>2.1 Обзор деятельности институциональных портфельных инвесторов</w:t>
      </w:r>
    </w:p>
    <w:p w14:paraId="08267363"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Чем выше уровень подушевого ВВП в стране, тем она более развита, и, соответственно, тем выше относительная роль ее фондового рынка в мировой финансовой системе. С достижением финансовой системой относительной зрелости смещается упор с банковской системы в пользу рынка, таким образом, меняется структура источников капитала и растет удельный вес институциональных инвесторов. Б.Б. Рубцов пишет, что «значение институциональных инвесторов постоянно растет». За последние три десятилетия активы институциональных инвесторов в странах-членах ОЭСР выросли более, чем на 70%. Современная финансовая система развитых стран отличается одновременным усилением роли институциональных инвесторов и фондового рынка. </w:t>
      </w:r>
    </w:p>
    <w:p w14:paraId="462562B9"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Роль институциональных инвесторов на мировом финансовом рынке чрезвычайно велика, если не решающая. Ряд зарубежных авторов упоминает, что иностранные институциональные инвесторы  являются ведущей силой на рынке, именно они определяют деловую среду, корпоративное управление и стандарты на «нарождающихся» фондовых рынках</w:t>
      </w:r>
      <w:r w:rsidRPr="00C51E5C">
        <w:rPr>
          <w:rStyle w:val="FootnoteReference"/>
          <w:rFonts w:ascii="Times New Roman" w:hAnsi="Times New Roman" w:cs="Times New Roman"/>
          <w:sz w:val="28"/>
          <w:szCs w:val="28"/>
        </w:rPr>
        <w:footnoteReference w:id="32"/>
      </w:r>
      <w:r w:rsidRPr="00C51E5C">
        <w:rPr>
          <w:rFonts w:ascii="Times New Roman" w:hAnsi="Times New Roman" w:cs="Times New Roman"/>
          <w:sz w:val="28"/>
          <w:szCs w:val="28"/>
        </w:rPr>
        <w:t xml:space="preserve">. </w:t>
      </w:r>
    </w:p>
    <w:p w14:paraId="2349312B"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Решения портфельных институциональных инвесторов полностью зависят от сигналов, которые поступают с рынка, и от наблюдений за историей и текущим состоянием котировок на рынке ценных бумаг. Портфельные инвесторы и общество имеют схожие интересы в отношении проведения реформ финансового рынка. Для того, чтобы рынок своевременно и правильно отражал ситуацию в экономике, необходимо обеспечить его прозрачность и повысить эффективность его механизмов. </w:t>
      </w:r>
    </w:p>
    <w:p w14:paraId="49F00FEB"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lastRenderedPageBreak/>
        <w:t>На фондовом рынке КНР доминируют индивидуальные инвесторы, а сегмент институциональных инвесторов по-прежнему остается небольшим. Развитие этого сектора находится в числе наиболее важных приоритетов КУКЦБ.</w:t>
      </w:r>
    </w:p>
    <w:p w14:paraId="199F8749" w14:textId="77777777" w:rsidR="009C080C" w:rsidRDefault="009C080C" w:rsidP="00C51E5C">
      <w:pPr>
        <w:widowControl w:val="0"/>
        <w:autoSpaceDE w:val="0"/>
        <w:autoSpaceDN w:val="0"/>
        <w:adjustRightInd w:val="0"/>
        <w:spacing w:line="360" w:lineRule="auto"/>
        <w:ind w:left="-425" w:right="51" w:firstLine="425"/>
        <w:jc w:val="both"/>
        <w:rPr>
          <w:rFonts w:ascii="Times New Roman" w:hAnsi="Times New Roman" w:cs="Times New Roman"/>
          <w:sz w:val="28"/>
          <w:szCs w:val="28"/>
        </w:rPr>
      </w:pPr>
      <w:r w:rsidRPr="00C51E5C">
        <w:rPr>
          <w:rFonts w:ascii="Times New Roman" w:hAnsi="Times New Roman" w:cs="Times New Roman"/>
          <w:sz w:val="28"/>
          <w:szCs w:val="28"/>
        </w:rPr>
        <w:t>В настоящее время инвестиционные фонды доминируют по объемам инвестиции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на финансовом рынке Китая. Другими видами участников являются компании по ценным бумагам, страховые компании, Национальныи</w:t>
      </w:r>
      <w:r w:rsidRPr="00C51E5C">
        <w:rPr>
          <w:rFonts w:ascii="Cambria Math" w:hAnsi="Cambria Math" w:cs="Cambria Math"/>
          <w:sz w:val="28"/>
          <w:szCs w:val="28"/>
        </w:rPr>
        <w:t>̆</w:t>
      </w:r>
      <w:r w:rsidRPr="00C51E5C">
        <w:rPr>
          <w:rFonts w:ascii="Times New Roman" w:hAnsi="Times New Roman" w:cs="Times New Roman"/>
          <w:sz w:val="28"/>
          <w:szCs w:val="28"/>
        </w:rPr>
        <w:t xml:space="preserve"> фонд социального обеспечения и «квалифицированные иностранные институциональные инвесторы» (иностранные инвесторы </w:t>
      </w:r>
      <w:r w:rsidRPr="00C51E5C">
        <w:rPr>
          <w:rFonts w:ascii="Times New Roman" w:hAnsi="Times New Roman" w:cs="Times New Roman"/>
          <w:sz w:val="28"/>
          <w:szCs w:val="28"/>
          <w:lang w:val="en-US"/>
        </w:rPr>
        <w:t>QFII</w:t>
      </w:r>
      <w:r w:rsidRPr="00C51E5C">
        <w:rPr>
          <w:rFonts w:ascii="Times New Roman" w:hAnsi="Times New Roman" w:cs="Times New Roman"/>
          <w:sz w:val="28"/>
          <w:szCs w:val="28"/>
        </w:rPr>
        <w:t>). На рисунке 9 изображена структура профессиональных учас</w:t>
      </w:r>
      <w:r w:rsidR="00534F02" w:rsidRPr="00C51E5C">
        <w:rPr>
          <w:rFonts w:ascii="Times New Roman" w:hAnsi="Times New Roman" w:cs="Times New Roman"/>
          <w:sz w:val="28"/>
          <w:szCs w:val="28"/>
        </w:rPr>
        <w:t>тников рынка ценных бумаг Китая.</w:t>
      </w:r>
    </w:p>
    <w:p w14:paraId="4B2D25AA" w14:textId="77777777" w:rsidR="00C51E5C" w:rsidRPr="00C51E5C" w:rsidRDefault="00C51E5C" w:rsidP="00C51E5C">
      <w:pPr>
        <w:widowControl w:val="0"/>
        <w:autoSpaceDE w:val="0"/>
        <w:autoSpaceDN w:val="0"/>
        <w:adjustRightInd w:val="0"/>
        <w:ind w:left="-426" w:right="-631" w:firstLine="426"/>
        <w:jc w:val="both"/>
        <w:rPr>
          <w:rFonts w:ascii="Times New Roman" w:hAnsi="Times New Roman" w:cs="Times New Roman"/>
          <w:sz w:val="28"/>
          <w:szCs w:val="28"/>
        </w:rPr>
      </w:pPr>
      <w:r w:rsidRPr="00C51E5C">
        <w:rPr>
          <w:rFonts w:ascii="Times New Roman" w:hAnsi="Times New Roman" w:cs="Times New Roman"/>
          <w:sz w:val="28"/>
          <w:szCs w:val="28"/>
        </w:rPr>
        <w:t>Рисунок 9. Профессиональные участники РЦБ Китая</w:t>
      </w:r>
    </w:p>
    <w:p w14:paraId="1E0AD42F" w14:textId="77777777" w:rsidR="00C51E5C" w:rsidRDefault="00C51E5C" w:rsidP="00C51E5C">
      <w:pPr>
        <w:widowControl w:val="0"/>
        <w:autoSpaceDE w:val="0"/>
        <w:autoSpaceDN w:val="0"/>
        <w:adjustRightInd w:val="0"/>
        <w:spacing w:after="240"/>
        <w:ind w:left="-426" w:right="-631" w:firstLine="426"/>
        <w:jc w:val="both"/>
        <w:rPr>
          <w:rFonts w:ascii="Times New Roman" w:hAnsi="Times New Roman" w:cs="Times New Roman"/>
          <w:lang w:val="en-US"/>
        </w:rPr>
      </w:pPr>
      <w:r w:rsidRPr="00494061">
        <w:rPr>
          <w:rFonts w:ascii="Times New Roman" w:hAnsi="Times New Roman" w:cs="Times New Roman"/>
          <w:noProof/>
          <w:lang w:val="en-US"/>
        </w:rPr>
        <w:drawing>
          <wp:inline distT="0" distB="0" distL="0" distR="0" wp14:anchorId="23CAE743" wp14:editId="3A16C4C4">
            <wp:extent cx="5270500" cy="2018173"/>
            <wp:effectExtent l="0" t="0" r="0" b="0"/>
            <wp:docPr id="24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018173"/>
                    </a:xfrm>
                    <a:prstGeom prst="rect">
                      <a:avLst/>
                    </a:prstGeom>
                    <a:noFill/>
                    <a:ln>
                      <a:noFill/>
                    </a:ln>
                  </pic:spPr>
                </pic:pic>
              </a:graphicData>
            </a:graphic>
          </wp:inline>
        </w:drawing>
      </w:r>
    </w:p>
    <w:p w14:paraId="0C8C8484" w14:textId="16875B5D" w:rsidR="00C51E5C" w:rsidRPr="00C51E5C" w:rsidRDefault="00C51E5C" w:rsidP="00C51E5C">
      <w:pPr>
        <w:widowControl w:val="0"/>
        <w:autoSpaceDE w:val="0"/>
        <w:autoSpaceDN w:val="0"/>
        <w:adjustRightInd w:val="0"/>
        <w:spacing w:after="240"/>
        <w:ind w:left="-426" w:right="-631" w:firstLine="426"/>
        <w:jc w:val="both"/>
        <w:rPr>
          <w:rFonts w:ascii="Times New Roman" w:hAnsi="Times New Roman" w:cs="Times New Roman"/>
          <w:sz w:val="20"/>
          <w:szCs w:val="20"/>
        </w:rPr>
      </w:pPr>
      <w:r w:rsidRPr="009F2B82">
        <w:rPr>
          <w:rFonts w:ascii="Times New Roman" w:hAnsi="Times New Roman" w:cs="Times New Roman"/>
          <w:sz w:val="20"/>
          <w:szCs w:val="20"/>
        </w:rPr>
        <w:t xml:space="preserve">Источник: Рубцов Б. Б. Современные фондовые рынки. – </w:t>
      </w:r>
      <w:r>
        <w:rPr>
          <w:rFonts w:ascii="Times New Roman" w:hAnsi="Times New Roman" w:cs="Times New Roman"/>
          <w:sz w:val="20"/>
          <w:szCs w:val="20"/>
        </w:rPr>
        <w:t xml:space="preserve">М.: </w:t>
      </w:r>
      <w:r w:rsidRPr="009F2B82">
        <w:rPr>
          <w:rFonts w:ascii="Times New Roman" w:hAnsi="Times New Roman" w:cs="Times New Roman"/>
          <w:sz w:val="20"/>
          <w:szCs w:val="20"/>
        </w:rPr>
        <w:t>Альпина бизнес букс. 2007. C. 680</w:t>
      </w:r>
      <w:r>
        <w:rPr>
          <w:rFonts w:ascii="Times New Roman" w:hAnsi="Times New Roman" w:cs="Times New Roman"/>
          <w:sz w:val="20"/>
          <w:szCs w:val="20"/>
        </w:rPr>
        <w:t>.</w:t>
      </w:r>
    </w:p>
    <w:p w14:paraId="1815B7FD" w14:textId="77777777" w:rsidR="009C080C" w:rsidRPr="00C51E5C" w:rsidRDefault="009C080C" w:rsidP="00C51E5C">
      <w:pPr>
        <w:widowControl w:val="0"/>
        <w:autoSpaceDE w:val="0"/>
        <w:autoSpaceDN w:val="0"/>
        <w:adjustRightInd w:val="0"/>
        <w:spacing w:line="360" w:lineRule="auto"/>
        <w:ind w:left="-425" w:right="51" w:firstLine="425"/>
        <w:jc w:val="both"/>
        <w:rPr>
          <w:rFonts w:ascii="Times New Roman" w:hAnsi="Times New Roman" w:cs="Times New Roman"/>
          <w:iCs/>
          <w:sz w:val="28"/>
          <w:szCs w:val="28"/>
        </w:rPr>
      </w:pPr>
      <w:r w:rsidRPr="00C51E5C">
        <w:rPr>
          <w:rFonts w:ascii="Times New Roman" w:hAnsi="Times New Roman" w:cs="Times New Roman"/>
          <w:i/>
          <w:iCs/>
          <w:sz w:val="28"/>
          <w:szCs w:val="28"/>
        </w:rPr>
        <w:t>Компании по ценным бумагам</w:t>
      </w:r>
      <w:r w:rsidRPr="00C51E5C">
        <w:rPr>
          <w:rFonts w:ascii="Times New Roman" w:hAnsi="Times New Roman" w:cs="Times New Roman"/>
          <w:iCs/>
          <w:sz w:val="28"/>
          <w:szCs w:val="28"/>
        </w:rPr>
        <w:t xml:space="preserve"> </w:t>
      </w:r>
      <w:r w:rsidR="00534F02" w:rsidRPr="00C51E5C">
        <w:rPr>
          <w:rFonts w:ascii="Times New Roman" w:hAnsi="Times New Roman" w:cs="Times New Roman"/>
          <w:iCs/>
          <w:sz w:val="28"/>
          <w:szCs w:val="28"/>
        </w:rPr>
        <w:t xml:space="preserve">на финансовом рынке </w:t>
      </w:r>
      <w:r w:rsidRPr="00C51E5C">
        <w:rPr>
          <w:rFonts w:ascii="Times New Roman" w:hAnsi="Times New Roman" w:cs="Times New Roman"/>
          <w:iCs/>
          <w:sz w:val="28"/>
          <w:szCs w:val="28"/>
        </w:rPr>
        <w:t>являются основными участниками брокерско-дилерской деятельности. В 1980-х гг. многие крупные китайские компании по ценным бумагам учреждались либо крупными госпредприятиями, либо финансовыми органами государственной власти. Впоследствии большинство этих компаний были акционированы и получили листинг на китайской и гонконгской биржах.</w:t>
      </w:r>
      <w:r w:rsidRPr="00C51E5C">
        <w:rPr>
          <w:rFonts w:ascii="Times New Roman" w:hAnsi="Times New Roman" w:cs="Times New Roman"/>
          <w:sz w:val="28"/>
          <w:szCs w:val="28"/>
        </w:rPr>
        <w:t xml:space="preserve"> При этом контролирующим акционером осталось государство в лице финансовых органов либо госпредприятии</w:t>
      </w:r>
      <w:r w:rsidRPr="00C51E5C">
        <w:rPr>
          <w:rFonts w:ascii="Cambria Math" w:hAnsi="Cambria Math" w:cs="Cambria Math"/>
          <w:sz w:val="28"/>
          <w:szCs w:val="28"/>
        </w:rPr>
        <w:t>̆</w:t>
      </w:r>
      <w:r w:rsidRPr="00C51E5C">
        <w:rPr>
          <w:rFonts w:ascii="Times New Roman" w:hAnsi="Times New Roman" w:cs="Times New Roman"/>
          <w:sz w:val="28"/>
          <w:szCs w:val="28"/>
        </w:rPr>
        <w:t>. Крупнейшие компании контролируется региональными властями.</w:t>
      </w:r>
    </w:p>
    <w:p w14:paraId="14402ECB"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lastRenderedPageBreak/>
        <w:t>В КНР выделяют два различных типа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ценным бумагам:</w:t>
      </w:r>
    </w:p>
    <w:p w14:paraId="7D4FD8F7"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1) </w:t>
      </w:r>
      <w:r w:rsidRPr="00C51E5C">
        <w:rPr>
          <w:rFonts w:ascii="Times New Roman" w:hAnsi="Times New Roman" w:cs="Times New Roman"/>
          <w:iCs/>
          <w:sz w:val="28"/>
          <w:szCs w:val="28"/>
        </w:rPr>
        <w:t xml:space="preserve">универсальные компании, которые </w:t>
      </w:r>
      <w:r w:rsidRPr="00C51E5C">
        <w:rPr>
          <w:rFonts w:ascii="Times New Roman" w:hAnsi="Times New Roman" w:cs="Times New Roman"/>
          <w:sz w:val="28"/>
          <w:szCs w:val="28"/>
        </w:rPr>
        <w:t>имеют право выступать в качестве андеррайтеров при публичном размещении ценных бумаг. К ним относятся инвестиционные банки и брокерско-дилерские компании. 60 млн. долл. является их минимальным уставным капиталом;</w:t>
      </w:r>
    </w:p>
    <w:p w14:paraId="7B4376E9"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2) </w:t>
      </w:r>
      <w:r w:rsidRPr="00C51E5C">
        <w:rPr>
          <w:rFonts w:ascii="Times New Roman" w:hAnsi="Times New Roman" w:cs="Times New Roman"/>
          <w:iCs/>
          <w:sz w:val="28"/>
          <w:szCs w:val="28"/>
        </w:rPr>
        <w:t>брокерские компании</w:t>
      </w:r>
      <w:r w:rsidRPr="00C51E5C">
        <w:rPr>
          <w:rFonts w:ascii="Times New Roman" w:hAnsi="Times New Roman" w:cs="Times New Roman"/>
          <w:sz w:val="28"/>
          <w:szCs w:val="28"/>
        </w:rPr>
        <w:t>, которые торгуют акциями по поручению клиентов. Как правило, они являются дочерними универсальных компаний. 6 млн. долл. является их минимальным уставным капиталом</w:t>
      </w:r>
      <w:r w:rsidRPr="00C51E5C">
        <w:rPr>
          <w:rStyle w:val="FootnoteReference"/>
          <w:rFonts w:ascii="Times New Roman" w:hAnsi="Times New Roman" w:cs="Times New Roman"/>
          <w:sz w:val="28"/>
          <w:szCs w:val="28"/>
          <w:lang w:val="en-US"/>
        </w:rPr>
        <w:footnoteReference w:id="33"/>
      </w:r>
      <w:r w:rsidRPr="00C51E5C">
        <w:rPr>
          <w:rFonts w:ascii="Times New Roman" w:hAnsi="Times New Roman" w:cs="Times New Roman"/>
          <w:sz w:val="28"/>
          <w:szCs w:val="28"/>
        </w:rPr>
        <w:t>.</w:t>
      </w:r>
    </w:p>
    <w:p w14:paraId="6635BA29"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color w:val="000000"/>
          <w:sz w:val="28"/>
          <w:szCs w:val="28"/>
          <w:shd w:val="clear" w:color="auto" w:fill="FFFFFF"/>
        </w:rPr>
        <w:t>В компаниях деи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ствуют первичные организации компартии (аналогично с госпредприятиями). Как правило, их секретари являются членами наблюдательных советов компании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w:t>
      </w:r>
      <w:r w:rsidRPr="00C51E5C">
        <w:rPr>
          <w:rFonts w:ascii="Times New Roman" w:hAnsi="Times New Roman" w:cs="Times New Roman"/>
          <w:color w:val="000000"/>
          <w:sz w:val="28"/>
          <w:szCs w:val="28"/>
        </w:rPr>
        <w:t xml:space="preserve"> </w:t>
      </w:r>
      <w:r w:rsidRPr="00C51E5C">
        <w:rPr>
          <w:rFonts w:ascii="Times New Roman" w:hAnsi="Times New Roman" w:cs="Times New Roman"/>
          <w:color w:val="000000"/>
          <w:sz w:val="28"/>
          <w:szCs w:val="28"/>
          <w:shd w:val="clear" w:color="auto" w:fill="FFFFFF"/>
        </w:rPr>
        <w:t>Однако в последнее время наметилась тенденция к либерализации даннои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w:t>
      </w:r>
      <w:r w:rsidRPr="00C51E5C">
        <w:rPr>
          <w:rFonts w:ascii="Times New Roman" w:hAnsi="Times New Roman" w:cs="Times New Roman"/>
          <w:sz w:val="28"/>
          <w:szCs w:val="28"/>
        </w:rPr>
        <w:t>отрасли. Теперь ни местные власти, ни КУКЦБ не могут директивно назначить менджеров, за это отвечает акционерное собрание компаний. К тому же, без законных основания нельзя снять руководство компаний.</w:t>
      </w:r>
    </w:p>
    <w:p w14:paraId="363397ED"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Приток частного капитала в </w:t>
      </w:r>
      <w:r w:rsidR="00534F02" w:rsidRPr="00C51E5C">
        <w:rPr>
          <w:rFonts w:ascii="Times New Roman" w:hAnsi="Times New Roman" w:cs="Times New Roman"/>
          <w:sz w:val="28"/>
          <w:szCs w:val="28"/>
        </w:rPr>
        <w:t>компании</w:t>
      </w:r>
      <w:r w:rsidRPr="00C51E5C">
        <w:rPr>
          <w:rFonts w:ascii="Times New Roman" w:hAnsi="Times New Roman" w:cs="Times New Roman"/>
          <w:sz w:val="28"/>
          <w:szCs w:val="28"/>
        </w:rPr>
        <w:t xml:space="preserve"> по ценным бумагам в последние годы значительно активизировался. Зачастую частныи</w:t>
      </w:r>
      <w:r w:rsidRPr="00C51E5C">
        <w:rPr>
          <w:rFonts w:ascii="Cambria Math" w:hAnsi="Cambria Math" w:cs="Cambria Math"/>
          <w:sz w:val="28"/>
          <w:szCs w:val="28"/>
        </w:rPr>
        <w:t>̆</w:t>
      </w:r>
      <w:r w:rsidRPr="00C51E5C">
        <w:rPr>
          <w:rFonts w:ascii="Times New Roman" w:hAnsi="Times New Roman" w:cs="Times New Roman"/>
          <w:sz w:val="28"/>
          <w:szCs w:val="28"/>
        </w:rPr>
        <w:t xml:space="preserve"> капитал привлекается с помощью дополнительных эмиссий акций. </w:t>
      </w:r>
    </w:p>
    <w:p w14:paraId="7458418D"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В настоящее время у КУКЦБ есть практически полностью выстроенная автоматизированная система мониторинга команий, которая основывается на расчете величины чистых активов. В начале 2007 г. около 90% компаний соответствовали нормативам</w:t>
      </w:r>
      <w:r w:rsidRPr="00C51E5C">
        <w:rPr>
          <w:rStyle w:val="FootnoteReference"/>
          <w:rFonts w:ascii="Times New Roman" w:hAnsi="Times New Roman" w:cs="Times New Roman"/>
          <w:sz w:val="28"/>
          <w:szCs w:val="28"/>
          <w:lang w:val="en-US"/>
        </w:rPr>
        <w:footnoteReference w:id="34"/>
      </w:r>
      <w:r w:rsidRPr="00C51E5C">
        <w:rPr>
          <w:rFonts w:ascii="Times New Roman" w:hAnsi="Times New Roman" w:cs="Times New Roman"/>
          <w:sz w:val="28"/>
          <w:szCs w:val="28"/>
        </w:rPr>
        <w:t xml:space="preserve">. В рамках риск-мониторинга сначала определяется уровень риска компаний, а затем КУКЦБ предоставляет им определенное время на то, чтобы они устранили нарушения. Те, кто не выполнили предписания, реструктурируются, либо ликвидируются (так, до 2007 года было ликвидировано 12 компаний, чей уровень рисков превосходил </w:t>
      </w:r>
      <w:r w:rsidRPr="00C51E5C">
        <w:rPr>
          <w:rFonts w:ascii="Times New Roman" w:hAnsi="Times New Roman" w:cs="Times New Roman"/>
          <w:sz w:val="28"/>
          <w:szCs w:val="28"/>
        </w:rPr>
        <w:lastRenderedPageBreak/>
        <w:t>допустимую планку)</w:t>
      </w:r>
      <w:r w:rsidRPr="00C51E5C">
        <w:rPr>
          <w:rStyle w:val="FootnoteReference"/>
          <w:rFonts w:ascii="Times New Roman" w:hAnsi="Times New Roman" w:cs="Times New Roman"/>
          <w:sz w:val="28"/>
          <w:szCs w:val="28"/>
        </w:rPr>
        <w:t xml:space="preserve"> </w:t>
      </w:r>
      <w:r w:rsidRPr="00C51E5C">
        <w:rPr>
          <w:rStyle w:val="FootnoteReference"/>
          <w:rFonts w:ascii="Times New Roman" w:hAnsi="Times New Roman" w:cs="Times New Roman"/>
          <w:sz w:val="28"/>
          <w:szCs w:val="28"/>
          <w:lang w:val="en-US"/>
        </w:rPr>
        <w:footnoteReference w:id="35"/>
      </w:r>
      <w:r w:rsidRPr="00C51E5C">
        <w:rPr>
          <w:rFonts w:ascii="Times New Roman" w:hAnsi="Times New Roman" w:cs="Times New Roman"/>
          <w:sz w:val="28"/>
          <w:szCs w:val="28"/>
        </w:rPr>
        <w:t>.</w:t>
      </w:r>
    </w:p>
    <w:p w14:paraId="78D7B1FC"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Перечень распространенных нарушений выглядит следующим образом: компании присваивают или незаконно используют средства клиентов по брокерским операциям, незаконно действуют по доверительному управлению, присваивают активы компаний, превышают допустимоую долю рыночных акции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в собственном портфеле и другие.</w:t>
      </w:r>
    </w:p>
    <w:p w14:paraId="05D402D1"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Введены количественные ограничения по деятельности компаний: 1) </w:t>
      </w:r>
      <w:r w:rsidR="00534F02" w:rsidRPr="00C51E5C">
        <w:rPr>
          <w:rFonts w:ascii="Times New Roman" w:hAnsi="Times New Roman" w:cs="Times New Roman"/>
          <w:sz w:val="28"/>
          <w:szCs w:val="28"/>
        </w:rPr>
        <w:t xml:space="preserve">стоимость чистых активов должны быть ниже </w:t>
      </w:r>
      <w:r w:rsidRPr="00C51E5C">
        <w:rPr>
          <w:rFonts w:ascii="Times New Roman" w:hAnsi="Times New Roman" w:cs="Times New Roman"/>
          <w:sz w:val="28"/>
          <w:szCs w:val="28"/>
        </w:rPr>
        <w:t>объем</w:t>
      </w:r>
      <w:r w:rsidR="00534F02" w:rsidRPr="00C51E5C">
        <w:rPr>
          <w:rFonts w:ascii="Times New Roman" w:hAnsi="Times New Roman" w:cs="Times New Roman"/>
          <w:sz w:val="28"/>
          <w:szCs w:val="28"/>
        </w:rPr>
        <w:t>а</w:t>
      </w:r>
      <w:r w:rsidRPr="00C51E5C">
        <w:rPr>
          <w:rFonts w:ascii="Times New Roman" w:hAnsi="Times New Roman" w:cs="Times New Roman"/>
          <w:sz w:val="28"/>
          <w:szCs w:val="28"/>
        </w:rPr>
        <w:t xml:space="preserve"> операции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поручениям клиентов </w:t>
      </w:r>
      <w:r w:rsidR="00534F02" w:rsidRPr="00C51E5C">
        <w:rPr>
          <w:rFonts w:ascii="Times New Roman" w:hAnsi="Times New Roman" w:cs="Times New Roman"/>
          <w:sz w:val="28"/>
          <w:szCs w:val="28"/>
        </w:rPr>
        <w:t xml:space="preserve">как минимум </w:t>
      </w:r>
      <w:r w:rsidRPr="00C51E5C">
        <w:rPr>
          <w:rFonts w:ascii="Times New Roman" w:hAnsi="Times New Roman" w:cs="Times New Roman"/>
          <w:sz w:val="28"/>
          <w:szCs w:val="28"/>
        </w:rPr>
        <w:t xml:space="preserve">в 10 раз; 2) </w:t>
      </w:r>
      <w:r w:rsidR="00534F02" w:rsidRPr="00C51E5C">
        <w:rPr>
          <w:rFonts w:ascii="Times New Roman" w:hAnsi="Times New Roman" w:cs="Times New Roman"/>
          <w:sz w:val="28"/>
          <w:szCs w:val="28"/>
        </w:rPr>
        <w:t xml:space="preserve">стоимость чистых активов должна быть ниже </w:t>
      </w:r>
      <w:r w:rsidRPr="00C51E5C">
        <w:rPr>
          <w:rFonts w:ascii="Times New Roman" w:hAnsi="Times New Roman" w:cs="Times New Roman"/>
          <w:sz w:val="28"/>
          <w:szCs w:val="28"/>
        </w:rPr>
        <w:t>объем</w:t>
      </w:r>
      <w:r w:rsidR="00534F02" w:rsidRPr="00C51E5C">
        <w:rPr>
          <w:rFonts w:ascii="Times New Roman" w:hAnsi="Times New Roman" w:cs="Times New Roman"/>
          <w:sz w:val="28"/>
          <w:szCs w:val="28"/>
        </w:rPr>
        <w:t>а</w:t>
      </w:r>
      <w:r w:rsidRPr="00C51E5C">
        <w:rPr>
          <w:rFonts w:ascii="Times New Roman" w:hAnsi="Times New Roman" w:cs="Times New Roman"/>
          <w:sz w:val="28"/>
          <w:szCs w:val="28"/>
        </w:rPr>
        <w:t xml:space="preserve"> собственных сделок </w:t>
      </w:r>
      <w:r w:rsidR="00534F02" w:rsidRPr="00C51E5C">
        <w:rPr>
          <w:rFonts w:ascii="Times New Roman" w:hAnsi="Times New Roman" w:cs="Times New Roman"/>
          <w:sz w:val="28"/>
          <w:szCs w:val="28"/>
        </w:rPr>
        <w:t>как минимум</w:t>
      </w:r>
      <w:r w:rsidRPr="00C51E5C">
        <w:rPr>
          <w:rFonts w:ascii="Times New Roman" w:hAnsi="Times New Roman" w:cs="Times New Roman"/>
          <w:sz w:val="28"/>
          <w:szCs w:val="28"/>
        </w:rPr>
        <w:t xml:space="preserve"> в 2 раза; 3) для операции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управляющих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не допускается более чем десятикратное превышение размера собственных активов</w:t>
      </w:r>
      <w:r w:rsidRPr="00C51E5C">
        <w:rPr>
          <w:rStyle w:val="FootnoteReference"/>
          <w:rFonts w:ascii="Times New Roman" w:hAnsi="Times New Roman" w:cs="Times New Roman"/>
          <w:sz w:val="28"/>
          <w:szCs w:val="28"/>
          <w:lang w:val="en-US"/>
        </w:rPr>
        <w:footnoteReference w:id="36"/>
      </w:r>
      <w:r w:rsidRPr="00C51E5C">
        <w:rPr>
          <w:rFonts w:ascii="Times New Roman" w:hAnsi="Times New Roman" w:cs="Times New Roman"/>
          <w:sz w:val="28"/>
          <w:szCs w:val="28"/>
        </w:rPr>
        <w:t>.</w:t>
      </w:r>
    </w:p>
    <w:p w14:paraId="317CBF8D"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Доход брокерских компаний состоит из комиссии по брокерским сделкам и спреда процентных ставок, который возникают ввиду привлечения и последующего вложения средств клиентов. Брокерская деятельность обеспечивает 90% дохода для большинства небольших и средних компаний.</w:t>
      </w:r>
    </w:p>
    <w:p w14:paraId="19CD63D5" w14:textId="1E5E4F8D" w:rsidR="009C080C" w:rsidRDefault="00C70C91"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В таблице 10</w:t>
      </w:r>
      <w:r w:rsidR="009C080C" w:rsidRPr="00C51E5C">
        <w:rPr>
          <w:rFonts w:ascii="Times New Roman" w:hAnsi="Times New Roman" w:cs="Times New Roman"/>
          <w:sz w:val="28"/>
          <w:szCs w:val="28"/>
        </w:rPr>
        <w:t xml:space="preserve"> обобщены основные этапы развития сектора компании</w:t>
      </w:r>
      <w:r w:rsidR="009C080C" w:rsidRPr="00C51E5C">
        <w:rPr>
          <w:rFonts w:ascii="Cambria Math" w:hAnsi="Cambria Math" w:cs="Cambria Math"/>
          <w:sz w:val="28"/>
          <w:szCs w:val="28"/>
        </w:rPr>
        <w:t>̆</w:t>
      </w:r>
      <w:r w:rsidR="009C080C" w:rsidRPr="00C51E5C">
        <w:rPr>
          <w:rFonts w:ascii="Times New Roman" w:hAnsi="Times New Roman" w:cs="Times New Roman"/>
          <w:sz w:val="28"/>
          <w:szCs w:val="28"/>
        </w:rPr>
        <w:t xml:space="preserve"> по ценным бумагам.</w:t>
      </w:r>
    </w:p>
    <w:p w14:paraId="2F4AF0F4" w14:textId="77777777" w:rsidR="00C70C91" w:rsidRPr="00C70C91" w:rsidRDefault="00C70C91" w:rsidP="00C70C91">
      <w:pPr>
        <w:widowControl w:val="0"/>
        <w:autoSpaceDE w:val="0"/>
        <w:autoSpaceDN w:val="0"/>
        <w:adjustRightInd w:val="0"/>
        <w:spacing w:after="240"/>
        <w:ind w:right="-631"/>
        <w:jc w:val="both"/>
        <w:rPr>
          <w:rFonts w:ascii="Times New Roman" w:hAnsi="Times New Roman" w:cs="Times New Roman"/>
          <w:sz w:val="28"/>
          <w:szCs w:val="28"/>
        </w:rPr>
      </w:pPr>
      <w:r w:rsidRPr="00C70C91">
        <w:rPr>
          <w:rFonts w:ascii="Times New Roman" w:hAnsi="Times New Roman" w:cs="Times New Roman"/>
          <w:sz w:val="28"/>
          <w:szCs w:val="28"/>
        </w:rPr>
        <w:t>Таблица 10. Основные этапы в развитии сектора компании</w:t>
      </w:r>
      <w:r w:rsidRPr="00C70C91">
        <w:rPr>
          <w:rFonts w:ascii="Cambria Math" w:hAnsi="Cambria Math" w:cs="Cambria Math"/>
          <w:sz w:val="28"/>
          <w:szCs w:val="28"/>
        </w:rPr>
        <w:t>̆</w:t>
      </w:r>
      <w:r w:rsidRPr="00C70C91">
        <w:rPr>
          <w:rFonts w:ascii="Times New Roman" w:hAnsi="Times New Roman" w:cs="Times New Roman"/>
          <w:sz w:val="28"/>
          <w:szCs w:val="28"/>
        </w:rPr>
        <w:t xml:space="preserve"> по ценным бумагам Китая</w:t>
      </w:r>
    </w:p>
    <w:p w14:paraId="690A7C0E" w14:textId="77777777" w:rsidR="00C70C91" w:rsidRDefault="00C70C91" w:rsidP="00C70C91">
      <w:pPr>
        <w:widowControl w:val="0"/>
        <w:autoSpaceDE w:val="0"/>
        <w:autoSpaceDN w:val="0"/>
        <w:adjustRightInd w:val="0"/>
        <w:spacing w:after="240"/>
        <w:ind w:left="-426" w:right="-631" w:firstLine="426"/>
        <w:jc w:val="both"/>
        <w:rPr>
          <w:rFonts w:ascii="Times New Roman" w:hAnsi="Times New Roman" w:cs="Times New Roman"/>
          <w:lang w:val="en-US"/>
        </w:rPr>
      </w:pPr>
      <w:r w:rsidRPr="00494061">
        <w:rPr>
          <w:rFonts w:ascii="Times New Roman" w:hAnsi="Times New Roman" w:cs="Times New Roman"/>
          <w:noProof/>
          <w:lang w:val="en-US"/>
        </w:rPr>
        <w:lastRenderedPageBreak/>
        <w:drawing>
          <wp:inline distT="0" distB="0" distL="0" distR="0" wp14:anchorId="684DB6D6" wp14:editId="086C25AF">
            <wp:extent cx="5270500" cy="2244333"/>
            <wp:effectExtent l="0" t="0" r="0" b="0"/>
            <wp:docPr id="1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244333"/>
                    </a:xfrm>
                    <a:prstGeom prst="rect">
                      <a:avLst/>
                    </a:prstGeom>
                    <a:noFill/>
                    <a:ln>
                      <a:noFill/>
                    </a:ln>
                  </pic:spPr>
                </pic:pic>
              </a:graphicData>
            </a:graphic>
          </wp:inline>
        </w:drawing>
      </w:r>
    </w:p>
    <w:p w14:paraId="7DBAB749" w14:textId="37EE5A4E" w:rsidR="00C51E5C" w:rsidRPr="00C70C91" w:rsidRDefault="00C70C91" w:rsidP="00C70C91">
      <w:pPr>
        <w:widowControl w:val="0"/>
        <w:autoSpaceDE w:val="0"/>
        <w:autoSpaceDN w:val="0"/>
        <w:adjustRightInd w:val="0"/>
        <w:spacing w:after="240"/>
        <w:ind w:left="-426" w:right="-631" w:firstLine="426"/>
        <w:jc w:val="both"/>
        <w:rPr>
          <w:rFonts w:ascii="Times New Roman" w:hAnsi="Times New Roman" w:cs="Times New Roman"/>
          <w:sz w:val="20"/>
          <w:szCs w:val="20"/>
        </w:rPr>
      </w:pPr>
      <w:r w:rsidRPr="006D5E67">
        <w:rPr>
          <w:rFonts w:ascii="Times New Roman" w:hAnsi="Times New Roman" w:cs="Times New Roman"/>
          <w:sz w:val="20"/>
          <w:szCs w:val="20"/>
        </w:rPr>
        <w:t xml:space="preserve">Источник: </w:t>
      </w:r>
      <w:r>
        <w:rPr>
          <w:rFonts w:ascii="Times New Roman" w:hAnsi="Times New Roman" w:cs="Times New Roman"/>
          <w:sz w:val="20"/>
          <w:szCs w:val="20"/>
        </w:rPr>
        <w:t>Рубцов Б.</w:t>
      </w:r>
      <w:r w:rsidRPr="009F2B82">
        <w:rPr>
          <w:rFonts w:ascii="Times New Roman" w:hAnsi="Times New Roman" w:cs="Times New Roman"/>
          <w:sz w:val="20"/>
          <w:szCs w:val="20"/>
        </w:rPr>
        <w:t>Б</w:t>
      </w:r>
      <w:r w:rsidRPr="009769B6">
        <w:rPr>
          <w:rFonts w:ascii="Times New Roman" w:hAnsi="Times New Roman" w:cs="Times New Roman"/>
          <w:sz w:val="20"/>
          <w:szCs w:val="20"/>
        </w:rPr>
        <w:t xml:space="preserve">. </w:t>
      </w:r>
      <w:r>
        <w:rPr>
          <w:rFonts w:ascii="Times New Roman" w:hAnsi="Times New Roman" w:cs="Times New Roman"/>
          <w:sz w:val="20"/>
          <w:szCs w:val="20"/>
        </w:rPr>
        <w:t xml:space="preserve">Указ. Соч. </w:t>
      </w:r>
      <w:r w:rsidRPr="009F2B82">
        <w:rPr>
          <w:rFonts w:ascii="Times New Roman" w:hAnsi="Times New Roman" w:cs="Times New Roman"/>
          <w:sz w:val="20"/>
          <w:szCs w:val="20"/>
        </w:rPr>
        <w:t>C. 680</w:t>
      </w:r>
      <w:r>
        <w:rPr>
          <w:rFonts w:ascii="Times New Roman" w:hAnsi="Times New Roman" w:cs="Times New Roman"/>
          <w:sz w:val="20"/>
          <w:szCs w:val="20"/>
        </w:rPr>
        <w:t>.</w:t>
      </w:r>
    </w:p>
    <w:p w14:paraId="777BB386"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За время многолетней рецессии на финансовом рынке КНР 2001-2005 гг. значительно замедлилось развитие компаний по ценным бумагам, в связи с чем регулятор рынка был вынужден перейти к решительным действиям по его оздоровлению. Так, в 2003 г. КУКЦБ повысила требования к универсальным компаниям, что привело к массовым слияниям и укрупнениям. Некоторым компаниям было разрешено привлекать дополнительный капитал, а в 2003 г. крупные универсальные компании смогли выпускать облигации. При этом неопределенным оставалось будущее малых и средних брокером. </w:t>
      </w:r>
    </w:p>
    <w:p w14:paraId="5FA31104"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Интернет стал играть большую роль в биржевой торговле, в связи с чем брокерские конторы стало дорого содержать. Необходимо было консолидировать брокерский сектор путем удаления мелких игроков и усиления влияния крупных компаний. Выжившие компании сокращали вдвое, а то и втрое штат компании, чтобы хоть как-то сократить издержки.</w:t>
      </w:r>
    </w:p>
    <w:p w14:paraId="0DD0B1AE"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MS Mincho" w:eastAsia="MS Mincho" w:hAnsi="MS Mincho" w:cs="MS Mincho" w:hint="eastAsia"/>
          <w:sz w:val="28"/>
          <w:szCs w:val="28"/>
        </w:rPr>
        <w:t> </w:t>
      </w:r>
      <w:r w:rsidRPr="00C51E5C">
        <w:rPr>
          <w:rFonts w:ascii="Times New Roman" w:eastAsia="MS Mincho" w:hAnsi="Times New Roman" w:cs="Times New Roman"/>
          <w:sz w:val="28"/>
          <w:szCs w:val="28"/>
        </w:rPr>
        <w:t xml:space="preserve">Из-за </w:t>
      </w:r>
      <w:r w:rsidRPr="00C51E5C">
        <w:rPr>
          <w:rFonts w:ascii="Times New Roman" w:hAnsi="Times New Roman" w:cs="Times New Roman"/>
          <w:sz w:val="28"/>
          <w:szCs w:val="28"/>
        </w:rPr>
        <w:t>краха ряда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КУКЦБ ужесточил требования к качеству корпоративного управления. Однако брокеры отказывались отделять собственные активы от средств клиентов, в связи с этим Комиссия в декабре 2004 года вынуждена была усилить контроль за доступом брокеров к клиентским счетам.</w:t>
      </w:r>
    </w:p>
    <w:p w14:paraId="1A3D10EB"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Первым шагов КУКЦБ было увеличение скорости рассмотрения и утверждения заявок на проведение эмиссии облигации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а также передача им </w:t>
      </w:r>
      <w:r w:rsidRPr="00C51E5C">
        <w:rPr>
          <w:rFonts w:ascii="Times New Roman" w:hAnsi="Times New Roman" w:cs="Times New Roman"/>
          <w:sz w:val="28"/>
          <w:szCs w:val="28"/>
        </w:rPr>
        <w:lastRenderedPageBreak/>
        <w:t>части полномочии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контролю над небольшими брокерами. Второй шаг последовал в январе 2005 г., когда Комиссия провозгласила о плане проведения аудита всех брокерских компаний и запросила у всех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ценным бумагам финансовую отчетность. В некоторые компании, которые подозревались в незаконном использовании средств клиентов, были также направлены аудиторы.</w:t>
      </w:r>
    </w:p>
    <w:p w14:paraId="33BEBD65"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В 2005 г. сектор был реорганизован. В августе КУКЦБ реорганизовала 14 компаний в пилотном режиме, 13 компаний стали регулироваться со стороны государства, еще 15 компаний были распределены между собой компаниями первой и второй группы, остальные же были ликвидированы</w:t>
      </w:r>
      <w:r w:rsidRPr="00C51E5C">
        <w:rPr>
          <w:rStyle w:val="FootnoteReference"/>
          <w:rFonts w:ascii="Times New Roman" w:hAnsi="Times New Roman" w:cs="Times New Roman"/>
          <w:sz w:val="28"/>
          <w:szCs w:val="28"/>
          <w:lang w:val="en-US"/>
        </w:rPr>
        <w:footnoteReference w:id="37"/>
      </w:r>
      <w:r w:rsidRPr="00C51E5C">
        <w:rPr>
          <w:rFonts w:ascii="Times New Roman" w:hAnsi="Times New Roman" w:cs="Times New Roman"/>
          <w:sz w:val="28"/>
          <w:szCs w:val="28"/>
        </w:rPr>
        <w:t>. Затем последовали слияния и поглощения в отрасли, в результате чего количество компаний первой и второй групп резко сократилось.</w:t>
      </w:r>
    </w:p>
    <w:p w14:paraId="3774A41C"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В 2005 г. был создан Фонд защиты инвесторов на рынке ценных бумаг. </w:t>
      </w:r>
      <w:r w:rsidR="001E427C" w:rsidRPr="00C51E5C">
        <w:rPr>
          <w:rFonts w:ascii="Times New Roman" w:hAnsi="Times New Roman" w:cs="Times New Roman"/>
          <w:sz w:val="28"/>
          <w:szCs w:val="28"/>
        </w:rPr>
        <w:t>Его главной целью является компенсация</w:t>
      </w:r>
      <w:r w:rsidRPr="00C51E5C">
        <w:rPr>
          <w:rFonts w:ascii="Times New Roman" w:hAnsi="Times New Roman" w:cs="Times New Roman"/>
          <w:sz w:val="28"/>
          <w:szCs w:val="28"/>
        </w:rPr>
        <w:t xml:space="preserve"> клиентам компаний по ценным бумагам, связанных с оздоровлением данного сектора экономики. Активы Фонда</w:t>
      </w:r>
      <w:r w:rsidR="001E427C" w:rsidRPr="00C51E5C">
        <w:rPr>
          <w:rFonts w:ascii="Times New Roman" w:hAnsi="Times New Roman" w:cs="Times New Roman"/>
          <w:sz w:val="28"/>
          <w:szCs w:val="28"/>
        </w:rPr>
        <w:t xml:space="preserve"> защиты инвесторов</w:t>
      </w:r>
      <w:r w:rsidRPr="00C51E5C">
        <w:rPr>
          <w:rFonts w:ascii="Times New Roman" w:hAnsi="Times New Roman" w:cs="Times New Roman"/>
          <w:sz w:val="28"/>
          <w:szCs w:val="28"/>
        </w:rPr>
        <w:t xml:space="preserve"> находятся под</w:t>
      </w:r>
      <w:r w:rsidR="001E427C" w:rsidRPr="00C51E5C">
        <w:rPr>
          <w:rFonts w:ascii="Times New Roman" w:hAnsi="Times New Roman" w:cs="Times New Roman"/>
          <w:sz w:val="28"/>
          <w:szCs w:val="28"/>
        </w:rPr>
        <w:t xml:space="preserve"> контролем его управляющей компании</w:t>
      </w:r>
      <w:r w:rsidRPr="00C51E5C">
        <w:rPr>
          <w:rFonts w:ascii="Times New Roman" w:hAnsi="Times New Roman" w:cs="Times New Roman"/>
          <w:sz w:val="28"/>
          <w:szCs w:val="28"/>
        </w:rPr>
        <w:t>, во главе которой стоят девять директоров</w:t>
      </w:r>
      <w:r w:rsidRPr="00C51E5C">
        <w:rPr>
          <w:rStyle w:val="FootnoteReference"/>
          <w:rFonts w:ascii="Times New Roman" w:hAnsi="Times New Roman" w:cs="Times New Roman"/>
          <w:sz w:val="28"/>
          <w:szCs w:val="28"/>
          <w:lang w:val="en-US"/>
        </w:rPr>
        <w:footnoteReference w:id="38"/>
      </w:r>
      <w:r w:rsidRPr="00C51E5C">
        <w:rPr>
          <w:rFonts w:ascii="Times New Roman" w:hAnsi="Times New Roman" w:cs="Times New Roman"/>
          <w:sz w:val="28"/>
          <w:szCs w:val="28"/>
        </w:rPr>
        <w:t>.</w:t>
      </w:r>
    </w:p>
    <w:p w14:paraId="10C8868A"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Источники финансирования Фонда защиты инвесторо следующие: 1) 20% от общего объема комиссионных сборов Шанхаи</w:t>
      </w:r>
      <w:r w:rsidRPr="00C51E5C">
        <w:rPr>
          <w:rFonts w:ascii="Cambria Math" w:hAnsi="Cambria Math" w:cs="Cambria Math"/>
          <w:sz w:val="28"/>
          <w:szCs w:val="28"/>
        </w:rPr>
        <w:t>̆</w:t>
      </w:r>
      <w:r w:rsidRPr="00C51E5C">
        <w:rPr>
          <w:rFonts w:ascii="Times New Roman" w:hAnsi="Times New Roman" w:cs="Times New Roman"/>
          <w:sz w:val="28"/>
          <w:szCs w:val="28"/>
        </w:rPr>
        <w:t>скои</w:t>
      </w:r>
      <w:r w:rsidRPr="00C51E5C">
        <w:rPr>
          <w:rFonts w:ascii="Cambria Math" w:hAnsi="Cambria Math" w:cs="Cambria Math"/>
          <w:sz w:val="28"/>
          <w:szCs w:val="28"/>
        </w:rPr>
        <w:t>̆</w:t>
      </w:r>
      <w:r w:rsidRPr="00C51E5C">
        <w:rPr>
          <w:rFonts w:ascii="Times New Roman" w:hAnsi="Times New Roman" w:cs="Times New Roman"/>
          <w:sz w:val="28"/>
          <w:szCs w:val="28"/>
        </w:rPr>
        <w:t xml:space="preserve"> и Шэньчжэньскои</w:t>
      </w:r>
      <w:r w:rsidRPr="00C51E5C">
        <w:rPr>
          <w:rFonts w:ascii="Cambria Math" w:hAnsi="Cambria Math" w:cs="Cambria Math"/>
          <w:sz w:val="28"/>
          <w:szCs w:val="28"/>
        </w:rPr>
        <w:t>̆</w:t>
      </w:r>
      <w:r w:rsidRPr="00C51E5C">
        <w:rPr>
          <w:rFonts w:ascii="Times New Roman" w:hAnsi="Times New Roman" w:cs="Times New Roman"/>
          <w:sz w:val="28"/>
          <w:szCs w:val="28"/>
        </w:rPr>
        <w:t xml:space="preserve"> фондовых бирж; 3) процентные доходы на капитал финансовых агентов, зарезервированныи</w:t>
      </w:r>
      <w:r w:rsidRPr="00C51E5C">
        <w:rPr>
          <w:rFonts w:ascii="Cambria Math" w:hAnsi="Cambria Math" w:cs="Cambria Math"/>
          <w:sz w:val="28"/>
          <w:szCs w:val="28"/>
        </w:rPr>
        <w:t>̆</w:t>
      </w:r>
      <w:r w:rsidRPr="00C51E5C">
        <w:rPr>
          <w:rFonts w:ascii="Times New Roman" w:hAnsi="Times New Roman" w:cs="Times New Roman"/>
          <w:sz w:val="28"/>
          <w:szCs w:val="28"/>
        </w:rPr>
        <w:t xml:space="preserve"> для приобретения акции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и конвертируемых облигации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на первичном рынке; 2) от 0,5 до 5% операционных доходов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ценным бумагам, эти платежи отражаются в бухгалтерской отчетности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в качестве операционных расходов; 4) взыскания согласно дебиторской задолженности реорганизованных компаний; 5) добровольные пожертвования организации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и частных лиц.</w:t>
      </w:r>
      <w:r w:rsidRPr="00C51E5C">
        <w:rPr>
          <w:rFonts w:ascii="MS Mincho" w:eastAsia="MS Mincho" w:hAnsi="MS Mincho" w:cs="MS Mincho" w:hint="eastAsia"/>
          <w:sz w:val="28"/>
          <w:szCs w:val="28"/>
        </w:rPr>
        <w:t> </w:t>
      </w:r>
    </w:p>
    <w:p w14:paraId="77DE10BB"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lastRenderedPageBreak/>
        <w:t xml:space="preserve"> Реорганизация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ценным бумагам была бы необходима в случае, если бы многолетняя рецессия рынка акций Китая отсутствовала, так как за годы работы фондового рынка КНР были накоплены существенные диспропорции в его деятельности, что сильно вредило инвесторам. В первую очередь, это относилось к организации сделок слияний и поглощений, инвестиционному консультированию, публикации аналитических обзоров, трастовым услугам. А такие важные направления, как проектное финансирование, стратегическое управление капиталом, секьюритизация активов и прочее находились лишь в стадии становления</w:t>
      </w:r>
      <w:r w:rsidRPr="00C51E5C">
        <w:rPr>
          <w:rStyle w:val="FootnoteReference"/>
          <w:rFonts w:ascii="Times New Roman" w:hAnsi="Times New Roman" w:cs="Times New Roman"/>
          <w:sz w:val="28"/>
          <w:szCs w:val="28"/>
          <w:lang w:val="en-US"/>
        </w:rPr>
        <w:footnoteReference w:id="39"/>
      </w:r>
      <w:r w:rsidRPr="00C51E5C">
        <w:rPr>
          <w:rFonts w:ascii="Times New Roman" w:hAnsi="Times New Roman" w:cs="Times New Roman"/>
          <w:sz w:val="28"/>
          <w:szCs w:val="28"/>
        </w:rPr>
        <w:t>.</w:t>
      </w:r>
    </w:p>
    <w:p w14:paraId="1D34C368"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Сейчас в сфере доверительного управления конкурентное преимущество постепенно переходит к специализированным управляющим компаниям. Коммерческие банки и страховые компании все больше создают дочерние управляющие компании. </w:t>
      </w:r>
      <w:r w:rsidR="001E427C" w:rsidRPr="00C51E5C">
        <w:rPr>
          <w:rFonts w:ascii="Times New Roman" w:hAnsi="Times New Roman" w:cs="Times New Roman"/>
          <w:sz w:val="28"/>
          <w:szCs w:val="28"/>
        </w:rPr>
        <w:t>В этой связи компании</w:t>
      </w:r>
      <w:r w:rsidRPr="00C51E5C">
        <w:rPr>
          <w:rFonts w:ascii="Times New Roman" w:hAnsi="Times New Roman" w:cs="Times New Roman"/>
          <w:sz w:val="28"/>
          <w:szCs w:val="28"/>
        </w:rPr>
        <w:t xml:space="preserve"> по ценным бумагам универсального типа</w:t>
      </w:r>
      <w:r w:rsidR="001E427C" w:rsidRPr="00C51E5C">
        <w:rPr>
          <w:rFonts w:ascii="Times New Roman" w:hAnsi="Times New Roman" w:cs="Times New Roman"/>
          <w:sz w:val="28"/>
          <w:szCs w:val="28"/>
        </w:rPr>
        <w:t xml:space="preserve"> существуют в более конкурентной среде</w:t>
      </w:r>
      <w:r w:rsidRPr="00C51E5C">
        <w:rPr>
          <w:rFonts w:ascii="Times New Roman" w:hAnsi="Times New Roman" w:cs="Times New Roman"/>
          <w:sz w:val="28"/>
          <w:szCs w:val="28"/>
        </w:rPr>
        <w:t>.</w:t>
      </w:r>
    </w:p>
    <w:p w14:paraId="0C392ECC"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К тому же, конкурентоспособность китаи</w:t>
      </w:r>
      <w:r w:rsidRPr="00C51E5C">
        <w:rPr>
          <w:rFonts w:ascii="Cambria Math" w:hAnsi="Cambria Math" w:cs="Cambria Math"/>
          <w:sz w:val="28"/>
          <w:szCs w:val="28"/>
        </w:rPr>
        <w:t>̆</w:t>
      </w:r>
      <w:r w:rsidRPr="00C51E5C">
        <w:rPr>
          <w:rFonts w:ascii="Times New Roman" w:hAnsi="Times New Roman" w:cs="Times New Roman"/>
          <w:sz w:val="28"/>
          <w:szCs w:val="28"/>
        </w:rPr>
        <w:t>ских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ценным бумагам ослабляется из-за того, что им не разрешается выступать в качестве организаторов </w:t>
      </w:r>
      <w:r w:rsidRPr="00C51E5C">
        <w:rPr>
          <w:rFonts w:ascii="Times New Roman" w:hAnsi="Times New Roman" w:cs="Times New Roman"/>
          <w:sz w:val="28"/>
          <w:szCs w:val="28"/>
          <w:lang w:val="en-US"/>
        </w:rPr>
        <w:t>IPO</w:t>
      </w:r>
      <w:r w:rsidRPr="00C51E5C">
        <w:rPr>
          <w:rFonts w:ascii="Times New Roman" w:hAnsi="Times New Roman" w:cs="Times New Roman"/>
          <w:sz w:val="28"/>
          <w:szCs w:val="28"/>
        </w:rPr>
        <w:t xml:space="preserve"> вне КНР. Эта часть рынка является в настоящее время привилегией иностранных и совместных компаний.</w:t>
      </w:r>
    </w:p>
    <w:p w14:paraId="08C4FC90"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Меры по реорганизации компаний  по ценным бумагам в 2006-2008 гг. привели к значительному улучшению условий их деятельности, к существенному росту их доходов. С другой стороны, комплексные меры по упорядочению в данной отрасли позволили устранить накопленные структурные риски и создать систему их предупреждения. Сложились условия для устойчивого развития сектора. Впрочем, невзирая на это компании по ценным бумагам КНР еще не могут полноценно участвовать на рынке.</w:t>
      </w:r>
    </w:p>
    <w:p w14:paraId="0819D97D" w14:textId="667C41DC" w:rsidR="009C080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По состоянию на начало 2008 года, в КНР было 108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ценным бумагам с общим объемом активов 227 млрд. долл. и собственным капиталом 39 млрд. долл. Клиринговые и расчетные операции</w:t>
      </w:r>
      <w:r w:rsidRPr="00C51E5C">
        <w:rPr>
          <w:rFonts w:ascii="Cambria Math" w:hAnsi="Cambria Math" w:cs="Cambria Math"/>
          <w:sz w:val="28"/>
          <w:szCs w:val="28"/>
        </w:rPr>
        <w:t>и</w:t>
      </w:r>
      <w:r w:rsidRPr="00C51E5C">
        <w:rPr>
          <w:rFonts w:ascii="Times New Roman" w:hAnsi="Times New Roman" w:cs="Times New Roman"/>
          <w:sz w:val="28"/>
          <w:szCs w:val="28"/>
        </w:rPr>
        <w:t xml:space="preserve"> по клиентским сделкам в </w:t>
      </w:r>
      <w:r w:rsidRPr="00C51E5C">
        <w:rPr>
          <w:rFonts w:ascii="Times New Roman" w:hAnsi="Times New Roman" w:cs="Times New Roman"/>
          <w:sz w:val="28"/>
          <w:szCs w:val="28"/>
        </w:rPr>
        <w:lastRenderedPageBreak/>
        <w:t>2007 году составили 164 млрд. долл. В докризисный период сектор характеризовался резким ростом рентабельности. К концу 2007 года совокупная операционная прибыль составила 37,5 млрд. долл. (что на 450% больше, чем в предыдущем году), чистая прибыль 17,3 млрд. долл. (за год увеличилась более, чем в 5 раз)</w:t>
      </w:r>
      <w:r w:rsidRPr="00C51E5C">
        <w:rPr>
          <w:rStyle w:val="FootnoteReference"/>
          <w:rFonts w:ascii="Times New Roman" w:hAnsi="Times New Roman" w:cs="Times New Roman"/>
          <w:sz w:val="28"/>
          <w:szCs w:val="28"/>
          <w:lang w:val="en-US"/>
        </w:rPr>
        <w:footnoteReference w:id="40"/>
      </w:r>
      <w:r w:rsidRPr="00C51E5C">
        <w:rPr>
          <w:rFonts w:ascii="Times New Roman" w:hAnsi="Times New Roman" w:cs="Times New Roman"/>
          <w:sz w:val="28"/>
          <w:szCs w:val="28"/>
        </w:rPr>
        <w:t>. В табл</w:t>
      </w:r>
      <w:r w:rsidR="00C70C91">
        <w:rPr>
          <w:rFonts w:ascii="Times New Roman" w:hAnsi="Times New Roman" w:cs="Times New Roman"/>
          <w:sz w:val="28"/>
          <w:szCs w:val="28"/>
        </w:rPr>
        <w:t>ице 11</w:t>
      </w:r>
      <w:r w:rsidRPr="00C51E5C">
        <w:rPr>
          <w:rFonts w:ascii="Times New Roman" w:hAnsi="Times New Roman" w:cs="Times New Roman"/>
          <w:sz w:val="28"/>
          <w:szCs w:val="28"/>
        </w:rPr>
        <w:t xml:space="preserve"> указаны данные о деятельности наиболее крупных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 ценным бумагам.</w:t>
      </w:r>
    </w:p>
    <w:p w14:paraId="44AB3AD0" w14:textId="77777777" w:rsidR="00C70C91" w:rsidRPr="00C70C91" w:rsidRDefault="00C70C91" w:rsidP="00C70C91">
      <w:pPr>
        <w:widowControl w:val="0"/>
        <w:autoSpaceDE w:val="0"/>
        <w:autoSpaceDN w:val="0"/>
        <w:adjustRightInd w:val="0"/>
        <w:spacing w:after="240"/>
        <w:ind w:left="-426" w:right="-631" w:firstLine="426"/>
        <w:jc w:val="both"/>
        <w:rPr>
          <w:rFonts w:ascii="Times New Roman" w:hAnsi="Times New Roman" w:cs="Times New Roman"/>
          <w:sz w:val="28"/>
          <w:szCs w:val="28"/>
        </w:rPr>
      </w:pPr>
      <w:r w:rsidRPr="00C70C91">
        <w:rPr>
          <w:rFonts w:ascii="Times New Roman" w:hAnsi="Times New Roman" w:cs="Times New Roman"/>
          <w:sz w:val="28"/>
          <w:szCs w:val="28"/>
        </w:rPr>
        <w:t>Таблица 11. Крупнеи</w:t>
      </w:r>
      <w:r w:rsidRPr="00C70C91">
        <w:rPr>
          <w:rFonts w:ascii="Cambria Math" w:hAnsi="Cambria Math" w:cs="Cambria Math"/>
          <w:sz w:val="28"/>
          <w:szCs w:val="28"/>
        </w:rPr>
        <w:t>̆</w:t>
      </w:r>
      <w:r w:rsidRPr="00C70C91">
        <w:rPr>
          <w:rFonts w:ascii="Times New Roman" w:hAnsi="Times New Roman" w:cs="Times New Roman"/>
          <w:sz w:val="28"/>
          <w:szCs w:val="28"/>
        </w:rPr>
        <w:t>шие брокерско-дилерские компании по ценным бумагам Китая в 2007 году, млрд. долл.</w:t>
      </w:r>
    </w:p>
    <w:p w14:paraId="77FC14A0" w14:textId="77777777" w:rsidR="00C70C91" w:rsidRPr="00494061" w:rsidRDefault="00C70C91" w:rsidP="00C70C91">
      <w:pPr>
        <w:widowControl w:val="0"/>
        <w:autoSpaceDE w:val="0"/>
        <w:autoSpaceDN w:val="0"/>
        <w:adjustRightInd w:val="0"/>
        <w:spacing w:after="240"/>
        <w:ind w:left="-426" w:right="-631" w:firstLine="426"/>
        <w:jc w:val="both"/>
        <w:rPr>
          <w:rFonts w:ascii="Times New Roman" w:hAnsi="Times New Roman" w:cs="Times New Roman"/>
          <w:lang w:val="en-US"/>
        </w:rPr>
      </w:pPr>
      <w:r w:rsidRPr="00494061">
        <w:rPr>
          <w:rFonts w:ascii="Times New Roman" w:hAnsi="Times New Roman" w:cs="Times New Roman"/>
          <w:noProof/>
          <w:lang w:val="en-US"/>
        </w:rPr>
        <w:drawing>
          <wp:inline distT="0" distB="0" distL="0" distR="0" wp14:anchorId="30B5A9DE" wp14:editId="444270FB">
            <wp:extent cx="5270500" cy="2358021"/>
            <wp:effectExtent l="0" t="0" r="0" b="4445"/>
            <wp:docPr id="1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358021"/>
                    </a:xfrm>
                    <a:prstGeom prst="rect">
                      <a:avLst/>
                    </a:prstGeom>
                    <a:noFill/>
                    <a:ln>
                      <a:noFill/>
                    </a:ln>
                  </pic:spPr>
                </pic:pic>
              </a:graphicData>
            </a:graphic>
          </wp:inline>
        </w:drawing>
      </w:r>
    </w:p>
    <w:p w14:paraId="47F781B8" w14:textId="2F9912F6" w:rsidR="00C70C91" w:rsidRPr="00C70C91" w:rsidRDefault="00C70C91" w:rsidP="00C70C91">
      <w:pPr>
        <w:widowControl w:val="0"/>
        <w:autoSpaceDE w:val="0"/>
        <w:autoSpaceDN w:val="0"/>
        <w:adjustRightInd w:val="0"/>
        <w:spacing w:after="240"/>
        <w:ind w:left="-426" w:right="-631" w:firstLine="426"/>
        <w:jc w:val="both"/>
        <w:rPr>
          <w:rFonts w:ascii="Times New Roman" w:hAnsi="Times New Roman" w:cs="Times New Roman"/>
          <w:sz w:val="20"/>
          <w:szCs w:val="20"/>
          <w:lang w:val="en-US"/>
        </w:rPr>
      </w:pPr>
      <w:r w:rsidRPr="00774DF1">
        <w:rPr>
          <w:rFonts w:ascii="Times New Roman" w:hAnsi="Times New Roman" w:cs="Times New Roman"/>
          <w:sz w:val="20"/>
          <w:szCs w:val="20"/>
          <w:lang w:val="en-US"/>
        </w:rPr>
        <w:t>Источник: Shanghai Stock Exchange Fact Book, 2007.</w:t>
      </w:r>
      <w:r w:rsidRPr="00774DF1">
        <w:rPr>
          <w:rFonts w:ascii="Times New Roman" w:eastAsia="MS Mincho" w:hAnsi="Times New Roman" w:cs="Times New Roman"/>
          <w:sz w:val="20"/>
          <w:szCs w:val="20"/>
          <w:lang w:val="en-US"/>
        </w:rPr>
        <w:t> </w:t>
      </w:r>
      <w:r>
        <w:rPr>
          <w:rFonts w:ascii="Times New Roman" w:eastAsia="MS Mincho" w:hAnsi="Times New Roman" w:cs="Times New Roman"/>
          <w:sz w:val="20"/>
          <w:szCs w:val="20"/>
          <w:lang w:val="en-US"/>
        </w:rPr>
        <w:t>- http://static.</w:t>
      </w:r>
      <w:r w:rsidRPr="00774DF1">
        <w:rPr>
          <w:rFonts w:ascii="Times New Roman" w:eastAsia="MS Mincho" w:hAnsi="Times New Roman" w:cs="Times New Roman"/>
          <w:sz w:val="20"/>
          <w:szCs w:val="20"/>
          <w:lang w:val="en-US"/>
        </w:rPr>
        <w:t>se.com.cn/sseportal/en_us/ps/about/fact.shtml</w:t>
      </w:r>
    </w:p>
    <w:p w14:paraId="62B93439"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i/>
          <w:iCs/>
          <w:sz w:val="28"/>
          <w:szCs w:val="28"/>
        </w:rPr>
        <w:t>Инвестиционные фонды</w:t>
      </w:r>
      <w:r w:rsidRPr="00C51E5C">
        <w:rPr>
          <w:rFonts w:ascii="Times New Roman" w:hAnsi="Times New Roman" w:cs="Times New Roman"/>
          <w:iCs/>
          <w:sz w:val="28"/>
          <w:szCs w:val="28"/>
        </w:rPr>
        <w:t xml:space="preserve"> в КНР </w:t>
      </w:r>
      <w:r w:rsidRPr="00C51E5C">
        <w:rPr>
          <w:rFonts w:ascii="Times New Roman" w:hAnsi="Times New Roman" w:cs="Times New Roman"/>
          <w:sz w:val="28"/>
          <w:szCs w:val="28"/>
        </w:rPr>
        <w:t>организовываются различными институциональными инвесторами посредством учреждения управляющих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(УК) и привлечения средств в процессе продажи инвестиционных паев. Все собранные средства хранятся в специальных депозитарных учреждениях (кастодианах). Подобным способом Китай разделяет инвестиционное и депозитарное обслуживание инвестиционных фондов, чтобы снизить инвестиционные риски владельцев паев. Активы фондов и их управление находятся под контролм УК, все действия по управлению осуществляются от имени и по поручению всех владельцев паев.</w:t>
      </w:r>
    </w:p>
    <w:p w14:paraId="7615682A"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color w:val="000000"/>
          <w:sz w:val="28"/>
          <w:szCs w:val="28"/>
          <w:shd w:val="clear" w:color="auto" w:fill="FFFFFF"/>
        </w:rPr>
        <w:lastRenderedPageBreak/>
        <w:t>С момента начала своей деятельности в 1997 году и по настоящее время КУКЦБ активно содействует созданию инвестиционных фондов. Одними из первых в Китае появились инвестиционные фонды закрытого типа. Они имели определенный объем вложении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и их акции торговались на биржах. Продажа акции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фондов закрытого типа осуществляется с дисконтом к реальной стоимости активов фонда, поэтому более популярными для рядовых инвесторов</w:t>
      </w:r>
      <w:r w:rsidRPr="00C51E5C">
        <w:rPr>
          <w:rFonts w:ascii="Times New Roman" w:hAnsi="Times New Roman" w:cs="Times New Roman"/>
          <w:sz w:val="28"/>
          <w:szCs w:val="28"/>
        </w:rPr>
        <w:t>являются фонды открытого типа. В сентябре 2001 года был создан первыи</w:t>
      </w:r>
      <w:r w:rsidRPr="00C51E5C">
        <w:rPr>
          <w:rFonts w:ascii="Times New Roman" w:hAnsi="Cambria Math" w:cs="Times New Roman"/>
          <w:sz w:val="28"/>
          <w:szCs w:val="28"/>
        </w:rPr>
        <w:t>̆</w:t>
      </w:r>
      <w:r w:rsidRPr="00C51E5C">
        <w:rPr>
          <w:rFonts w:ascii="Times New Roman" w:hAnsi="Times New Roman" w:cs="Times New Roman"/>
          <w:sz w:val="28"/>
          <w:szCs w:val="28"/>
        </w:rPr>
        <w:t xml:space="preserve"> такои</w:t>
      </w:r>
      <w:r w:rsidRPr="00C51E5C">
        <w:rPr>
          <w:rFonts w:ascii="Times New Roman" w:hAnsi="Cambria Math" w:cs="Times New Roman"/>
          <w:sz w:val="28"/>
          <w:szCs w:val="28"/>
        </w:rPr>
        <w:t>̆</w:t>
      </w:r>
      <w:r w:rsidRPr="00C51E5C">
        <w:rPr>
          <w:rFonts w:ascii="Times New Roman" w:hAnsi="Times New Roman" w:cs="Times New Roman"/>
          <w:sz w:val="28"/>
          <w:szCs w:val="28"/>
        </w:rPr>
        <w:t xml:space="preserve"> фонд в Китае.</w:t>
      </w:r>
    </w:p>
    <w:p w14:paraId="2E49FDF5"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color w:val="000000"/>
          <w:sz w:val="28"/>
          <w:szCs w:val="28"/>
          <w:shd w:val="clear" w:color="auto" w:fill="FFFFFF"/>
        </w:rPr>
        <w:t>Все фонды в Китае в настоящее время являются контрактными (это фонды без образования юридического лица, они действуют на основании трехстороннего соглашения между паи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щиками фонда, управляющеи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компаниеи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и сторонним банком-депозитарием, являющимся попечителем фонда)</w:t>
      </w:r>
      <w:r w:rsidRPr="00C51E5C">
        <w:rPr>
          <w:rStyle w:val="FootnoteReference"/>
          <w:rFonts w:ascii="Times New Roman" w:hAnsi="Times New Roman" w:cs="Times New Roman"/>
          <w:sz w:val="28"/>
          <w:szCs w:val="28"/>
          <w:lang w:val="en-US"/>
        </w:rPr>
        <w:footnoteReference w:id="41"/>
      </w:r>
      <w:r w:rsidRPr="00C51E5C">
        <w:rPr>
          <w:rFonts w:ascii="Times New Roman" w:hAnsi="Times New Roman" w:cs="Times New Roman"/>
          <w:sz w:val="28"/>
          <w:szCs w:val="28"/>
        </w:rPr>
        <w:t>.</w:t>
      </w:r>
    </w:p>
    <w:p w14:paraId="67A06CA7"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color w:val="000000"/>
          <w:sz w:val="28"/>
          <w:szCs w:val="28"/>
          <w:shd w:val="clear" w:color="auto" w:fill="FFFFFF"/>
        </w:rPr>
        <w:t xml:space="preserve">Сейчас в КНР работают два типа инвестиционных фондов – открытые (фонды ценных бумаг, денежного рынка, фонды </w:t>
      </w:r>
      <w:r w:rsidRPr="00C51E5C">
        <w:rPr>
          <w:rFonts w:ascii="Times New Roman" w:hAnsi="Times New Roman" w:cs="Times New Roman"/>
          <w:color w:val="000000"/>
          <w:sz w:val="28"/>
          <w:szCs w:val="28"/>
          <w:shd w:val="clear" w:color="auto" w:fill="FFFFFF"/>
          <w:lang w:val="en-US"/>
        </w:rPr>
        <w:t>QFII</w:t>
      </w:r>
      <w:r w:rsidRPr="00C51E5C">
        <w:rPr>
          <w:rFonts w:ascii="Times New Roman" w:hAnsi="Times New Roman" w:cs="Times New Roman"/>
          <w:color w:val="000000"/>
          <w:sz w:val="28"/>
          <w:szCs w:val="28"/>
          <w:shd w:val="clear" w:color="auto" w:fill="FFFFFF"/>
        </w:rPr>
        <w:t>) и закрытые.</w:t>
      </w:r>
      <w:r w:rsidRPr="00C51E5C">
        <w:rPr>
          <w:rFonts w:ascii="Times New Roman" w:hAnsi="Times New Roman" w:cs="Times New Roman"/>
          <w:sz w:val="28"/>
          <w:szCs w:val="28"/>
        </w:rPr>
        <w:t xml:space="preserve"> В Китае сектор инвестиционных фондов стремительно рос в период 2005-2008 гг. На начало 2008 г. в КНР насчитывалось около 60 управляющих компаний. Под их управлением было 346 фондов, совокупные активы которых составляли порядка 430 млрд. долл., причем в 2007 г. рост активов составил более 350%.</w:t>
      </w:r>
    </w:p>
    <w:p w14:paraId="10753BE8"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В период 2005 –2008 гг. в Китае</w:t>
      </w:r>
      <w:r w:rsidR="001E427C" w:rsidRPr="00C51E5C">
        <w:rPr>
          <w:rFonts w:ascii="Times New Roman" w:hAnsi="Times New Roman" w:cs="Times New Roman"/>
          <w:sz w:val="28"/>
          <w:szCs w:val="28"/>
        </w:rPr>
        <w:t xml:space="preserve"> сектор инвестиционных фондов стремительно рос</w:t>
      </w:r>
      <w:r w:rsidRPr="00C51E5C">
        <w:rPr>
          <w:rFonts w:ascii="Times New Roman" w:hAnsi="Times New Roman" w:cs="Times New Roman"/>
          <w:sz w:val="28"/>
          <w:szCs w:val="28"/>
        </w:rPr>
        <w:t xml:space="preserve">. </w:t>
      </w:r>
      <w:r w:rsidR="001E427C" w:rsidRPr="00C51E5C">
        <w:rPr>
          <w:rFonts w:ascii="Times New Roman" w:hAnsi="Times New Roman" w:cs="Times New Roman"/>
          <w:sz w:val="28"/>
          <w:szCs w:val="28"/>
        </w:rPr>
        <w:t>На</w:t>
      </w:r>
      <w:r w:rsidRPr="00C51E5C">
        <w:rPr>
          <w:rFonts w:ascii="Times New Roman" w:hAnsi="Times New Roman" w:cs="Times New Roman"/>
          <w:sz w:val="28"/>
          <w:szCs w:val="28"/>
        </w:rPr>
        <w:t xml:space="preserve"> начало 2008 года, в КНР насчитывалось 59 управляющих компании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под управлением которых находилось 346 фондов с совокупными активами в размере </w:t>
      </w:r>
      <w:r w:rsidR="001E427C" w:rsidRPr="00C51E5C">
        <w:rPr>
          <w:rFonts w:ascii="Times New Roman" w:hAnsi="Times New Roman" w:cs="Times New Roman"/>
          <w:sz w:val="28"/>
          <w:szCs w:val="28"/>
        </w:rPr>
        <w:t>431 млрд. долл</w:t>
      </w:r>
      <w:r w:rsidRPr="00C51E5C">
        <w:rPr>
          <w:rFonts w:ascii="Times New Roman" w:hAnsi="Times New Roman" w:cs="Times New Roman"/>
          <w:sz w:val="28"/>
          <w:szCs w:val="28"/>
        </w:rPr>
        <w:t>.</w:t>
      </w:r>
      <w:r w:rsidR="001A74D4" w:rsidRPr="00C51E5C">
        <w:rPr>
          <w:rFonts w:ascii="Times New Roman" w:hAnsi="Times New Roman" w:cs="Times New Roman"/>
          <w:sz w:val="28"/>
          <w:szCs w:val="28"/>
        </w:rPr>
        <w:t>, р</w:t>
      </w:r>
      <w:r w:rsidRPr="00C51E5C">
        <w:rPr>
          <w:rFonts w:ascii="Times New Roman" w:hAnsi="Times New Roman" w:cs="Times New Roman"/>
          <w:sz w:val="28"/>
          <w:szCs w:val="28"/>
        </w:rPr>
        <w:t xml:space="preserve">ост </w:t>
      </w:r>
      <w:r w:rsidR="001A74D4" w:rsidRPr="00C51E5C">
        <w:rPr>
          <w:rFonts w:ascii="Times New Roman" w:hAnsi="Times New Roman" w:cs="Times New Roman"/>
          <w:sz w:val="28"/>
          <w:szCs w:val="28"/>
        </w:rPr>
        <w:t>которых</w:t>
      </w:r>
      <w:r w:rsidRPr="00C51E5C">
        <w:rPr>
          <w:rFonts w:ascii="Times New Roman" w:hAnsi="Times New Roman" w:cs="Times New Roman"/>
          <w:sz w:val="28"/>
          <w:szCs w:val="28"/>
        </w:rPr>
        <w:t xml:space="preserve"> в 2007 году составил </w:t>
      </w:r>
      <w:r w:rsidR="001A74D4" w:rsidRPr="00C51E5C">
        <w:rPr>
          <w:rFonts w:ascii="Times New Roman" w:hAnsi="Times New Roman" w:cs="Times New Roman"/>
          <w:sz w:val="28"/>
          <w:szCs w:val="28"/>
        </w:rPr>
        <w:t>порядка</w:t>
      </w:r>
      <w:r w:rsidRPr="00C51E5C">
        <w:rPr>
          <w:rFonts w:ascii="Times New Roman" w:hAnsi="Times New Roman" w:cs="Times New Roman"/>
          <w:sz w:val="28"/>
          <w:szCs w:val="28"/>
        </w:rPr>
        <w:t xml:space="preserve"> 350%. </w:t>
      </w:r>
      <w:r w:rsidR="001A74D4" w:rsidRPr="00C51E5C">
        <w:rPr>
          <w:rFonts w:ascii="Times New Roman" w:hAnsi="Times New Roman" w:cs="Times New Roman"/>
          <w:sz w:val="28"/>
          <w:szCs w:val="28"/>
        </w:rPr>
        <w:t>Большая</w:t>
      </w:r>
      <w:r w:rsidRPr="00C51E5C">
        <w:rPr>
          <w:rFonts w:ascii="Times New Roman" w:hAnsi="Times New Roman" w:cs="Times New Roman"/>
          <w:sz w:val="28"/>
          <w:szCs w:val="28"/>
        </w:rPr>
        <w:t xml:space="preserve"> часть вложении</w:t>
      </w:r>
      <w:r w:rsidRPr="00C51E5C">
        <w:rPr>
          <w:rFonts w:ascii="Cambria Math" w:hAnsi="Cambria Math" w:cs="Cambria Math"/>
          <w:sz w:val="28"/>
          <w:szCs w:val="28"/>
        </w:rPr>
        <w:t>̆</w:t>
      </w:r>
      <w:r w:rsidR="001A74D4" w:rsidRPr="00C51E5C">
        <w:rPr>
          <w:rFonts w:ascii="Times New Roman" w:hAnsi="Times New Roman" w:cs="Times New Roman"/>
          <w:sz w:val="28"/>
          <w:szCs w:val="28"/>
        </w:rPr>
        <w:t xml:space="preserve"> были направлены</w:t>
      </w:r>
      <w:r w:rsidRPr="00C51E5C">
        <w:rPr>
          <w:rFonts w:ascii="Times New Roman" w:hAnsi="Times New Roman" w:cs="Times New Roman"/>
          <w:sz w:val="28"/>
          <w:szCs w:val="28"/>
        </w:rPr>
        <w:t xml:space="preserve"> на фондовый рынок. Вложения фондов в акции составляли почти 26% </w:t>
      </w:r>
      <w:r w:rsidR="001A74D4" w:rsidRPr="00C51E5C">
        <w:rPr>
          <w:rFonts w:ascii="Times New Roman" w:hAnsi="Times New Roman" w:cs="Times New Roman"/>
          <w:sz w:val="28"/>
          <w:szCs w:val="28"/>
        </w:rPr>
        <w:t>от суммарной</w:t>
      </w:r>
      <w:r w:rsidRPr="00C51E5C">
        <w:rPr>
          <w:rFonts w:ascii="Times New Roman" w:hAnsi="Times New Roman" w:cs="Times New Roman"/>
          <w:sz w:val="28"/>
          <w:szCs w:val="28"/>
        </w:rPr>
        <w:t xml:space="preserve"> рыночной капитализации обращающихся акции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w:t>
      </w:r>
      <w:r w:rsidRPr="00C51E5C">
        <w:rPr>
          <w:rFonts w:ascii="Times New Roman" w:hAnsi="Times New Roman" w:cs="Times New Roman"/>
          <w:sz w:val="28"/>
          <w:szCs w:val="28"/>
          <w:lang w:val="en-US"/>
        </w:rPr>
        <w:t>free</w:t>
      </w:r>
      <w:r w:rsidRPr="00C51E5C">
        <w:rPr>
          <w:rFonts w:ascii="Times New Roman" w:hAnsi="Times New Roman" w:cs="Times New Roman"/>
          <w:sz w:val="28"/>
          <w:szCs w:val="28"/>
        </w:rPr>
        <w:t xml:space="preserve"> </w:t>
      </w:r>
      <w:r w:rsidRPr="00C51E5C">
        <w:rPr>
          <w:rFonts w:ascii="Times New Roman" w:hAnsi="Times New Roman" w:cs="Times New Roman"/>
          <w:sz w:val="28"/>
          <w:szCs w:val="28"/>
          <w:lang w:val="en-US"/>
        </w:rPr>
        <w:t>float</w:t>
      </w:r>
      <w:r w:rsidRPr="00C51E5C">
        <w:rPr>
          <w:rFonts w:ascii="Times New Roman" w:hAnsi="Times New Roman" w:cs="Times New Roman"/>
          <w:sz w:val="28"/>
          <w:szCs w:val="28"/>
        </w:rPr>
        <w:t>) Шанхайской и Шэньчжэньской фондовых бирж. Доля инвестиционных фондов на рынке акции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типа «А» </w:t>
      </w:r>
      <w:r w:rsidRPr="00C51E5C">
        <w:rPr>
          <w:rFonts w:ascii="Times New Roman" w:hAnsi="Times New Roman" w:cs="Times New Roman"/>
          <w:sz w:val="28"/>
          <w:szCs w:val="28"/>
        </w:rPr>
        <w:lastRenderedPageBreak/>
        <w:t>составила порядка 26</w:t>
      </w:r>
      <w:r w:rsidR="001A74D4" w:rsidRPr="00C51E5C">
        <w:rPr>
          <w:rFonts w:ascii="Times New Roman" w:hAnsi="Times New Roman" w:cs="Times New Roman"/>
          <w:sz w:val="28"/>
          <w:szCs w:val="28"/>
        </w:rPr>
        <w:t xml:space="preserve">%, а среди всех </w:t>
      </w:r>
      <w:r w:rsidRPr="00C51E5C">
        <w:rPr>
          <w:rFonts w:ascii="Times New Roman" w:hAnsi="Times New Roman" w:cs="Times New Roman"/>
          <w:sz w:val="28"/>
          <w:szCs w:val="28"/>
        </w:rPr>
        <w:t>институциональных инвесторов – 55%</w:t>
      </w:r>
      <w:r w:rsidRPr="00C51E5C">
        <w:rPr>
          <w:rStyle w:val="FootnoteReference"/>
          <w:rFonts w:ascii="Times New Roman" w:hAnsi="Times New Roman" w:cs="Times New Roman"/>
          <w:sz w:val="28"/>
          <w:szCs w:val="28"/>
          <w:lang w:val="en-US"/>
        </w:rPr>
        <w:footnoteReference w:id="42"/>
      </w:r>
      <w:r w:rsidRPr="00C51E5C">
        <w:rPr>
          <w:rFonts w:ascii="Times New Roman" w:hAnsi="Times New Roman" w:cs="Times New Roman"/>
          <w:sz w:val="28"/>
          <w:szCs w:val="28"/>
        </w:rPr>
        <w:t xml:space="preserve">. </w:t>
      </w:r>
    </w:p>
    <w:p w14:paraId="7C87E2B5" w14:textId="00B7774A" w:rsidR="009C080C" w:rsidRDefault="00C70C91"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В таблице 12</w:t>
      </w:r>
      <w:r w:rsidR="009C080C" w:rsidRPr="00C51E5C">
        <w:rPr>
          <w:rFonts w:ascii="Times New Roman" w:hAnsi="Times New Roman" w:cs="Times New Roman"/>
          <w:sz w:val="28"/>
          <w:szCs w:val="28"/>
        </w:rPr>
        <w:t xml:space="preserve"> представлена структура инвестиционных фондов в КНР.</w:t>
      </w:r>
    </w:p>
    <w:p w14:paraId="76AF7D60" w14:textId="77777777" w:rsidR="00C70C91" w:rsidRPr="00C70C91" w:rsidRDefault="00C70C91" w:rsidP="00C70C91">
      <w:pPr>
        <w:widowControl w:val="0"/>
        <w:autoSpaceDE w:val="0"/>
        <w:autoSpaceDN w:val="0"/>
        <w:adjustRightInd w:val="0"/>
        <w:spacing w:after="240"/>
        <w:ind w:left="-426" w:right="-631" w:firstLine="426"/>
        <w:jc w:val="both"/>
        <w:rPr>
          <w:rFonts w:ascii="Times New Roman" w:hAnsi="Times New Roman" w:cs="Times New Roman"/>
          <w:sz w:val="28"/>
          <w:szCs w:val="28"/>
        </w:rPr>
      </w:pPr>
      <w:r w:rsidRPr="00C70C91">
        <w:rPr>
          <w:rFonts w:ascii="Times New Roman" w:hAnsi="Times New Roman" w:cs="Times New Roman"/>
          <w:sz w:val="28"/>
          <w:szCs w:val="28"/>
        </w:rPr>
        <w:t>Таблица 12. Структура инвестиционных фондов в КНР, %</w:t>
      </w:r>
    </w:p>
    <w:p w14:paraId="4569B154" w14:textId="77777777" w:rsidR="00C70C91" w:rsidRPr="00494061" w:rsidRDefault="00C70C91" w:rsidP="00C70C91">
      <w:pPr>
        <w:widowControl w:val="0"/>
        <w:autoSpaceDE w:val="0"/>
        <w:autoSpaceDN w:val="0"/>
        <w:adjustRightInd w:val="0"/>
        <w:spacing w:after="240"/>
        <w:ind w:left="-426" w:right="-631" w:firstLine="426"/>
        <w:jc w:val="both"/>
        <w:rPr>
          <w:rFonts w:ascii="Times New Roman" w:hAnsi="Times New Roman" w:cs="Times New Roman"/>
          <w:lang w:val="en-US"/>
        </w:rPr>
      </w:pPr>
      <w:r w:rsidRPr="00494061">
        <w:rPr>
          <w:rFonts w:ascii="Times New Roman" w:hAnsi="Times New Roman" w:cs="Times New Roman"/>
          <w:noProof/>
          <w:lang w:val="en-US"/>
        </w:rPr>
        <w:drawing>
          <wp:inline distT="0" distB="0" distL="0" distR="0" wp14:anchorId="5050A15A" wp14:editId="404AD363">
            <wp:extent cx="5270500" cy="1420978"/>
            <wp:effectExtent l="0" t="0" r="0" b="1905"/>
            <wp:docPr id="1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1420978"/>
                    </a:xfrm>
                    <a:prstGeom prst="rect">
                      <a:avLst/>
                    </a:prstGeom>
                    <a:noFill/>
                    <a:ln>
                      <a:noFill/>
                    </a:ln>
                  </pic:spPr>
                </pic:pic>
              </a:graphicData>
            </a:graphic>
          </wp:inline>
        </w:drawing>
      </w:r>
    </w:p>
    <w:p w14:paraId="0205845A" w14:textId="119C57B5" w:rsidR="00C51E5C" w:rsidRPr="00C70C91" w:rsidRDefault="00C70C91" w:rsidP="00C70C91">
      <w:pPr>
        <w:widowControl w:val="0"/>
        <w:tabs>
          <w:tab w:val="left" w:pos="220"/>
          <w:tab w:val="left" w:pos="720"/>
        </w:tabs>
        <w:autoSpaceDE w:val="0"/>
        <w:autoSpaceDN w:val="0"/>
        <w:adjustRightInd w:val="0"/>
        <w:spacing w:after="360"/>
        <w:ind w:left="-426" w:right="-631"/>
        <w:jc w:val="both"/>
        <w:rPr>
          <w:rFonts w:ascii="Times New Roman" w:hAnsi="Times New Roman" w:cs="Times New Roman"/>
          <w:sz w:val="20"/>
          <w:szCs w:val="20"/>
        </w:rPr>
      </w:pPr>
      <w:r w:rsidRPr="008221E6">
        <w:rPr>
          <w:rFonts w:ascii="Times New Roman" w:hAnsi="Times New Roman" w:cs="Times New Roman"/>
          <w:sz w:val="20"/>
          <w:szCs w:val="20"/>
          <w:lang w:val="en-US"/>
        </w:rPr>
        <w:t xml:space="preserve">Источник: China Securities Regulatory Commission Annual Report. </w:t>
      </w:r>
      <w:r>
        <w:rPr>
          <w:rFonts w:ascii="Times New Roman" w:hAnsi="Times New Roman" w:cs="Times New Roman"/>
          <w:sz w:val="20"/>
          <w:szCs w:val="20"/>
        </w:rPr>
        <w:t xml:space="preserve">2007. - </w:t>
      </w:r>
      <w:r w:rsidRPr="008221E6">
        <w:rPr>
          <w:rFonts w:ascii="Times New Roman" w:hAnsi="Times New Roman" w:cs="Times New Roman"/>
          <w:sz w:val="20"/>
          <w:szCs w:val="20"/>
          <w:lang w:val="en-US"/>
        </w:rPr>
        <w:t>www</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csrc</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gov</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cn</w:t>
      </w:r>
      <w:r w:rsidRPr="006D5E67">
        <w:rPr>
          <w:rFonts w:ascii="Times New Roman" w:hAnsi="Times New Roman" w:cs="Times New Roman"/>
          <w:sz w:val="20"/>
          <w:szCs w:val="20"/>
        </w:rPr>
        <w:t xml:space="preserve"> </w:t>
      </w:r>
    </w:p>
    <w:tbl>
      <w:tblPr>
        <w:tblpPr w:leftFromText="180" w:rightFromText="180" w:vertAnchor="text" w:horzAnchor="page" w:tblpX="1089" w:tblpY="1013"/>
        <w:tblW w:w="750" w:type="dxa"/>
        <w:tblCellSpacing w:w="15" w:type="dxa"/>
        <w:tblCellMar>
          <w:top w:w="15" w:type="dxa"/>
          <w:left w:w="15" w:type="dxa"/>
          <w:bottom w:w="15" w:type="dxa"/>
          <w:right w:w="15" w:type="dxa"/>
        </w:tblCellMar>
        <w:tblLook w:val="04A0" w:firstRow="1" w:lastRow="0" w:firstColumn="1" w:lastColumn="0" w:noHBand="0" w:noVBand="1"/>
      </w:tblPr>
      <w:tblGrid>
        <w:gridCol w:w="375"/>
        <w:gridCol w:w="375"/>
      </w:tblGrid>
      <w:tr w:rsidR="009C080C" w:rsidRPr="00C51E5C" w14:paraId="08E96272" w14:textId="77777777" w:rsidTr="00534F02">
        <w:trPr>
          <w:tblCellSpacing w:w="15" w:type="dxa"/>
        </w:trPr>
        <w:tc>
          <w:tcPr>
            <w:tcW w:w="330" w:type="dxa"/>
            <w:tcMar>
              <w:top w:w="0" w:type="dxa"/>
              <w:left w:w="0" w:type="dxa"/>
              <w:bottom w:w="0" w:type="dxa"/>
              <w:right w:w="0" w:type="dxa"/>
            </w:tcMar>
            <w:vAlign w:val="center"/>
            <w:hideMark/>
          </w:tcPr>
          <w:p w14:paraId="04113923" w14:textId="77777777" w:rsidR="009C080C" w:rsidRPr="00C51E5C" w:rsidRDefault="009C080C" w:rsidP="00C51E5C">
            <w:pPr>
              <w:spacing w:line="360" w:lineRule="auto"/>
              <w:rPr>
                <w:rFonts w:ascii="Verdana" w:hAnsi="Verdana"/>
                <w:sz w:val="28"/>
                <w:szCs w:val="28"/>
              </w:rPr>
            </w:pPr>
          </w:p>
        </w:tc>
        <w:tc>
          <w:tcPr>
            <w:tcW w:w="330" w:type="dxa"/>
            <w:tcMar>
              <w:top w:w="0" w:type="dxa"/>
              <w:left w:w="0" w:type="dxa"/>
              <w:bottom w:w="0" w:type="dxa"/>
              <w:right w:w="0" w:type="dxa"/>
            </w:tcMar>
            <w:vAlign w:val="center"/>
            <w:hideMark/>
          </w:tcPr>
          <w:p w14:paraId="23C99F1A" w14:textId="77777777" w:rsidR="009C080C" w:rsidRPr="00C51E5C" w:rsidRDefault="009C080C" w:rsidP="00C51E5C">
            <w:pPr>
              <w:spacing w:line="360" w:lineRule="auto"/>
              <w:rPr>
                <w:rFonts w:ascii="Verdana" w:hAnsi="Verdana"/>
                <w:sz w:val="28"/>
                <w:szCs w:val="28"/>
              </w:rPr>
            </w:pPr>
          </w:p>
        </w:tc>
      </w:tr>
    </w:tbl>
    <w:p w14:paraId="6D3FF897" w14:textId="5158B1A7" w:rsidR="00C51E5C" w:rsidRDefault="00C70C91"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Из данных таблицы 12</w:t>
      </w:r>
      <w:r w:rsidR="009C080C" w:rsidRPr="00C51E5C">
        <w:rPr>
          <w:rFonts w:ascii="Times New Roman" w:hAnsi="Times New Roman" w:cs="Times New Roman"/>
          <w:sz w:val="28"/>
          <w:szCs w:val="28"/>
        </w:rPr>
        <w:t xml:space="preserve"> видно, структура инвестиционных</w:t>
      </w:r>
      <w:r w:rsidR="001A74D4" w:rsidRPr="00C51E5C">
        <w:rPr>
          <w:rFonts w:ascii="Times New Roman" w:hAnsi="Times New Roman" w:cs="Times New Roman"/>
          <w:sz w:val="28"/>
          <w:szCs w:val="28"/>
        </w:rPr>
        <w:t xml:space="preserve"> фондов в целом диверсифицирова</w:t>
      </w:r>
      <w:r w:rsidR="009C080C" w:rsidRPr="00C51E5C">
        <w:rPr>
          <w:rFonts w:ascii="Times New Roman" w:hAnsi="Times New Roman" w:cs="Times New Roman"/>
          <w:sz w:val="28"/>
          <w:szCs w:val="28"/>
        </w:rPr>
        <w:t>на, однако ведущая роль отдает</w:t>
      </w:r>
      <w:r w:rsidR="00C51E5C">
        <w:rPr>
          <w:rFonts w:ascii="Times New Roman" w:hAnsi="Times New Roman" w:cs="Times New Roman"/>
          <w:sz w:val="28"/>
          <w:szCs w:val="28"/>
        </w:rPr>
        <w:t>ся фондам</w:t>
      </w:r>
    </w:p>
    <w:p w14:paraId="7C725327" w14:textId="4A30A341" w:rsidR="009C080C" w:rsidRPr="00C51E5C" w:rsidRDefault="009C080C" w:rsidP="00C51E5C">
      <w:pPr>
        <w:widowControl w:val="0"/>
        <w:autoSpaceDE w:val="0"/>
        <w:autoSpaceDN w:val="0"/>
        <w:adjustRightInd w:val="0"/>
        <w:spacing w:line="360" w:lineRule="auto"/>
        <w:ind w:left="-426" w:right="50" w:firstLine="284"/>
        <w:jc w:val="both"/>
        <w:rPr>
          <w:rFonts w:ascii="Times New Roman" w:hAnsi="Times New Roman" w:cs="Times New Roman"/>
          <w:sz w:val="28"/>
          <w:szCs w:val="28"/>
        </w:rPr>
      </w:pPr>
      <w:r w:rsidRPr="00C51E5C">
        <w:rPr>
          <w:rFonts w:ascii="Times New Roman" w:hAnsi="Times New Roman" w:cs="Times New Roman"/>
          <w:sz w:val="28"/>
          <w:szCs w:val="28"/>
        </w:rPr>
        <w:t>акции</w:t>
      </w:r>
      <w:r w:rsidRPr="00C51E5C">
        <w:rPr>
          <w:rFonts w:ascii="Cambria Math" w:hAnsi="Cambria Math" w:cs="Cambria Math"/>
          <w:sz w:val="28"/>
          <w:szCs w:val="28"/>
        </w:rPr>
        <w:t>̆</w:t>
      </w:r>
      <w:r w:rsidRPr="00C51E5C">
        <w:rPr>
          <w:rFonts w:ascii="Times New Roman" w:hAnsi="Times New Roman" w:cs="Times New Roman"/>
          <w:sz w:val="28"/>
          <w:szCs w:val="28"/>
        </w:rPr>
        <w:t xml:space="preserve"> и смешанным фондам (которые тоже включают акции). Можно с</w:t>
      </w:r>
      <w:r w:rsidR="001A74D4" w:rsidRPr="00C51E5C">
        <w:rPr>
          <w:rFonts w:ascii="Times New Roman" w:hAnsi="Times New Roman" w:cs="Times New Roman"/>
          <w:sz w:val="28"/>
          <w:szCs w:val="28"/>
        </w:rPr>
        <w:t xml:space="preserve">делать вывод, что акции в общем </w:t>
      </w:r>
      <w:r w:rsidRPr="00C51E5C">
        <w:rPr>
          <w:rFonts w:ascii="Times New Roman" w:hAnsi="Times New Roman" w:cs="Times New Roman"/>
          <w:sz w:val="28"/>
          <w:szCs w:val="28"/>
        </w:rPr>
        <w:t xml:space="preserve">доминируют на финансовом рынке Китая. </w:t>
      </w:r>
    </w:p>
    <w:p w14:paraId="48ECF1A8"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Роль КУКЦБ состоит не только в стимулировании создания новых фондов, </w:t>
      </w:r>
      <w:r w:rsidR="001A74D4" w:rsidRPr="00C51E5C">
        <w:rPr>
          <w:rFonts w:ascii="Times New Roman" w:hAnsi="Times New Roman" w:cs="Times New Roman"/>
          <w:sz w:val="28"/>
          <w:szCs w:val="28"/>
        </w:rPr>
        <w:t>Национальный фонд</w:t>
      </w:r>
      <w:r w:rsidRPr="00C51E5C">
        <w:rPr>
          <w:rFonts w:ascii="Times New Roman" w:hAnsi="Times New Roman" w:cs="Times New Roman"/>
          <w:sz w:val="28"/>
          <w:szCs w:val="28"/>
        </w:rPr>
        <w:t xml:space="preserve"> соц</w:t>
      </w:r>
      <w:r w:rsidR="001A74D4" w:rsidRPr="00C51E5C">
        <w:rPr>
          <w:rFonts w:ascii="Times New Roman" w:hAnsi="Times New Roman" w:cs="Times New Roman"/>
          <w:sz w:val="28"/>
          <w:szCs w:val="28"/>
        </w:rPr>
        <w:t>иального обеспечения и Комиссия</w:t>
      </w:r>
      <w:r w:rsidRPr="00C51E5C">
        <w:rPr>
          <w:rFonts w:ascii="Times New Roman" w:hAnsi="Times New Roman" w:cs="Times New Roman"/>
          <w:sz w:val="28"/>
          <w:szCs w:val="28"/>
        </w:rPr>
        <w:t xml:space="preserve"> по управлению страховым рынком в КНР</w:t>
      </w:r>
      <w:r w:rsidR="001A74D4" w:rsidRPr="00C51E5C">
        <w:rPr>
          <w:rFonts w:ascii="Times New Roman" w:hAnsi="Times New Roman" w:cs="Times New Roman"/>
          <w:sz w:val="28"/>
          <w:szCs w:val="28"/>
        </w:rPr>
        <w:t xml:space="preserve"> также активно взаимодействуют с КУКЦБ</w:t>
      </w:r>
      <w:r w:rsidRPr="00C51E5C">
        <w:rPr>
          <w:rFonts w:ascii="Times New Roman" w:hAnsi="Times New Roman" w:cs="Times New Roman"/>
          <w:sz w:val="28"/>
          <w:szCs w:val="28"/>
        </w:rPr>
        <w:t xml:space="preserve">. Это сотрудничество стимулирует выход пенсионных фондов и страховых компаний на рынок акций посредством инвестиционных фондов. </w:t>
      </w:r>
    </w:p>
    <w:p w14:paraId="44FFA8DA" w14:textId="77777777" w:rsidR="009C080C" w:rsidRPr="00C51E5C" w:rsidRDefault="009C080C" w:rsidP="00C51E5C">
      <w:pPr>
        <w:spacing w:line="360" w:lineRule="auto"/>
        <w:ind w:left="-426" w:firstLine="426"/>
        <w:jc w:val="both"/>
        <w:rPr>
          <w:rFonts w:ascii="Times New Roman" w:hAnsi="Times New Roman" w:cs="Times New Roman"/>
          <w:sz w:val="28"/>
          <w:szCs w:val="28"/>
        </w:rPr>
      </w:pPr>
      <w:r w:rsidRPr="00C51E5C">
        <w:rPr>
          <w:rStyle w:val="noncited4"/>
          <w:rFonts w:ascii="Times New Roman" w:hAnsi="Times New Roman" w:cs="Times New Roman"/>
          <w:color w:val="000000"/>
          <w:sz w:val="28"/>
          <w:szCs w:val="28"/>
          <w:shd w:val="clear" w:color="auto" w:fill="FFFFFF"/>
        </w:rPr>
        <w:t>Также комиссия всецело поддерживает создание совместных управляющих компании</w:t>
      </w:r>
      <w:r w:rsidRPr="00C51E5C">
        <w:rPr>
          <w:rStyle w:val="noncited4"/>
          <w:rFonts w:ascii="Times New Roman" w:hAnsi="Cambria Math" w:cs="Times New Roman"/>
          <w:color w:val="000000"/>
          <w:sz w:val="28"/>
          <w:szCs w:val="28"/>
          <w:shd w:val="clear" w:color="auto" w:fill="FFFFFF"/>
        </w:rPr>
        <w:t>̆</w:t>
      </w:r>
      <w:r w:rsidRPr="00C51E5C">
        <w:rPr>
          <w:rStyle w:val="noncited4"/>
          <w:rFonts w:ascii="Times New Roman" w:hAnsi="Times New Roman" w:cs="Times New Roman"/>
          <w:color w:val="000000"/>
          <w:sz w:val="28"/>
          <w:szCs w:val="28"/>
          <w:shd w:val="clear" w:color="auto" w:fill="FFFFFF"/>
        </w:rPr>
        <w:t>. Несмотря на все предпринятые меры, иностранные институциональные инвесторы пока не входят в эту отрасль, так как они не допускаются к эффективному контролированию деятельности совместных управляющих компании</w:t>
      </w:r>
      <w:r w:rsidRPr="00C51E5C">
        <w:rPr>
          <w:rStyle w:val="noncited4"/>
          <w:rFonts w:ascii="Times New Roman" w:hAnsi="Cambria Math" w:cs="Times New Roman"/>
          <w:color w:val="000000"/>
          <w:sz w:val="28"/>
          <w:szCs w:val="28"/>
          <w:shd w:val="clear" w:color="auto" w:fill="FFFFFF"/>
        </w:rPr>
        <w:t>̆</w:t>
      </w:r>
      <w:r w:rsidRPr="00C51E5C">
        <w:rPr>
          <w:rStyle w:val="noncited4"/>
          <w:rFonts w:ascii="Times New Roman" w:hAnsi="Times New Roman" w:cs="Times New Roman"/>
          <w:color w:val="000000"/>
          <w:sz w:val="28"/>
          <w:szCs w:val="28"/>
          <w:shd w:val="clear" w:color="auto" w:fill="FFFFFF"/>
        </w:rPr>
        <w:t>. Да и крупные китаи</w:t>
      </w:r>
      <w:r w:rsidRPr="00C51E5C">
        <w:rPr>
          <w:rStyle w:val="noncited4"/>
          <w:rFonts w:ascii="Times New Roman" w:hAnsi="Cambria Math" w:cs="Times New Roman"/>
          <w:color w:val="000000"/>
          <w:sz w:val="28"/>
          <w:szCs w:val="28"/>
          <w:shd w:val="clear" w:color="auto" w:fill="FFFFFF"/>
        </w:rPr>
        <w:t>̆</w:t>
      </w:r>
      <w:r w:rsidRPr="00C51E5C">
        <w:rPr>
          <w:rStyle w:val="noncited4"/>
          <w:rFonts w:ascii="Times New Roman" w:hAnsi="Times New Roman" w:cs="Times New Roman"/>
          <w:color w:val="000000"/>
          <w:sz w:val="28"/>
          <w:szCs w:val="28"/>
          <w:shd w:val="clear" w:color="auto" w:fill="FFFFFF"/>
        </w:rPr>
        <w:t>ские игроки не слишком заинтересованы в появлении иностранных конкурентов</w:t>
      </w:r>
      <w:r w:rsidRPr="00C51E5C">
        <w:rPr>
          <w:rStyle w:val="FootnoteReference"/>
          <w:rFonts w:ascii="Times New Roman" w:hAnsi="Times New Roman" w:cs="Times New Roman"/>
          <w:sz w:val="28"/>
          <w:szCs w:val="28"/>
          <w:lang w:val="en-US"/>
        </w:rPr>
        <w:footnoteReference w:id="43"/>
      </w:r>
      <w:r w:rsidRPr="00C51E5C">
        <w:rPr>
          <w:rFonts w:ascii="Times New Roman" w:hAnsi="Times New Roman" w:cs="Times New Roman"/>
          <w:sz w:val="28"/>
          <w:szCs w:val="28"/>
        </w:rPr>
        <w:t>.</w:t>
      </w:r>
    </w:p>
    <w:p w14:paraId="1EFD7F7A" w14:textId="77777777" w:rsidR="009C080C" w:rsidRPr="00C51E5C" w:rsidRDefault="009C080C" w:rsidP="00C51E5C">
      <w:pPr>
        <w:spacing w:line="360" w:lineRule="auto"/>
        <w:ind w:left="-426" w:firstLine="426"/>
        <w:jc w:val="both"/>
        <w:rPr>
          <w:rStyle w:val="noncited4"/>
          <w:rFonts w:ascii="Times New Roman" w:hAnsi="Times New Roman" w:cs="Times New Roman"/>
          <w:color w:val="000000"/>
          <w:sz w:val="28"/>
          <w:szCs w:val="28"/>
          <w:shd w:val="clear" w:color="auto" w:fill="FFFFFF"/>
        </w:rPr>
      </w:pPr>
      <w:r w:rsidRPr="00C51E5C">
        <w:rPr>
          <w:rStyle w:val="noncited4"/>
          <w:rFonts w:ascii="Times New Roman" w:hAnsi="Times New Roman" w:cs="Times New Roman"/>
          <w:color w:val="000000"/>
          <w:sz w:val="28"/>
          <w:szCs w:val="28"/>
          <w:shd w:val="clear" w:color="auto" w:fill="FFFFFF"/>
        </w:rPr>
        <w:t xml:space="preserve">В 1995 году начинается учреждение крупными управляющими компаниями </w:t>
      </w:r>
      <w:r w:rsidRPr="00C51E5C">
        <w:rPr>
          <w:rStyle w:val="noncited4"/>
          <w:rFonts w:ascii="Times New Roman" w:hAnsi="Times New Roman" w:cs="Times New Roman"/>
          <w:i/>
          <w:color w:val="000000"/>
          <w:sz w:val="28"/>
          <w:szCs w:val="28"/>
          <w:shd w:val="clear" w:color="auto" w:fill="FFFFFF"/>
        </w:rPr>
        <w:t>частных трастовых фондов (simu jijin)</w:t>
      </w:r>
      <w:r w:rsidRPr="00C51E5C">
        <w:rPr>
          <w:rStyle w:val="noncited4"/>
          <w:rFonts w:ascii="Times New Roman" w:hAnsi="Times New Roman" w:cs="Times New Roman"/>
          <w:color w:val="000000"/>
          <w:sz w:val="28"/>
          <w:szCs w:val="28"/>
          <w:shd w:val="clear" w:color="auto" w:fill="FFFFFF"/>
        </w:rPr>
        <w:t xml:space="preserve">, перед ними стояла задача по привлечению средств состоятельных граждан, государственных и частных </w:t>
      </w:r>
      <w:r w:rsidRPr="00C51E5C">
        <w:rPr>
          <w:rStyle w:val="noncited4"/>
          <w:rFonts w:ascii="Times New Roman" w:hAnsi="Times New Roman" w:cs="Times New Roman"/>
          <w:color w:val="000000"/>
          <w:sz w:val="28"/>
          <w:szCs w:val="28"/>
          <w:shd w:val="clear" w:color="auto" w:fill="FFFFFF"/>
        </w:rPr>
        <w:lastRenderedPageBreak/>
        <w:t>предприятии</w:t>
      </w:r>
      <w:r w:rsidRPr="00C51E5C">
        <w:rPr>
          <w:rStyle w:val="noncited4"/>
          <w:rFonts w:ascii="Times New Roman" w:hAnsi="Cambria Math" w:cs="Times New Roman"/>
          <w:color w:val="000000"/>
          <w:sz w:val="28"/>
          <w:szCs w:val="28"/>
          <w:shd w:val="clear" w:color="auto" w:fill="FFFFFF"/>
        </w:rPr>
        <w:t>̆</w:t>
      </w:r>
      <w:r w:rsidRPr="00C51E5C">
        <w:rPr>
          <w:rStyle w:val="noncited4"/>
          <w:rFonts w:ascii="Times New Roman" w:hAnsi="Times New Roman" w:cs="Times New Roman"/>
          <w:color w:val="000000"/>
          <w:sz w:val="28"/>
          <w:szCs w:val="28"/>
          <w:shd w:val="clear" w:color="auto" w:fill="FFFFFF"/>
        </w:rPr>
        <w:t xml:space="preserve"> (частное привлечение). Эти фонды обладают всеми признаками (за исключением официальнои</w:t>
      </w:r>
      <w:r w:rsidRPr="00C51E5C">
        <w:rPr>
          <w:rStyle w:val="noncited4"/>
          <w:rFonts w:ascii="Times New Roman" w:hAnsi="Cambria Math" w:cs="Times New Roman"/>
          <w:color w:val="000000"/>
          <w:sz w:val="28"/>
          <w:szCs w:val="28"/>
          <w:shd w:val="clear" w:color="auto" w:fill="FFFFFF"/>
        </w:rPr>
        <w:t>̆</w:t>
      </w:r>
      <w:r w:rsidRPr="00C51E5C">
        <w:rPr>
          <w:rStyle w:val="noncited4"/>
          <w:rFonts w:ascii="Times New Roman" w:hAnsi="Times New Roman" w:cs="Times New Roman"/>
          <w:color w:val="000000"/>
          <w:sz w:val="28"/>
          <w:szCs w:val="28"/>
          <w:shd w:val="clear" w:color="auto" w:fill="FFFFFF"/>
        </w:rPr>
        <w:t xml:space="preserve"> регистрации) институционального инвестора, несмотря на то, что указанные фонды формально не признаны финансовыми организациями. Именно поэтому контроль за их деятельностью напрямую не входит в компетенцию КУКЦБ. Специальных нормативных актов для них пока не создано.</w:t>
      </w:r>
    </w:p>
    <w:p w14:paraId="7E101B59" w14:textId="77777777" w:rsidR="009C080C" w:rsidRPr="00C51E5C" w:rsidRDefault="009C080C" w:rsidP="00C51E5C">
      <w:pPr>
        <w:spacing w:line="360" w:lineRule="auto"/>
        <w:ind w:left="-426" w:firstLine="426"/>
        <w:jc w:val="both"/>
        <w:rPr>
          <w:rFonts w:ascii="Times New Roman" w:hAnsi="Times New Roman" w:cs="Times New Roman"/>
          <w:color w:val="000000"/>
          <w:sz w:val="28"/>
          <w:szCs w:val="28"/>
          <w:shd w:val="clear" w:color="auto" w:fill="FFFFFF"/>
        </w:rPr>
      </w:pPr>
      <w:r w:rsidRPr="00C51E5C">
        <w:rPr>
          <w:rStyle w:val="noncited4"/>
          <w:rFonts w:ascii="Times New Roman" w:hAnsi="Times New Roman" w:cs="Times New Roman"/>
          <w:color w:val="000000"/>
          <w:sz w:val="28"/>
          <w:szCs w:val="28"/>
          <w:shd w:val="clear" w:color="auto" w:fill="FFFFFF"/>
        </w:rPr>
        <w:t>В Пекине, Шанхае и Шэньчжэне к концу 2000 года уже существовало более 7000 таких фондов</w:t>
      </w:r>
      <w:r w:rsidRPr="00C51E5C">
        <w:rPr>
          <w:rStyle w:val="FootnoteReference"/>
          <w:rFonts w:ascii="Times New Roman" w:hAnsi="Times New Roman" w:cs="Times New Roman"/>
          <w:sz w:val="28"/>
          <w:szCs w:val="28"/>
          <w:lang w:val="en-US"/>
        </w:rPr>
        <w:footnoteReference w:id="44"/>
      </w:r>
      <w:r w:rsidRPr="00C51E5C">
        <w:rPr>
          <w:rFonts w:ascii="Times New Roman" w:hAnsi="Times New Roman" w:cs="Times New Roman"/>
          <w:sz w:val="28"/>
          <w:szCs w:val="28"/>
        </w:rPr>
        <w:t>.</w:t>
      </w:r>
      <w:r w:rsidRPr="00C51E5C">
        <w:rPr>
          <w:rStyle w:val="noncited4"/>
          <w:rFonts w:ascii="Times New Roman" w:hAnsi="Times New Roman" w:cs="Times New Roman"/>
          <w:color w:val="000000"/>
          <w:sz w:val="28"/>
          <w:szCs w:val="28"/>
          <w:shd w:val="clear" w:color="auto" w:fill="FFFFFF"/>
        </w:rPr>
        <w:t>На фондовом рынке КНР деятельность фондов “simu jijin” в целом сказалась положительно, в результате существенно расширился состав долгосрочных участников рынка. Большая часть их отличалось высоким уровнем профессионализма и конкурентоспособностью, хотя надо признать, что в отдельных случаях указанные фонды создавались для участия в сомнительных</w:t>
      </w:r>
      <w:r w:rsidRPr="00C51E5C">
        <w:rPr>
          <w:rStyle w:val="noncited4"/>
          <w:rFonts w:ascii="Times New Roman" w:hAnsi="Times New Roman" w:cs="Times New Roman"/>
          <w:color w:val="000000"/>
          <w:sz w:val="28"/>
          <w:szCs w:val="28"/>
          <w:shd w:val="clear" w:color="auto" w:fill="FFFFFF"/>
        </w:rPr>
        <w:softHyphen/>
      </w:r>
      <w:r w:rsidRPr="00C51E5C">
        <w:rPr>
          <w:rStyle w:val="apple-converted-space"/>
          <w:rFonts w:ascii="Times New Roman" w:hAnsi="Times New Roman" w:cs="Times New Roman"/>
          <w:color w:val="000000"/>
          <w:sz w:val="28"/>
          <w:szCs w:val="28"/>
          <w:shd w:val="clear" w:color="auto" w:fill="FFFFFF"/>
        </w:rPr>
        <w:t> </w:t>
      </w:r>
      <w:r w:rsidRPr="00C51E5C">
        <w:rPr>
          <w:rStyle w:val="noncited4"/>
          <w:rFonts w:ascii="Times New Roman" w:hAnsi="Times New Roman" w:cs="Times New Roman"/>
          <w:color w:val="000000"/>
          <w:sz w:val="28"/>
          <w:szCs w:val="28"/>
          <w:shd w:val="clear" w:color="auto" w:fill="FFFFFF"/>
        </w:rPr>
        <w:t>финансовых схемах.</w:t>
      </w:r>
    </w:p>
    <w:p w14:paraId="4AF60FBB"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С 2003 года государственные </w:t>
      </w:r>
      <w:r w:rsidRPr="00C51E5C">
        <w:rPr>
          <w:rFonts w:ascii="Times New Roman" w:hAnsi="Times New Roman" w:cs="Times New Roman"/>
          <w:i/>
          <w:sz w:val="28"/>
          <w:szCs w:val="28"/>
        </w:rPr>
        <w:t>пенсионные фонды</w:t>
      </w:r>
      <w:r w:rsidR="001A74D4" w:rsidRPr="00C51E5C">
        <w:rPr>
          <w:rFonts w:ascii="Times New Roman" w:hAnsi="Times New Roman" w:cs="Times New Roman"/>
          <w:i/>
          <w:sz w:val="28"/>
          <w:szCs w:val="28"/>
        </w:rPr>
        <w:t xml:space="preserve"> </w:t>
      </w:r>
      <w:r w:rsidR="001A74D4" w:rsidRPr="00C51E5C">
        <w:rPr>
          <w:rFonts w:ascii="Times New Roman" w:hAnsi="Times New Roman" w:cs="Times New Roman"/>
          <w:sz w:val="28"/>
          <w:szCs w:val="28"/>
        </w:rPr>
        <w:t>также получили доступ к рынку акций</w:t>
      </w:r>
      <w:r w:rsidRPr="00C51E5C">
        <w:rPr>
          <w:rFonts w:ascii="Times New Roman" w:hAnsi="Times New Roman" w:cs="Times New Roman"/>
          <w:sz w:val="28"/>
          <w:szCs w:val="28"/>
        </w:rPr>
        <w:t xml:space="preserve">. </w:t>
      </w:r>
      <w:r w:rsidR="001A74D4" w:rsidRPr="00C51E5C">
        <w:rPr>
          <w:rFonts w:ascii="Times New Roman" w:hAnsi="Times New Roman" w:cs="Times New Roman"/>
          <w:sz w:val="28"/>
          <w:szCs w:val="28"/>
        </w:rPr>
        <w:t>Помимо этого,</w:t>
      </w:r>
      <w:r w:rsidRPr="00C51E5C">
        <w:rPr>
          <w:rFonts w:ascii="Times New Roman" w:hAnsi="Times New Roman" w:cs="Times New Roman"/>
          <w:sz w:val="28"/>
          <w:szCs w:val="28"/>
        </w:rPr>
        <w:t xml:space="preserve"> правительством Китая в 2001 г. с целью финансирования нехватки</w:t>
      </w:r>
      <w:r w:rsidR="001E427C" w:rsidRPr="00C51E5C">
        <w:rPr>
          <w:rFonts w:ascii="Times New Roman" w:hAnsi="Times New Roman" w:cs="Times New Roman"/>
          <w:sz w:val="28"/>
          <w:szCs w:val="28"/>
        </w:rPr>
        <w:t xml:space="preserve"> региональных пенсионных фондов</w:t>
      </w:r>
      <w:r w:rsidRPr="00C51E5C">
        <w:rPr>
          <w:rFonts w:ascii="Times New Roman" w:hAnsi="Times New Roman" w:cs="Times New Roman"/>
          <w:sz w:val="28"/>
          <w:szCs w:val="28"/>
        </w:rPr>
        <w:t xml:space="preserve"> создается Национальный фонд социального обеспечения. КУКЦБ наделила полномочиями по управлению его активами в объеме 3,6 млрд. долл. шесть крупнейших УК Китая</w:t>
      </w:r>
      <w:r w:rsidRPr="00C51E5C">
        <w:rPr>
          <w:rStyle w:val="FootnoteReference"/>
          <w:rFonts w:ascii="Times New Roman" w:hAnsi="Times New Roman" w:cs="Times New Roman"/>
          <w:sz w:val="28"/>
          <w:szCs w:val="28"/>
          <w:lang w:val="en-US"/>
        </w:rPr>
        <w:footnoteReference w:id="45"/>
      </w:r>
      <w:r w:rsidRPr="00C51E5C">
        <w:rPr>
          <w:rFonts w:ascii="Times New Roman" w:hAnsi="Times New Roman" w:cs="Times New Roman"/>
          <w:sz w:val="28"/>
          <w:szCs w:val="28"/>
        </w:rPr>
        <w:t>.</w:t>
      </w:r>
    </w:p>
    <w:p w14:paraId="5CC65013" w14:textId="77777777" w:rsidR="009C080C" w:rsidRPr="00C51E5C" w:rsidRDefault="009C080C" w:rsidP="00C51E5C">
      <w:pPr>
        <w:widowControl w:val="0"/>
        <w:autoSpaceDE w:val="0"/>
        <w:autoSpaceDN w:val="0"/>
        <w:adjustRightInd w:val="0"/>
        <w:spacing w:line="360" w:lineRule="auto"/>
        <w:ind w:left="-426" w:right="50" w:firstLine="426"/>
        <w:jc w:val="both"/>
        <w:rPr>
          <w:rFonts w:ascii="Verdana" w:hAnsi="Verdana"/>
          <w:color w:val="000000"/>
          <w:sz w:val="28"/>
          <w:szCs w:val="28"/>
          <w:shd w:val="clear" w:color="auto" w:fill="FFFFFF"/>
        </w:rPr>
      </w:pPr>
      <w:r w:rsidRPr="00C51E5C">
        <w:rPr>
          <w:rFonts w:ascii="Times New Roman" w:hAnsi="Times New Roman" w:cs="Times New Roman"/>
          <w:sz w:val="28"/>
          <w:szCs w:val="28"/>
        </w:rPr>
        <w:t>В 2006 году начала реализовываться программа по трансформации фондов</w:t>
      </w:r>
      <w:r w:rsidR="001A74D4" w:rsidRPr="00C51E5C">
        <w:rPr>
          <w:rFonts w:ascii="Times New Roman" w:hAnsi="Times New Roman" w:cs="Times New Roman"/>
          <w:sz w:val="28"/>
          <w:szCs w:val="28"/>
        </w:rPr>
        <w:t xml:space="preserve"> закрытого типа</w:t>
      </w:r>
      <w:r w:rsidRPr="00C51E5C">
        <w:rPr>
          <w:rFonts w:ascii="Times New Roman" w:hAnsi="Times New Roman" w:cs="Times New Roman"/>
          <w:sz w:val="28"/>
          <w:szCs w:val="28"/>
        </w:rPr>
        <w:t xml:space="preserve"> </w:t>
      </w:r>
      <w:r w:rsidR="001A74D4" w:rsidRPr="00C51E5C">
        <w:rPr>
          <w:rFonts w:ascii="Times New Roman" w:hAnsi="Times New Roman" w:cs="Times New Roman"/>
          <w:sz w:val="28"/>
          <w:szCs w:val="28"/>
        </w:rPr>
        <w:t>в открытые</w:t>
      </w:r>
      <w:r w:rsidRPr="00C51E5C">
        <w:rPr>
          <w:rFonts w:ascii="Times New Roman" w:hAnsi="Times New Roman" w:cs="Times New Roman"/>
          <w:sz w:val="28"/>
          <w:szCs w:val="28"/>
        </w:rPr>
        <w:t xml:space="preserve">. В этом же году было разрешено создавать фонды на базе корпоративных активов пенсионных планов. </w:t>
      </w:r>
      <w:r w:rsidRPr="00C51E5C">
        <w:rPr>
          <w:rFonts w:ascii="Times New Roman" w:hAnsi="Times New Roman" w:cs="Times New Roman"/>
          <w:color w:val="000000"/>
          <w:sz w:val="28"/>
          <w:szCs w:val="28"/>
          <w:shd w:val="clear" w:color="auto" w:fill="FFFFFF"/>
        </w:rPr>
        <w:t xml:space="preserve">Был объявлен тендер для </w:t>
      </w:r>
      <w:r w:rsidR="001A74D4" w:rsidRPr="00C51E5C">
        <w:rPr>
          <w:rFonts w:ascii="Times New Roman" w:hAnsi="Times New Roman" w:cs="Times New Roman"/>
          <w:color w:val="000000"/>
          <w:sz w:val="28"/>
          <w:szCs w:val="28"/>
          <w:shd w:val="clear" w:color="auto" w:fill="FFFFFF"/>
        </w:rPr>
        <w:t>поиска управляющих компаний</w:t>
      </w:r>
      <w:r w:rsidRPr="00C51E5C">
        <w:rPr>
          <w:rFonts w:ascii="Times New Roman" w:hAnsi="Times New Roman" w:cs="Times New Roman"/>
          <w:color w:val="000000"/>
          <w:sz w:val="28"/>
          <w:szCs w:val="28"/>
          <w:shd w:val="clear" w:color="auto" w:fill="FFFFFF"/>
        </w:rPr>
        <w:t>,</w:t>
      </w:r>
      <w:r w:rsidR="001A74D4" w:rsidRPr="00C51E5C">
        <w:rPr>
          <w:rFonts w:ascii="Times New Roman" w:hAnsi="Times New Roman" w:cs="Times New Roman"/>
          <w:color w:val="000000"/>
          <w:sz w:val="28"/>
          <w:szCs w:val="28"/>
          <w:shd w:val="clear" w:color="auto" w:fill="FFFFFF"/>
        </w:rPr>
        <w:t xml:space="preserve"> </w:t>
      </w:r>
      <w:r w:rsidRPr="00C51E5C">
        <w:rPr>
          <w:rFonts w:ascii="Times New Roman" w:hAnsi="Times New Roman" w:cs="Times New Roman"/>
          <w:color w:val="000000"/>
          <w:sz w:val="28"/>
          <w:szCs w:val="28"/>
          <w:shd w:val="clear" w:color="auto" w:fill="FFFFFF"/>
        </w:rPr>
        <w:t>в результате были отобраны 9 крупных УК</w:t>
      </w:r>
      <w:r w:rsidRPr="00C51E5C">
        <w:rPr>
          <w:rStyle w:val="FootnoteReference"/>
          <w:rFonts w:ascii="Times New Roman" w:hAnsi="Times New Roman" w:cs="Times New Roman"/>
          <w:sz w:val="28"/>
          <w:szCs w:val="28"/>
          <w:lang w:val="en-US"/>
        </w:rPr>
        <w:footnoteReference w:id="46"/>
      </w:r>
      <w:r w:rsidRPr="00C51E5C">
        <w:rPr>
          <w:rFonts w:ascii="Times New Roman" w:hAnsi="Times New Roman" w:cs="Times New Roman"/>
          <w:sz w:val="28"/>
          <w:szCs w:val="28"/>
        </w:rPr>
        <w:t>.</w:t>
      </w:r>
    </w:p>
    <w:p w14:paraId="3EFACC42"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i/>
          <w:color w:val="000000"/>
          <w:sz w:val="28"/>
          <w:szCs w:val="28"/>
          <w:shd w:val="clear" w:color="auto" w:fill="FFFFFF"/>
        </w:rPr>
        <w:t>Страховые компании</w:t>
      </w:r>
      <w:r w:rsidRPr="00C51E5C">
        <w:rPr>
          <w:rFonts w:ascii="Times New Roman" w:hAnsi="Times New Roman" w:cs="Times New Roman"/>
          <w:color w:val="000000"/>
          <w:sz w:val="28"/>
          <w:szCs w:val="28"/>
          <w:shd w:val="clear" w:color="auto" w:fill="FFFFFF"/>
        </w:rPr>
        <w:t xml:space="preserve"> Китая начали свою деятельность на фондовом рынке в 1999 г., когда Комиссия по контролю за страховои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деятельностью компаний разрешила им выходить на фондовыи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рынок с помощью вложении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в </w:t>
      </w:r>
      <w:r w:rsidRPr="00C51E5C">
        <w:rPr>
          <w:rFonts w:ascii="Times New Roman" w:hAnsi="Times New Roman" w:cs="Times New Roman"/>
          <w:color w:val="000000"/>
          <w:sz w:val="28"/>
          <w:szCs w:val="28"/>
          <w:shd w:val="clear" w:color="auto" w:fill="FFFFFF"/>
        </w:rPr>
        <w:lastRenderedPageBreak/>
        <w:t>инвестиционные фонды. В связи с тем, что размеры активов страхового сектора были внушительными, а также в сочетании со средне- и долгосрочным характером средств, страховые компании быстро заняли лидирующие позиции на финансовом рынке, обеспечив до 30% вложений в инвестиционные фонды</w:t>
      </w:r>
      <w:r w:rsidRPr="00C51E5C">
        <w:rPr>
          <w:rStyle w:val="FootnoteReference"/>
          <w:rFonts w:ascii="Times New Roman" w:hAnsi="Times New Roman" w:cs="Times New Roman"/>
          <w:sz w:val="28"/>
          <w:szCs w:val="28"/>
          <w:lang w:val="en-US"/>
        </w:rPr>
        <w:footnoteReference w:id="47"/>
      </w:r>
      <w:r w:rsidRPr="00C51E5C">
        <w:rPr>
          <w:rFonts w:ascii="Times New Roman" w:hAnsi="Times New Roman" w:cs="Times New Roman"/>
          <w:sz w:val="28"/>
          <w:szCs w:val="28"/>
        </w:rPr>
        <w:t>.</w:t>
      </w:r>
    </w:p>
    <w:p w14:paraId="367AD446"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color w:val="000000"/>
          <w:sz w:val="28"/>
          <w:szCs w:val="28"/>
          <w:shd w:val="clear" w:color="auto" w:fill="FFFFFF"/>
        </w:rPr>
      </w:pPr>
      <w:r w:rsidRPr="00C51E5C">
        <w:rPr>
          <w:rFonts w:ascii="Times New Roman" w:hAnsi="Times New Roman" w:cs="Times New Roman"/>
          <w:color w:val="000000"/>
          <w:sz w:val="28"/>
          <w:szCs w:val="28"/>
          <w:shd w:val="clear" w:color="auto" w:fill="FFFFFF"/>
        </w:rPr>
        <w:t>Действуюшие ранее ограничения на инвестиционную деятельность страховых компании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были заметно смягчены с 2003 года: теперь в список ценных бумаг для размещения их средств, помимо государственных казначеи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ских обязательств, были включены корпоративные облигации, а предельные нормы инвестиции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повышены с 10 до 20% от финансовых активов компании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Страховые компании помимо всего прочего в 2004 году получили право инвестировать свои средства в акции китаи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ских компании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в рамках первичного размещения и на вторичном рынке. И самое главное, что в 2005 г. совместным решением КУКЦБ и Комиссией по регулированию страховои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деятельности, страховым компаниям было предоставлено право самостоятельнои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инвестиционнои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деятельности с размещением на фондовом рынке до 5% своих активов.</w:t>
      </w:r>
    </w:p>
    <w:p w14:paraId="212E422C"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color w:val="000000"/>
          <w:sz w:val="28"/>
          <w:szCs w:val="28"/>
          <w:shd w:val="clear" w:color="auto" w:fill="FFFFFF"/>
        </w:rPr>
        <w:t xml:space="preserve">В современном Китае страховые компании как стратегические инвесторы активно участвуют в </w:t>
      </w:r>
      <w:r w:rsidRPr="00C51E5C">
        <w:rPr>
          <w:rFonts w:ascii="Times New Roman" w:hAnsi="Times New Roman" w:cs="Times New Roman"/>
          <w:color w:val="000000"/>
          <w:sz w:val="28"/>
          <w:szCs w:val="28"/>
          <w:shd w:val="clear" w:color="auto" w:fill="FFFFFF"/>
          <w:lang w:val="en-US"/>
        </w:rPr>
        <w:t>IPO</w:t>
      </w:r>
      <w:r w:rsidRPr="00C51E5C">
        <w:rPr>
          <w:rFonts w:ascii="Times New Roman" w:hAnsi="Times New Roman" w:cs="Times New Roman"/>
          <w:color w:val="000000"/>
          <w:sz w:val="28"/>
          <w:szCs w:val="28"/>
          <w:shd w:val="clear" w:color="auto" w:fill="FFFFFF"/>
        </w:rPr>
        <w:t xml:space="preserve">, занимаются онлайн-тредингов, а также частными размещениями, непрерывно увеличивают объем инвестиций в акции. </w:t>
      </w:r>
      <w:r w:rsidRPr="00C51E5C">
        <w:rPr>
          <w:rFonts w:ascii="Times New Roman" w:hAnsi="Times New Roman" w:cs="Times New Roman"/>
          <w:sz w:val="28"/>
          <w:szCs w:val="28"/>
        </w:rPr>
        <w:t>По состоянию на 2008 г. в структура вложении</w:t>
      </w:r>
      <w:r w:rsidRPr="00C51E5C">
        <w:rPr>
          <w:rFonts w:ascii="Cambria Math" w:hAnsi="Cambria Math" w:cs="Cambria Math"/>
          <w:sz w:val="28"/>
          <w:szCs w:val="28"/>
        </w:rPr>
        <w:t>̆</w:t>
      </w:r>
      <w:r w:rsidRPr="00C51E5C">
        <w:rPr>
          <w:rFonts w:ascii="Times New Roman" w:hAnsi="Times New Roman" w:cs="Times New Roman"/>
          <w:sz w:val="28"/>
          <w:szCs w:val="28"/>
        </w:rPr>
        <w:t xml:space="preserve"> страхового сектора выглядела так: банковские депозиты составляли 102,5 млрд. долл. (25,8%), облигации – 213 млрд. долл. (53,6%); инвестиционные фонды – 27 млрд. долл. (6,9%); акции – 43 млрд. долл. (10,7%). </w:t>
      </w:r>
    </w:p>
    <w:p w14:paraId="06AD4311"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color w:val="000000"/>
          <w:sz w:val="28"/>
          <w:szCs w:val="28"/>
          <w:shd w:val="clear" w:color="auto" w:fill="FFFFFF"/>
        </w:rPr>
      </w:pPr>
      <w:r w:rsidRPr="00C51E5C">
        <w:rPr>
          <w:rFonts w:ascii="Times New Roman" w:hAnsi="Times New Roman" w:cs="Times New Roman"/>
          <w:color w:val="000000"/>
          <w:sz w:val="28"/>
          <w:szCs w:val="28"/>
          <w:shd w:val="clear" w:color="auto" w:fill="FFFFFF"/>
        </w:rPr>
        <w:t xml:space="preserve">Пришло время дать </w:t>
      </w:r>
      <w:r w:rsidRPr="00C51E5C">
        <w:rPr>
          <w:rFonts w:ascii="Times New Roman" w:hAnsi="Times New Roman" w:cs="Times New Roman"/>
          <w:i/>
          <w:color w:val="000000"/>
          <w:sz w:val="28"/>
          <w:szCs w:val="28"/>
          <w:shd w:val="clear" w:color="auto" w:fill="FFFFFF"/>
        </w:rPr>
        <w:t>определение квалифицированным иностранным институциональным инвесторам</w:t>
      </w:r>
      <w:r w:rsidRPr="00C51E5C">
        <w:rPr>
          <w:rFonts w:ascii="Times New Roman" w:hAnsi="Times New Roman" w:cs="Times New Roman"/>
          <w:color w:val="000000"/>
          <w:sz w:val="28"/>
          <w:szCs w:val="28"/>
          <w:shd w:val="clear" w:color="auto" w:fill="FFFFFF"/>
        </w:rPr>
        <w:t xml:space="preserve"> (Qualified Foreign Institutional Investor – QFII). К ним относятся: иностранные управляющие компании, инвестиционные компании, страховые компании, инвестиционные банки, получившие </w:t>
      </w:r>
      <w:r w:rsidRPr="00C51E5C">
        <w:rPr>
          <w:rFonts w:ascii="Times New Roman" w:hAnsi="Times New Roman" w:cs="Times New Roman"/>
          <w:color w:val="000000"/>
          <w:sz w:val="28"/>
          <w:szCs w:val="28"/>
          <w:shd w:val="clear" w:color="auto" w:fill="FFFFFF"/>
        </w:rPr>
        <w:lastRenderedPageBreak/>
        <w:t>разрешение от КУКЦБ осуществлять вложение инвестиций на рынке ценных бумаг Китая. Они также получили инвестиционную индивидуальную квоту от Государственной администрации КНР по валютному контролю, эта квота варьируется от 50 до 800 млн. долл.</w:t>
      </w:r>
    </w:p>
    <w:p w14:paraId="3FF295AE"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iCs/>
          <w:sz w:val="28"/>
          <w:szCs w:val="28"/>
        </w:rPr>
      </w:pPr>
      <w:r w:rsidRPr="00C51E5C">
        <w:rPr>
          <w:rFonts w:ascii="Times New Roman" w:hAnsi="Times New Roman" w:cs="Times New Roman"/>
          <w:color w:val="000000"/>
          <w:sz w:val="28"/>
          <w:szCs w:val="28"/>
          <w:shd w:val="clear" w:color="auto" w:fill="FFFFFF"/>
        </w:rPr>
        <w:t xml:space="preserve">После вступления в ВТО Китай встал перед необходимость либерализовать финансовый рынок, что и явилось причиной создания института </w:t>
      </w:r>
      <w:r w:rsidRPr="00C51E5C">
        <w:rPr>
          <w:rFonts w:ascii="Times New Roman" w:hAnsi="Times New Roman" w:cs="Times New Roman"/>
          <w:color w:val="000000"/>
          <w:sz w:val="28"/>
          <w:szCs w:val="28"/>
          <w:shd w:val="clear" w:color="auto" w:fill="FFFFFF"/>
          <w:lang w:val="en-US"/>
        </w:rPr>
        <w:t>QFII</w:t>
      </w:r>
      <w:r w:rsidRPr="00C51E5C">
        <w:rPr>
          <w:rFonts w:ascii="Times New Roman" w:hAnsi="Times New Roman" w:cs="Times New Roman"/>
          <w:color w:val="000000"/>
          <w:sz w:val="28"/>
          <w:szCs w:val="28"/>
          <w:shd w:val="clear" w:color="auto" w:fill="FFFFFF"/>
        </w:rPr>
        <w:t xml:space="preserve">. Для осуществления контроля за деятельностью </w:t>
      </w:r>
      <w:r w:rsidRPr="00C51E5C">
        <w:rPr>
          <w:rFonts w:ascii="Times New Roman" w:hAnsi="Times New Roman" w:cs="Times New Roman"/>
          <w:color w:val="000000"/>
          <w:sz w:val="28"/>
          <w:szCs w:val="28"/>
          <w:shd w:val="clear" w:color="auto" w:fill="FFFFFF"/>
          <w:lang w:val="en-US"/>
        </w:rPr>
        <w:t>QFII</w:t>
      </w:r>
      <w:r w:rsidRPr="00C51E5C">
        <w:rPr>
          <w:rFonts w:ascii="Times New Roman" w:hAnsi="Times New Roman" w:cs="Times New Roman"/>
          <w:color w:val="000000"/>
          <w:sz w:val="28"/>
          <w:szCs w:val="28"/>
          <w:shd w:val="clear" w:color="auto" w:fill="FFFFFF"/>
        </w:rPr>
        <w:t xml:space="preserve">  в КНР специально созданы дочерние инвестиционные фонды закрытого типа, которые контролируются ГАВК и КУКЦБ. Кандидаты на получение статуса </w:t>
      </w:r>
      <w:r w:rsidRPr="00C51E5C">
        <w:rPr>
          <w:rFonts w:ascii="Times New Roman" w:hAnsi="Times New Roman" w:cs="Times New Roman"/>
          <w:color w:val="000000"/>
          <w:sz w:val="28"/>
          <w:szCs w:val="28"/>
          <w:shd w:val="clear" w:color="auto" w:fill="FFFFFF"/>
          <w:lang w:val="en-US"/>
        </w:rPr>
        <w:t>QFII</w:t>
      </w:r>
      <w:r w:rsidRPr="00C51E5C">
        <w:rPr>
          <w:rFonts w:ascii="Times New Roman" w:hAnsi="Times New Roman" w:cs="Times New Roman"/>
          <w:color w:val="000000"/>
          <w:sz w:val="28"/>
          <w:szCs w:val="28"/>
          <w:shd w:val="clear" w:color="auto" w:fill="FFFFFF"/>
        </w:rPr>
        <w:t xml:space="preserve"> обязаны соответствовать ряду требований, как то: стабильное финансовое положение, высокии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кредитныи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реи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тинг, достаточно высокий объем активов (устанавливается КУКЦБ); уровень рисков, отвечающий требованиям страны происхождения компании.</w:t>
      </w:r>
    </w:p>
    <w:p w14:paraId="5864F805"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Вложенные в РЦБ КНР средства </w:t>
      </w:r>
      <w:r w:rsidRPr="00C51E5C">
        <w:rPr>
          <w:rFonts w:ascii="Times New Roman" w:hAnsi="Times New Roman" w:cs="Times New Roman"/>
          <w:sz w:val="28"/>
          <w:szCs w:val="28"/>
          <w:lang w:val="en-US"/>
        </w:rPr>
        <w:t>QFII</w:t>
      </w:r>
      <w:r w:rsidRPr="00C51E5C">
        <w:rPr>
          <w:rFonts w:ascii="Times New Roman" w:hAnsi="Times New Roman" w:cs="Times New Roman"/>
          <w:sz w:val="28"/>
          <w:szCs w:val="28"/>
        </w:rPr>
        <w:t xml:space="preserve"> должны храниться там </w:t>
      </w:r>
      <w:r w:rsidR="001A74D4" w:rsidRPr="00C51E5C">
        <w:rPr>
          <w:rFonts w:ascii="Times New Roman" w:hAnsi="Times New Roman" w:cs="Times New Roman"/>
          <w:sz w:val="28"/>
          <w:szCs w:val="28"/>
        </w:rPr>
        <w:t>как минимум три года</w:t>
      </w:r>
      <w:r w:rsidRPr="00C51E5C">
        <w:rPr>
          <w:rFonts w:ascii="Times New Roman" w:hAnsi="Times New Roman" w:cs="Times New Roman"/>
          <w:sz w:val="28"/>
          <w:szCs w:val="28"/>
        </w:rPr>
        <w:t xml:space="preserve">. По истечении данного срока </w:t>
      </w:r>
      <w:r w:rsidR="006E5A8E" w:rsidRPr="00C51E5C">
        <w:rPr>
          <w:rFonts w:ascii="Times New Roman" w:hAnsi="Times New Roman" w:cs="Times New Roman"/>
          <w:sz w:val="28"/>
          <w:szCs w:val="28"/>
        </w:rPr>
        <w:t>происходит репатриация с интервалом от одного до трех месяцев</w:t>
      </w:r>
      <w:r w:rsidRPr="00C51E5C">
        <w:rPr>
          <w:rFonts w:ascii="Times New Roman" w:hAnsi="Times New Roman" w:cs="Times New Roman"/>
          <w:sz w:val="28"/>
          <w:szCs w:val="28"/>
        </w:rPr>
        <w:t xml:space="preserve">, </w:t>
      </w:r>
      <w:r w:rsidR="006E5A8E" w:rsidRPr="00C51E5C">
        <w:rPr>
          <w:rFonts w:ascii="Times New Roman" w:hAnsi="Times New Roman" w:cs="Times New Roman"/>
          <w:sz w:val="28"/>
          <w:szCs w:val="28"/>
        </w:rPr>
        <w:t xml:space="preserve">причем общий объем средств в один перевод не должен превышать </w:t>
      </w:r>
      <w:r w:rsidRPr="00C51E5C">
        <w:rPr>
          <w:rFonts w:ascii="Times New Roman" w:hAnsi="Times New Roman" w:cs="Times New Roman"/>
          <w:sz w:val="28"/>
          <w:szCs w:val="28"/>
        </w:rPr>
        <w:t>20%.</w:t>
      </w:r>
    </w:p>
    <w:p w14:paraId="348BC06B" w14:textId="0AA9C14F" w:rsidR="009C080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В </w:t>
      </w:r>
      <w:r w:rsidRPr="00C51E5C">
        <w:rPr>
          <w:rFonts w:ascii="Times New Roman" w:hAnsi="Times New Roman" w:cs="Times New Roman"/>
          <w:color w:val="000000"/>
          <w:sz w:val="28"/>
          <w:szCs w:val="28"/>
          <w:shd w:val="clear" w:color="auto" w:fill="FFFFFF"/>
        </w:rPr>
        <w:t>системе регулирования деятельности QFII в 2006 году произошли существенные изменения, расширяющие возможности их деятельности. Регулятор изменил нормы инвестиционных квот, систему расчета доходов QFII, порядок проведения клиринговых операции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с участием QFII. Наряду с ослаблением некоторых требовании</w:t>
      </w:r>
      <w:r w:rsidRPr="00C51E5C">
        <w:rPr>
          <w:rFonts w:ascii="Times New Roman" w:hAnsi="Cambria Math" w:cs="Times New Roman"/>
          <w:color w:val="000000"/>
          <w:sz w:val="28"/>
          <w:szCs w:val="28"/>
          <w:shd w:val="clear" w:color="auto" w:fill="FFFFFF"/>
        </w:rPr>
        <w:t>̆</w:t>
      </w:r>
      <w:r w:rsidRPr="00C51E5C">
        <w:rPr>
          <w:rFonts w:ascii="Times New Roman" w:hAnsi="Times New Roman" w:cs="Times New Roman"/>
          <w:color w:val="000000"/>
          <w:sz w:val="28"/>
          <w:szCs w:val="28"/>
          <w:shd w:val="clear" w:color="auto" w:fill="FFFFFF"/>
        </w:rPr>
        <w:t xml:space="preserve">, </w:t>
      </w:r>
      <w:r w:rsidR="006E5A8E" w:rsidRPr="00C51E5C">
        <w:rPr>
          <w:rFonts w:ascii="Times New Roman" w:hAnsi="Times New Roman" w:cs="Times New Roman"/>
          <w:color w:val="000000"/>
          <w:sz w:val="28"/>
          <w:szCs w:val="28"/>
          <w:shd w:val="clear" w:color="auto" w:fill="FFFFFF"/>
        </w:rPr>
        <w:t>некоторые положения были усилены</w:t>
      </w:r>
      <w:r w:rsidRPr="00C51E5C">
        <w:rPr>
          <w:rFonts w:ascii="Times New Roman" w:hAnsi="Times New Roman" w:cs="Times New Roman"/>
          <w:color w:val="000000"/>
          <w:sz w:val="28"/>
          <w:szCs w:val="28"/>
          <w:shd w:val="clear" w:color="auto" w:fill="FFFFFF"/>
        </w:rPr>
        <w:t xml:space="preserve">, </w:t>
      </w:r>
      <w:r w:rsidR="006E5A8E" w:rsidRPr="00C51E5C">
        <w:rPr>
          <w:rFonts w:ascii="Times New Roman" w:hAnsi="Times New Roman" w:cs="Times New Roman"/>
          <w:color w:val="000000"/>
          <w:sz w:val="28"/>
          <w:szCs w:val="28"/>
          <w:shd w:val="clear" w:color="auto" w:fill="FFFFFF"/>
        </w:rPr>
        <w:t>в частности те, которые контролировали фактических бенефициаров</w:t>
      </w:r>
      <w:r w:rsidRPr="00C51E5C">
        <w:rPr>
          <w:rFonts w:ascii="Times New Roman" w:hAnsi="Times New Roman" w:cs="Times New Roman"/>
          <w:color w:val="000000"/>
          <w:sz w:val="28"/>
          <w:szCs w:val="28"/>
          <w:shd w:val="clear" w:color="auto" w:fill="FFFFFF"/>
        </w:rPr>
        <w:t xml:space="preserve"> QFII. </w:t>
      </w:r>
      <w:r w:rsidR="00C70C91">
        <w:rPr>
          <w:rFonts w:ascii="Times New Roman" w:hAnsi="Times New Roman" w:cs="Times New Roman"/>
          <w:sz w:val="28"/>
          <w:szCs w:val="28"/>
        </w:rPr>
        <w:t>В таблице 13</w:t>
      </w:r>
      <w:r w:rsidRPr="00C51E5C">
        <w:rPr>
          <w:rFonts w:ascii="Times New Roman" w:hAnsi="Times New Roman" w:cs="Times New Roman"/>
          <w:sz w:val="28"/>
          <w:szCs w:val="28"/>
        </w:rPr>
        <w:t xml:space="preserve"> представлена структура </w:t>
      </w:r>
      <w:r w:rsidRPr="00C51E5C">
        <w:rPr>
          <w:rFonts w:ascii="Times New Roman" w:hAnsi="Times New Roman" w:cs="Times New Roman"/>
          <w:sz w:val="28"/>
          <w:szCs w:val="28"/>
          <w:lang w:val="en-US"/>
        </w:rPr>
        <w:t>QFII</w:t>
      </w:r>
      <w:r w:rsidRPr="00C51E5C">
        <w:rPr>
          <w:rFonts w:ascii="Times New Roman" w:hAnsi="Times New Roman" w:cs="Times New Roman"/>
          <w:sz w:val="28"/>
          <w:szCs w:val="28"/>
        </w:rPr>
        <w:t xml:space="preserve"> по типам финансовых институтов.</w:t>
      </w:r>
    </w:p>
    <w:p w14:paraId="2E93F18E" w14:textId="77777777" w:rsidR="00C70C91" w:rsidRPr="00C70C91" w:rsidRDefault="00C70C91" w:rsidP="00C70C91">
      <w:pPr>
        <w:widowControl w:val="0"/>
        <w:autoSpaceDE w:val="0"/>
        <w:autoSpaceDN w:val="0"/>
        <w:adjustRightInd w:val="0"/>
        <w:spacing w:after="240"/>
        <w:ind w:left="-426" w:right="-631" w:firstLine="426"/>
        <w:jc w:val="both"/>
        <w:rPr>
          <w:rFonts w:ascii="Times New Roman" w:hAnsi="Times New Roman" w:cs="Times New Roman"/>
          <w:sz w:val="28"/>
          <w:szCs w:val="28"/>
        </w:rPr>
      </w:pPr>
      <w:r w:rsidRPr="00C70C91">
        <w:rPr>
          <w:rFonts w:ascii="Times New Roman" w:hAnsi="Times New Roman" w:cs="Times New Roman"/>
          <w:sz w:val="28"/>
          <w:szCs w:val="28"/>
        </w:rPr>
        <w:t xml:space="preserve">Таблица 13. Структура инвесторов </w:t>
      </w:r>
      <w:r w:rsidRPr="00C70C91">
        <w:rPr>
          <w:rFonts w:ascii="Times New Roman" w:hAnsi="Times New Roman" w:cs="Times New Roman"/>
          <w:sz w:val="28"/>
          <w:szCs w:val="28"/>
          <w:lang w:val="en-US"/>
        </w:rPr>
        <w:t>QFII</w:t>
      </w:r>
      <w:r w:rsidRPr="00C70C91">
        <w:rPr>
          <w:rFonts w:ascii="Times New Roman" w:hAnsi="Times New Roman" w:cs="Times New Roman"/>
          <w:sz w:val="28"/>
          <w:szCs w:val="28"/>
        </w:rPr>
        <w:t xml:space="preserve"> в КНР (начало 2008 года)</w:t>
      </w:r>
    </w:p>
    <w:p w14:paraId="7CA69D0A" w14:textId="77777777" w:rsidR="00C70C91" w:rsidRPr="00494061" w:rsidRDefault="00C70C91" w:rsidP="00C70C91">
      <w:pPr>
        <w:widowControl w:val="0"/>
        <w:autoSpaceDE w:val="0"/>
        <w:autoSpaceDN w:val="0"/>
        <w:adjustRightInd w:val="0"/>
        <w:spacing w:after="240"/>
        <w:ind w:left="-426" w:right="-631" w:firstLine="426"/>
        <w:jc w:val="both"/>
        <w:rPr>
          <w:rFonts w:ascii="Times New Roman" w:hAnsi="Times New Roman" w:cs="Times New Roman"/>
          <w:lang w:val="en-US"/>
        </w:rPr>
      </w:pPr>
      <w:r w:rsidRPr="00494061">
        <w:rPr>
          <w:rFonts w:ascii="Times New Roman" w:hAnsi="Times New Roman" w:cs="Times New Roman"/>
          <w:noProof/>
          <w:lang w:val="en-US"/>
        </w:rPr>
        <w:drawing>
          <wp:inline distT="0" distB="0" distL="0" distR="0" wp14:anchorId="17FD02FA" wp14:editId="6067DC6D">
            <wp:extent cx="5270500" cy="645985"/>
            <wp:effectExtent l="0" t="0" r="0" b="0"/>
            <wp:docPr id="19"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645985"/>
                    </a:xfrm>
                    <a:prstGeom prst="rect">
                      <a:avLst/>
                    </a:prstGeom>
                    <a:noFill/>
                    <a:ln>
                      <a:noFill/>
                    </a:ln>
                  </pic:spPr>
                </pic:pic>
              </a:graphicData>
            </a:graphic>
          </wp:inline>
        </w:drawing>
      </w:r>
    </w:p>
    <w:p w14:paraId="1EE37B47" w14:textId="77777777" w:rsidR="00C70C91" w:rsidRPr="006D5E67" w:rsidRDefault="00C70C91" w:rsidP="00C70C91">
      <w:pPr>
        <w:widowControl w:val="0"/>
        <w:autoSpaceDE w:val="0"/>
        <w:autoSpaceDN w:val="0"/>
        <w:adjustRightInd w:val="0"/>
        <w:spacing w:after="240"/>
        <w:ind w:left="-426" w:right="-631" w:firstLine="426"/>
        <w:jc w:val="both"/>
        <w:rPr>
          <w:rFonts w:ascii="Times New Roman" w:hAnsi="Times New Roman" w:cs="Times New Roman"/>
          <w:sz w:val="20"/>
          <w:szCs w:val="20"/>
        </w:rPr>
      </w:pPr>
      <w:r w:rsidRPr="008221E6">
        <w:rPr>
          <w:rFonts w:ascii="Times New Roman" w:hAnsi="Times New Roman" w:cs="Times New Roman"/>
          <w:sz w:val="20"/>
          <w:szCs w:val="20"/>
          <w:lang w:val="en-US"/>
        </w:rPr>
        <w:t xml:space="preserve">Источник: China Securities Regulatory Commission Annual Report. </w:t>
      </w:r>
      <w:r w:rsidRPr="006D5E67">
        <w:rPr>
          <w:rFonts w:ascii="Times New Roman" w:hAnsi="Times New Roman" w:cs="Times New Roman"/>
          <w:sz w:val="20"/>
          <w:szCs w:val="20"/>
        </w:rPr>
        <w:t>200</w:t>
      </w:r>
      <w:r>
        <w:rPr>
          <w:rFonts w:ascii="Times New Roman" w:hAnsi="Times New Roman" w:cs="Times New Roman"/>
          <w:sz w:val="20"/>
          <w:szCs w:val="20"/>
        </w:rPr>
        <w:t xml:space="preserve">7. - </w:t>
      </w:r>
      <w:r w:rsidRPr="008221E6">
        <w:rPr>
          <w:rFonts w:ascii="Times New Roman" w:hAnsi="Times New Roman" w:cs="Times New Roman"/>
          <w:sz w:val="20"/>
          <w:szCs w:val="20"/>
          <w:lang w:val="en-US"/>
        </w:rPr>
        <w:t>www</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csrc</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gov</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cn</w:t>
      </w:r>
      <w:r w:rsidRPr="006D5E67">
        <w:rPr>
          <w:rFonts w:ascii="Times New Roman" w:hAnsi="Times New Roman" w:cs="Times New Roman"/>
          <w:sz w:val="20"/>
          <w:szCs w:val="20"/>
        </w:rPr>
        <w:t xml:space="preserve"> </w:t>
      </w:r>
    </w:p>
    <w:p w14:paraId="70619239" w14:textId="42E72BCB" w:rsidR="009C080C" w:rsidRPr="00C51E5C" w:rsidRDefault="00C70C91"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lastRenderedPageBreak/>
        <w:t>Из данных таблицы 13</w:t>
      </w:r>
      <w:r w:rsidR="009C080C" w:rsidRPr="00C51E5C">
        <w:rPr>
          <w:rFonts w:ascii="Times New Roman" w:hAnsi="Times New Roman" w:cs="Times New Roman"/>
          <w:sz w:val="28"/>
          <w:szCs w:val="28"/>
        </w:rPr>
        <w:t xml:space="preserve"> </w:t>
      </w:r>
      <w:r w:rsidR="006E5A8E" w:rsidRPr="00C51E5C">
        <w:rPr>
          <w:rFonts w:ascii="Times New Roman" w:hAnsi="Times New Roman" w:cs="Times New Roman"/>
          <w:sz w:val="28"/>
          <w:szCs w:val="28"/>
        </w:rPr>
        <w:t>видно</w:t>
      </w:r>
      <w:r w:rsidR="009C080C" w:rsidRPr="00C51E5C">
        <w:rPr>
          <w:rFonts w:ascii="Times New Roman" w:hAnsi="Times New Roman" w:cs="Times New Roman"/>
          <w:sz w:val="28"/>
          <w:szCs w:val="28"/>
        </w:rPr>
        <w:t xml:space="preserve">, что структура </w:t>
      </w:r>
      <w:r w:rsidR="006E5A8E" w:rsidRPr="00C51E5C">
        <w:rPr>
          <w:rFonts w:ascii="Times New Roman" w:hAnsi="Times New Roman" w:cs="Times New Roman"/>
          <w:sz w:val="28"/>
          <w:szCs w:val="28"/>
          <w:lang w:val="en-US"/>
        </w:rPr>
        <w:t>квалификационных иностранных институциональных инвесторов</w:t>
      </w:r>
      <w:r w:rsidR="009C080C" w:rsidRPr="00C51E5C">
        <w:rPr>
          <w:rFonts w:ascii="Times New Roman" w:hAnsi="Times New Roman" w:cs="Times New Roman"/>
          <w:sz w:val="28"/>
          <w:szCs w:val="28"/>
        </w:rPr>
        <w:t xml:space="preserve"> в КНР достаточно диверсифицирована. </w:t>
      </w:r>
    </w:p>
    <w:p w14:paraId="6A338E3D" w14:textId="2EE8AE30" w:rsidR="009C080C" w:rsidRDefault="00C70C91"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В таблице 14</w:t>
      </w:r>
      <w:r w:rsidR="009C080C" w:rsidRPr="00C51E5C">
        <w:rPr>
          <w:rFonts w:ascii="Times New Roman" w:hAnsi="Times New Roman" w:cs="Times New Roman"/>
          <w:sz w:val="28"/>
          <w:szCs w:val="28"/>
        </w:rPr>
        <w:t xml:space="preserve"> представлена структура </w:t>
      </w:r>
      <w:r w:rsidR="009C080C" w:rsidRPr="00C51E5C">
        <w:rPr>
          <w:rFonts w:ascii="Times New Roman" w:hAnsi="Times New Roman" w:cs="Times New Roman"/>
          <w:sz w:val="28"/>
          <w:szCs w:val="28"/>
          <w:lang w:val="en-US"/>
        </w:rPr>
        <w:t>QFII</w:t>
      </w:r>
      <w:r w:rsidR="009C080C" w:rsidRPr="00C51E5C">
        <w:rPr>
          <w:rFonts w:ascii="Times New Roman" w:hAnsi="Times New Roman" w:cs="Times New Roman"/>
          <w:sz w:val="28"/>
          <w:szCs w:val="28"/>
        </w:rPr>
        <w:t xml:space="preserve"> по направлениям инвестиции</w:t>
      </w:r>
      <w:r w:rsidR="009C080C" w:rsidRPr="00C51E5C">
        <w:rPr>
          <w:rFonts w:ascii="Cambria Math" w:hAnsi="Cambria Math" w:cs="Cambria Math"/>
          <w:sz w:val="28"/>
          <w:szCs w:val="28"/>
        </w:rPr>
        <w:t>̆</w:t>
      </w:r>
      <w:r w:rsidR="009C080C" w:rsidRPr="00C51E5C">
        <w:rPr>
          <w:rFonts w:ascii="Times New Roman" w:hAnsi="Times New Roman" w:cs="Times New Roman"/>
          <w:sz w:val="28"/>
          <w:szCs w:val="28"/>
        </w:rPr>
        <w:t>.</w:t>
      </w:r>
    </w:p>
    <w:p w14:paraId="2F4BC237" w14:textId="77777777" w:rsidR="00C70C91" w:rsidRPr="00494061" w:rsidRDefault="00C70C91" w:rsidP="00C70C91">
      <w:pPr>
        <w:widowControl w:val="0"/>
        <w:autoSpaceDE w:val="0"/>
        <w:autoSpaceDN w:val="0"/>
        <w:adjustRightInd w:val="0"/>
        <w:spacing w:after="240"/>
        <w:ind w:left="-426" w:right="-631" w:firstLine="426"/>
        <w:jc w:val="both"/>
        <w:rPr>
          <w:rFonts w:ascii="Times New Roman" w:hAnsi="Times New Roman" w:cs="Times New Roman"/>
        </w:rPr>
      </w:pPr>
      <w:r>
        <w:rPr>
          <w:rFonts w:ascii="Times New Roman" w:hAnsi="Times New Roman" w:cs="Times New Roman"/>
        </w:rPr>
        <w:t>Таблица 14</w:t>
      </w:r>
      <w:r w:rsidRPr="00494061">
        <w:rPr>
          <w:rFonts w:ascii="Times New Roman" w:hAnsi="Times New Roman" w:cs="Times New Roman"/>
        </w:rPr>
        <w:t xml:space="preserve"> Структура активов инвесторов </w:t>
      </w:r>
      <w:r w:rsidRPr="00494061">
        <w:rPr>
          <w:rFonts w:ascii="Times New Roman" w:hAnsi="Times New Roman" w:cs="Times New Roman"/>
          <w:lang w:val="en-US"/>
        </w:rPr>
        <w:t>QFII</w:t>
      </w:r>
      <w:r w:rsidRPr="00494061">
        <w:rPr>
          <w:rFonts w:ascii="Times New Roman" w:hAnsi="Times New Roman" w:cs="Times New Roman"/>
        </w:rPr>
        <w:t xml:space="preserve"> (начало 2008 года)</w:t>
      </w:r>
    </w:p>
    <w:p w14:paraId="08668622" w14:textId="77777777" w:rsidR="00C70C91" w:rsidRPr="00494061" w:rsidRDefault="00C70C91" w:rsidP="00C70C91">
      <w:pPr>
        <w:widowControl w:val="0"/>
        <w:autoSpaceDE w:val="0"/>
        <w:autoSpaceDN w:val="0"/>
        <w:adjustRightInd w:val="0"/>
        <w:spacing w:after="240"/>
        <w:ind w:left="-426" w:right="-631" w:firstLine="426"/>
        <w:jc w:val="both"/>
        <w:rPr>
          <w:rFonts w:ascii="Times New Roman" w:hAnsi="Times New Roman" w:cs="Times New Roman"/>
          <w:lang w:val="en-US"/>
        </w:rPr>
      </w:pPr>
      <w:r w:rsidRPr="00494061">
        <w:rPr>
          <w:rFonts w:ascii="Times New Roman" w:hAnsi="Times New Roman" w:cs="Times New Roman"/>
          <w:noProof/>
          <w:lang w:val="en-US"/>
        </w:rPr>
        <w:drawing>
          <wp:inline distT="0" distB="0" distL="0" distR="0" wp14:anchorId="5ACA8DD0" wp14:editId="27AF4512">
            <wp:extent cx="5270500" cy="488333"/>
            <wp:effectExtent l="0" t="0" r="0" b="0"/>
            <wp:docPr id="2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488333"/>
                    </a:xfrm>
                    <a:prstGeom prst="rect">
                      <a:avLst/>
                    </a:prstGeom>
                    <a:noFill/>
                    <a:ln>
                      <a:noFill/>
                    </a:ln>
                  </pic:spPr>
                </pic:pic>
              </a:graphicData>
            </a:graphic>
          </wp:inline>
        </w:drawing>
      </w:r>
    </w:p>
    <w:p w14:paraId="2F6F4373" w14:textId="09F99B95" w:rsidR="00C70C91" w:rsidRPr="00C70C91" w:rsidRDefault="00C70C91" w:rsidP="00C70C91">
      <w:pPr>
        <w:widowControl w:val="0"/>
        <w:autoSpaceDE w:val="0"/>
        <w:autoSpaceDN w:val="0"/>
        <w:adjustRightInd w:val="0"/>
        <w:spacing w:after="240"/>
        <w:ind w:left="-426" w:right="-631" w:firstLine="426"/>
        <w:jc w:val="both"/>
        <w:rPr>
          <w:rFonts w:ascii="Times New Roman" w:hAnsi="Times New Roman" w:cs="Times New Roman"/>
          <w:sz w:val="20"/>
          <w:szCs w:val="20"/>
        </w:rPr>
      </w:pPr>
      <w:r w:rsidRPr="008221E6">
        <w:rPr>
          <w:rFonts w:ascii="Times New Roman" w:hAnsi="Times New Roman" w:cs="Times New Roman"/>
          <w:sz w:val="20"/>
          <w:szCs w:val="20"/>
          <w:lang w:val="en-US"/>
        </w:rPr>
        <w:t xml:space="preserve">Источник: China Securities Regulatory Commission Annual Report. </w:t>
      </w:r>
      <w:r>
        <w:rPr>
          <w:rFonts w:ascii="Times New Roman" w:hAnsi="Times New Roman" w:cs="Times New Roman"/>
          <w:sz w:val="20"/>
          <w:szCs w:val="20"/>
        </w:rPr>
        <w:t xml:space="preserve">2007. - </w:t>
      </w:r>
      <w:r w:rsidRPr="008221E6">
        <w:rPr>
          <w:rFonts w:ascii="Times New Roman" w:hAnsi="Times New Roman" w:cs="Times New Roman"/>
          <w:sz w:val="20"/>
          <w:szCs w:val="20"/>
          <w:lang w:val="en-US"/>
        </w:rPr>
        <w:t>www</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csrc</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gov</w:t>
      </w:r>
      <w:r w:rsidRPr="006D5E67">
        <w:rPr>
          <w:rFonts w:ascii="Times New Roman" w:hAnsi="Times New Roman" w:cs="Times New Roman"/>
          <w:sz w:val="20"/>
          <w:szCs w:val="20"/>
        </w:rPr>
        <w:t>.</w:t>
      </w:r>
      <w:r w:rsidRPr="008221E6">
        <w:rPr>
          <w:rFonts w:ascii="Times New Roman" w:hAnsi="Times New Roman" w:cs="Times New Roman"/>
          <w:sz w:val="20"/>
          <w:szCs w:val="20"/>
          <w:lang w:val="en-US"/>
        </w:rPr>
        <w:t>cn</w:t>
      </w:r>
      <w:r w:rsidRPr="006D5E67">
        <w:rPr>
          <w:rFonts w:ascii="Times New Roman" w:hAnsi="Times New Roman" w:cs="Times New Roman"/>
          <w:sz w:val="20"/>
          <w:szCs w:val="20"/>
        </w:rPr>
        <w:t xml:space="preserve"> </w:t>
      </w:r>
    </w:p>
    <w:p w14:paraId="56E4ABFA" w14:textId="4C533773" w:rsidR="009C080C" w:rsidRPr="00C51E5C" w:rsidRDefault="00C70C91"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Из таблицы 14</w:t>
      </w:r>
      <w:r w:rsidR="009C080C" w:rsidRPr="00C51E5C">
        <w:rPr>
          <w:rFonts w:ascii="Times New Roman" w:hAnsi="Times New Roman" w:cs="Times New Roman"/>
          <w:sz w:val="28"/>
          <w:szCs w:val="28"/>
        </w:rPr>
        <w:t xml:space="preserve"> следует, что акции и банковские депозиты являются основными направлениями вложении</w:t>
      </w:r>
      <w:r w:rsidR="009C080C" w:rsidRPr="00C51E5C">
        <w:rPr>
          <w:rFonts w:ascii="Cambria Math" w:hAnsi="Cambria Math" w:cs="Cambria Math"/>
          <w:sz w:val="28"/>
          <w:szCs w:val="28"/>
        </w:rPr>
        <w:t>̆</w:t>
      </w:r>
      <w:r w:rsidR="009C080C" w:rsidRPr="00C51E5C">
        <w:rPr>
          <w:rFonts w:ascii="Times New Roman" w:hAnsi="Times New Roman" w:cs="Times New Roman"/>
          <w:sz w:val="28"/>
          <w:szCs w:val="28"/>
        </w:rPr>
        <w:t xml:space="preserve"> </w:t>
      </w:r>
      <w:r w:rsidR="009C080C" w:rsidRPr="00C51E5C">
        <w:rPr>
          <w:rFonts w:ascii="Times New Roman" w:hAnsi="Times New Roman" w:cs="Times New Roman"/>
          <w:sz w:val="28"/>
          <w:szCs w:val="28"/>
          <w:lang w:val="en-US"/>
        </w:rPr>
        <w:t>QFII</w:t>
      </w:r>
      <w:r w:rsidR="009C080C" w:rsidRPr="00C51E5C">
        <w:rPr>
          <w:rFonts w:ascii="Times New Roman" w:hAnsi="Times New Roman" w:cs="Times New Roman"/>
          <w:sz w:val="28"/>
          <w:szCs w:val="28"/>
        </w:rPr>
        <w:t xml:space="preserve">. Однако инвестиции в рынок облигаций крайне низкие, что лишний раз доказывает, что этот рынок находится еще в начальной точке своего развития. </w:t>
      </w:r>
    </w:p>
    <w:p w14:paraId="1DA66C4A" w14:textId="77777777" w:rsidR="009C080C" w:rsidRPr="00C51E5C" w:rsidRDefault="009C080C" w:rsidP="00C51E5C">
      <w:pPr>
        <w:widowControl w:val="0"/>
        <w:autoSpaceDE w:val="0"/>
        <w:autoSpaceDN w:val="0"/>
        <w:adjustRightInd w:val="0"/>
        <w:spacing w:line="360" w:lineRule="auto"/>
        <w:ind w:left="-426" w:right="50" w:firstLine="426"/>
        <w:jc w:val="both"/>
        <w:rPr>
          <w:rFonts w:ascii="Times New Roman" w:hAnsi="Times New Roman" w:cs="Times New Roman"/>
          <w:sz w:val="28"/>
          <w:szCs w:val="28"/>
        </w:rPr>
      </w:pPr>
    </w:p>
    <w:p w14:paraId="37A8607C" w14:textId="0B52ACC5" w:rsidR="009C080C" w:rsidRPr="00C51E5C" w:rsidRDefault="009C080C" w:rsidP="00C51E5C">
      <w:pPr>
        <w:spacing w:line="360" w:lineRule="auto"/>
        <w:ind w:left="-426" w:right="50" w:firstLine="426"/>
        <w:jc w:val="both"/>
        <w:rPr>
          <w:rFonts w:ascii="Times New Roman" w:hAnsi="Times New Roman" w:cs="Times New Roman"/>
          <w:b/>
          <w:i/>
          <w:sz w:val="28"/>
          <w:szCs w:val="28"/>
        </w:rPr>
      </w:pPr>
      <w:r w:rsidRPr="00C51E5C">
        <w:rPr>
          <w:rFonts w:ascii="Times New Roman" w:hAnsi="Times New Roman" w:cs="Times New Roman"/>
          <w:b/>
          <w:i/>
          <w:sz w:val="28"/>
          <w:szCs w:val="28"/>
        </w:rPr>
        <w:t>2.2 Модели формирования инвестиционных портфелей</w:t>
      </w:r>
    </w:p>
    <w:p w14:paraId="79656CD7" w14:textId="7EFE026F" w:rsidR="000D3393" w:rsidRDefault="000D3393" w:rsidP="000D3393">
      <w:pPr>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 xml:space="preserve">С появлением рынка капитала, экономисты заинтересовались вопросом функционирования рынка и изменения цен на финансовые активы. Однако сформулированы данные закономерности были в начале </w:t>
      </w:r>
      <w:r>
        <w:rPr>
          <w:rFonts w:ascii="Times New Roman" w:hAnsi="Times New Roman" w:cs="Times New Roman"/>
          <w:sz w:val="28"/>
          <w:szCs w:val="28"/>
          <w:lang w:val="en-US"/>
        </w:rPr>
        <w:t xml:space="preserve">XX </w:t>
      </w:r>
      <w:r>
        <w:rPr>
          <w:rFonts w:ascii="Times New Roman" w:hAnsi="Times New Roman" w:cs="Times New Roman"/>
          <w:sz w:val="28"/>
          <w:szCs w:val="28"/>
        </w:rPr>
        <w:t>века.</w:t>
      </w:r>
      <w:r w:rsidR="00A106E6">
        <w:rPr>
          <w:rFonts w:ascii="Times New Roman" w:hAnsi="Times New Roman" w:cs="Times New Roman"/>
          <w:sz w:val="28"/>
          <w:szCs w:val="28"/>
        </w:rPr>
        <w:t xml:space="preserve"> Существующие математико-статистические методы по анализу доходности ценных бумаг явились пульсом к развитию таких работ. Опубликованная в 1900 году работа стала одной из первых. Автор работы Л. Башелье писал о независимости рыночной прибыли и идентичности распределения случайных величин, что стало основой современной линейной парадигмы изменения цен на рыночные активы.</w:t>
      </w:r>
    </w:p>
    <w:p w14:paraId="437C9B11" w14:textId="04719D92" w:rsidR="009C080C" w:rsidRPr="00C51E5C" w:rsidRDefault="00A106E6" w:rsidP="00A106E6">
      <w:pPr>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В 1960-х гг. М. Кендалл выявил закономерности изменения цен на акций и установил отсутсвие закономерности в движении цен на фондовом рынке</w:t>
      </w:r>
      <w:r w:rsidR="009C080C" w:rsidRPr="00C51E5C">
        <w:rPr>
          <w:rStyle w:val="FootnoteReference"/>
          <w:rFonts w:ascii="Times New Roman" w:hAnsi="Times New Roman" w:cs="Times New Roman"/>
          <w:sz w:val="28"/>
          <w:szCs w:val="28"/>
        </w:rPr>
        <w:footnoteReference w:id="48"/>
      </w:r>
      <w:r w:rsidR="009C080C" w:rsidRPr="00C51E5C">
        <w:rPr>
          <w:rFonts w:ascii="Times New Roman" w:hAnsi="Times New Roman" w:cs="Times New Roman"/>
          <w:sz w:val="28"/>
          <w:szCs w:val="28"/>
        </w:rPr>
        <w:t xml:space="preserve">. Результаты, </w:t>
      </w:r>
      <w:r>
        <w:rPr>
          <w:rFonts w:ascii="Times New Roman" w:hAnsi="Times New Roman" w:cs="Times New Roman"/>
          <w:sz w:val="28"/>
          <w:szCs w:val="28"/>
        </w:rPr>
        <w:t>которые получил</w:t>
      </w:r>
      <w:r w:rsidR="009C080C" w:rsidRPr="00C51E5C">
        <w:rPr>
          <w:rFonts w:ascii="Times New Roman" w:hAnsi="Times New Roman" w:cs="Times New Roman"/>
          <w:sz w:val="28"/>
          <w:szCs w:val="28"/>
        </w:rPr>
        <w:t xml:space="preserve"> Кендал</w:t>
      </w:r>
      <w:r>
        <w:rPr>
          <w:rFonts w:ascii="Times New Roman" w:hAnsi="Times New Roman" w:cs="Times New Roman"/>
          <w:sz w:val="28"/>
          <w:szCs w:val="28"/>
        </w:rPr>
        <w:t>л</w:t>
      </w:r>
      <w:r w:rsidR="009C080C" w:rsidRPr="00C51E5C">
        <w:rPr>
          <w:rFonts w:ascii="Times New Roman" w:hAnsi="Times New Roman" w:cs="Times New Roman"/>
          <w:sz w:val="28"/>
          <w:szCs w:val="28"/>
        </w:rPr>
        <w:t xml:space="preserve">, </w:t>
      </w:r>
      <w:r>
        <w:rPr>
          <w:rFonts w:ascii="Times New Roman" w:hAnsi="Times New Roman" w:cs="Times New Roman"/>
          <w:sz w:val="28"/>
          <w:szCs w:val="28"/>
        </w:rPr>
        <w:t>стали</w:t>
      </w:r>
      <w:r w:rsidR="009C080C" w:rsidRPr="00C51E5C">
        <w:rPr>
          <w:rFonts w:ascii="Times New Roman" w:hAnsi="Times New Roman" w:cs="Times New Roman"/>
          <w:sz w:val="28"/>
          <w:szCs w:val="28"/>
        </w:rPr>
        <w:t xml:space="preserve"> </w:t>
      </w:r>
      <w:r>
        <w:rPr>
          <w:rFonts w:ascii="Times New Roman" w:hAnsi="Times New Roman" w:cs="Times New Roman"/>
          <w:sz w:val="28"/>
          <w:szCs w:val="28"/>
        </w:rPr>
        <w:t>основой создания гипотезы</w:t>
      </w:r>
      <w:r w:rsidR="009C080C" w:rsidRPr="00C51E5C">
        <w:rPr>
          <w:rFonts w:ascii="Times New Roman" w:hAnsi="Times New Roman" w:cs="Times New Roman"/>
          <w:sz w:val="28"/>
          <w:szCs w:val="28"/>
        </w:rPr>
        <w:t xml:space="preserve"> эффективного рынка (Efficient Market Hypothesis – EMH). </w:t>
      </w:r>
      <w:r>
        <w:rPr>
          <w:rFonts w:ascii="Times New Roman" w:hAnsi="Times New Roman" w:cs="Times New Roman"/>
          <w:sz w:val="28"/>
          <w:szCs w:val="28"/>
        </w:rPr>
        <w:t xml:space="preserve">М. Осборн предположил, что изменение цен на акции происходит случайным образом и </w:t>
      </w:r>
      <w:r>
        <w:rPr>
          <w:rFonts w:ascii="Times New Roman" w:hAnsi="Times New Roman" w:cs="Times New Roman"/>
          <w:sz w:val="28"/>
          <w:szCs w:val="28"/>
        </w:rPr>
        <w:lastRenderedPageBreak/>
        <w:t>формализовал это в своей статье о броуновском движении</w:t>
      </w:r>
      <w:r w:rsidR="009C080C" w:rsidRPr="00C51E5C">
        <w:rPr>
          <w:rStyle w:val="FootnoteReference"/>
          <w:rFonts w:ascii="Times New Roman" w:hAnsi="Times New Roman" w:cs="Times New Roman"/>
          <w:sz w:val="28"/>
          <w:szCs w:val="28"/>
        </w:rPr>
        <w:footnoteReference w:id="49"/>
      </w:r>
      <w:r w:rsidR="009C080C" w:rsidRPr="00C51E5C">
        <w:rPr>
          <w:rFonts w:ascii="Times New Roman" w:hAnsi="Times New Roman" w:cs="Times New Roman"/>
          <w:sz w:val="28"/>
          <w:szCs w:val="28"/>
        </w:rPr>
        <w:t xml:space="preserve">. </w:t>
      </w:r>
      <w:r>
        <w:rPr>
          <w:rFonts w:ascii="Times New Roman" w:hAnsi="Times New Roman" w:cs="Times New Roman"/>
          <w:sz w:val="28"/>
          <w:szCs w:val="28"/>
        </w:rPr>
        <w:t>Начало</w:t>
      </w:r>
      <w:r w:rsidR="009C080C" w:rsidRPr="00C51E5C">
        <w:rPr>
          <w:rFonts w:ascii="Times New Roman" w:hAnsi="Times New Roman" w:cs="Times New Roman"/>
          <w:sz w:val="28"/>
          <w:szCs w:val="28"/>
        </w:rPr>
        <w:t xml:space="preserve"> 70-х </w:t>
      </w:r>
      <w:r>
        <w:rPr>
          <w:rFonts w:ascii="Times New Roman" w:hAnsi="Times New Roman" w:cs="Times New Roman"/>
          <w:sz w:val="28"/>
          <w:szCs w:val="28"/>
        </w:rPr>
        <w:t xml:space="preserve">гг. Было ознаменовано тем, что многие ученые и экономисты приняли концепцию </w:t>
      </w:r>
      <w:r>
        <w:rPr>
          <w:rFonts w:ascii="Times New Roman" w:hAnsi="Times New Roman" w:cs="Times New Roman"/>
          <w:sz w:val="28"/>
          <w:szCs w:val="28"/>
          <w:lang w:val="en-US"/>
        </w:rPr>
        <w:t>EMH</w:t>
      </w:r>
      <w:r>
        <w:rPr>
          <w:rFonts w:ascii="Times New Roman" w:hAnsi="Times New Roman" w:cs="Times New Roman"/>
          <w:sz w:val="28"/>
          <w:szCs w:val="28"/>
        </w:rPr>
        <w:t>, с тех пор она является фундаментальной основой</w:t>
      </w:r>
      <w:r w:rsidR="009C080C" w:rsidRPr="00C51E5C">
        <w:rPr>
          <w:rFonts w:ascii="Times New Roman" w:hAnsi="Times New Roman" w:cs="Times New Roman"/>
          <w:sz w:val="28"/>
          <w:szCs w:val="28"/>
        </w:rPr>
        <w:t xml:space="preserve"> современной теории функционирова</w:t>
      </w:r>
      <w:r w:rsidR="00A41E17">
        <w:rPr>
          <w:rFonts w:ascii="Times New Roman" w:hAnsi="Times New Roman" w:cs="Times New Roman"/>
          <w:sz w:val="28"/>
          <w:szCs w:val="28"/>
        </w:rPr>
        <w:t>ния рынков капитала. М. Осборно выделил</w:t>
      </w:r>
      <w:r w:rsidR="009C080C" w:rsidRPr="00C51E5C">
        <w:rPr>
          <w:rFonts w:ascii="Times New Roman" w:hAnsi="Times New Roman" w:cs="Times New Roman"/>
          <w:sz w:val="28"/>
          <w:szCs w:val="28"/>
        </w:rPr>
        <w:t xml:space="preserve"> пять допущений, </w:t>
      </w:r>
      <w:r w:rsidR="00A41E17">
        <w:rPr>
          <w:rFonts w:ascii="Times New Roman" w:hAnsi="Times New Roman" w:cs="Times New Roman"/>
          <w:sz w:val="28"/>
          <w:szCs w:val="28"/>
        </w:rPr>
        <w:t>которые дали толчок к развитию линейного подхода к анализу рынка капитала</w:t>
      </w:r>
      <w:r w:rsidR="009C080C" w:rsidRPr="00C51E5C">
        <w:rPr>
          <w:rFonts w:ascii="Times New Roman" w:hAnsi="Times New Roman" w:cs="Times New Roman"/>
          <w:sz w:val="28"/>
          <w:szCs w:val="28"/>
        </w:rPr>
        <w:t>:</w:t>
      </w:r>
    </w:p>
    <w:p w14:paraId="1E55ADAD" w14:textId="760D05D3" w:rsidR="009C080C" w:rsidRPr="00C51E5C" w:rsidRDefault="00A106E6" w:rsidP="00C51E5C">
      <w:pPr>
        <w:pStyle w:val="ListParagraph"/>
        <w:numPr>
          <w:ilvl w:val="0"/>
          <w:numId w:val="6"/>
        </w:numPr>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w:t>
      </w:r>
      <w:r w:rsidR="009C080C" w:rsidRPr="00C51E5C">
        <w:rPr>
          <w:rFonts w:ascii="Times New Roman" w:hAnsi="Times New Roman" w:cs="Times New Roman"/>
          <w:sz w:val="28"/>
          <w:szCs w:val="28"/>
        </w:rPr>
        <w:t>Инвесторы принимают решения рационально, а также имеют одинаковую информацию и однородные ожидания относительно доходности и риска инвестиций.</w:t>
      </w:r>
    </w:p>
    <w:p w14:paraId="57F478CC" w14:textId="77777777" w:rsidR="009C080C" w:rsidRPr="00C51E5C" w:rsidRDefault="009C080C" w:rsidP="00C51E5C">
      <w:pPr>
        <w:pStyle w:val="ListParagraph"/>
        <w:numPr>
          <w:ilvl w:val="0"/>
          <w:numId w:val="6"/>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Рынки эффективны и не имеют памяти. Вся имеющаяся на рынке информации уже учтена в ценах активов.</w:t>
      </w:r>
    </w:p>
    <w:p w14:paraId="58CB17BA" w14:textId="77777777" w:rsidR="009C080C" w:rsidRPr="00C51E5C" w:rsidRDefault="009C080C" w:rsidP="00C51E5C">
      <w:pPr>
        <w:pStyle w:val="ListParagraph"/>
        <w:numPr>
          <w:ilvl w:val="0"/>
          <w:numId w:val="6"/>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Цены на рынке капитала изменяются немедленно и линейно, реагируя на новую информацию, поступающую на рынок. Цены изменяются случайным образом, распределение вероятностей ставок доходности активов является нормальным.</w:t>
      </w:r>
    </w:p>
    <w:p w14:paraId="025A30D0" w14:textId="77777777" w:rsidR="009C080C" w:rsidRPr="00C51E5C" w:rsidRDefault="009C080C" w:rsidP="00C51E5C">
      <w:pPr>
        <w:pStyle w:val="ListParagraph"/>
        <w:numPr>
          <w:ilvl w:val="0"/>
          <w:numId w:val="6"/>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Ключевыми характеристиками любого актива являются ожидаемая доходность актива и стандартное отклонение доходности, характеризующее риск. Указанные характеристики актива достаточно устойчивы во времени.</w:t>
      </w:r>
    </w:p>
    <w:p w14:paraId="590F40CD" w14:textId="5506354A" w:rsidR="009C080C" w:rsidRPr="00C51E5C" w:rsidRDefault="009C080C" w:rsidP="00C51E5C">
      <w:pPr>
        <w:pStyle w:val="ListParagraph"/>
        <w:numPr>
          <w:ilvl w:val="0"/>
          <w:numId w:val="6"/>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Существуют устойчивые во времени показатели взаимозависимости динамики цен различных активов (коэффициенты корреляции и ковариации)</w:t>
      </w:r>
      <w:r w:rsidR="00A41E17">
        <w:rPr>
          <w:rFonts w:ascii="Times New Roman" w:hAnsi="Times New Roman" w:cs="Times New Roman"/>
          <w:sz w:val="28"/>
          <w:szCs w:val="28"/>
        </w:rPr>
        <w:t>»</w:t>
      </w:r>
      <w:r w:rsidRPr="00C51E5C">
        <w:rPr>
          <w:rFonts w:ascii="Times New Roman" w:hAnsi="Times New Roman" w:cs="Times New Roman"/>
          <w:sz w:val="28"/>
          <w:szCs w:val="28"/>
        </w:rPr>
        <w:t>.</w:t>
      </w:r>
    </w:p>
    <w:p w14:paraId="3935DCE1" w14:textId="2E7C220D" w:rsidR="009C080C" w:rsidRDefault="00A41E17" w:rsidP="00A41E17">
      <w:pPr>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 xml:space="preserve">Эти допущения дали толчок к развитию анализа динамики цен акций. В результате этих допущений сформировались концепции, многие из которых являются значимыми и по сей день, например, </w:t>
      </w:r>
      <w:r w:rsidR="009C080C" w:rsidRPr="00C51E5C">
        <w:rPr>
          <w:rFonts w:ascii="Times New Roman" w:hAnsi="Times New Roman" w:cs="Times New Roman"/>
          <w:sz w:val="28"/>
          <w:szCs w:val="28"/>
        </w:rPr>
        <w:t>современная портфельная теория (MPT – modern portfolio theory) и ценовая модель рынка капитала (CAPM – Capital Asset Pricing Model).</w:t>
      </w:r>
    </w:p>
    <w:p w14:paraId="62677D80" w14:textId="74DFAF90" w:rsidR="009C080C" w:rsidRDefault="00A41E17" w:rsidP="00A41E17">
      <w:pPr>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 xml:space="preserve">Началу развития современной теории портфельных инвестиций положил Г. Марковиц, который в 1952 г. опубликовал </w:t>
      </w:r>
      <w:r w:rsidR="009C080C" w:rsidRPr="00C51E5C">
        <w:rPr>
          <w:rFonts w:ascii="Times New Roman" w:hAnsi="Times New Roman" w:cs="Times New Roman"/>
          <w:sz w:val="28"/>
          <w:szCs w:val="28"/>
        </w:rPr>
        <w:t>статью «Выбор портфеля» («Portfolio Selection»)</w:t>
      </w:r>
      <w:r w:rsidR="009C080C" w:rsidRPr="00C51E5C">
        <w:rPr>
          <w:rStyle w:val="FootnoteReference"/>
          <w:rFonts w:ascii="Times New Roman" w:hAnsi="Times New Roman" w:cs="Times New Roman"/>
          <w:sz w:val="28"/>
          <w:szCs w:val="28"/>
        </w:rPr>
        <w:footnoteReference w:id="50"/>
      </w:r>
      <w:r w:rsidR="009C080C" w:rsidRPr="00C51E5C">
        <w:rPr>
          <w:rFonts w:ascii="Times New Roman" w:hAnsi="Times New Roman" w:cs="Times New Roman"/>
          <w:sz w:val="28"/>
          <w:szCs w:val="28"/>
        </w:rPr>
        <w:t xml:space="preserve">. В этой статье была предложена математическая модель </w:t>
      </w:r>
      <w:r w:rsidR="009C080C" w:rsidRPr="00C51E5C">
        <w:rPr>
          <w:rFonts w:ascii="Times New Roman" w:hAnsi="Times New Roman" w:cs="Times New Roman"/>
          <w:sz w:val="28"/>
          <w:szCs w:val="28"/>
        </w:rPr>
        <w:lastRenderedPageBreak/>
        <w:t>формирования оптимального портфеля ценных бумаг, а также приведены методы построения такого портфеля при определенных условиях.</w:t>
      </w:r>
    </w:p>
    <w:p w14:paraId="37468891" w14:textId="53B7A9D7" w:rsidR="009C080C" w:rsidRPr="00C51E5C" w:rsidRDefault="00A41E17" w:rsidP="00A41E17">
      <w:pPr>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 xml:space="preserve">Основу портфельной теории составляет диверсификация портфеля при помощи вложения средств в рисковые активы. Портфельная теория гласит, что инвестор стремится найти лучшее соотношение риска и доходности и при этом сочетает в портфеле несколько рисковых актива. </w:t>
      </w:r>
      <w:r w:rsidR="009C080C" w:rsidRPr="00C51E5C">
        <w:rPr>
          <w:rFonts w:ascii="Times New Roman" w:hAnsi="Times New Roman" w:cs="Times New Roman"/>
          <w:sz w:val="28"/>
          <w:szCs w:val="28"/>
        </w:rPr>
        <w:t>Причиной появления возможности диверсифицировать риск согласно портфельной теории является наличие двух составных частей в общем риске инвестиций в любой рисковый актив систематического и несистематического риска. Объединение в портфеле нескольких рисковых активов позволяет снизить влияние на общий риск портфеля несистематических рисков каждого из входящих в него активов.</w:t>
      </w:r>
    </w:p>
    <w:p w14:paraId="105F6F27" w14:textId="46BA67BB" w:rsidR="00202F5B" w:rsidRDefault="00202F5B" w:rsidP="00C51E5C">
      <w:pPr>
        <w:spacing w:line="360" w:lineRule="auto"/>
        <w:ind w:left="-426" w:right="50" w:firstLine="426"/>
        <w:jc w:val="both"/>
        <w:rPr>
          <w:rFonts w:ascii="Times New Roman" w:hAnsi="Times New Roman" w:cs="Times New Roman"/>
          <w:sz w:val="28"/>
          <w:szCs w:val="28"/>
        </w:rPr>
      </w:pPr>
      <w:r>
        <w:rPr>
          <w:rFonts w:ascii="Times New Roman" w:hAnsi="Times New Roman" w:cs="Times New Roman"/>
          <w:sz w:val="28"/>
          <w:szCs w:val="28"/>
        </w:rPr>
        <w:t>Д</w:t>
      </w:r>
      <w:r w:rsidRPr="00202F5B">
        <w:rPr>
          <w:rFonts w:ascii="Times New Roman" w:hAnsi="Times New Roman" w:cs="Times New Roman"/>
          <w:sz w:val="28"/>
          <w:szCs w:val="28"/>
        </w:rPr>
        <w:t>оходности операций уделял большое вним</w:t>
      </w:r>
      <w:r>
        <w:rPr>
          <w:rFonts w:ascii="Times New Roman" w:hAnsi="Times New Roman" w:cs="Times New Roman"/>
          <w:sz w:val="28"/>
          <w:szCs w:val="28"/>
        </w:rPr>
        <w:t>ание в своих работах Марковиц. Т</w:t>
      </w:r>
      <w:r w:rsidRPr="00202F5B">
        <w:rPr>
          <w:rFonts w:ascii="Times New Roman" w:hAnsi="Times New Roman" w:cs="Times New Roman"/>
          <w:sz w:val="28"/>
          <w:szCs w:val="28"/>
        </w:rPr>
        <w:t>ак, в его трудах доходность ценных бумаг определяется в качестве случайной величины, а ее привлекательность характеризуется следующими параметрами: величиной математического ожидания доходности и величин</w:t>
      </w:r>
      <w:r>
        <w:rPr>
          <w:rFonts w:ascii="Times New Roman" w:hAnsi="Times New Roman" w:cs="Times New Roman"/>
          <w:sz w:val="28"/>
          <w:szCs w:val="28"/>
        </w:rPr>
        <w:t>ой ее стандартного отклонения. П</w:t>
      </w:r>
      <w:r w:rsidRPr="00202F5B">
        <w:rPr>
          <w:rFonts w:ascii="Times New Roman" w:hAnsi="Times New Roman" w:cs="Times New Roman"/>
          <w:sz w:val="28"/>
          <w:szCs w:val="28"/>
        </w:rPr>
        <w:t>онятие математического ожидания также может быть заменено понятием ожидаемой доходности актива</w:t>
      </w:r>
      <w:r>
        <w:rPr>
          <w:rFonts w:ascii="Times New Roman" w:hAnsi="Times New Roman" w:cs="Times New Roman"/>
          <w:sz w:val="28"/>
          <w:szCs w:val="28"/>
        </w:rPr>
        <w:t>.</w:t>
      </w:r>
    </w:p>
    <w:p w14:paraId="09FDFF4B" w14:textId="3837E803" w:rsidR="009C080C" w:rsidRPr="00C51E5C" w:rsidRDefault="00CE1C1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noProof/>
          <w:sz w:val="28"/>
          <w:szCs w:val="28"/>
          <w:lang w:val="en-US"/>
        </w:rPr>
        <mc:AlternateContent>
          <mc:Choice Requires="wps">
            <w:drawing>
              <wp:anchor distT="0" distB="0" distL="114300" distR="114300" simplePos="0" relativeHeight="251676672" behindDoc="0" locked="0" layoutInCell="1" allowOverlap="1" wp14:anchorId="7688AD05" wp14:editId="36E8FA39">
                <wp:simplePos x="0" y="0"/>
                <wp:positionH relativeFrom="column">
                  <wp:posOffset>4914900</wp:posOffset>
                </wp:positionH>
                <wp:positionV relativeFrom="paragraph">
                  <wp:posOffset>823595</wp:posOffset>
                </wp:positionV>
                <wp:extent cx="457200" cy="342900"/>
                <wp:effectExtent l="0" t="0" r="0" b="127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04702" w14:textId="77777777" w:rsidR="00434D18" w:rsidRPr="004F7A52" w:rsidRDefault="00434D18" w:rsidP="009C080C">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387pt;margin-top:64.85pt;width:36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" filled="f" stroked="f">
                <v:path arrowok="t"/>
                <v:textbox>
                  <w:txbxContent>
                    <w:p w14:paraId="7A304702" w14:textId="77777777" w:rsidR="00434D18" w:rsidRPr="004F7A52" w:rsidRDefault="00434D18" w:rsidP="009C080C">
                      <w:pPr>
                        <w:rPr>
                          <w:lang w:val="en-US"/>
                        </w:rPr>
                      </w:pPr>
                      <w:r>
                        <w:rPr>
                          <w:lang w:val="en-US"/>
                        </w:rPr>
                        <w:t>(1)</w:t>
                      </w:r>
                    </w:p>
                  </w:txbxContent>
                </v:textbox>
                <w10:wrap type="square"/>
              </v:shape>
            </w:pict>
          </mc:Fallback>
        </mc:AlternateContent>
      </w:r>
      <w:r w:rsidRPr="00C51E5C">
        <w:rPr>
          <w:rFonts w:ascii="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14:anchorId="74629C03" wp14:editId="54DACCC8">
                <wp:simplePos x="0" y="0"/>
                <wp:positionH relativeFrom="column">
                  <wp:posOffset>4800600</wp:posOffset>
                </wp:positionH>
                <wp:positionV relativeFrom="paragraph">
                  <wp:posOffset>823595</wp:posOffset>
                </wp:positionV>
                <wp:extent cx="685800" cy="342900"/>
                <wp:effectExtent l="0" t="0" r="25400" b="38100"/>
                <wp:wrapThrough wrapText="bothSides">
                  <wp:wrapPolygon edited="0">
                    <wp:start x="0" y="0"/>
                    <wp:lineTo x="0" y="22400"/>
                    <wp:lineTo x="21600" y="22400"/>
                    <wp:lineTo x="21600" y="0"/>
                    <wp:lineTo x="0" y="0"/>
                  </wp:wrapPolygon>
                </wp:wrapThrough>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42900"/>
                        </a:xfrm>
                        <a:prstGeom prst="rect">
                          <a:avLst/>
                        </a:prstGeom>
                        <a:solidFill>
                          <a:schemeClr val="bg1"/>
                        </a:solidFill>
                        <a:ln>
                          <a:solidFill>
                            <a:schemeClr val="accent1">
                              <a:shade val="95000"/>
                              <a:satMod val="105000"/>
                              <a:alpha val="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78pt;margin-top:64.85pt;width:5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" fillcolor="white [3212]" strokecolor="#4579b8 [3044]">
                <v:stroke opacity="0"/>
                <v:path arrowok="t"/>
                <w10:wrap type="through"/>
              </v:rect>
            </w:pict>
          </mc:Fallback>
        </mc:AlternateContent>
      </w:r>
      <w:r w:rsidR="00A41E17">
        <w:rPr>
          <w:rFonts w:ascii="Times New Roman" w:hAnsi="Times New Roman" w:cs="Times New Roman"/>
          <w:sz w:val="28"/>
          <w:szCs w:val="28"/>
        </w:rPr>
        <w:t>Если провести статистическую 0</w:t>
      </w:r>
      <w:r w:rsidR="009C080C" w:rsidRPr="00C51E5C">
        <w:rPr>
          <w:rFonts w:ascii="Times New Roman" w:hAnsi="Times New Roman" w:cs="Times New Roman"/>
          <w:sz w:val="28"/>
          <w:szCs w:val="28"/>
        </w:rPr>
        <w:t>ценку ожидаемой дох</w:t>
      </w:r>
      <w:r w:rsidR="00A41E17">
        <w:rPr>
          <w:rFonts w:ascii="Times New Roman" w:hAnsi="Times New Roman" w:cs="Times New Roman"/>
          <w:sz w:val="28"/>
          <w:szCs w:val="28"/>
        </w:rPr>
        <w:t>0дности, риска и корреляции дох0</w:t>
      </w:r>
      <w:r w:rsidR="009C080C" w:rsidRPr="00C51E5C">
        <w:rPr>
          <w:rFonts w:ascii="Times New Roman" w:hAnsi="Times New Roman" w:cs="Times New Roman"/>
          <w:sz w:val="28"/>
          <w:szCs w:val="28"/>
        </w:rPr>
        <w:t>дн</w:t>
      </w:r>
      <w:r w:rsidR="00A41E17">
        <w:rPr>
          <w:rFonts w:ascii="Times New Roman" w:hAnsi="Times New Roman" w:cs="Times New Roman"/>
          <w:sz w:val="28"/>
          <w:szCs w:val="28"/>
        </w:rPr>
        <w:t>ости всех финансовых активов, т0 на их основе м0жно оценить 0</w:t>
      </w:r>
      <w:r w:rsidR="009C080C" w:rsidRPr="00C51E5C">
        <w:rPr>
          <w:rFonts w:ascii="Times New Roman" w:hAnsi="Times New Roman" w:cs="Times New Roman"/>
          <w:sz w:val="28"/>
          <w:szCs w:val="28"/>
        </w:rPr>
        <w:t>жидаемую доходность и ри</w:t>
      </w:r>
      <w:r w:rsidR="00A41E17">
        <w:rPr>
          <w:rFonts w:ascii="Times New Roman" w:hAnsi="Times New Roman" w:cs="Times New Roman"/>
          <w:sz w:val="28"/>
          <w:szCs w:val="28"/>
        </w:rPr>
        <w:t>ск операций с любым портфелем. 0жидаемая доходность п0ртфеля 0</w:t>
      </w:r>
      <w:r w:rsidR="009C080C" w:rsidRPr="00C51E5C">
        <w:rPr>
          <w:rFonts w:ascii="Times New Roman" w:hAnsi="Times New Roman" w:cs="Times New Roman"/>
          <w:sz w:val="28"/>
          <w:szCs w:val="28"/>
        </w:rPr>
        <w:t>пределяется как средневзвешенная ожидаемая доходность входящих в него бумаг, а именно:</w:t>
      </w:r>
    </w:p>
    <w:p w14:paraId="70378928"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noProof/>
          <w:sz w:val="28"/>
          <w:szCs w:val="28"/>
          <w:lang w:val="en-US"/>
        </w:rPr>
        <w:drawing>
          <wp:inline distT="0" distB="0" distL="0" distR="0" wp14:anchorId="06082165" wp14:editId="00F5CE60">
            <wp:extent cx="5270500" cy="1188696"/>
            <wp:effectExtent l="0" t="0" r="0" b="5715"/>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1188696"/>
                    </a:xfrm>
                    <a:prstGeom prst="rect">
                      <a:avLst/>
                    </a:prstGeom>
                    <a:noFill/>
                    <a:ln>
                      <a:noFill/>
                    </a:ln>
                  </pic:spPr>
                </pic:pic>
              </a:graphicData>
            </a:graphic>
          </wp:inline>
        </w:drawing>
      </w:r>
    </w:p>
    <w:p w14:paraId="1D95A41E"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p>
    <w:p w14:paraId="10C5CB9F"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И в итоге ожидаемая доходность портфеля определяется по формуле (2):</w:t>
      </w:r>
    </w:p>
    <w:p w14:paraId="0F21597F"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p>
    <w:p w14:paraId="0D732299" w14:textId="2875CEF2" w:rsidR="009C080C" w:rsidRPr="00C51E5C" w:rsidRDefault="00CE1C1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noProof/>
          <w:sz w:val="28"/>
          <w:szCs w:val="28"/>
          <w:lang w:val="en-US"/>
        </w:rPr>
        <w:lastRenderedPageBreak/>
        <mc:AlternateContent>
          <mc:Choice Requires="wps">
            <w:drawing>
              <wp:anchor distT="0" distB="0" distL="114300" distR="114300" simplePos="0" relativeHeight="251678720" behindDoc="0" locked="0" layoutInCell="1" allowOverlap="1" wp14:anchorId="70FAF291" wp14:editId="71F03D8A">
                <wp:simplePos x="0" y="0"/>
                <wp:positionH relativeFrom="column">
                  <wp:posOffset>2286000</wp:posOffset>
                </wp:positionH>
                <wp:positionV relativeFrom="paragraph">
                  <wp:posOffset>170815</wp:posOffset>
                </wp:positionV>
                <wp:extent cx="571500" cy="342900"/>
                <wp:effectExtent l="0" t="0" r="0" b="127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ECDE5" w14:textId="77777777" w:rsidR="00434D18" w:rsidRDefault="00434D18" w:rsidP="009C080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180pt;margin-top:13.45pt;width:4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" filled="f" stroked="f">
                <v:path arrowok="t"/>
                <v:textbox>
                  <w:txbxContent>
                    <w:p w14:paraId="766ECDE5" w14:textId="77777777" w:rsidR="00434D18" w:rsidRDefault="00434D18" w:rsidP="009C080C">
                      <w:r>
                        <w:t>(2)</w:t>
                      </w:r>
                    </w:p>
                  </w:txbxContent>
                </v:textbox>
                <w10:wrap type="square"/>
              </v:shape>
            </w:pict>
          </mc:Fallback>
        </mc:AlternateContent>
      </w:r>
      <w:r w:rsidR="009C080C" w:rsidRPr="00C51E5C">
        <w:rPr>
          <w:rFonts w:ascii="Times New Roman" w:hAnsi="Times New Roman" w:cs="Times New Roman"/>
          <w:noProof/>
          <w:sz w:val="28"/>
          <w:szCs w:val="28"/>
          <w:lang w:val="en-US"/>
        </w:rPr>
        <w:drawing>
          <wp:anchor distT="0" distB="0" distL="114300" distR="114300" simplePos="0" relativeHeight="251677696" behindDoc="0" locked="0" layoutInCell="1" allowOverlap="1" wp14:anchorId="66389FA2" wp14:editId="2550F214">
            <wp:simplePos x="0" y="0"/>
            <wp:positionH relativeFrom="column">
              <wp:align>left</wp:align>
            </wp:positionH>
            <wp:positionV relativeFrom="paragraph">
              <wp:align>top</wp:align>
            </wp:positionV>
            <wp:extent cx="3883025" cy="645160"/>
            <wp:effectExtent l="0" t="0" r="3175" b="0"/>
            <wp:wrapSquare wrapText="bothSides"/>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15770"/>
                    <a:stretch/>
                  </pic:blipFill>
                  <pic:spPr bwMode="auto">
                    <a:xfrm>
                      <a:off x="0" y="0"/>
                      <a:ext cx="3883025" cy="645160"/>
                    </a:xfrm>
                    <a:prstGeom prst="rect">
                      <a:avLst/>
                    </a:prstGeom>
                    <a:noFill/>
                    <a:ln>
                      <a:noFill/>
                    </a:ln>
                    <a:extLst>
                      <a:ext uri="{53640926-AAD7-44d8-BBD7-CCE9431645EC}">
                        <a14:shadowObscured xmlns:a14="http://schemas.microsoft.com/office/drawing/2010/main"/>
                      </a:ext>
                    </a:extLst>
                  </pic:spPr>
                </pic:pic>
              </a:graphicData>
            </a:graphic>
          </wp:anchor>
        </w:drawing>
      </w:r>
      <w:r w:rsidR="009C080C" w:rsidRPr="00C51E5C">
        <w:rPr>
          <w:rFonts w:ascii="Times New Roman" w:hAnsi="Times New Roman" w:cs="Times New Roman"/>
          <w:sz w:val="28"/>
          <w:szCs w:val="28"/>
        </w:rPr>
        <w:br w:type="textWrapping" w:clear="all"/>
      </w:r>
    </w:p>
    <w:p w14:paraId="150309AC"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p>
    <w:p w14:paraId="3096C6E7"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shd w:val="clear" w:color="auto" w:fill="FFFFFF"/>
        </w:rPr>
      </w:pPr>
      <w:r w:rsidRPr="00C51E5C">
        <w:rPr>
          <w:rFonts w:ascii="Times New Roman" w:hAnsi="Times New Roman" w:cs="Times New Roman"/>
          <w:sz w:val="28"/>
          <w:szCs w:val="28"/>
        </w:rPr>
        <w:t>У</w:t>
      </w:r>
      <w:r w:rsidRPr="00C51E5C">
        <w:rPr>
          <w:rFonts w:ascii="Times New Roman" w:eastAsia="Times New Roman" w:hAnsi="Times New Roman" w:cs="Times New Roman"/>
          <w:sz w:val="28"/>
          <w:szCs w:val="28"/>
          <w:shd w:val="clear" w:color="auto" w:fill="FFFFFF"/>
        </w:rPr>
        <w:t>дельный вес бумаги в портфеле рассчитывается как отношение ее стоимости к стоимости всего портфеля (3):</w:t>
      </w:r>
    </w:p>
    <w:p w14:paraId="23596755"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shd w:val="clear" w:color="auto" w:fill="FFFFFF"/>
        </w:rPr>
      </w:pPr>
    </w:p>
    <w:p w14:paraId="37DDF26F" w14:textId="0A98086C" w:rsidR="009C080C" w:rsidRPr="00C51E5C" w:rsidRDefault="00CE1C1C" w:rsidP="00C51E5C">
      <w:pPr>
        <w:spacing w:line="360" w:lineRule="auto"/>
        <w:ind w:left="-426" w:right="50" w:firstLine="426"/>
        <w:jc w:val="both"/>
        <w:rPr>
          <w:rFonts w:ascii="Times New Roman" w:eastAsia="Times New Roman" w:hAnsi="Times New Roman" w:cs="Times New Roman"/>
          <w:sz w:val="28"/>
          <w:szCs w:val="28"/>
        </w:rPr>
      </w:pPr>
      <w:r w:rsidRPr="00C51E5C">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2576" behindDoc="0" locked="0" layoutInCell="1" allowOverlap="1" wp14:anchorId="2D63B625" wp14:editId="0748B017">
                <wp:simplePos x="0" y="0"/>
                <wp:positionH relativeFrom="column">
                  <wp:posOffset>3886200</wp:posOffset>
                </wp:positionH>
                <wp:positionV relativeFrom="paragraph">
                  <wp:posOffset>114300</wp:posOffset>
                </wp:positionV>
                <wp:extent cx="571500" cy="342900"/>
                <wp:effectExtent l="0" t="0" r="0" b="1270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B9BE4" w14:textId="77777777" w:rsidR="00434D18" w:rsidRDefault="00434D18" w:rsidP="009C080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4" o:spid="_x0000_s1028" type="#_x0000_t202" style="position:absolute;left:0;text-align:left;margin-left:306pt;margin-top:9pt;width:4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" filled="f" stroked="f">
                <v:path arrowok="t"/>
                <v:textbox>
                  <w:txbxContent>
                    <w:p w14:paraId="3B6B9BE4" w14:textId="77777777" w:rsidR="00434D18" w:rsidRDefault="00434D18" w:rsidP="009C080C">
                      <w:r>
                        <w:t>(3)</w:t>
                      </w:r>
                    </w:p>
                  </w:txbxContent>
                </v:textbox>
                <w10:wrap type="square"/>
              </v:shape>
            </w:pict>
          </mc:Fallback>
        </mc:AlternateContent>
      </w:r>
      <w:r w:rsidR="009C080C" w:rsidRPr="00C51E5C">
        <w:rPr>
          <w:rFonts w:ascii="Times New Roman" w:eastAsia="Times New Roman" w:hAnsi="Times New Roman" w:cs="Times New Roman"/>
          <w:noProof/>
          <w:sz w:val="28"/>
          <w:szCs w:val="28"/>
          <w:lang w:val="en-US"/>
        </w:rPr>
        <w:drawing>
          <wp:inline distT="0" distB="0" distL="0" distR="0" wp14:anchorId="654F6ADA" wp14:editId="32C31CFD">
            <wp:extent cx="5270500" cy="1377315"/>
            <wp:effectExtent l="0" t="0" r="12700" b="0"/>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1377315"/>
                    </a:xfrm>
                    <a:prstGeom prst="rect">
                      <a:avLst/>
                    </a:prstGeom>
                    <a:noFill/>
                    <a:ln>
                      <a:noFill/>
                    </a:ln>
                  </pic:spPr>
                </pic:pic>
              </a:graphicData>
            </a:graphic>
          </wp:inline>
        </w:drawing>
      </w:r>
      <w:r w:rsidRPr="00C51E5C">
        <w:rPr>
          <w:rFonts w:ascii="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023BF00E" wp14:editId="1EFE4D07">
                <wp:simplePos x="0" y="0"/>
                <wp:positionH relativeFrom="column">
                  <wp:posOffset>0</wp:posOffset>
                </wp:positionH>
                <wp:positionV relativeFrom="paragraph">
                  <wp:posOffset>0</wp:posOffset>
                </wp:positionV>
                <wp:extent cx="571500" cy="342900"/>
                <wp:effectExtent l="0" t="0" r="0"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660C2" w14:textId="77777777" w:rsidR="00434D18" w:rsidRDefault="00434D18" w:rsidP="009C0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0;margin-top:0;width:4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" filled="f" stroked="f">
                <v:path arrowok="t"/>
                <v:textbox>
                  <w:txbxContent>
                    <w:p w14:paraId="304660C2" w14:textId="77777777" w:rsidR="00434D18" w:rsidRDefault="00434D18" w:rsidP="009C080C"/>
                  </w:txbxContent>
                </v:textbox>
              </v:shape>
            </w:pict>
          </mc:Fallback>
        </mc:AlternateContent>
      </w:r>
      <w:r w:rsidRPr="00C51E5C">
        <w:rPr>
          <w:rFonts w:ascii="Times New Roman" w:hAnsi="Times New Roman" w:cs="Times New Roman"/>
          <w:noProof/>
          <w:sz w:val="28"/>
          <w:szCs w:val="28"/>
          <w:lang w:val="en-US"/>
        </w:rPr>
        <mc:AlternateContent>
          <mc:Choice Requires="wps">
            <w:drawing>
              <wp:anchor distT="0" distB="0" distL="114300" distR="114300" simplePos="0" relativeHeight="251674624" behindDoc="0" locked="0" layoutInCell="1" allowOverlap="1" wp14:anchorId="5074E9E7" wp14:editId="3F1998AD">
                <wp:simplePos x="0" y="0"/>
                <wp:positionH relativeFrom="column">
                  <wp:posOffset>4800600</wp:posOffset>
                </wp:positionH>
                <wp:positionV relativeFrom="paragraph">
                  <wp:posOffset>114300</wp:posOffset>
                </wp:positionV>
                <wp:extent cx="685800" cy="342900"/>
                <wp:effectExtent l="0" t="0" r="25400" b="38100"/>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42900"/>
                        </a:xfrm>
                        <a:prstGeom prst="rect">
                          <a:avLst/>
                        </a:prstGeom>
                        <a:solidFill>
                          <a:schemeClr val="bg1"/>
                        </a:solidFill>
                        <a:ln>
                          <a:solidFill>
                            <a:schemeClr val="accent1">
                              <a:shade val="95000"/>
                              <a:satMod val="105000"/>
                              <a:alpha val="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78pt;margin-top:9pt;width:54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" fillcolor="white [3212]" strokecolor="#4579b8 [3044]">
                <v:stroke opacity="0"/>
                <v:path arrowok="t"/>
                <w10:wrap type="square"/>
              </v:rect>
            </w:pict>
          </mc:Fallback>
        </mc:AlternateContent>
      </w:r>
      <w:r w:rsidR="009C080C" w:rsidRPr="00C51E5C">
        <w:rPr>
          <w:rFonts w:ascii="Times New Roman" w:eastAsia="Times New Roman" w:hAnsi="Times New Roman" w:cs="Times New Roman"/>
          <w:sz w:val="28"/>
          <w:szCs w:val="28"/>
        </w:rPr>
        <w:br/>
      </w:r>
    </w:p>
    <w:p w14:paraId="58AA5BE6"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На основе теории портфельных инвестиций Г. Марковица в конце 60-х годов возникла принципиально новая теоретическая модель ценообразования на финансовые активы – CAPM (Capital Asset Pricing Model - ценовая модель рынка капитала). CAPM показывает, что эффективный портфель, который включает в себя все доступные активы, является рыночным портфелем. Рыночным портфелем является портфель, содержащий в себе все доступные рискованные активы в долях, пропорциональных удельному весу стоимости этих активов в общей стоимости всех доступных на рынке активов.</w:t>
      </w:r>
    </w:p>
    <w:p w14:paraId="1A945CA6"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shd w:val="clear" w:color="auto" w:fill="FFFFFF"/>
        </w:rPr>
      </w:pPr>
      <w:r w:rsidRPr="00C51E5C">
        <w:rPr>
          <w:rFonts w:ascii="Times New Roman" w:hAnsi="Times New Roman" w:cs="Times New Roman"/>
          <w:sz w:val="28"/>
          <w:szCs w:val="28"/>
        </w:rPr>
        <w:t xml:space="preserve">Так как транзакционные издержки в модели CAPM равны 0, то специфический риск легко устраняется с помощью диверсификации. Вознаграждению подлежит только рыночный риск (системный), который </w:t>
      </w:r>
      <w:r w:rsidRPr="00C51E5C">
        <w:rPr>
          <w:rFonts w:ascii="Times New Roman" w:hAnsi="Times New Roman" w:cs="Times New Roman"/>
          <w:sz w:val="28"/>
          <w:szCs w:val="28"/>
        </w:rPr>
        <w:lastRenderedPageBreak/>
        <w:t xml:space="preserve">неустраним, поэтому стоимость актива оценивается относительно величины рыночного риска. Если весь риск актива (портфеля) измеряется показателем дисперсии и стандартного отклонения, то рыночный риск измеряется величиной </w:t>
      </w:r>
      <w:r w:rsidRPr="00C51E5C">
        <w:rPr>
          <w:rFonts w:ascii="Times New Roman" w:eastAsia="Times New Roman" w:hAnsi="Times New Roman" w:cs="Times New Roman"/>
          <w:sz w:val="28"/>
          <w:szCs w:val="28"/>
          <w:shd w:val="clear" w:color="auto" w:fill="FFFFFF"/>
        </w:rPr>
        <w:t>β (бета). Бета характеризует зависимость между доходностью актива и доходностью рынка. Доходность рынка – это доходность рыночного портфеля.</w:t>
      </w:r>
    </w:p>
    <w:p w14:paraId="48B31AD4"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shd w:val="clear" w:color="auto" w:fill="FFFFFF"/>
        </w:rPr>
      </w:pPr>
      <w:r w:rsidRPr="00C51E5C">
        <w:rPr>
          <w:rFonts w:ascii="Times New Roman" w:eastAsia="Times New Roman" w:hAnsi="Times New Roman" w:cs="Times New Roman"/>
          <w:sz w:val="28"/>
          <w:szCs w:val="28"/>
          <w:shd w:val="clear" w:color="auto" w:fill="FFFFFF"/>
        </w:rPr>
        <w:t>Коэффициент β рассчитывается по формуле (4):</w:t>
      </w:r>
    </w:p>
    <w:p w14:paraId="1A191EA5"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shd w:val="clear" w:color="auto" w:fill="FFFFFF"/>
        </w:rPr>
      </w:pPr>
    </w:p>
    <w:p w14:paraId="50B95B6F" w14:textId="533CB6F3" w:rsidR="009C080C" w:rsidRPr="00C51E5C" w:rsidRDefault="00CE1C1C" w:rsidP="00C51E5C">
      <w:pPr>
        <w:spacing w:line="360" w:lineRule="auto"/>
        <w:ind w:left="-426" w:right="50" w:firstLine="426"/>
        <w:jc w:val="both"/>
        <w:rPr>
          <w:rFonts w:ascii="Times New Roman" w:eastAsia="Times New Roman" w:hAnsi="Times New Roman" w:cs="Times New Roman"/>
          <w:sz w:val="28"/>
          <w:szCs w:val="28"/>
        </w:rPr>
      </w:pPr>
      <w:r w:rsidRPr="00C51E5C">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9744" behindDoc="0" locked="0" layoutInCell="1" allowOverlap="1" wp14:anchorId="303E3231" wp14:editId="2DF2B5FF">
                <wp:simplePos x="0" y="0"/>
                <wp:positionH relativeFrom="column">
                  <wp:posOffset>2286000</wp:posOffset>
                </wp:positionH>
                <wp:positionV relativeFrom="paragraph">
                  <wp:posOffset>154305</wp:posOffset>
                </wp:positionV>
                <wp:extent cx="571500" cy="342900"/>
                <wp:effectExtent l="0" t="0" r="0" b="1270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8A749" w14:textId="77777777" w:rsidR="00434D18" w:rsidRDefault="00434D18" w:rsidP="009C080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5" o:spid="_x0000_s1030" type="#_x0000_t202" style="position:absolute;left:0;text-align:left;margin-left:180pt;margin-top:12.15pt;width:4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" filled="f" stroked="f">
                <v:path arrowok="t"/>
                <v:textbox>
                  <w:txbxContent>
                    <w:p w14:paraId="29C8A749" w14:textId="77777777" w:rsidR="00434D18" w:rsidRDefault="00434D18" w:rsidP="009C080C">
                      <w:r>
                        <w:t>(4)</w:t>
                      </w:r>
                    </w:p>
                  </w:txbxContent>
                </v:textbox>
                <w10:wrap type="square"/>
              </v:shape>
            </w:pict>
          </mc:Fallback>
        </mc:AlternateContent>
      </w:r>
      <w:r w:rsidR="009C080C" w:rsidRPr="00C51E5C">
        <w:rPr>
          <w:rFonts w:ascii="Times New Roman" w:eastAsia="Times New Roman" w:hAnsi="Times New Roman" w:cs="Times New Roman"/>
          <w:noProof/>
          <w:sz w:val="28"/>
          <w:szCs w:val="28"/>
          <w:lang w:val="en-US"/>
        </w:rPr>
        <w:drawing>
          <wp:inline distT="0" distB="0" distL="0" distR="0" wp14:anchorId="5D18422A" wp14:editId="06AF2039">
            <wp:extent cx="1674495" cy="606425"/>
            <wp:effectExtent l="0" t="0" r="1905" b="3175"/>
            <wp:docPr id="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4495" cy="606425"/>
                    </a:xfrm>
                    <a:prstGeom prst="rect">
                      <a:avLst/>
                    </a:prstGeom>
                    <a:noFill/>
                    <a:ln>
                      <a:noFill/>
                    </a:ln>
                  </pic:spPr>
                </pic:pic>
              </a:graphicData>
            </a:graphic>
          </wp:inline>
        </w:drawing>
      </w:r>
    </w:p>
    <w:p w14:paraId="71F593B4"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rPr>
      </w:pPr>
    </w:p>
    <w:p w14:paraId="75304D2F"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rPr>
      </w:pPr>
      <w:r w:rsidRPr="00C51E5C">
        <w:rPr>
          <w:rFonts w:ascii="Times New Roman" w:eastAsia="Times New Roman" w:hAnsi="Times New Roman" w:cs="Times New Roman"/>
          <w:sz w:val="28"/>
          <w:szCs w:val="28"/>
        </w:rPr>
        <w:t>где Cov – ковариация i-го актива с рыночным портфелем;</w:t>
      </w:r>
    </w:p>
    <w:p w14:paraId="590DFA63"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rPr>
      </w:pPr>
      <w:r w:rsidRPr="00C51E5C">
        <w:rPr>
          <w:rFonts w:ascii="Times New Roman" w:eastAsia="Times New Roman" w:hAnsi="Times New Roman" w:cs="Times New Roman"/>
          <w:i/>
          <w:iCs/>
          <w:sz w:val="28"/>
          <w:szCs w:val="28"/>
          <w:shd w:val="clear" w:color="auto" w:fill="FFFFFF"/>
        </w:rPr>
        <w:t>σ</w:t>
      </w:r>
      <w:r w:rsidRPr="00C51E5C">
        <w:rPr>
          <w:rFonts w:ascii="Times New Roman" w:eastAsia="Times New Roman" w:hAnsi="Times New Roman" w:cs="Times New Roman"/>
          <w:i/>
          <w:iCs/>
          <w:sz w:val="28"/>
          <w:szCs w:val="28"/>
          <w:shd w:val="clear" w:color="auto" w:fill="FFFFFF"/>
          <w:vertAlign w:val="superscript"/>
        </w:rPr>
        <w:t xml:space="preserve">2 - </w:t>
      </w:r>
      <w:r w:rsidRPr="00C51E5C">
        <w:rPr>
          <w:rFonts w:ascii="Times New Roman" w:eastAsia="Times New Roman" w:hAnsi="Times New Roman" w:cs="Times New Roman"/>
          <w:sz w:val="28"/>
          <w:szCs w:val="28"/>
          <w:shd w:val="clear" w:color="auto" w:fill="FFFFFF"/>
        </w:rPr>
        <w:t>дисперсия доходности рыночного индекса</w:t>
      </w:r>
    </w:p>
    <w:p w14:paraId="084B7A9D" w14:textId="77777777" w:rsidR="009C080C" w:rsidRPr="00C51E5C" w:rsidRDefault="009C080C" w:rsidP="00C51E5C">
      <w:pPr>
        <w:spacing w:line="360" w:lineRule="auto"/>
        <w:ind w:left="-426" w:right="50" w:firstLine="426"/>
        <w:jc w:val="both"/>
        <w:rPr>
          <w:rFonts w:ascii="Times New Roman" w:eastAsia="Times New Roman" w:hAnsi="Times New Roman" w:cs="Times New Roman"/>
          <w:sz w:val="28"/>
          <w:szCs w:val="28"/>
        </w:rPr>
      </w:pPr>
    </w:p>
    <w:p w14:paraId="52AB99EC" w14:textId="77777777" w:rsidR="009C080C" w:rsidRPr="00C51E5C" w:rsidRDefault="009C080C" w:rsidP="00C51E5C">
      <w:pPr>
        <w:spacing w:line="360" w:lineRule="auto"/>
        <w:ind w:left="-425" w:right="51" w:firstLine="425"/>
        <w:contextualSpacing/>
        <w:jc w:val="both"/>
        <w:rPr>
          <w:rFonts w:ascii="Times New Roman" w:eastAsia="Times New Roman" w:hAnsi="Times New Roman" w:cs="Times New Roman"/>
          <w:sz w:val="28"/>
          <w:szCs w:val="28"/>
        </w:rPr>
      </w:pPr>
      <w:r w:rsidRPr="00C51E5C">
        <w:rPr>
          <w:rFonts w:ascii="Times New Roman" w:eastAsia="Times New Roman" w:hAnsi="Times New Roman" w:cs="Times New Roman"/>
          <w:sz w:val="28"/>
          <w:szCs w:val="28"/>
        </w:rPr>
        <w:t xml:space="preserve">Бета актива или портфеля показывает, насколько его риск больше или меньше риска рыночного портфеля. Активы c </w:t>
      </w:r>
      <w:r w:rsidRPr="00C51E5C">
        <w:rPr>
          <w:rFonts w:ascii="Times New Roman" w:eastAsia="Times New Roman" w:hAnsi="Times New Roman" w:cs="Times New Roman"/>
          <w:sz w:val="28"/>
          <w:szCs w:val="28"/>
          <w:shd w:val="clear" w:color="auto" w:fill="FFFFFF"/>
        </w:rPr>
        <w:t>β&gt;1 обладают большим риском, чем рыночный портфель, а активы с β&lt;1 менее рискованные, чем рыночный портфель. Большая часть активов имеет положительный β. Активы с отрицательным β являются ценными инструментами для диверсификации портфеля, так как комбинируя портфель с активами с отрицательным β, можно получить портфель с нулевым β. Такой портфель не имеет системного риска.</w:t>
      </w:r>
    </w:p>
    <w:p w14:paraId="69FC589F" w14:textId="77777777" w:rsidR="009C080C" w:rsidRPr="00C51E5C" w:rsidRDefault="009C080C" w:rsidP="00C51E5C">
      <w:pPr>
        <w:spacing w:line="360" w:lineRule="auto"/>
        <w:ind w:left="-425" w:right="51" w:firstLine="425"/>
        <w:contextualSpacing/>
        <w:jc w:val="both"/>
        <w:rPr>
          <w:rFonts w:ascii="Times New Roman" w:hAnsi="Times New Roman" w:cs="Times New Roman"/>
          <w:sz w:val="28"/>
          <w:szCs w:val="28"/>
        </w:rPr>
      </w:pPr>
      <w:r w:rsidRPr="00C51E5C">
        <w:rPr>
          <w:rFonts w:ascii="Times New Roman" w:hAnsi="Times New Roman" w:cs="Times New Roman"/>
          <w:sz w:val="28"/>
          <w:szCs w:val="28"/>
        </w:rPr>
        <w:t xml:space="preserve">Как уже говорилось ранее, определение целей инвестирования является первым шагом формирования инвестиционной стратегии. Применительно к управлению портфелем целями являются необходимый уровень доходности и приемлемый уровень риска. Так как инвесторы действуют в условиях значительной неопределенности, цель не может выражаться каким-то заранее заданным числом. Как правило, существует прямая связь между уровнем возможной доходности и сопутствующим риском. </w:t>
      </w:r>
    </w:p>
    <w:p w14:paraId="170F81AB" w14:textId="3EB89AB9" w:rsidR="009C080C" w:rsidRPr="00D16DC5" w:rsidRDefault="009C080C" w:rsidP="00D16DC5">
      <w:pPr>
        <w:spacing w:line="360" w:lineRule="auto"/>
        <w:ind w:left="-426" w:right="50" w:firstLine="426"/>
        <w:jc w:val="both"/>
        <w:rPr>
          <w:rFonts w:ascii="Times New Roman" w:eastAsia="Times New Roman" w:hAnsi="Times New Roman" w:cs="Times New Roman"/>
          <w:b/>
          <w:i/>
          <w:sz w:val="28"/>
          <w:szCs w:val="28"/>
        </w:rPr>
      </w:pPr>
      <w:r w:rsidRPr="00D16DC5">
        <w:rPr>
          <w:rFonts w:ascii="Times New Roman" w:eastAsia="Times New Roman" w:hAnsi="Times New Roman" w:cs="Times New Roman"/>
          <w:b/>
          <w:i/>
          <w:sz w:val="28"/>
          <w:szCs w:val="28"/>
        </w:rPr>
        <w:lastRenderedPageBreak/>
        <w:t>2.3 Адаптация моделей, описывающих поведение портфельных инвесторов, применительно к формирующимся рынкам</w:t>
      </w:r>
    </w:p>
    <w:p w14:paraId="48EE4713"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Нестабильность представляет собой неотъемлемую характеристику рынков капитала, а постоянное изменение стоимости финансовых активов является нормальным явлением для любого финансового рынка. Вместе с тем, можно выделить ряд фондовых рынков, где нестабильность и высокая изменчивость цен финансовых активов приобретают значительные масштабы и оказывают наибольшее влияние на подходы к управлению портфелями ценных бумаг на таких рынках. Повышенная изменчивость стоимости финансовых активов характерна для стран, экономическое и государственное устройство которых находится в фазе трансформации от предшествовавших форм хозяйствования к полноценному рыночному механизму. За время изучения финансовых рынков развивающихся стран учеными были сделаны следующие наиболее важные выводы:</w:t>
      </w:r>
    </w:p>
    <w:p w14:paraId="78298874" w14:textId="77777777" w:rsidR="009C080C" w:rsidRPr="00C51E5C" w:rsidRDefault="009C080C" w:rsidP="00C51E5C">
      <w:pPr>
        <w:pStyle w:val="ListParagraph"/>
        <w:numPr>
          <w:ilvl w:val="0"/>
          <w:numId w:val="8"/>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Наибольшее влияние на изменение характера ценообразования на формирующихся рынках оказывают процессы либерализации и интеграции рынков в общемировой финансовый рынок. Процесс либерализации заключается в сокращении количества барьеров для участия зарубежных участников в экономических процессах государства. Процесс интеграции выражается в увеличении взаимозависимости локального и мирового рынков.</w:t>
      </w:r>
    </w:p>
    <w:p w14:paraId="6C64C133" w14:textId="77777777" w:rsidR="009C080C" w:rsidRPr="00C51E5C" w:rsidRDefault="009C080C" w:rsidP="00C51E5C">
      <w:pPr>
        <w:pStyle w:val="ListParagraph"/>
        <w:numPr>
          <w:ilvl w:val="0"/>
          <w:numId w:val="8"/>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Процесс интеграции оказывает влияние на ставки ожидаемой доходности на формирующихся рынках. Появление массы новых инвесторов приводит к значительному возрастанию цен на активы и, как следствие, сокращению ставок ожидаемой доходности.</w:t>
      </w:r>
    </w:p>
    <w:p w14:paraId="7054B37E" w14:textId="77777777" w:rsidR="009C080C" w:rsidRPr="00C51E5C" w:rsidRDefault="009C080C" w:rsidP="00C51E5C">
      <w:pPr>
        <w:pStyle w:val="ListParagraph"/>
        <w:numPr>
          <w:ilvl w:val="0"/>
          <w:numId w:val="8"/>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Процесс интеграции приводит к значительному изменению волатильности на формирующихся рынках. Первыми зарубежными инвесторами, приходящими на рынки развивающихся стран после проведенной либерализации, являются, как правило, спекулятивно настроенные игроки, очень чувствительные к изменению рисков и готовые в любой момент вывести </w:t>
      </w:r>
      <w:r w:rsidRPr="00C51E5C">
        <w:rPr>
          <w:rFonts w:ascii="Times New Roman" w:hAnsi="Times New Roman" w:cs="Times New Roman"/>
          <w:sz w:val="28"/>
          <w:szCs w:val="28"/>
        </w:rPr>
        <w:lastRenderedPageBreak/>
        <w:t>средства с этих рынков. Таким образом, на начальном этапе интеграции волатильность имеет тенденцию к возрастанию. Постепенное появление на формирующихся рынках долгосрочных инвесторов, а также рост потенциала внутренних инвесторов стабилизируют волатильность.</w:t>
      </w:r>
    </w:p>
    <w:p w14:paraId="7C76CD40" w14:textId="77777777" w:rsidR="009C080C" w:rsidRPr="00C51E5C" w:rsidRDefault="009C080C" w:rsidP="00C51E5C">
      <w:pPr>
        <w:pStyle w:val="ListParagraph"/>
        <w:numPr>
          <w:ilvl w:val="0"/>
          <w:numId w:val="8"/>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Процесс интеграции приводит к повышению корреляции локальных рынков с мировыми финансовыми рынками. С ростом количества зарубежных инвесторов увеличивается зависимость развивающихся рынков от внешних факторов: состояния мировых финансовых рынков и экономической ситуации в крупнейших развитых странах.</w:t>
      </w:r>
    </w:p>
    <w:p w14:paraId="46B7A139" w14:textId="0D2BB91E" w:rsidR="00A049E3" w:rsidRPr="00C51E5C" w:rsidRDefault="00A049E3" w:rsidP="00C51E5C">
      <w:pPr>
        <w:pStyle w:val="ListParagraph"/>
        <w:numPr>
          <w:ilvl w:val="0"/>
          <w:numId w:val="8"/>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Во время кризисных ситуациях взаимозависимость рынков аномально высока. Кризис на одном рынке может вызвать обвальное падение котировок на другом. </w:t>
      </w:r>
    </w:p>
    <w:p w14:paraId="128E774C" w14:textId="46A58358" w:rsidR="009C080C" w:rsidRPr="00C51E5C" w:rsidRDefault="009C080C" w:rsidP="00C51E5C">
      <w:pPr>
        <w:pStyle w:val="ListParagraph"/>
        <w:numPr>
          <w:ilvl w:val="0"/>
          <w:numId w:val="8"/>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Ставки доходности на формирующихся рынках</w:t>
      </w:r>
      <w:r w:rsidR="006825DF" w:rsidRPr="00C51E5C">
        <w:rPr>
          <w:rFonts w:ascii="Times New Roman" w:hAnsi="Times New Roman" w:cs="Times New Roman"/>
          <w:sz w:val="28"/>
          <w:szCs w:val="28"/>
        </w:rPr>
        <w:t xml:space="preserve"> имеют серийную корреляцию и</w:t>
      </w:r>
      <w:r w:rsidRPr="00C51E5C">
        <w:rPr>
          <w:rFonts w:ascii="Times New Roman" w:hAnsi="Times New Roman" w:cs="Times New Roman"/>
          <w:sz w:val="28"/>
          <w:szCs w:val="28"/>
        </w:rPr>
        <w:t xml:space="preserve"> не являются нормально распределенными</w:t>
      </w:r>
      <w:r w:rsidRPr="00C51E5C">
        <w:rPr>
          <w:rStyle w:val="FootnoteReference"/>
          <w:rFonts w:ascii="Times New Roman" w:hAnsi="Times New Roman" w:cs="Times New Roman"/>
          <w:sz w:val="28"/>
          <w:szCs w:val="28"/>
        </w:rPr>
        <w:footnoteReference w:id="51"/>
      </w:r>
      <w:r w:rsidRPr="00C51E5C">
        <w:rPr>
          <w:rFonts w:ascii="Times New Roman" w:hAnsi="Times New Roman" w:cs="Times New Roman"/>
          <w:sz w:val="28"/>
          <w:szCs w:val="28"/>
        </w:rPr>
        <w:t>.</w:t>
      </w:r>
    </w:p>
    <w:p w14:paraId="5D481391" w14:textId="3D08AEAF" w:rsidR="006825DF" w:rsidRPr="00C51E5C" w:rsidRDefault="009C080C" w:rsidP="00C51E5C">
      <w:pPr>
        <w:pStyle w:val="ListParagraph"/>
        <w:numPr>
          <w:ilvl w:val="0"/>
          <w:numId w:val="8"/>
        </w:num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На рынках развивающихся стран </w:t>
      </w:r>
      <w:r w:rsidR="006825DF" w:rsidRPr="00C51E5C">
        <w:rPr>
          <w:rFonts w:ascii="Times New Roman" w:hAnsi="Times New Roman" w:cs="Times New Roman"/>
          <w:sz w:val="28"/>
          <w:szCs w:val="28"/>
        </w:rPr>
        <w:t>ожидаемая доходность значительно  зависит от ликвидности. В частности, корреляция ожидаемой доходности и спреда цен спроса и предложения положительна, тогда как корреляция ожидаемой доходности и объемов торгов имеет отрицательное значение</w:t>
      </w:r>
      <w:r w:rsidRPr="00C51E5C">
        <w:rPr>
          <w:rStyle w:val="FootnoteReference"/>
          <w:rFonts w:ascii="Times New Roman" w:hAnsi="Times New Roman" w:cs="Times New Roman"/>
          <w:sz w:val="28"/>
          <w:szCs w:val="28"/>
        </w:rPr>
        <w:footnoteReference w:id="52"/>
      </w:r>
      <w:r w:rsidRPr="00C51E5C">
        <w:rPr>
          <w:rFonts w:ascii="Times New Roman" w:hAnsi="Times New Roman" w:cs="Times New Roman"/>
          <w:sz w:val="28"/>
          <w:szCs w:val="28"/>
        </w:rPr>
        <w:t>.</w:t>
      </w:r>
    </w:p>
    <w:p w14:paraId="11225122" w14:textId="6C8F4BDB" w:rsidR="006825DF" w:rsidRPr="00C51E5C" w:rsidRDefault="006825DF"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Данные особенности приводят к появлению инвестиционных рисков и увеличению цен на финансовые активы.</w:t>
      </w:r>
    </w:p>
    <w:p w14:paraId="49445195" w14:textId="08FBA109" w:rsidR="006825DF" w:rsidRDefault="006825DF"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Думас С. и Солник Б. Количественно оценили нестабильность на «нарождающихся» рынках и провели сравнительный анализ рынках развитых и развивающихся стран</w:t>
      </w:r>
      <w:r w:rsidR="009C080C" w:rsidRPr="00C51E5C">
        <w:rPr>
          <w:rStyle w:val="FootnoteReference"/>
          <w:rFonts w:ascii="Times New Roman" w:hAnsi="Times New Roman" w:cs="Times New Roman"/>
          <w:sz w:val="28"/>
          <w:szCs w:val="28"/>
        </w:rPr>
        <w:footnoteReference w:id="53"/>
      </w:r>
      <w:r w:rsidR="009C080C" w:rsidRPr="00C51E5C">
        <w:rPr>
          <w:rFonts w:ascii="Times New Roman" w:hAnsi="Times New Roman" w:cs="Times New Roman"/>
          <w:sz w:val="28"/>
          <w:szCs w:val="28"/>
        </w:rPr>
        <w:t xml:space="preserve">. </w:t>
      </w:r>
      <w:r w:rsidRPr="00C51E5C">
        <w:rPr>
          <w:rFonts w:ascii="Times New Roman" w:hAnsi="Times New Roman" w:cs="Times New Roman"/>
          <w:sz w:val="28"/>
          <w:szCs w:val="28"/>
        </w:rPr>
        <w:t xml:space="preserve"> Волатильность оценивалась «максимальным падением индекса»</w:t>
      </w:r>
      <w:r w:rsidR="00C7241F" w:rsidRPr="00C51E5C">
        <w:rPr>
          <w:rFonts w:ascii="Times New Roman" w:hAnsi="Times New Roman" w:cs="Times New Roman"/>
          <w:sz w:val="28"/>
          <w:szCs w:val="28"/>
        </w:rPr>
        <w:t>, набл</w:t>
      </w:r>
      <w:r w:rsidR="00D16DC5">
        <w:rPr>
          <w:rFonts w:ascii="Times New Roman" w:hAnsi="Times New Roman" w:cs="Times New Roman"/>
          <w:sz w:val="28"/>
          <w:szCs w:val="28"/>
        </w:rPr>
        <w:t>юдения представлены в таблице 15</w:t>
      </w:r>
      <w:r w:rsidR="00C7241F" w:rsidRPr="00C51E5C">
        <w:rPr>
          <w:rFonts w:ascii="Times New Roman" w:hAnsi="Times New Roman" w:cs="Times New Roman"/>
          <w:sz w:val="28"/>
          <w:szCs w:val="28"/>
        </w:rPr>
        <w:t xml:space="preserve">. </w:t>
      </w:r>
    </w:p>
    <w:p w14:paraId="0C42EF6E" w14:textId="77777777" w:rsidR="00D16DC5" w:rsidRPr="00D16DC5" w:rsidRDefault="00D16DC5" w:rsidP="00D16DC5">
      <w:pPr>
        <w:rPr>
          <w:rFonts w:ascii="Times New Roman" w:eastAsia="Times New Roman" w:hAnsi="Times New Roman" w:cs="Times New Roman"/>
          <w:sz w:val="28"/>
          <w:szCs w:val="28"/>
        </w:rPr>
      </w:pPr>
      <w:r w:rsidRPr="00D16DC5">
        <w:rPr>
          <w:rFonts w:ascii="Times New Roman" w:hAnsi="Times New Roman" w:cs="Times New Roman"/>
          <w:sz w:val="28"/>
          <w:szCs w:val="28"/>
        </w:rPr>
        <w:t xml:space="preserve">Таблица 15. </w:t>
      </w:r>
      <w:r w:rsidRPr="00D16DC5">
        <w:rPr>
          <w:rFonts w:ascii="Times New Roman" w:eastAsia="Times New Roman" w:hAnsi="Times New Roman" w:cs="Times New Roman"/>
          <w:color w:val="060606"/>
          <w:sz w:val="28"/>
          <w:szCs w:val="28"/>
          <w:shd w:val="clear" w:color="auto" w:fill="FFFFFF"/>
        </w:rPr>
        <w:t>Средняя доходность при инвестициях на фондовых рынках развитых и развивающихся стран.</w:t>
      </w:r>
    </w:p>
    <w:p w14:paraId="7EE80D39" w14:textId="77777777" w:rsidR="00D16DC5" w:rsidRPr="00494061" w:rsidRDefault="00D16DC5" w:rsidP="00D16DC5">
      <w:pPr>
        <w:ind w:right="-631"/>
        <w:jc w:val="both"/>
        <w:rPr>
          <w:rFonts w:ascii="Times New Roman" w:hAnsi="Times New Roman" w:cs="Times New Roman"/>
        </w:rPr>
      </w:pPr>
      <w:r w:rsidRPr="00494061">
        <w:rPr>
          <w:rFonts w:ascii="Times New Roman" w:hAnsi="Times New Roman" w:cs="Times New Roman"/>
          <w:noProof/>
          <w:lang w:val="en-US"/>
        </w:rPr>
        <w:lastRenderedPageBreak/>
        <w:drawing>
          <wp:inline distT="0" distB="0" distL="0" distR="0" wp14:anchorId="2FDFA4BB" wp14:editId="31BF550E">
            <wp:extent cx="5270500" cy="2984506"/>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2984506"/>
                    </a:xfrm>
                    <a:prstGeom prst="rect">
                      <a:avLst/>
                    </a:prstGeom>
                    <a:noFill/>
                    <a:ln>
                      <a:noFill/>
                    </a:ln>
                  </pic:spPr>
                </pic:pic>
              </a:graphicData>
            </a:graphic>
          </wp:inline>
        </w:drawing>
      </w:r>
      <w:r w:rsidRPr="00494061">
        <w:rPr>
          <w:rFonts w:ascii="Times New Roman" w:hAnsi="Times New Roman" w:cs="Times New Roman"/>
          <w:noProof/>
          <w:lang w:val="en-US"/>
        </w:rPr>
        <w:drawing>
          <wp:inline distT="0" distB="0" distL="0" distR="0" wp14:anchorId="142EB9A1" wp14:editId="5F940A29">
            <wp:extent cx="5256000" cy="32575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7817"/>
                    <a:stretch/>
                  </pic:blipFill>
                  <pic:spPr bwMode="auto">
                    <a:xfrm>
                      <a:off x="0" y="0"/>
                      <a:ext cx="5256000" cy="3257583"/>
                    </a:xfrm>
                    <a:prstGeom prst="rect">
                      <a:avLst/>
                    </a:prstGeom>
                    <a:noFill/>
                    <a:ln>
                      <a:noFill/>
                    </a:ln>
                    <a:extLst>
                      <a:ext uri="{53640926-AAD7-44d8-BBD7-CCE9431645EC}">
                        <a14:shadowObscured xmlns:a14="http://schemas.microsoft.com/office/drawing/2010/main"/>
                      </a:ext>
                    </a:extLst>
                  </pic:spPr>
                </pic:pic>
              </a:graphicData>
            </a:graphic>
          </wp:inline>
        </w:drawing>
      </w:r>
    </w:p>
    <w:p w14:paraId="275041BD" w14:textId="77777777" w:rsidR="00D16DC5" w:rsidRPr="00494061" w:rsidRDefault="00D16DC5" w:rsidP="00D16DC5">
      <w:pPr>
        <w:ind w:left="-426" w:right="-631" w:firstLine="426"/>
        <w:jc w:val="both"/>
        <w:rPr>
          <w:rFonts w:ascii="Times New Roman" w:hAnsi="Times New Roman" w:cs="Times New Roman"/>
        </w:rPr>
      </w:pPr>
    </w:p>
    <w:p w14:paraId="4CF6B737" w14:textId="77777777" w:rsidR="00D16DC5" w:rsidRPr="00362D9F" w:rsidRDefault="00D16DC5" w:rsidP="00D16DC5">
      <w:pPr>
        <w:ind w:left="-426" w:right="-631" w:firstLine="426"/>
        <w:jc w:val="both"/>
        <w:rPr>
          <w:rFonts w:ascii="Times New Roman" w:hAnsi="Times New Roman" w:cs="Times New Roman"/>
          <w:sz w:val="20"/>
          <w:szCs w:val="20"/>
        </w:rPr>
      </w:pPr>
      <w:r w:rsidRPr="0095086B">
        <w:rPr>
          <w:rFonts w:ascii="Times New Roman" w:hAnsi="Times New Roman" w:cs="Times New Roman"/>
          <w:sz w:val="20"/>
          <w:szCs w:val="20"/>
        </w:rPr>
        <w:t xml:space="preserve">Источник: Безопасно ли вкладывать в рынке развивающихся стран? 2012. -  </w:t>
      </w:r>
      <w:r w:rsidRPr="009F093D">
        <w:rPr>
          <w:rFonts w:ascii="Times New Roman" w:hAnsi="Times New Roman" w:cs="Times New Roman"/>
          <w:sz w:val="20"/>
          <w:szCs w:val="20"/>
        </w:rPr>
        <w:t>http://www.profi-forex.org/birzhi/entry1008136717.html</w:t>
      </w:r>
    </w:p>
    <w:p w14:paraId="385D9E20" w14:textId="77777777" w:rsidR="00D16DC5" w:rsidRPr="00C51E5C" w:rsidRDefault="00D16DC5" w:rsidP="00C51E5C">
      <w:pPr>
        <w:spacing w:line="360" w:lineRule="auto"/>
        <w:ind w:left="-426" w:right="50" w:firstLine="426"/>
        <w:jc w:val="both"/>
        <w:rPr>
          <w:rFonts w:ascii="Times New Roman" w:hAnsi="Times New Roman" w:cs="Times New Roman"/>
          <w:sz w:val="28"/>
          <w:szCs w:val="28"/>
        </w:rPr>
      </w:pPr>
    </w:p>
    <w:p w14:paraId="180C72F9" w14:textId="2DB1F7DA" w:rsidR="00C7241F" w:rsidRPr="00C51E5C" w:rsidRDefault="00C7241F" w:rsidP="00C51E5C">
      <w:pPr>
        <w:spacing w:line="360" w:lineRule="auto"/>
        <w:ind w:left="-426" w:right="50" w:firstLine="426"/>
        <w:jc w:val="both"/>
        <w:rPr>
          <w:rFonts w:ascii="Times New Roman" w:hAnsi="Times New Roman" w:cs="Times New Roman"/>
          <w:sz w:val="28"/>
          <w:szCs w:val="28"/>
          <w:lang w:val="en-US"/>
        </w:rPr>
      </w:pPr>
      <w:r w:rsidRPr="00C51E5C">
        <w:rPr>
          <w:rFonts w:ascii="Times New Roman" w:hAnsi="Times New Roman" w:cs="Times New Roman"/>
          <w:sz w:val="28"/>
          <w:szCs w:val="28"/>
        </w:rPr>
        <w:t xml:space="preserve">Как уже было сказано, во время кризисных ситуаций взаимозависимость нестабильных рынков аномально высока. Всемирный банк назвал данное явление «эффектом текиллы» после кризиса 1994 г., который был вызван девальвацией мексиканского песо и повлиял на котировки акций развивающихся стран, тогда как развитые рынки почти не отреагировали. По мнению Е. Бакберга, эксперта Международного Валютного Фонда, который </w:t>
      </w:r>
      <w:r w:rsidRPr="00C51E5C">
        <w:rPr>
          <w:rFonts w:ascii="Times New Roman" w:hAnsi="Times New Roman" w:cs="Times New Roman"/>
          <w:sz w:val="28"/>
          <w:szCs w:val="28"/>
        </w:rPr>
        <w:lastRenderedPageBreak/>
        <w:t xml:space="preserve">исследовал причины возникновения «эффекта текиллы», крупные международные инвесторы принимают решения двумя этапами. Сначала они выделяют долю в портфеле, которая будет приходится на все развивающиеся рынки, а затем принимают решения о распределении средств между этими рынками. </w:t>
      </w:r>
      <w:r w:rsidR="00422033" w:rsidRPr="00C51E5C">
        <w:rPr>
          <w:rFonts w:ascii="Times New Roman" w:hAnsi="Times New Roman" w:cs="Times New Roman"/>
          <w:sz w:val="28"/>
          <w:szCs w:val="28"/>
        </w:rPr>
        <w:t>Если возникают потери на одном из «нарождающихся» рынков, то это привводит к переоценке инвесторами рисков для вех активов в портфеле, а, следовательно, к снижению котировок на всех развивающихся рынках.</w:t>
      </w:r>
    </w:p>
    <w:p w14:paraId="6ECFB447" w14:textId="1A955C5A" w:rsidR="009C080C" w:rsidRPr="00C51E5C" w:rsidRDefault="00422033"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 xml:space="preserve">Учитывая вышеизложенное, Е. Бакберг предлагает использовать модернизированную однофакторную модель </w:t>
      </w:r>
      <w:r w:rsidRPr="00C51E5C">
        <w:rPr>
          <w:rFonts w:ascii="Times New Roman" w:hAnsi="Times New Roman" w:cs="Times New Roman"/>
          <w:sz w:val="28"/>
          <w:szCs w:val="28"/>
          <w:lang w:val="en-US"/>
        </w:rPr>
        <w:t>CAPM</w:t>
      </w:r>
      <w:r w:rsidRPr="00C51E5C">
        <w:rPr>
          <w:rFonts w:ascii="Times New Roman" w:hAnsi="Times New Roman" w:cs="Times New Roman"/>
          <w:sz w:val="28"/>
          <w:szCs w:val="28"/>
        </w:rPr>
        <w:t xml:space="preserve">, которая могла бы применяться на формирующихся рынках. </w:t>
      </w:r>
      <w:r w:rsidR="009C080C" w:rsidRPr="00C51E5C">
        <w:rPr>
          <w:rFonts w:ascii="Times New Roman" w:hAnsi="Times New Roman" w:cs="Times New Roman"/>
          <w:sz w:val="28"/>
          <w:szCs w:val="28"/>
        </w:rPr>
        <w:t xml:space="preserve">Данная модификация </w:t>
      </w:r>
      <w:r w:rsidR="009C080C" w:rsidRPr="00C51E5C">
        <w:rPr>
          <w:rFonts w:ascii="Times New Roman" w:hAnsi="Times New Roman" w:cs="Times New Roman"/>
          <w:sz w:val="28"/>
          <w:szCs w:val="28"/>
          <w:lang w:val="en-US"/>
        </w:rPr>
        <w:t>CAPM</w:t>
      </w:r>
      <w:r w:rsidR="009C080C" w:rsidRPr="00C51E5C">
        <w:rPr>
          <w:rFonts w:ascii="Times New Roman" w:hAnsi="Times New Roman" w:cs="Times New Roman"/>
          <w:sz w:val="28"/>
          <w:szCs w:val="28"/>
        </w:rPr>
        <w:t xml:space="preserve"> содержит два фактора, влияющих на ожидаемую доходность актива – ожидаемую доходность общемирового рыночного портфеля и ожидаемую доходность рыночного портфеля на формирующемся рынке. Модель описывается следующей формулой (5):</w:t>
      </w:r>
    </w:p>
    <w:p w14:paraId="3143FBDC"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D16DC5">
        <w:rPr>
          <w:rFonts w:ascii="Times New Roman" w:hAnsi="Times New Roman" w:cs="Times New Roman"/>
          <w:b/>
          <w:sz w:val="32"/>
          <w:szCs w:val="32"/>
          <w:lang w:val="en-US"/>
        </w:rPr>
        <w:t>r</w:t>
      </w:r>
      <w:r w:rsidRPr="00D16DC5">
        <w:rPr>
          <w:rFonts w:ascii="Times New Roman" w:hAnsi="Times New Roman" w:cs="Times New Roman"/>
          <w:b/>
          <w:sz w:val="32"/>
          <w:szCs w:val="32"/>
          <w:vertAlign w:val="subscript"/>
          <w:lang w:val="en-US"/>
        </w:rPr>
        <w:t>j</w:t>
      </w:r>
      <w:r w:rsidRPr="00D16DC5">
        <w:rPr>
          <w:rFonts w:ascii="Times New Roman" w:hAnsi="Times New Roman" w:cs="Times New Roman"/>
          <w:b/>
          <w:sz w:val="32"/>
          <w:szCs w:val="32"/>
          <w:vertAlign w:val="subscript"/>
        </w:rPr>
        <w:t>,</w:t>
      </w:r>
      <w:r w:rsidRPr="00D16DC5">
        <w:rPr>
          <w:rFonts w:ascii="Times New Roman" w:hAnsi="Times New Roman" w:cs="Times New Roman"/>
          <w:b/>
          <w:sz w:val="32"/>
          <w:szCs w:val="32"/>
          <w:vertAlign w:val="subscript"/>
          <w:lang w:val="en-US"/>
        </w:rPr>
        <w:t>t</w:t>
      </w:r>
      <w:r w:rsidRPr="00D16DC5">
        <w:rPr>
          <w:rFonts w:ascii="Times New Roman" w:hAnsi="Times New Roman" w:cs="Times New Roman"/>
          <w:b/>
          <w:sz w:val="32"/>
          <w:szCs w:val="32"/>
          <w:vertAlign w:val="subscript"/>
        </w:rPr>
        <w:t xml:space="preserve"> </w:t>
      </w:r>
      <w:r w:rsidRPr="00D16DC5">
        <w:rPr>
          <w:rFonts w:ascii="Times New Roman" w:hAnsi="Times New Roman" w:cs="Times New Roman"/>
          <w:b/>
          <w:sz w:val="32"/>
          <w:szCs w:val="32"/>
        </w:rPr>
        <w:t xml:space="preserve">= </w:t>
      </w:r>
      <w:r w:rsidRPr="00D16DC5">
        <w:rPr>
          <w:rFonts w:ascii="Times New Roman" w:hAnsi="Times New Roman" w:cs="Times New Roman"/>
          <w:b/>
          <w:sz w:val="32"/>
          <w:szCs w:val="32"/>
          <w:lang w:val="en-US"/>
        </w:rPr>
        <w:sym w:font="Symbol" w:char="F061"/>
      </w:r>
      <w:r w:rsidRPr="00D16DC5">
        <w:rPr>
          <w:rFonts w:ascii="Times New Roman" w:hAnsi="Times New Roman" w:cs="Times New Roman"/>
          <w:b/>
          <w:sz w:val="32"/>
          <w:szCs w:val="32"/>
        </w:rPr>
        <w:t>+</w:t>
      </w:r>
      <w:r w:rsidRPr="00D16DC5">
        <w:rPr>
          <w:rFonts w:ascii="Times New Roman" w:hAnsi="Times New Roman" w:cs="Times New Roman"/>
          <w:b/>
          <w:sz w:val="32"/>
          <w:szCs w:val="32"/>
          <w:lang w:val="en-US"/>
        </w:rPr>
        <w:sym w:font="Symbol" w:char="F062"/>
      </w:r>
      <w:r w:rsidRPr="00D16DC5">
        <w:rPr>
          <w:rFonts w:ascii="Times New Roman" w:hAnsi="Times New Roman" w:cs="Times New Roman"/>
          <w:b/>
          <w:sz w:val="32"/>
          <w:szCs w:val="32"/>
          <w:vertAlign w:val="subscript"/>
          <w:lang w:val="en-US"/>
        </w:rPr>
        <w:t>w</w:t>
      </w:r>
      <w:r w:rsidRPr="00D16DC5">
        <w:rPr>
          <w:rFonts w:ascii="Times New Roman" w:hAnsi="Times New Roman" w:cs="Times New Roman"/>
          <w:b/>
          <w:sz w:val="32"/>
          <w:szCs w:val="32"/>
          <w:lang w:val="en-US"/>
        </w:rPr>
        <w:t>r</w:t>
      </w:r>
      <w:r w:rsidRPr="00D16DC5">
        <w:rPr>
          <w:rFonts w:ascii="Times New Roman" w:hAnsi="Times New Roman" w:cs="Times New Roman"/>
          <w:b/>
          <w:sz w:val="32"/>
          <w:szCs w:val="32"/>
          <w:vertAlign w:val="subscript"/>
          <w:lang w:val="en-US"/>
        </w:rPr>
        <w:t>w</w:t>
      </w:r>
      <w:r w:rsidRPr="00D16DC5">
        <w:rPr>
          <w:rFonts w:ascii="Times New Roman" w:hAnsi="Times New Roman" w:cs="Times New Roman"/>
          <w:b/>
          <w:sz w:val="32"/>
          <w:szCs w:val="32"/>
          <w:vertAlign w:val="subscript"/>
        </w:rPr>
        <w:t>,</w:t>
      </w:r>
      <w:r w:rsidRPr="00D16DC5">
        <w:rPr>
          <w:rFonts w:ascii="Times New Roman" w:hAnsi="Times New Roman" w:cs="Times New Roman"/>
          <w:b/>
          <w:sz w:val="32"/>
          <w:szCs w:val="32"/>
          <w:vertAlign w:val="subscript"/>
          <w:lang w:val="en-US"/>
        </w:rPr>
        <w:t>t</w:t>
      </w:r>
      <w:r w:rsidRPr="00D16DC5">
        <w:rPr>
          <w:rFonts w:ascii="Times New Roman" w:hAnsi="Times New Roman" w:cs="Times New Roman"/>
          <w:b/>
          <w:sz w:val="32"/>
          <w:szCs w:val="32"/>
        </w:rPr>
        <w:t>+</w:t>
      </w:r>
      <w:r w:rsidRPr="00D16DC5">
        <w:rPr>
          <w:rFonts w:ascii="Times New Roman" w:hAnsi="Times New Roman" w:cs="Times New Roman"/>
          <w:b/>
          <w:sz w:val="32"/>
          <w:szCs w:val="32"/>
          <w:lang w:val="en-US"/>
        </w:rPr>
        <w:sym w:font="Symbol" w:char="F062"/>
      </w:r>
      <w:r w:rsidRPr="00D16DC5">
        <w:rPr>
          <w:rFonts w:ascii="Times New Roman" w:hAnsi="Times New Roman" w:cs="Times New Roman"/>
          <w:b/>
          <w:sz w:val="32"/>
          <w:szCs w:val="32"/>
          <w:vertAlign w:val="subscript"/>
          <w:lang w:val="en-US"/>
        </w:rPr>
        <w:t>em</w:t>
      </w:r>
      <w:r w:rsidRPr="00D16DC5">
        <w:rPr>
          <w:rFonts w:ascii="Times New Roman" w:hAnsi="Times New Roman" w:cs="Times New Roman"/>
          <w:b/>
          <w:sz w:val="32"/>
          <w:szCs w:val="32"/>
          <w:lang w:val="en-US"/>
        </w:rPr>
        <w:t>r</w:t>
      </w:r>
      <w:r w:rsidRPr="00D16DC5">
        <w:rPr>
          <w:rFonts w:ascii="Times New Roman" w:hAnsi="Times New Roman" w:cs="Times New Roman"/>
          <w:b/>
          <w:sz w:val="32"/>
          <w:szCs w:val="32"/>
          <w:vertAlign w:val="subscript"/>
          <w:lang w:val="en-US"/>
        </w:rPr>
        <w:t>em</w:t>
      </w:r>
      <w:r w:rsidRPr="00D16DC5">
        <w:rPr>
          <w:rFonts w:ascii="Times New Roman" w:hAnsi="Times New Roman" w:cs="Times New Roman"/>
          <w:b/>
          <w:sz w:val="32"/>
          <w:szCs w:val="32"/>
          <w:vertAlign w:val="subscript"/>
        </w:rPr>
        <w:t>,</w:t>
      </w:r>
      <w:r w:rsidRPr="00D16DC5">
        <w:rPr>
          <w:rFonts w:ascii="Times New Roman" w:hAnsi="Times New Roman" w:cs="Times New Roman"/>
          <w:b/>
          <w:sz w:val="32"/>
          <w:szCs w:val="32"/>
          <w:vertAlign w:val="subscript"/>
          <w:lang w:val="en-US"/>
        </w:rPr>
        <w:t>t</w:t>
      </w:r>
      <w:r w:rsidRPr="00D16DC5">
        <w:rPr>
          <w:rFonts w:ascii="Times New Roman" w:hAnsi="Times New Roman" w:cs="Times New Roman"/>
          <w:b/>
          <w:sz w:val="32"/>
          <w:szCs w:val="32"/>
        </w:rPr>
        <w:t>+</w:t>
      </w:r>
      <w:r w:rsidRPr="00D16DC5">
        <w:rPr>
          <w:rFonts w:ascii="Times New Roman" w:hAnsi="Times New Roman" w:cs="Times New Roman"/>
          <w:b/>
          <w:sz w:val="32"/>
          <w:szCs w:val="32"/>
          <w:lang w:val="en-US"/>
        </w:rPr>
        <w:sym w:font="Symbol" w:char="F075"/>
      </w:r>
      <w:r w:rsidRPr="00D16DC5">
        <w:rPr>
          <w:rFonts w:ascii="Times New Roman" w:hAnsi="Times New Roman" w:cs="Times New Roman"/>
          <w:b/>
          <w:sz w:val="32"/>
          <w:szCs w:val="32"/>
          <w:vertAlign w:val="subscript"/>
          <w:lang w:val="en-US"/>
        </w:rPr>
        <w:t>t</w:t>
      </w:r>
      <w:r w:rsidRPr="00D16DC5">
        <w:rPr>
          <w:rFonts w:ascii="Times New Roman" w:hAnsi="Times New Roman" w:cs="Times New Roman"/>
          <w:sz w:val="32"/>
          <w:szCs w:val="32"/>
          <w:vertAlign w:val="subscript"/>
        </w:rPr>
        <w:t xml:space="preserve"> </w:t>
      </w:r>
      <w:r w:rsidRPr="00D16DC5">
        <w:rPr>
          <w:rFonts w:ascii="Times New Roman" w:hAnsi="Times New Roman" w:cs="Times New Roman"/>
          <w:sz w:val="32"/>
          <w:szCs w:val="32"/>
        </w:rPr>
        <w:t>,</w:t>
      </w:r>
      <w:r w:rsidRPr="00C51E5C">
        <w:rPr>
          <w:rFonts w:ascii="Times New Roman" w:hAnsi="Times New Roman" w:cs="Times New Roman"/>
          <w:sz w:val="28"/>
          <w:szCs w:val="28"/>
        </w:rPr>
        <w:t xml:space="preserve">        (5)</w:t>
      </w:r>
    </w:p>
    <w:p w14:paraId="1821E856"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p>
    <w:p w14:paraId="67DAF4AB"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где:</w:t>
      </w:r>
    </w:p>
    <w:p w14:paraId="55E9449F"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p>
    <w:p w14:paraId="70FA754E"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lang w:val="en-US"/>
        </w:rPr>
        <w:t>r</w:t>
      </w:r>
      <w:r w:rsidRPr="00C51E5C">
        <w:rPr>
          <w:rFonts w:ascii="Times New Roman" w:hAnsi="Times New Roman" w:cs="Times New Roman"/>
          <w:sz w:val="28"/>
          <w:szCs w:val="28"/>
          <w:vertAlign w:val="subscript"/>
          <w:lang w:val="en-US"/>
        </w:rPr>
        <w:t>j</w:t>
      </w:r>
      <w:r w:rsidRPr="00C51E5C">
        <w:rPr>
          <w:rFonts w:ascii="Times New Roman" w:hAnsi="Times New Roman" w:cs="Times New Roman"/>
          <w:sz w:val="28"/>
          <w:szCs w:val="28"/>
          <w:vertAlign w:val="subscript"/>
        </w:rPr>
        <w:t>,</w:t>
      </w:r>
      <w:r w:rsidRPr="00C51E5C">
        <w:rPr>
          <w:rFonts w:ascii="Times New Roman" w:hAnsi="Times New Roman" w:cs="Times New Roman"/>
          <w:sz w:val="28"/>
          <w:szCs w:val="28"/>
          <w:vertAlign w:val="subscript"/>
          <w:lang w:val="en-US"/>
        </w:rPr>
        <w:t>t</w:t>
      </w:r>
      <w:r w:rsidRPr="00C51E5C">
        <w:rPr>
          <w:rFonts w:ascii="Times New Roman" w:hAnsi="Times New Roman" w:cs="Times New Roman"/>
          <w:sz w:val="28"/>
          <w:szCs w:val="28"/>
          <w:vertAlign w:val="subscript"/>
        </w:rPr>
        <w:t xml:space="preserve">  - </w:t>
      </w:r>
      <w:r w:rsidRPr="00C51E5C">
        <w:rPr>
          <w:rFonts w:ascii="Times New Roman" w:hAnsi="Times New Roman" w:cs="Times New Roman"/>
          <w:sz w:val="28"/>
          <w:szCs w:val="28"/>
        </w:rPr>
        <w:t>ожидаемая</w:t>
      </w:r>
      <w:r w:rsidRPr="00C51E5C">
        <w:rPr>
          <w:rFonts w:ascii="Times New Roman" w:hAnsi="Times New Roman" w:cs="Times New Roman"/>
          <w:sz w:val="28"/>
          <w:szCs w:val="28"/>
          <w:vertAlign w:val="subscript"/>
        </w:rPr>
        <w:t xml:space="preserve"> </w:t>
      </w:r>
      <w:r w:rsidRPr="00C51E5C">
        <w:rPr>
          <w:rFonts w:ascii="Times New Roman" w:hAnsi="Times New Roman" w:cs="Times New Roman"/>
          <w:sz w:val="28"/>
          <w:szCs w:val="28"/>
        </w:rPr>
        <w:t xml:space="preserve">доходность актива </w:t>
      </w:r>
      <w:r w:rsidRPr="00C51E5C">
        <w:rPr>
          <w:rFonts w:ascii="Times New Roman" w:hAnsi="Times New Roman" w:cs="Times New Roman"/>
          <w:sz w:val="28"/>
          <w:szCs w:val="28"/>
          <w:lang w:val="en-US"/>
        </w:rPr>
        <w:t>j</w:t>
      </w:r>
      <w:r w:rsidRPr="00C51E5C">
        <w:rPr>
          <w:rFonts w:ascii="Times New Roman" w:hAnsi="Times New Roman" w:cs="Times New Roman"/>
          <w:sz w:val="28"/>
          <w:szCs w:val="28"/>
        </w:rPr>
        <w:t xml:space="preserve"> в период времени </w:t>
      </w:r>
      <w:r w:rsidRPr="00C51E5C">
        <w:rPr>
          <w:rFonts w:ascii="Times New Roman" w:hAnsi="Times New Roman" w:cs="Times New Roman"/>
          <w:sz w:val="28"/>
          <w:szCs w:val="28"/>
          <w:lang w:val="en-US"/>
        </w:rPr>
        <w:t>t</w:t>
      </w:r>
      <w:r w:rsidRPr="00C51E5C">
        <w:rPr>
          <w:rFonts w:ascii="Times New Roman" w:hAnsi="Times New Roman" w:cs="Times New Roman"/>
          <w:sz w:val="28"/>
          <w:szCs w:val="28"/>
        </w:rPr>
        <w:t>;</w:t>
      </w:r>
    </w:p>
    <w:p w14:paraId="5373209B"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lang w:val="en-US"/>
        </w:rPr>
        <w:t>r</w:t>
      </w:r>
      <w:r w:rsidRPr="00C51E5C">
        <w:rPr>
          <w:rFonts w:ascii="Times New Roman" w:hAnsi="Times New Roman" w:cs="Times New Roman"/>
          <w:sz w:val="28"/>
          <w:szCs w:val="28"/>
          <w:vertAlign w:val="subscript"/>
          <w:lang w:val="en-US"/>
        </w:rPr>
        <w:t>w</w:t>
      </w:r>
      <w:r w:rsidRPr="00C51E5C">
        <w:rPr>
          <w:rFonts w:ascii="Times New Roman" w:hAnsi="Times New Roman" w:cs="Times New Roman"/>
          <w:sz w:val="28"/>
          <w:szCs w:val="28"/>
          <w:vertAlign w:val="subscript"/>
        </w:rPr>
        <w:t>,</w:t>
      </w:r>
      <w:r w:rsidRPr="00C51E5C">
        <w:rPr>
          <w:rFonts w:ascii="Times New Roman" w:hAnsi="Times New Roman" w:cs="Times New Roman"/>
          <w:sz w:val="28"/>
          <w:szCs w:val="28"/>
          <w:vertAlign w:val="subscript"/>
          <w:lang w:val="en-US"/>
        </w:rPr>
        <w:t>t</w:t>
      </w:r>
      <w:r w:rsidRPr="00C51E5C">
        <w:rPr>
          <w:rFonts w:ascii="Times New Roman" w:hAnsi="Times New Roman" w:cs="Times New Roman"/>
          <w:sz w:val="28"/>
          <w:szCs w:val="28"/>
          <w:vertAlign w:val="subscript"/>
        </w:rPr>
        <w:t xml:space="preserve"> – </w:t>
      </w:r>
      <w:r w:rsidRPr="00C51E5C">
        <w:rPr>
          <w:rFonts w:ascii="Times New Roman" w:hAnsi="Times New Roman" w:cs="Times New Roman"/>
          <w:sz w:val="28"/>
          <w:szCs w:val="28"/>
        </w:rPr>
        <w:t>ожидаемая</w:t>
      </w:r>
      <w:r w:rsidRPr="00C51E5C">
        <w:rPr>
          <w:rFonts w:ascii="Times New Roman" w:hAnsi="Times New Roman" w:cs="Times New Roman"/>
          <w:sz w:val="28"/>
          <w:szCs w:val="28"/>
          <w:vertAlign w:val="subscript"/>
        </w:rPr>
        <w:t xml:space="preserve"> </w:t>
      </w:r>
      <w:r w:rsidRPr="00C51E5C">
        <w:rPr>
          <w:rFonts w:ascii="Times New Roman" w:hAnsi="Times New Roman" w:cs="Times New Roman"/>
          <w:sz w:val="28"/>
          <w:szCs w:val="28"/>
        </w:rPr>
        <w:t>дозодность общемирового портфеля;</w:t>
      </w:r>
    </w:p>
    <w:p w14:paraId="02B6AA1C"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lang w:val="en-US"/>
        </w:rPr>
        <w:t>r</w:t>
      </w:r>
      <w:r w:rsidRPr="00C51E5C">
        <w:rPr>
          <w:rFonts w:ascii="Times New Roman" w:hAnsi="Times New Roman" w:cs="Times New Roman"/>
          <w:sz w:val="28"/>
          <w:szCs w:val="28"/>
          <w:vertAlign w:val="subscript"/>
          <w:lang w:val="en-US"/>
        </w:rPr>
        <w:t>em</w:t>
      </w:r>
      <w:r w:rsidRPr="00C51E5C">
        <w:rPr>
          <w:rFonts w:ascii="Times New Roman" w:hAnsi="Times New Roman" w:cs="Times New Roman"/>
          <w:sz w:val="28"/>
          <w:szCs w:val="28"/>
          <w:vertAlign w:val="subscript"/>
        </w:rPr>
        <w:t>,</w:t>
      </w:r>
      <w:r w:rsidRPr="00C51E5C">
        <w:rPr>
          <w:rFonts w:ascii="Times New Roman" w:hAnsi="Times New Roman" w:cs="Times New Roman"/>
          <w:sz w:val="28"/>
          <w:szCs w:val="28"/>
          <w:vertAlign w:val="subscript"/>
          <w:lang w:val="en-US"/>
        </w:rPr>
        <w:t>t</w:t>
      </w:r>
      <w:r w:rsidRPr="00C51E5C">
        <w:rPr>
          <w:rFonts w:ascii="Times New Roman" w:hAnsi="Times New Roman" w:cs="Times New Roman"/>
          <w:sz w:val="28"/>
          <w:szCs w:val="28"/>
          <w:vertAlign w:val="subscript"/>
        </w:rPr>
        <w:t xml:space="preserve"> – </w:t>
      </w:r>
      <w:r w:rsidRPr="00C51E5C">
        <w:rPr>
          <w:rFonts w:ascii="Times New Roman" w:hAnsi="Times New Roman" w:cs="Times New Roman"/>
          <w:sz w:val="28"/>
          <w:szCs w:val="28"/>
        </w:rPr>
        <w:t>ожидаемая доходность</w:t>
      </w:r>
      <w:r w:rsidRPr="00C51E5C">
        <w:rPr>
          <w:rFonts w:ascii="Times New Roman" w:hAnsi="Times New Roman" w:cs="Times New Roman"/>
          <w:sz w:val="28"/>
          <w:szCs w:val="28"/>
          <w:vertAlign w:val="subscript"/>
        </w:rPr>
        <w:t xml:space="preserve"> </w:t>
      </w:r>
      <w:r w:rsidRPr="00C51E5C">
        <w:rPr>
          <w:rFonts w:ascii="Times New Roman" w:hAnsi="Times New Roman" w:cs="Times New Roman"/>
          <w:sz w:val="28"/>
          <w:szCs w:val="28"/>
        </w:rPr>
        <w:t>портфеля на «нарождающемся» рынке;</w:t>
      </w:r>
    </w:p>
    <w:p w14:paraId="34A8B8CF"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lang w:val="en-US"/>
        </w:rPr>
        <w:sym w:font="Symbol" w:char="F062"/>
      </w:r>
      <w:r w:rsidRPr="00C51E5C">
        <w:rPr>
          <w:rFonts w:ascii="Times New Roman" w:hAnsi="Times New Roman" w:cs="Times New Roman"/>
          <w:sz w:val="28"/>
          <w:szCs w:val="28"/>
          <w:vertAlign w:val="subscript"/>
          <w:lang w:val="en-US"/>
        </w:rPr>
        <w:t>w</w:t>
      </w:r>
      <w:r w:rsidRPr="00C51E5C">
        <w:rPr>
          <w:rFonts w:ascii="Times New Roman" w:hAnsi="Times New Roman" w:cs="Times New Roman"/>
          <w:sz w:val="28"/>
          <w:szCs w:val="28"/>
          <w:vertAlign w:val="subscript"/>
        </w:rPr>
        <w:t xml:space="preserve"> – </w:t>
      </w:r>
      <w:r w:rsidRPr="00C51E5C">
        <w:rPr>
          <w:rFonts w:ascii="Times New Roman" w:hAnsi="Times New Roman" w:cs="Times New Roman"/>
          <w:sz w:val="28"/>
          <w:szCs w:val="28"/>
        </w:rPr>
        <w:t xml:space="preserve">чувствительность доходности актива </w:t>
      </w:r>
      <w:r w:rsidRPr="00C51E5C">
        <w:rPr>
          <w:rFonts w:ascii="Times New Roman" w:hAnsi="Times New Roman" w:cs="Times New Roman"/>
          <w:sz w:val="28"/>
          <w:szCs w:val="28"/>
          <w:lang w:val="en-US"/>
        </w:rPr>
        <w:t>j</w:t>
      </w:r>
      <w:r w:rsidRPr="00C51E5C">
        <w:rPr>
          <w:rFonts w:ascii="Times New Roman" w:hAnsi="Times New Roman" w:cs="Times New Roman"/>
          <w:sz w:val="28"/>
          <w:szCs w:val="28"/>
        </w:rPr>
        <w:t xml:space="preserve"> к доходности общемирового портфеля;</w:t>
      </w:r>
    </w:p>
    <w:p w14:paraId="47C69F5D"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lang w:val="en-US"/>
        </w:rPr>
        <w:sym w:font="Symbol" w:char="F062"/>
      </w:r>
      <w:r w:rsidRPr="00C51E5C">
        <w:rPr>
          <w:rFonts w:ascii="Times New Roman" w:hAnsi="Times New Roman" w:cs="Times New Roman"/>
          <w:sz w:val="28"/>
          <w:szCs w:val="28"/>
          <w:vertAlign w:val="subscript"/>
          <w:lang w:val="en-US"/>
        </w:rPr>
        <w:t>em</w:t>
      </w:r>
      <w:r w:rsidRPr="00C51E5C">
        <w:rPr>
          <w:rFonts w:ascii="Times New Roman" w:hAnsi="Times New Roman" w:cs="Times New Roman"/>
          <w:sz w:val="28"/>
          <w:szCs w:val="28"/>
          <w:vertAlign w:val="subscript"/>
        </w:rPr>
        <w:t xml:space="preserve"> – </w:t>
      </w:r>
      <w:r w:rsidRPr="00C51E5C">
        <w:rPr>
          <w:rFonts w:ascii="Times New Roman" w:hAnsi="Times New Roman" w:cs="Times New Roman"/>
          <w:sz w:val="28"/>
          <w:szCs w:val="28"/>
        </w:rPr>
        <w:t>чувствительность доходности актива</w:t>
      </w:r>
      <w:r w:rsidRPr="00C51E5C">
        <w:rPr>
          <w:rFonts w:ascii="Times New Roman" w:hAnsi="Times New Roman" w:cs="Times New Roman"/>
          <w:sz w:val="28"/>
          <w:szCs w:val="28"/>
          <w:vertAlign w:val="subscript"/>
        </w:rPr>
        <w:t xml:space="preserve"> </w:t>
      </w:r>
      <w:r w:rsidRPr="00C51E5C">
        <w:rPr>
          <w:rFonts w:ascii="Times New Roman" w:hAnsi="Times New Roman" w:cs="Times New Roman"/>
          <w:sz w:val="28"/>
          <w:szCs w:val="28"/>
          <w:lang w:val="en-US"/>
        </w:rPr>
        <w:t>j</w:t>
      </w:r>
      <w:r w:rsidRPr="00C51E5C">
        <w:rPr>
          <w:rFonts w:ascii="Times New Roman" w:hAnsi="Times New Roman" w:cs="Times New Roman"/>
          <w:sz w:val="28"/>
          <w:szCs w:val="28"/>
        </w:rPr>
        <w:t xml:space="preserve"> к доходности</w:t>
      </w:r>
      <w:r w:rsidRPr="00C51E5C">
        <w:rPr>
          <w:rFonts w:ascii="Times New Roman" w:hAnsi="Times New Roman" w:cs="Times New Roman"/>
          <w:sz w:val="28"/>
          <w:szCs w:val="28"/>
          <w:vertAlign w:val="subscript"/>
        </w:rPr>
        <w:t xml:space="preserve"> </w:t>
      </w:r>
      <w:r w:rsidRPr="00C51E5C">
        <w:rPr>
          <w:rFonts w:ascii="Times New Roman" w:hAnsi="Times New Roman" w:cs="Times New Roman"/>
          <w:sz w:val="28"/>
          <w:szCs w:val="28"/>
        </w:rPr>
        <w:t>портфеля «нарождающегося» рынка;</w:t>
      </w:r>
    </w:p>
    <w:p w14:paraId="29DC8C2D"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lang w:val="en-US"/>
        </w:rPr>
        <w:sym w:font="Symbol" w:char="F061"/>
      </w:r>
      <w:r w:rsidRPr="00C51E5C">
        <w:rPr>
          <w:rFonts w:ascii="Times New Roman" w:hAnsi="Times New Roman" w:cs="Times New Roman"/>
          <w:sz w:val="28"/>
          <w:szCs w:val="28"/>
        </w:rPr>
        <w:t xml:space="preserve"> - коэффициент, характеризующий недооцененность или переоцененность актива </w:t>
      </w:r>
      <w:r w:rsidRPr="00C51E5C">
        <w:rPr>
          <w:rFonts w:ascii="Times New Roman" w:hAnsi="Times New Roman" w:cs="Times New Roman"/>
          <w:sz w:val="28"/>
          <w:szCs w:val="28"/>
          <w:lang w:val="en-US"/>
        </w:rPr>
        <w:t>j</w:t>
      </w:r>
      <w:r w:rsidRPr="00C51E5C">
        <w:rPr>
          <w:rFonts w:ascii="Times New Roman" w:hAnsi="Times New Roman" w:cs="Times New Roman"/>
          <w:sz w:val="28"/>
          <w:szCs w:val="28"/>
        </w:rPr>
        <w:t xml:space="preserve"> по сравнению с теоретической равновесной ценой;</w:t>
      </w:r>
    </w:p>
    <w:p w14:paraId="0CFA6894"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lang w:val="en-US"/>
        </w:rPr>
        <w:sym w:font="Symbol" w:char="F075"/>
      </w:r>
      <w:r w:rsidRPr="00C51E5C">
        <w:rPr>
          <w:rFonts w:ascii="Times New Roman" w:hAnsi="Times New Roman" w:cs="Times New Roman"/>
          <w:sz w:val="28"/>
          <w:szCs w:val="28"/>
          <w:vertAlign w:val="subscript"/>
          <w:lang w:val="en-US"/>
        </w:rPr>
        <w:t>t</w:t>
      </w:r>
      <w:r w:rsidRPr="00C51E5C">
        <w:rPr>
          <w:rFonts w:ascii="Times New Roman" w:hAnsi="Times New Roman" w:cs="Times New Roman"/>
          <w:sz w:val="28"/>
          <w:szCs w:val="28"/>
          <w:vertAlign w:val="subscript"/>
        </w:rPr>
        <w:t xml:space="preserve"> – </w:t>
      </w:r>
      <w:r w:rsidRPr="00C51E5C">
        <w:rPr>
          <w:rFonts w:ascii="Times New Roman" w:hAnsi="Times New Roman" w:cs="Times New Roman"/>
          <w:sz w:val="28"/>
          <w:szCs w:val="28"/>
        </w:rPr>
        <w:t>случайное отклонение</w:t>
      </w:r>
      <w:r w:rsidRPr="00C51E5C">
        <w:rPr>
          <w:rFonts w:ascii="Times New Roman" w:hAnsi="Times New Roman" w:cs="Times New Roman"/>
          <w:sz w:val="28"/>
          <w:szCs w:val="28"/>
          <w:vertAlign w:val="subscript"/>
        </w:rPr>
        <w:t xml:space="preserve"> </w:t>
      </w:r>
      <w:r w:rsidRPr="00C51E5C">
        <w:rPr>
          <w:rFonts w:ascii="Times New Roman" w:hAnsi="Times New Roman" w:cs="Times New Roman"/>
          <w:sz w:val="28"/>
          <w:szCs w:val="28"/>
        </w:rPr>
        <w:t>доходности актива от равновесной.</w:t>
      </w:r>
    </w:p>
    <w:p w14:paraId="7D8A9B27"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p>
    <w:p w14:paraId="6F04A875" w14:textId="346EFC9F" w:rsidR="00422033" w:rsidRPr="00C51E5C" w:rsidRDefault="00422033"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В соответствии с моделью, изложенной этой формулой, глобальными инвесторами оцениваются не только общемировая доходность финансовых инструментов, но и доходность «нарождающихся» рынков.</w:t>
      </w:r>
    </w:p>
    <w:p w14:paraId="46327142" w14:textId="77777777" w:rsidR="009C080C" w:rsidRPr="00C51E5C" w:rsidRDefault="009C080C" w:rsidP="00C51E5C">
      <w:pPr>
        <w:spacing w:line="360" w:lineRule="auto"/>
        <w:ind w:left="-426" w:right="50" w:firstLine="426"/>
        <w:jc w:val="both"/>
        <w:rPr>
          <w:rFonts w:ascii="Times New Roman" w:hAnsi="Times New Roman" w:cs="Times New Roman"/>
          <w:sz w:val="28"/>
          <w:szCs w:val="28"/>
        </w:rPr>
      </w:pPr>
      <w:r w:rsidRPr="00C51E5C">
        <w:rPr>
          <w:rFonts w:ascii="Times New Roman" w:hAnsi="Times New Roman" w:cs="Times New Roman"/>
          <w:sz w:val="28"/>
          <w:szCs w:val="28"/>
        </w:rPr>
        <w:t>Рассмотренные особенности функционирования рынков развивающихся стран подтверждают, что механизм формирования рисков и доходности на финансовом рынке КНР несколько отличается от механизма развитых рынков. Таким образом, подходы к управлению портфелями ценных бумаг с целью эффективного применения их в условиях формирующихся рынков должны быть адаптированы или изменены.</w:t>
      </w:r>
    </w:p>
    <w:p w14:paraId="182FD36F" w14:textId="77777777" w:rsidR="00EF354C" w:rsidRDefault="00EF354C" w:rsidP="004F7A52">
      <w:pPr>
        <w:widowControl w:val="0"/>
        <w:autoSpaceDE w:val="0"/>
        <w:autoSpaceDN w:val="0"/>
        <w:adjustRightInd w:val="0"/>
        <w:spacing w:after="240"/>
        <w:ind w:right="-631"/>
        <w:jc w:val="both"/>
        <w:rPr>
          <w:rFonts w:ascii="Times New Roman" w:hAnsi="Times New Roman" w:cs="Times New Roman"/>
        </w:rPr>
      </w:pPr>
    </w:p>
    <w:p w14:paraId="5DA757D6"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77E1A29A"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2627E36F"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634CEBF8"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19057059"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00B3C55A"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0BA6B7F5"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15EBF691"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185EDF60"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0AAC14AC"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06A1BB74"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05A10C60"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0E6475B0"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3F03A29D"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09822FAD"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626BB858" w14:textId="77777777" w:rsidR="000D3393" w:rsidRDefault="000D3393" w:rsidP="004F7A52">
      <w:pPr>
        <w:widowControl w:val="0"/>
        <w:autoSpaceDE w:val="0"/>
        <w:autoSpaceDN w:val="0"/>
        <w:adjustRightInd w:val="0"/>
        <w:spacing w:after="240"/>
        <w:ind w:right="-631"/>
        <w:jc w:val="both"/>
        <w:rPr>
          <w:rFonts w:ascii="Times New Roman" w:hAnsi="Times New Roman" w:cs="Times New Roman"/>
        </w:rPr>
      </w:pPr>
    </w:p>
    <w:p w14:paraId="7DCF16B9" w14:textId="77777777" w:rsidR="004F7A52" w:rsidRPr="00C51E5C" w:rsidRDefault="004F7A52" w:rsidP="00D16DC5">
      <w:pPr>
        <w:widowControl w:val="0"/>
        <w:autoSpaceDE w:val="0"/>
        <w:autoSpaceDN w:val="0"/>
        <w:adjustRightInd w:val="0"/>
        <w:spacing w:after="240"/>
        <w:ind w:left="-426" w:right="43" w:firstLine="426"/>
        <w:jc w:val="both"/>
        <w:rPr>
          <w:rFonts w:ascii="Times" w:hAnsi="Times" w:cs="Times"/>
          <w:b/>
          <w:sz w:val="32"/>
          <w:szCs w:val="32"/>
        </w:rPr>
      </w:pPr>
      <w:r w:rsidRPr="00C51E5C">
        <w:rPr>
          <w:rFonts w:ascii="Times New Roman" w:hAnsi="Times New Roman" w:cs="Times New Roman"/>
          <w:b/>
          <w:sz w:val="32"/>
          <w:szCs w:val="32"/>
        </w:rPr>
        <w:lastRenderedPageBreak/>
        <w:t>Глава 3. Сравнительный анализ финансовых рынков России и Китая</w:t>
      </w:r>
    </w:p>
    <w:p w14:paraId="5C686767" w14:textId="77777777" w:rsidR="008A78D7" w:rsidRPr="00C51E5C" w:rsidRDefault="008A78D7" w:rsidP="008A78D7">
      <w:pPr>
        <w:ind w:left="-426" w:right="-631" w:firstLine="426"/>
        <w:jc w:val="both"/>
        <w:rPr>
          <w:rFonts w:ascii="Times New Roman" w:hAnsi="Times New Roman" w:cs="Times New Roman"/>
          <w:b/>
          <w:i/>
          <w:sz w:val="28"/>
          <w:szCs w:val="28"/>
          <w:shd w:val="clear" w:color="auto" w:fill="FFFFFF"/>
        </w:rPr>
      </w:pPr>
      <w:r w:rsidRPr="00C51E5C">
        <w:rPr>
          <w:rFonts w:ascii="Times New Roman" w:hAnsi="Times New Roman" w:cs="Times New Roman"/>
          <w:b/>
          <w:i/>
          <w:sz w:val="28"/>
          <w:szCs w:val="28"/>
          <w:shd w:val="clear" w:color="auto" w:fill="FFFFFF"/>
        </w:rPr>
        <w:t>3.1 Сопоставление этапов развития финансовых рынков России и Китая</w:t>
      </w:r>
    </w:p>
    <w:p w14:paraId="2C53D274" w14:textId="77777777" w:rsidR="008A78D7" w:rsidRPr="00001CC3" w:rsidRDefault="008A78D7" w:rsidP="008A78D7">
      <w:pPr>
        <w:ind w:left="-426" w:right="-631" w:firstLine="426"/>
        <w:jc w:val="both"/>
        <w:rPr>
          <w:rFonts w:ascii="Times New Roman" w:hAnsi="Times New Roman" w:cs="Times New Roman"/>
          <w:b/>
          <w:shd w:val="clear" w:color="auto" w:fill="FFFFFF"/>
        </w:rPr>
      </w:pPr>
    </w:p>
    <w:p w14:paraId="26BD8588" w14:textId="77777777" w:rsidR="008A78D7" w:rsidRPr="00D16DC5" w:rsidRDefault="008A78D7" w:rsidP="00D16DC5">
      <w:pPr>
        <w:spacing w:line="360" w:lineRule="auto"/>
        <w:ind w:left="-426" w:right="43" w:firstLine="426"/>
        <w:jc w:val="both"/>
        <w:rPr>
          <w:rFonts w:ascii="Times New Roman" w:hAnsi="Times New Roman" w:cs="Times New Roman"/>
          <w:sz w:val="28"/>
          <w:szCs w:val="28"/>
          <w:shd w:val="clear" w:color="auto" w:fill="FFFFFF"/>
        </w:rPr>
      </w:pPr>
      <w:r w:rsidRPr="00D16DC5">
        <w:rPr>
          <w:rFonts w:ascii="Times New Roman" w:hAnsi="Times New Roman" w:cs="Times New Roman"/>
          <w:sz w:val="28"/>
          <w:szCs w:val="28"/>
          <w:shd w:val="clear" w:color="auto" w:fill="FFFFFF"/>
        </w:rPr>
        <w:t xml:space="preserve">Финансовый рынок России, наравне с китайским, относится к типу «нарождающихся» рынков. Российский и китайский фондовые рынки ровесники: и в России и в Китае зарождение фондовых рынков пришлось на 1988-1989 гг. Именно тогда в обеих странах фактически одновременно появились первые симптомы возрождения рынка ценных бумаг и его институтов, первые биржи заработали в обеих странах в 1990 году . Тем не менее базовые законы о ценных бумагах в России появились спустя шесть лет, в 1996 году. В России сейчас насчитывается 35 бирж среди них есть товарные, валютные и фондовые, однако опрации с ценными бумагами проводятся лишь на четырёх фондовых:  на ММВБ, РТС, а также — в небольших объемах на «Бирже Санкт-Петербург» и Санкт-Петербургской валютной бирже. </w:t>
      </w:r>
    </w:p>
    <w:p w14:paraId="4FB880A1" w14:textId="77777777" w:rsidR="008A78D7" w:rsidRPr="00D16DC5" w:rsidRDefault="008A78D7" w:rsidP="00D16DC5">
      <w:pPr>
        <w:spacing w:line="360" w:lineRule="auto"/>
        <w:ind w:left="-426" w:right="43" w:firstLine="426"/>
        <w:jc w:val="both"/>
        <w:rPr>
          <w:rFonts w:ascii="Times New Roman" w:hAnsi="Times New Roman" w:cs="Times New Roman"/>
          <w:sz w:val="28"/>
          <w:szCs w:val="28"/>
          <w:shd w:val="clear" w:color="auto" w:fill="FFFFFF"/>
        </w:rPr>
      </w:pPr>
      <w:r w:rsidRPr="00D16DC5">
        <w:rPr>
          <w:rFonts w:ascii="Times New Roman" w:hAnsi="Times New Roman" w:cs="Times New Roman"/>
          <w:sz w:val="28"/>
          <w:szCs w:val="28"/>
          <w:shd w:val="clear" w:color="auto" w:fill="FFFFFF"/>
        </w:rPr>
        <w:t>  Становление биржевого дела в КНР проводилось в соответствии с  так называемой «градуалистской</w:t>
      </w:r>
      <w:r w:rsidRPr="00D16DC5">
        <w:rPr>
          <w:rStyle w:val="apple-converted-space"/>
          <w:sz w:val="28"/>
          <w:szCs w:val="28"/>
          <w:shd w:val="clear" w:color="auto" w:fill="FFFFFF"/>
        </w:rPr>
        <w:t xml:space="preserve"> моделью»</w:t>
      </w:r>
      <w:r w:rsidRPr="00D16DC5">
        <w:rPr>
          <w:rFonts w:ascii="Times New Roman" w:hAnsi="Times New Roman" w:cs="Times New Roman"/>
          <w:sz w:val="28"/>
          <w:szCs w:val="28"/>
          <w:shd w:val="clear" w:color="auto" w:fill="FFFFFF"/>
        </w:rPr>
        <w:t xml:space="preserve"> осмотрительных и взвешенных  усовершенствований, сообразуясь с девизом: «Переходя реку вброд, осторожно ощупываем ногами подводные камни». В 1990 году в Шанхае и Шеньчжэне, в наиболее открытых к внешним контактам регионах Китая ,  были созданы две фондовые биржи. Прежняя английская колония Гонконг стала административным субъектом КНР на особых правах в 1996 году, именно поэтому есть основания считать самую крупную в мире Гонконгскую биржу  китайской. Как в России, так и в Китае, в настоящее время действуют несколько фондовых бирж, однако китайские обладают большим  потенциалом по сравнению с российсими, что можно объяснить  различными темпами развития двух стран.</w:t>
      </w:r>
    </w:p>
    <w:p w14:paraId="742B929A" w14:textId="77777777" w:rsidR="008A78D7" w:rsidRPr="00D16DC5" w:rsidRDefault="008A78D7" w:rsidP="00D16DC5">
      <w:pPr>
        <w:spacing w:line="360" w:lineRule="auto"/>
        <w:ind w:left="-426" w:right="43" w:firstLine="426"/>
        <w:jc w:val="both"/>
        <w:rPr>
          <w:rFonts w:ascii="Times New Roman" w:hAnsi="Times New Roman" w:cs="Times New Roman"/>
          <w:sz w:val="28"/>
          <w:szCs w:val="28"/>
          <w:shd w:val="clear" w:color="auto" w:fill="FFFFFF"/>
        </w:rPr>
      </w:pPr>
      <w:r w:rsidRPr="00D16DC5">
        <w:rPr>
          <w:rFonts w:ascii="Times New Roman" w:hAnsi="Times New Roman" w:cs="Times New Roman"/>
          <w:sz w:val="28"/>
          <w:szCs w:val="28"/>
          <w:shd w:val="clear" w:color="auto" w:fill="FFFFFF"/>
        </w:rPr>
        <w:t>Выделяются несколько ступеней развития рынка ценных бумаг в России:</w:t>
      </w:r>
    </w:p>
    <w:p w14:paraId="46A41049" w14:textId="77777777" w:rsidR="008A78D7" w:rsidRPr="00D16DC5" w:rsidRDefault="008A78D7" w:rsidP="00D16DC5">
      <w:pPr>
        <w:spacing w:line="360" w:lineRule="auto"/>
        <w:ind w:left="-426" w:right="43" w:firstLine="426"/>
        <w:jc w:val="both"/>
        <w:rPr>
          <w:rFonts w:ascii="Times New Roman" w:hAnsi="Times New Roman" w:cs="Times New Roman"/>
          <w:sz w:val="28"/>
          <w:szCs w:val="28"/>
          <w:shd w:val="clear" w:color="auto" w:fill="FFFFFF"/>
        </w:rPr>
      </w:pPr>
      <w:r w:rsidRPr="00D16DC5">
        <w:rPr>
          <w:rFonts w:ascii="Times New Roman" w:hAnsi="Times New Roman" w:cs="Times New Roman"/>
          <w:i/>
          <w:sz w:val="28"/>
          <w:szCs w:val="28"/>
          <w:shd w:val="clear" w:color="auto" w:fill="FFFFFF"/>
        </w:rPr>
        <w:lastRenderedPageBreak/>
        <w:t>Первый этап</w:t>
      </w:r>
      <w:r w:rsidRPr="00D16DC5">
        <w:rPr>
          <w:rFonts w:ascii="Times New Roman" w:hAnsi="Times New Roman" w:cs="Times New Roman"/>
          <w:sz w:val="28"/>
          <w:szCs w:val="28"/>
          <w:shd w:val="clear" w:color="auto" w:fill="FFFFFF"/>
        </w:rPr>
        <w:t xml:space="preserve"> продлился три года в период с 1988 по 1991 гг. Н</w:t>
      </w:r>
      <w:r w:rsidRPr="00D16DC5">
        <w:rPr>
          <w:rFonts w:ascii="Times New Roman" w:hAnsi="Times New Roman" w:cs="Times New Roman"/>
          <w:sz w:val="28"/>
          <w:szCs w:val="28"/>
        </w:rPr>
        <w:t xml:space="preserve">а рынке появляются первые ценные бумаги , законодательная база полностью отсутствовала, тем не менее операции с ценными бумагами проводились.. Такое положение дел оставалось до конца 1992 г. , в России не было ни одного закона,  который бы регулировал фондовый рынок. </w:t>
      </w:r>
    </w:p>
    <w:p w14:paraId="1F11A18E"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В Западной Европе и Северной Америке первые ценные бумаги появились как следствие развития предпринимательства, т.е в результате эволюции. В СССР это произойти просто не могло ,в силу полной централизации  экономики и главенствующей роли государства в ней. Возникновение рынка ценных бумаг на территории России  стало возможным благодаря  правительственному решению —  Совет Министров СССР  выпустил постановление от 15 октября 1988 г. "О выпуске предприятиями и организациями ценных бумаг". Благодаря этому документу государственные предприятия были переведены на полное самофинансирование,  и как следствие получили возможность выпускать долевые ценные бумаги — акции. При этом эмитент оставался государственной собственностью. </w:t>
      </w:r>
    </w:p>
    <w:p w14:paraId="026F80AF"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19 июля 1990 г. Совет Министров СССР  выпустил постановление № 590, в котором утвердил Положение об акционерных обществах и обществах с ограниченной ответственностью и Положение о ценных бумагах. С этого момента  возникает фондовый рынок на территории Советского Союза,  именно благодаря этим Положениям появилась хоть и формальная, но возможность скопления инвестиционных ресурсов на рынке капитала. Возникает первичная нормативная база для развития фондового рынка в России, благодаря тому, что в самом конце 1990 г. Верховный Совет РСФСР принял несколько нормативных актов, также  были утверждены Законы РСФСР "О собственности в РСФСР" и "О предприятиях и предпринимательской деятельности в РСФСР", а также Положение об акционерных обществах. </w:t>
      </w:r>
    </w:p>
    <w:p w14:paraId="0AA8609E"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С утвержденным 28 декабря 1991 г. постановлением Правительства России № 78 Положение о выпуске и обращении ценных бумаг и фондовых биржах в </w:t>
      </w:r>
      <w:r w:rsidRPr="00D16DC5">
        <w:rPr>
          <w:rFonts w:ascii="Times New Roman" w:hAnsi="Times New Roman" w:cs="Times New Roman"/>
          <w:sz w:val="28"/>
          <w:szCs w:val="28"/>
        </w:rPr>
        <w:lastRenderedPageBreak/>
        <w:t xml:space="preserve">РСФСР стало возможным регламентировать порядок  взаимодействия институтов фондового рынка. Данный нормативный акт учитывал российскую специфику и западноевропейский опыт фондового законодательства. В России участниками рынка ценных были признаны любые российские банки.  </w:t>
      </w:r>
    </w:p>
    <w:p w14:paraId="788F32DD"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Если сравнивать с Китаем, то там фондовый рынок начал зарождаться с 1978 по 1992 гг. Также как и в России, на первом этапе не существовало законодательной базы, не было единого органа, который контролировал бы молодой рынок.</w:t>
      </w:r>
    </w:p>
    <w:p w14:paraId="289F323A"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i/>
          <w:sz w:val="28"/>
          <w:szCs w:val="28"/>
        </w:rPr>
        <w:t>Второй этап</w:t>
      </w:r>
      <w:r w:rsidRPr="00D16DC5">
        <w:rPr>
          <w:rFonts w:ascii="Times New Roman" w:hAnsi="Times New Roman" w:cs="Times New Roman"/>
          <w:sz w:val="28"/>
          <w:szCs w:val="28"/>
        </w:rPr>
        <w:t xml:space="preserve"> развития рынка ценных бумаг в России ознаменовался  чековой приватизацией в 1992 году. Все процессы, связанные со становлением фондового рынка, в том числе и процессы приватизации в России, были запущены сверху федеральными властными структурами. Этот этап  охарактеризовался как период необыкновенного оживления и подъема рынка. Он остался в истории как период ваучерной приватизации – на рынке впервые появилась  ликвидная ценная бумага доступная массам, т.е.  ваучер. В это же время появляются государственные ценные бумагит,это становится еще одной причиной активизации деловой активности в российской финансовой сфере . Постановление Совета Министров — Правительства Российской Федерации от 8 февраля 1993 г. №107 заложило законодательные основы выпуска, обращения и погашения данного вида ценных бумаг. </w:t>
      </w:r>
    </w:p>
    <w:p w14:paraId="7E569FA0"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Важнейшим элементом рыночных реформ становится приватизация государственной и муниципальной собственности , проводившихся в России начиная с 1992 г. Именно приватизации государственной собственности позволила насытить фондовый рынок в России сначала приватизационными чеками — первой  массовой и общедоступной ценной бумагой, а затем — акциями приватизированных предприятий. Основным фондовым товаром с 1994 г. становятся акции приватизированных предприятий. </w:t>
      </w:r>
    </w:p>
    <w:p w14:paraId="5C36C50B"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Между покупателями и продавцами ваучеров должны были встать профессиональные участники. Тогда государство инициировало создание </w:t>
      </w:r>
      <w:r w:rsidRPr="00D16DC5">
        <w:rPr>
          <w:rFonts w:ascii="Times New Roman" w:hAnsi="Times New Roman" w:cs="Times New Roman"/>
          <w:sz w:val="28"/>
          <w:szCs w:val="28"/>
        </w:rPr>
        <w:lastRenderedPageBreak/>
        <w:t>чековых инвестиционных фондов (ЧИФов), которые аккумулировали львиную долю ваучеров,  появились первые лицензированные финансовые брокеры и инвестиционные компании. Брокеры служили посредниками, а компании финансировали операции .</w:t>
      </w:r>
    </w:p>
    <w:p w14:paraId="3C322404"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На брокерские фирмы накладывались ограничения, это являлось особенностью российского фондового рынка , в результате этих ограничений только универсальные банки могли полноценно действовать на фоновом рынке ,однако они преследовали  цели, далекие от  поддержки  ликвидности фондового рынка. Необходимо учитывать специфику макроэкономики в России на момент возникновения фондового рынка. Основные черты- это распад нерыночных  связей в экономике страны и гиперинфляция, которая продолжалась 5 лет. Акции в России первой половины 90-х годов  использовались либо как инструмент установления тотального контроля над акционерным обществом, либо как инструмент  для извлечения одноразового дохода от  реализации. Все организации и структуры, которые появились  для работы с ваучером,  тут же исчезли в 1994 году с исчезновением самого ваучера.. Большинство брокерских контор и компаний приказали долго жить. На этом закончился второй этап развития рынка ценных бумаг в России. </w:t>
      </w:r>
    </w:p>
    <w:p w14:paraId="6A9C924E"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i/>
          <w:sz w:val="28"/>
          <w:szCs w:val="28"/>
        </w:rPr>
        <w:t>Третий этап</w:t>
      </w:r>
      <w:r w:rsidRPr="00D16DC5">
        <w:rPr>
          <w:rFonts w:ascii="Times New Roman" w:hAnsi="Times New Roman" w:cs="Times New Roman"/>
          <w:sz w:val="28"/>
          <w:szCs w:val="28"/>
        </w:rPr>
        <w:t xml:space="preserve"> начинается как период спада и постепенно переходит в состояние застоя. Стагнация продолжается вплоть до второй половины 1995 г. Период спада несомненно был связан с уничтожением ваучера, но также были факторы, которые привели  к застойным явлениям на рынке ценных бумаг, это касается рекламных кампаний ЧИФов и других АО, которые обещали огромные дивиденды, подрывая тем самым веру большинства населения в ценные бумаги, так как ни одна из этих компаний свои обещания не выполнила. Утечка капитала, несовершенная законодательная база, предпочтение населения вкладывать свои сбережения в доллары США,а не в ценные бумаги-все это    сыграло свою отрицательную роль . </w:t>
      </w:r>
    </w:p>
    <w:p w14:paraId="13A5A6E9"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lastRenderedPageBreak/>
        <w:t xml:space="preserve">Этот период длился практически до второй половины 1995 г., затем появились е достаточно привлекательные ценные бумаги, в первую очередь ГКО и ОГСЗ (облигаций Государственного сберегательного займа). </w:t>
      </w:r>
    </w:p>
    <w:p w14:paraId="5500F3B0"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i/>
          <w:sz w:val="28"/>
          <w:szCs w:val="28"/>
        </w:rPr>
        <w:t>Четвертый этап</w:t>
      </w:r>
      <w:r w:rsidRPr="00D16DC5">
        <w:rPr>
          <w:rFonts w:ascii="Times New Roman" w:hAnsi="Times New Roman" w:cs="Times New Roman"/>
          <w:sz w:val="28"/>
          <w:szCs w:val="28"/>
        </w:rPr>
        <w:t xml:space="preserve"> – начинается в 1997 г. с вступления в силу одного из основополагающих гражданско-правовых актов - Гражданского кодекса Российской Федерации. В нем были установлены принципы образования акционерного общества ,его функционирования,  обращения акций, выплаты дивидендов. Этот момент стал переломным в процессе формирования современной законодательной базы функционирования фондового рынка России.    В этом документе были выведены такие термины "ценная бумага", четко определена специфика выпуска ЦБ, а также сконцентрировано внимание на процедурах обращения и передачи прав собственности ценных бумаг. Кроме этого, были приняты федеральные законы, которые четко регулировали  отношения на рынке ценных бумаг. К их числу относятся: Федеральный закон "06 акционерных обществах" от 26 декабря 1995 г. № 208-ФЗ, Федеральный закон "О рынке ценных бумаг" от 22 апреля 1996 г. № 39-ФЗ, он определял типы профессиональной деятельности на фондовой бирже и игроков рынка ценных бумаг, а также выводил на сцену  регулятора Федеральной комиссии по рынку ценных бумаг (ФКЦБ); и др. </w:t>
      </w:r>
    </w:p>
    <w:p w14:paraId="209185E0"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В результате всех вышеперечисленных действий ,в России был создан государственный институт, его роль состояла в регулировании всей деятельности фондового рынка — Федеральная комиссия по рынку ценных бумаг (ФКЦБ). Несмотря на создание такого органа, деятельность коммерческих банков на российском рынке ценных бумаг продолжала  регулироваться  Центральным банком. Возник острый конфликт между двумя структурами в результате задержки выдачи генеральной лицензии Банку России на операции с ценными бумагами, эту процедуру всячески затягивал  ФКЦБ.. Из-за того, что  полностью отсутствовали  границы в  сфере регулирования обоих госорганов, между крупными игроками фондового рынка </w:t>
      </w:r>
      <w:r w:rsidRPr="00D16DC5">
        <w:rPr>
          <w:rFonts w:ascii="Times New Roman" w:hAnsi="Times New Roman" w:cs="Times New Roman"/>
          <w:sz w:val="28"/>
          <w:szCs w:val="28"/>
        </w:rPr>
        <w:lastRenderedPageBreak/>
        <w:t xml:space="preserve">возникла напряженность ,что сильно препятствовала слаженным действиям по контролю и регулированию процессов, которые происходили на российском рынке ценных бумаг в то время. </w:t>
      </w:r>
    </w:p>
    <w:p w14:paraId="09C99B2D" w14:textId="77777777" w:rsidR="008A78D7" w:rsidRPr="00D16DC5" w:rsidRDefault="008A78D7" w:rsidP="00D16DC5">
      <w:pPr>
        <w:spacing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17 августа 1998 года грянул дефолт внутреннему государственному долгу, он лишний раз показал, что мирового опыта  в регулировании рынков ценных бумаг недостаточно для того, чтобы инвестиции хлынули ,создавая фондовый подъем. На рынке практически отсутствовали отечественные инвесторы-вот главная слабость рынка ЦБ РФ, которую выявил дефолт 1998 г..</w:t>
      </w:r>
    </w:p>
    <w:p w14:paraId="1652B4B0" w14:textId="77777777" w:rsidR="008A78D7" w:rsidRP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bCs/>
          <w:i/>
          <w:sz w:val="28"/>
          <w:szCs w:val="28"/>
        </w:rPr>
        <w:t>Пятый этап</w:t>
      </w:r>
      <w:r w:rsidRPr="00D16DC5">
        <w:rPr>
          <w:rFonts w:ascii="Times New Roman" w:hAnsi="Times New Roman" w:cs="Times New Roman"/>
          <w:bCs/>
          <w:sz w:val="28"/>
          <w:szCs w:val="28"/>
        </w:rPr>
        <w:t xml:space="preserve"> длится семь лет с 2000 .по 2007 гг.</w:t>
      </w:r>
      <w:r w:rsidRPr="00D16DC5">
        <w:rPr>
          <w:rFonts w:ascii="Times New Roman" w:hAnsi="Times New Roman" w:cs="Times New Roman"/>
          <w:sz w:val="28"/>
          <w:szCs w:val="28"/>
        </w:rPr>
        <w:t> В конце 2000 г. наметился резкий взлет ликвидности рынка, а затем пошли вверх  индексы РТС и ММВБ. Если сравнивать показатели индексов РТС на последний рабочий день 2007 года (он стоял на отметке 2290,51 пункта) и ММВБ (он находился на отметке 1888,86 пункта ) с  итогами 2000 — 2007 гг., то можно заметить, что индекс РТС вырос на 1279,54% , а  индекс ММВБ вырос на 1014,10% .</w:t>
      </w:r>
    </w:p>
    <w:p w14:paraId="7DEA8546" w14:textId="77777777" w:rsidR="008A78D7" w:rsidRP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Важным событием на пути развития  фондового рынка на этом этапе стало использование фондовым рынком ММВБ системы интернет-трейдинга. Следовательно для проведения торгов больше не требовалось специально обустроенного рабочего места, а значит, эта система открывала прямой доступ частных инвесторов к торговле ЦБ. Был создан рынок  РЕПО по операциям с корпоративными ценными бумагами, что позволило построить систему маржинальной торговли-это еще одно глобальное событие в развитии рынка ЦБ. Это мгновенно отразилось на графиках основных показателей ММВБ.  Качественные изменения также на замедлили сказаться  на рынке, проглядывалась следующая тенденция:   российскими компаниями, которые работали в  реальном секторе экономики фондовый рынок наконец стал рассматриваться как  механизм привлечения капитала. Главным инструментом привлечения инвестиций стал выпуск  рублевых корпоративных облигаций с первичным размещением и вторичным рынком на ММВБ.</w:t>
      </w:r>
    </w:p>
    <w:p w14:paraId="32C28057" w14:textId="77777777" w:rsid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lastRenderedPageBreak/>
        <w:t>2006 и 2007 годы  – это «золотая эра»  в сфере корпоративных облигаций. В начале 2000 г. на рынке было около 10 компаний с облигационными займами, то середину 2008 г. их число выросло до 463. Необходимо помнить что на предприятие, которое осуществляло эмиссию корпоративных облигаций, накладывались обязательства не только по их обслуживанию, эти предприятия должны были быть готовы раскрыть полную информацию о своей деятельности, т.е стать абсолютно прозрачными. В некотором смысле эмиссия облигаций  рассматривалась как предыдущая ступень перед проведением компании первичного открытого размещения акций (IPO). В этот период развития рынка акций   проявилась независимость российского рынка от настроений иностранных инвесторов-это очень существенное отличие данного этапа от предыдущих. Фактически до 2003 г.  у российского рынка не было «своего почерка». Но уже с 2003 г. рынок  полностью самоидентифицировался, о чем свидетельствует возросшая роль на российском рынке отечественных инвесторов.</w:t>
      </w:r>
    </w:p>
    <w:p w14:paraId="2907B742" w14:textId="6AC26564" w:rsidR="008A78D7" w:rsidRP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w:t>
      </w:r>
      <w:r w:rsidRPr="00D16DC5">
        <w:rPr>
          <w:rFonts w:ascii="Times New Roman" w:hAnsi="Times New Roman" w:cs="Times New Roman"/>
          <w:sz w:val="28"/>
          <w:szCs w:val="28"/>
        </w:rPr>
        <w:br/>
        <w:t>     </w:t>
      </w:r>
      <w:r w:rsidRPr="00D16DC5">
        <w:rPr>
          <w:rFonts w:ascii="Times New Roman" w:hAnsi="Times New Roman" w:cs="Times New Roman"/>
          <w:bCs/>
          <w:i/>
          <w:sz w:val="28"/>
          <w:szCs w:val="28"/>
        </w:rPr>
        <w:t>Мировой финансовый кризис 2008 года и посткризисный период</w:t>
      </w:r>
      <w:r w:rsidRPr="00D16DC5">
        <w:rPr>
          <w:rFonts w:ascii="Times New Roman" w:hAnsi="Times New Roman" w:cs="Times New Roman"/>
          <w:b/>
          <w:bCs/>
          <w:sz w:val="28"/>
          <w:szCs w:val="28"/>
        </w:rPr>
        <w:t>.</w:t>
      </w:r>
      <w:r w:rsidRPr="00D16DC5">
        <w:rPr>
          <w:rFonts w:ascii="Times New Roman" w:hAnsi="Times New Roman" w:cs="Times New Roman"/>
          <w:sz w:val="28"/>
          <w:szCs w:val="28"/>
        </w:rPr>
        <w:t> </w:t>
      </w:r>
    </w:p>
    <w:p w14:paraId="280E16F3" w14:textId="77777777" w:rsidR="008A78D7" w:rsidRP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В 2008 г. российский рынок ценных бумаг находился в глубокой депрессии в связи с разразившимися  финансовым и экономическим кризисами, позитивную направленность, которая наблюдалась в 2000 — 2007 гг., сменила глубокая рецессия во всех сегментах рынка. Таким образом, 2008 год разделился на два этапа. Первый продлился с января по август 2008 г. Этот этап характеризовался инерционным развитием. С сентября по декабрь  2008 г.) обрушился финансовый кризис, что  не могло не привести российский рынок ценных бумаг к  радикальным изменениям .Предпринятые меры по стабилизации  ситуации, возникшей в результате финансового кризиса,   были растеряны объективные ценовые ориентиры, многие рыночные показатели зашкаливали и не отражали реальные рыночные параметры.</w:t>
      </w:r>
    </w:p>
    <w:p w14:paraId="3F93360E" w14:textId="77777777" w:rsidR="008A78D7" w:rsidRP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lastRenderedPageBreak/>
        <w:t>Скатились вниз основные фондовые индексы: доходность  по сводным таблицам для индекса РТС составила минус 71,4%(в % годовых), а для индекса ММВБ – минус 66,5%.  Все отраслевые индексы также показали отрицательную доходность. Больше всего пострадала промышленность,  падение  по индексам промышленности (минус 85%) было самым существенным. Увеличилась волатильность фондовых индексов в три раза, возникла их разбалансированность. Глобальный финансовый и экономический кризис повлек за собой  кардинальное изменение вектора развития рынка В конце 2008 года миновала  острая фаза кризиса и рынок начал потихоньку восстанавливаться, в течение 2009 г.   большая часть потерь предыдущего года была компенсирована. Но еще до сих пор основным показателям  еще далеко до докризисного уровня.</w:t>
      </w:r>
    </w:p>
    <w:p w14:paraId="0D8D7F65" w14:textId="77777777" w:rsidR="008A78D7" w:rsidRP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В марте 2009 года начинается резкий взлет основных фондовых индексов . Так по сводным индексам  «первого эшелона» доходность составила: индекс РТС – 128%,(% годовых), индекс ММВБ – 121%. Индекс РТС-2(акции «второго эшелона») показал доходность еще выше – 160%. Среди отраслевых индексов стремительно росли индексы потребительских товаров и розничной торговли (индекс RTS cr – 230%) , а также большой рост показали индексы металлургической промышленности (индекс MICEX M&amp;M – 212%). Медленнее шло восстановление нефтегазового сектора (индекс RTS og – 93%). Индексы  акций компаний малой  капитализации показали самую высокую доходность– индекс MICEX SC – 199%. Индексы корпоративных облигаций MICEX CBI TR и IFX-CBOND показали похожее поведение. </w:t>
      </w:r>
    </w:p>
    <w:p w14:paraId="085D0409" w14:textId="77777777" w:rsidR="008A78D7" w:rsidRP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2010 год оказался неожиданным для фондового рынка России . Начало было очень позитивным, и игроки подумали, что естественное продолжение роста 2009 г. Однако оптимизм быстро спал. Восстановление российской экономики шло очень медленно, возникли глобальные кризисные проблемы, что было очень негативно воспринято  инвесторами, в результате  рынок залихорадило. Несмотря на сложности к концу года рынок подошел на оптимистичной ноте. </w:t>
      </w:r>
      <w:r w:rsidRPr="00D16DC5">
        <w:rPr>
          <w:rFonts w:ascii="Times New Roman" w:hAnsi="Times New Roman" w:cs="Times New Roman"/>
          <w:sz w:val="28"/>
          <w:szCs w:val="28"/>
        </w:rPr>
        <w:lastRenderedPageBreak/>
        <w:t>Инвесторы привыкли к рискам и даже почувсвовали вкус к торговле в условиях ралли, их настроения улучшились, пошли вверх цены на сырье  , также улучшились перспективы на внутреннем рынке. Все это подняло индексы до докризисных пиков. Индекс РТС за год увеличился на 22,54% до 1770,28 пункта, индекс ММВБ – на 23,21%  до 1687,99 пункта.</w:t>
      </w:r>
    </w:p>
    <w:p w14:paraId="7370858A" w14:textId="77777777" w:rsidR="008A78D7" w:rsidRPr="00D16DC5" w:rsidRDefault="008A78D7" w:rsidP="00D16DC5">
      <w:pPr>
        <w:shd w:val="clear" w:color="auto" w:fill="FFFFFF"/>
        <w:spacing w:before="30" w:after="30" w:line="360" w:lineRule="auto"/>
        <w:ind w:left="-426" w:right="43" w:firstLine="426"/>
        <w:jc w:val="both"/>
        <w:rPr>
          <w:rFonts w:ascii="Times New Roman" w:hAnsi="Times New Roman" w:cs="Times New Roman"/>
          <w:sz w:val="28"/>
          <w:szCs w:val="28"/>
        </w:rPr>
      </w:pPr>
      <w:r w:rsidRPr="00D16DC5">
        <w:rPr>
          <w:rFonts w:ascii="Times New Roman" w:hAnsi="Times New Roman" w:cs="Times New Roman"/>
          <w:sz w:val="28"/>
          <w:szCs w:val="28"/>
        </w:rPr>
        <w:t>Значимый вес в отечественных индексах имеет банковский сектор: 16,4% в индексе ММВБ и 17,6% в индексе РТС. Неудивительно ,что влияние на российские индексы банковского сектора оказалось позитивным . Возможная скорая  приватизация госпакетов Сбербанка и банка ВТБ в 2011 г. стала стимуляцией для роста акций, это позволила индексам взлететь к своим максимумам. Ощутим вес  металлургии в индексах (вес в индексе ММВБ – 19,31%, в индексе РТС – 15,78%). Зафиксированные в долларах США цены на металлы вернулись к своим докризисным значениям, в то время как основные издержки отечественных металлургов рассчитываются в подешевевших рублях. Акции металлургических компаний вернулись на докризисные  максимумы, и даже несмотря на это, в секторе по-прежнему сохраняется тенденция к  росту. А вот нефтегазовый сектор переживает не лучшие времена, причиной этому служит российское налогообложение, которое сдерживает развитие этого сектора. К тому же  интерес к этой отрасли сильно ослаб у западных инвесторов, по сравнению с 2000 годом, когда  наблюдался острый стратегический интерес к российской нефтегазовой отрасли со стороны западных инвесторов.</w:t>
      </w:r>
    </w:p>
    <w:p w14:paraId="3EBFE8C8" w14:textId="0BA3425A" w:rsidR="008A78D7" w:rsidRPr="00D16DC5" w:rsidRDefault="00D16DC5" w:rsidP="00D16DC5">
      <w:pPr>
        <w:widowControl w:val="0"/>
        <w:autoSpaceDE w:val="0"/>
        <w:autoSpaceDN w:val="0"/>
        <w:adjustRightInd w:val="0"/>
        <w:spacing w:line="360" w:lineRule="auto"/>
        <w:ind w:left="-426" w:right="43" w:firstLine="426"/>
        <w:jc w:val="both"/>
        <w:rPr>
          <w:rFonts w:ascii="Times New Roman" w:hAnsi="Times New Roman" w:cs="Times New Roman"/>
          <w:sz w:val="28"/>
          <w:szCs w:val="28"/>
        </w:rPr>
      </w:pPr>
      <w:r>
        <w:rPr>
          <w:rFonts w:ascii="Times New Roman" w:hAnsi="Times New Roman" w:cs="Times New Roman"/>
          <w:sz w:val="28"/>
          <w:szCs w:val="28"/>
        </w:rPr>
        <w:t>Можно резюмировать</w:t>
      </w:r>
      <w:r w:rsidR="008A78D7" w:rsidRPr="00D16DC5">
        <w:rPr>
          <w:rFonts w:ascii="Times New Roman" w:hAnsi="Times New Roman" w:cs="Times New Roman"/>
          <w:sz w:val="28"/>
          <w:szCs w:val="28"/>
        </w:rPr>
        <w:t>, что при относительно одинаковых условиях старта, финансовые рынки России и Китая  подошли на данный момент с разными результатами.</w:t>
      </w:r>
    </w:p>
    <w:p w14:paraId="607BC40C" w14:textId="05D5C5D0" w:rsidR="008A78D7" w:rsidRPr="00D16DC5" w:rsidRDefault="008A78D7" w:rsidP="00D16DC5">
      <w:pPr>
        <w:widowControl w:val="0"/>
        <w:autoSpaceDE w:val="0"/>
        <w:autoSpaceDN w:val="0"/>
        <w:adjustRightInd w:val="0"/>
        <w:spacing w:line="360" w:lineRule="auto"/>
        <w:ind w:right="43"/>
        <w:jc w:val="both"/>
        <w:rPr>
          <w:rFonts w:ascii="Times New Roman" w:hAnsi="Times New Roman" w:cs="Times New Roman"/>
          <w:sz w:val="28"/>
          <w:szCs w:val="28"/>
        </w:rPr>
      </w:pPr>
      <w:r w:rsidRPr="00D16DC5">
        <w:rPr>
          <w:rFonts w:ascii="Times New Roman" w:hAnsi="Times New Roman" w:cs="Times New Roman"/>
          <w:sz w:val="28"/>
          <w:szCs w:val="28"/>
        </w:rPr>
        <w:t>Итоги развития национальных фондовых рынков представлены в та</w:t>
      </w:r>
      <w:r w:rsidR="00D16DC5" w:rsidRPr="00D16DC5">
        <w:rPr>
          <w:rFonts w:ascii="Times New Roman" w:hAnsi="Times New Roman" w:cs="Times New Roman"/>
          <w:sz w:val="28"/>
          <w:szCs w:val="28"/>
        </w:rPr>
        <w:t>блице 16</w:t>
      </w:r>
      <w:r w:rsidRPr="00D16DC5">
        <w:rPr>
          <w:rFonts w:ascii="Times New Roman" w:hAnsi="Times New Roman" w:cs="Times New Roman"/>
          <w:sz w:val="28"/>
          <w:szCs w:val="28"/>
        </w:rPr>
        <w:t>.</w:t>
      </w:r>
    </w:p>
    <w:p w14:paraId="68ED6622" w14:textId="77777777" w:rsidR="008A78D7" w:rsidRPr="00D16DC5" w:rsidRDefault="008A78D7" w:rsidP="00D16DC5">
      <w:pPr>
        <w:widowControl w:val="0"/>
        <w:autoSpaceDE w:val="0"/>
        <w:autoSpaceDN w:val="0"/>
        <w:adjustRightInd w:val="0"/>
        <w:spacing w:line="360" w:lineRule="auto"/>
        <w:ind w:right="-631"/>
        <w:jc w:val="both"/>
        <w:rPr>
          <w:rFonts w:ascii="Times New Roman" w:hAnsi="Times New Roman" w:cs="Times New Roman"/>
          <w:sz w:val="28"/>
          <w:szCs w:val="28"/>
        </w:rPr>
      </w:pPr>
    </w:p>
    <w:p w14:paraId="071CEF08" w14:textId="135D9010" w:rsidR="008A78D7" w:rsidRPr="00D16DC5" w:rsidRDefault="00D16DC5" w:rsidP="00D16DC5">
      <w:pPr>
        <w:widowControl w:val="0"/>
        <w:autoSpaceDE w:val="0"/>
        <w:autoSpaceDN w:val="0"/>
        <w:adjustRightInd w:val="0"/>
        <w:spacing w:line="360" w:lineRule="auto"/>
        <w:ind w:left="-426" w:right="-631" w:firstLine="426"/>
        <w:jc w:val="both"/>
        <w:rPr>
          <w:rFonts w:ascii="Times New Roman" w:hAnsi="Times New Roman" w:cs="Times New Roman"/>
          <w:sz w:val="28"/>
          <w:szCs w:val="28"/>
        </w:rPr>
      </w:pPr>
      <w:r w:rsidRPr="00D16DC5">
        <w:rPr>
          <w:rFonts w:ascii="Times New Roman" w:hAnsi="Times New Roman" w:cs="Times New Roman"/>
          <w:sz w:val="28"/>
          <w:szCs w:val="28"/>
        </w:rPr>
        <w:t>Таблица 16</w:t>
      </w:r>
      <w:r w:rsidR="008A78D7" w:rsidRPr="00D16DC5">
        <w:rPr>
          <w:rFonts w:ascii="Times New Roman" w:hAnsi="Times New Roman" w:cs="Times New Roman"/>
          <w:sz w:val="28"/>
          <w:szCs w:val="28"/>
        </w:rPr>
        <w:t>. Сравнение фондового рынка России и Китая (на начало 2012 г.)</w:t>
      </w:r>
    </w:p>
    <w:tbl>
      <w:tblPr>
        <w:tblStyle w:val="TableGrid"/>
        <w:tblW w:w="0" w:type="auto"/>
        <w:tblLook w:val="04A0" w:firstRow="1" w:lastRow="0" w:firstColumn="1" w:lastColumn="0" w:noHBand="0" w:noVBand="1"/>
      </w:tblPr>
      <w:tblGrid>
        <w:gridCol w:w="2838"/>
        <w:gridCol w:w="2839"/>
        <w:gridCol w:w="2839"/>
      </w:tblGrid>
      <w:tr w:rsidR="008A78D7" w:rsidRPr="00DB019B" w14:paraId="6539B7C9" w14:textId="77777777" w:rsidTr="008A78D7">
        <w:tc>
          <w:tcPr>
            <w:tcW w:w="2838" w:type="dxa"/>
          </w:tcPr>
          <w:p w14:paraId="7C0AC43E"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lastRenderedPageBreak/>
              <w:t>Показатель</w:t>
            </w:r>
          </w:p>
        </w:tc>
        <w:tc>
          <w:tcPr>
            <w:tcW w:w="2839" w:type="dxa"/>
            <w:vAlign w:val="center"/>
          </w:tcPr>
          <w:p w14:paraId="44178385"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Россия</w:t>
            </w:r>
          </w:p>
        </w:tc>
        <w:tc>
          <w:tcPr>
            <w:tcW w:w="2839" w:type="dxa"/>
            <w:vAlign w:val="center"/>
          </w:tcPr>
          <w:p w14:paraId="551D6F0A"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Китай</w:t>
            </w:r>
          </w:p>
        </w:tc>
      </w:tr>
      <w:tr w:rsidR="008A78D7" w:rsidRPr="00DB019B" w14:paraId="054DD548" w14:textId="77777777" w:rsidTr="008A78D7">
        <w:tc>
          <w:tcPr>
            <w:tcW w:w="2838" w:type="dxa"/>
          </w:tcPr>
          <w:p w14:paraId="724C7C19" w14:textId="77777777" w:rsidR="008A78D7" w:rsidRPr="00DB019B" w:rsidRDefault="008A78D7" w:rsidP="008A78D7">
            <w:pPr>
              <w:widowControl w:val="0"/>
              <w:autoSpaceDE w:val="0"/>
              <w:autoSpaceDN w:val="0"/>
              <w:adjustRightInd w:val="0"/>
              <w:jc w:val="both"/>
              <w:rPr>
                <w:rFonts w:ascii="Times New Roman" w:hAnsi="Times New Roman" w:cs="Times New Roman"/>
                <w:sz w:val="24"/>
                <w:szCs w:val="24"/>
              </w:rPr>
            </w:pPr>
            <w:r w:rsidRPr="00DB019B">
              <w:rPr>
                <w:rFonts w:ascii="Times New Roman" w:hAnsi="Times New Roman" w:cs="Times New Roman"/>
                <w:sz w:val="24"/>
                <w:szCs w:val="24"/>
              </w:rPr>
              <w:t>Капитализация рынка ценных бумаг</w:t>
            </w:r>
          </w:p>
        </w:tc>
        <w:tc>
          <w:tcPr>
            <w:tcW w:w="2839" w:type="dxa"/>
            <w:vAlign w:val="center"/>
          </w:tcPr>
          <w:p w14:paraId="7B41C25D" w14:textId="175324E4" w:rsidR="008A78D7" w:rsidRPr="00D16DC5" w:rsidRDefault="008A78D7" w:rsidP="008A78D7">
            <w:pPr>
              <w:widowControl w:val="0"/>
              <w:autoSpaceDE w:val="0"/>
              <w:autoSpaceDN w:val="0"/>
              <w:adjustRightInd w:val="0"/>
              <w:ind w:firstLine="284"/>
              <w:jc w:val="both"/>
              <w:rPr>
                <w:rFonts w:ascii="Times New Roman" w:hAnsi="Times New Roman" w:cs="Times New Roman"/>
                <w:sz w:val="24"/>
                <w:szCs w:val="24"/>
                <w:lang w:val="ru-RU"/>
              </w:rPr>
            </w:pPr>
            <w:r w:rsidRPr="00DB019B">
              <w:rPr>
                <w:rFonts w:ascii="Times New Roman" w:hAnsi="Times New Roman" w:cs="Times New Roman"/>
                <w:sz w:val="24"/>
                <w:szCs w:val="24"/>
              </w:rPr>
              <w:t>0,9 трл.</w:t>
            </w:r>
            <w:r w:rsidR="00D16DC5">
              <w:rPr>
                <w:rFonts w:ascii="Times New Roman" w:hAnsi="Times New Roman" w:cs="Times New Roman"/>
                <w:sz w:val="24"/>
                <w:szCs w:val="24"/>
              </w:rPr>
              <w:t xml:space="preserve"> </w:t>
            </w:r>
            <w:r w:rsidR="00D16DC5">
              <w:rPr>
                <w:rFonts w:ascii="Times New Roman" w:hAnsi="Times New Roman" w:cs="Times New Roman"/>
                <w:sz w:val="24"/>
                <w:szCs w:val="24"/>
                <w:lang w:val="ru-RU"/>
              </w:rPr>
              <w:t>долл.</w:t>
            </w:r>
          </w:p>
        </w:tc>
        <w:tc>
          <w:tcPr>
            <w:tcW w:w="2839" w:type="dxa"/>
            <w:vAlign w:val="center"/>
          </w:tcPr>
          <w:p w14:paraId="24CA7095" w14:textId="32642789"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3,2 трл.</w:t>
            </w:r>
            <w:r w:rsidR="00D16DC5">
              <w:rPr>
                <w:rFonts w:ascii="Times New Roman" w:hAnsi="Times New Roman" w:cs="Times New Roman"/>
                <w:sz w:val="24"/>
                <w:szCs w:val="24"/>
              </w:rPr>
              <w:t xml:space="preserve"> долл.</w:t>
            </w:r>
          </w:p>
        </w:tc>
      </w:tr>
      <w:tr w:rsidR="008A78D7" w:rsidRPr="00DB019B" w14:paraId="2138238D" w14:textId="77777777" w:rsidTr="008A78D7">
        <w:tc>
          <w:tcPr>
            <w:tcW w:w="2838" w:type="dxa"/>
          </w:tcPr>
          <w:p w14:paraId="15FBD3C5" w14:textId="77777777" w:rsidR="008A78D7" w:rsidRPr="00DB019B" w:rsidRDefault="008A78D7" w:rsidP="008A78D7">
            <w:pPr>
              <w:widowControl w:val="0"/>
              <w:autoSpaceDE w:val="0"/>
              <w:autoSpaceDN w:val="0"/>
              <w:adjustRightInd w:val="0"/>
              <w:jc w:val="both"/>
              <w:rPr>
                <w:rFonts w:ascii="Times New Roman" w:hAnsi="Times New Roman" w:cs="Times New Roman"/>
                <w:sz w:val="24"/>
                <w:szCs w:val="24"/>
              </w:rPr>
            </w:pPr>
            <w:r w:rsidRPr="00DB019B">
              <w:rPr>
                <w:rFonts w:ascii="Times New Roman" w:hAnsi="Times New Roman" w:cs="Times New Roman"/>
                <w:sz w:val="24"/>
                <w:szCs w:val="24"/>
              </w:rPr>
              <w:t>Количество компаний, прошедших листинг</w:t>
            </w:r>
          </w:p>
        </w:tc>
        <w:tc>
          <w:tcPr>
            <w:tcW w:w="2839" w:type="dxa"/>
            <w:vAlign w:val="center"/>
          </w:tcPr>
          <w:p w14:paraId="78F7F146"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ММВБ      224</w:t>
            </w:r>
          </w:p>
          <w:p w14:paraId="5AEFF9EC"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РТС           89</w:t>
            </w:r>
          </w:p>
        </w:tc>
        <w:tc>
          <w:tcPr>
            <w:tcW w:w="2839" w:type="dxa"/>
            <w:vAlign w:val="center"/>
          </w:tcPr>
          <w:p w14:paraId="4353B75D"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Shanghai SE      866</w:t>
            </w:r>
          </w:p>
          <w:p w14:paraId="7DAE4273" w14:textId="77777777" w:rsidR="008A78D7" w:rsidRPr="00DB019B" w:rsidRDefault="008A78D7" w:rsidP="008A78D7">
            <w:pPr>
              <w:widowControl w:val="0"/>
              <w:autoSpaceDE w:val="0"/>
              <w:autoSpaceDN w:val="0"/>
              <w:adjustRightInd w:val="0"/>
              <w:ind w:firstLine="284"/>
              <w:jc w:val="both"/>
              <w:rPr>
                <w:rFonts w:ascii="Times New Roman" w:eastAsia="SimSun" w:hAnsi="Times New Roman" w:cs="Times New Roman"/>
                <w:sz w:val="24"/>
                <w:szCs w:val="24"/>
                <w:lang w:eastAsia="zh-CN"/>
              </w:rPr>
            </w:pPr>
            <w:r w:rsidRPr="00DB019B">
              <w:rPr>
                <w:rFonts w:ascii="Times New Roman" w:eastAsia="SimSun" w:hAnsi="Times New Roman" w:cs="Times New Roman"/>
                <w:sz w:val="24"/>
                <w:szCs w:val="24"/>
                <w:lang w:eastAsia="zh-CN"/>
              </w:rPr>
              <w:t>Shenzhen SE     670</w:t>
            </w:r>
          </w:p>
        </w:tc>
      </w:tr>
      <w:tr w:rsidR="008A78D7" w:rsidRPr="00DB019B" w14:paraId="468DD00C" w14:textId="77777777" w:rsidTr="008A78D7">
        <w:tc>
          <w:tcPr>
            <w:tcW w:w="2838" w:type="dxa"/>
          </w:tcPr>
          <w:p w14:paraId="01B88FC0" w14:textId="77777777" w:rsidR="008A78D7" w:rsidRPr="00DB019B" w:rsidRDefault="008A78D7" w:rsidP="008A78D7">
            <w:pPr>
              <w:widowControl w:val="0"/>
              <w:autoSpaceDE w:val="0"/>
              <w:autoSpaceDN w:val="0"/>
              <w:adjustRightInd w:val="0"/>
              <w:jc w:val="both"/>
              <w:rPr>
                <w:rFonts w:ascii="Times New Roman" w:hAnsi="Times New Roman" w:cs="Times New Roman"/>
                <w:sz w:val="24"/>
                <w:szCs w:val="24"/>
              </w:rPr>
            </w:pPr>
            <w:r w:rsidRPr="00DB019B">
              <w:rPr>
                <w:rFonts w:ascii="Times New Roman" w:hAnsi="Times New Roman" w:cs="Times New Roman"/>
                <w:sz w:val="24"/>
                <w:szCs w:val="24"/>
              </w:rPr>
              <w:t>Количество индивидуальных инвесторов на рынке</w:t>
            </w:r>
          </w:p>
        </w:tc>
        <w:tc>
          <w:tcPr>
            <w:tcW w:w="2839" w:type="dxa"/>
            <w:vAlign w:val="center"/>
          </w:tcPr>
          <w:p w14:paraId="206F5CB8"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500 тыс. чел.</w:t>
            </w:r>
          </w:p>
        </w:tc>
        <w:tc>
          <w:tcPr>
            <w:tcW w:w="2839" w:type="dxa"/>
            <w:vAlign w:val="center"/>
          </w:tcPr>
          <w:p w14:paraId="6B44B983"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138 млн. чел.</w:t>
            </w:r>
          </w:p>
        </w:tc>
      </w:tr>
      <w:tr w:rsidR="008A78D7" w:rsidRPr="00DB019B" w14:paraId="412CF06C" w14:textId="77777777" w:rsidTr="008A78D7">
        <w:tc>
          <w:tcPr>
            <w:tcW w:w="2838" w:type="dxa"/>
          </w:tcPr>
          <w:p w14:paraId="49734722" w14:textId="77777777" w:rsidR="008A78D7" w:rsidRPr="00DB019B" w:rsidRDefault="008A78D7" w:rsidP="008A78D7">
            <w:pPr>
              <w:widowControl w:val="0"/>
              <w:autoSpaceDE w:val="0"/>
              <w:autoSpaceDN w:val="0"/>
              <w:adjustRightInd w:val="0"/>
              <w:jc w:val="both"/>
              <w:rPr>
                <w:rFonts w:ascii="Times New Roman" w:hAnsi="Times New Roman" w:cs="Times New Roman"/>
                <w:sz w:val="24"/>
                <w:szCs w:val="24"/>
              </w:rPr>
            </w:pPr>
            <w:r w:rsidRPr="00DB019B">
              <w:rPr>
                <w:rFonts w:ascii="Times New Roman" w:hAnsi="Times New Roman" w:cs="Times New Roman"/>
                <w:sz w:val="24"/>
                <w:szCs w:val="24"/>
              </w:rPr>
              <w:t>ВВП страны</w:t>
            </w:r>
          </w:p>
        </w:tc>
        <w:tc>
          <w:tcPr>
            <w:tcW w:w="2839" w:type="dxa"/>
            <w:vAlign w:val="center"/>
          </w:tcPr>
          <w:p w14:paraId="667CB6F8"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$1,3 трл.</w:t>
            </w:r>
          </w:p>
        </w:tc>
        <w:tc>
          <w:tcPr>
            <w:tcW w:w="2839" w:type="dxa"/>
            <w:vAlign w:val="center"/>
          </w:tcPr>
          <w:p w14:paraId="59843D35" w14:textId="77777777" w:rsidR="008A78D7" w:rsidRPr="00DB019B" w:rsidRDefault="008A78D7" w:rsidP="008A78D7">
            <w:pPr>
              <w:widowControl w:val="0"/>
              <w:autoSpaceDE w:val="0"/>
              <w:autoSpaceDN w:val="0"/>
              <w:adjustRightInd w:val="0"/>
              <w:ind w:firstLine="284"/>
              <w:jc w:val="both"/>
              <w:rPr>
                <w:rFonts w:ascii="Times New Roman" w:hAnsi="Times New Roman" w:cs="Times New Roman"/>
                <w:sz w:val="24"/>
                <w:szCs w:val="24"/>
              </w:rPr>
            </w:pPr>
            <w:r w:rsidRPr="00DB019B">
              <w:rPr>
                <w:rFonts w:ascii="Times New Roman" w:hAnsi="Times New Roman" w:cs="Times New Roman"/>
                <w:sz w:val="24"/>
                <w:szCs w:val="24"/>
              </w:rPr>
              <w:t>$4,91 трл.</w:t>
            </w:r>
          </w:p>
        </w:tc>
      </w:tr>
    </w:tbl>
    <w:p w14:paraId="741034BA" w14:textId="77777777" w:rsidR="008A78D7" w:rsidRDefault="008A78D7" w:rsidP="008A78D7"/>
    <w:p w14:paraId="4D6C1E48" w14:textId="77777777" w:rsidR="00EF354C" w:rsidRDefault="00EF354C" w:rsidP="00DF0932">
      <w:pPr>
        <w:autoSpaceDE w:val="0"/>
        <w:autoSpaceDN w:val="0"/>
        <w:adjustRightInd w:val="0"/>
        <w:ind w:firstLine="284"/>
        <w:jc w:val="both"/>
        <w:rPr>
          <w:rFonts w:ascii="Times New Roman" w:hAnsi="Times New Roman" w:cs="Times New Roman"/>
        </w:rPr>
      </w:pPr>
    </w:p>
    <w:p w14:paraId="06096BFD" w14:textId="2F39E866" w:rsidR="00D16DC5" w:rsidRPr="00D16DC5" w:rsidRDefault="00EF354C" w:rsidP="00D16DC5">
      <w:pPr>
        <w:autoSpaceDE w:val="0"/>
        <w:autoSpaceDN w:val="0"/>
        <w:adjustRightInd w:val="0"/>
        <w:spacing w:line="360" w:lineRule="auto"/>
        <w:ind w:left="-284" w:right="-914" w:firstLine="284"/>
        <w:jc w:val="both"/>
        <w:rPr>
          <w:rFonts w:ascii="Times New Roman" w:hAnsi="Times New Roman" w:cs="Times New Roman"/>
          <w:b/>
          <w:i/>
          <w:sz w:val="28"/>
          <w:szCs w:val="28"/>
        </w:rPr>
      </w:pPr>
      <w:r w:rsidRPr="00D16DC5">
        <w:rPr>
          <w:rFonts w:ascii="Times New Roman" w:hAnsi="Times New Roman" w:cs="Times New Roman"/>
          <w:b/>
          <w:i/>
          <w:sz w:val="28"/>
          <w:szCs w:val="28"/>
        </w:rPr>
        <w:t>3.2 Регулятивная база и типы инвесторов</w:t>
      </w:r>
    </w:p>
    <w:p w14:paraId="6E7BBDF8" w14:textId="77777777" w:rsidR="00DF0932" w:rsidRPr="00D16DC5" w:rsidRDefault="00DF0932" w:rsidP="00D16DC5">
      <w:pPr>
        <w:autoSpaceDE w:val="0"/>
        <w:autoSpaceDN w:val="0"/>
        <w:adjustRightInd w:val="0"/>
        <w:spacing w:line="360" w:lineRule="auto"/>
        <w:ind w:left="-284" w:right="43"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На сегодняшний момент </w:t>
      </w:r>
      <w:r w:rsidR="00D11A67" w:rsidRPr="00D16DC5">
        <w:rPr>
          <w:rFonts w:ascii="Times New Roman" w:hAnsi="Times New Roman" w:cs="Times New Roman"/>
          <w:sz w:val="28"/>
          <w:szCs w:val="28"/>
        </w:rPr>
        <w:t>нормативная база</w:t>
      </w:r>
      <w:r w:rsidRPr="00D16DC5">
        <w:rPr>
          <w:rFonts w:ascii="Times New Roman" w:hAnsi="Times New Roman" w:cs="Times New Roman"/>
          <w:sz w:val="28"/>
          <w:szCs w:val="28"/>
        </w:rPr>
        <w:t xml:space="preserve"> рынка ценных бумаг </w:t>
      </w:r>
      <w:r w:rsidR="00D11A67" w:rsidRPr="00D16DC5">
        <w:rPr>
          <w:rFonts w:ascii="Times New Roman" w:hAnsi="Times New Roman" w:cs="Times New Roman"/>
          <w:sz w:val="28"/>
          <w:szCs w:val="28"/>
        </w:rPr>
        <w:t>КНР образуется тремя</w:t>
      </w:r>
      <w:r w:rsidRPr="00D16DC5">
        <w:rPr>
          <w:rFonts w:ascii="Times New Roman" w:hAnsi="Times New Roman" w:cs="Times New Roman"/>
          <w:sz w:val="28"/>
          <w:szCs w:val="28"/>
        </w:rPr>
        <w:t xml:space="preserve"> закона</w:t>
      </w:r>
      <w:r w:rsidR="00D11A67" w:rsidRPr="00D16DC5">
        <w:rPr>
          <w:rFonts w:ascii="Times New Roman" w:hAnsi="Times New Roman" w:cs="Times New Roman"/>
          <w:sz w:val="28"/>
          <w:szCs w:val="28"/>
        </w:rPr>
        <w:t>ми</w:t>
      </w:r>
      <w:r w:rsidRPr="00D16DC5">
        <w:rPr>
          <w:rFonts w:ascii="Times New Roman" w:hAnsi="Times New Roman" w:cs="Times New Roman"/>
          <w:sz w:val="28"/>
          <w:szCs w:val="28"/>
        </w:rPr>
        <w:t xml:space="preserve"> (Закон</w:t>
      </w:r>
      <w:r w:rsidR="00D11A67" w:rsidRPr="00D16DC5">
        <w:rPr>
          <w:rFonts w:ascii="Times New Roman" w:hAnsi="Times New Roman" w:cs="Times New Roman"/>
          <w:sz w:val="28"/>
          <w:szCs w:val="28"/>
        </w:rPr>
        <w:t>ом</w:t>
      </w:r>
      <w:r w:rsidRPr="00D16DC5">
        <w:rPr>
          <w:rFonts w:ascii="Times New Roman" w:hAnsi="Times New Roman" w:cs="Times New Roman"/>
          <w:sz w:val="28"/>
          <w:szCs w:val="28"/>
        </w:rPr>
        <w:t xml:space="preserve"> о компаниях, Закон</w:t>
      </w:r>
      <w:r w:rsidR="00D11A67" w:rsidRPr="00D16DC5">
        <w:rPr>
          <w:rFonts w:ascii="Times New Roman" w:hAnsi="Times New Roman" w:cs="Times New Roman"/>
          <w:sz w:val="28"/>
          <w:szCs w:val="28"/>
        </w:rPr>
        <w:t>ом</w:t>
      </w:r>
      <w:r w:rsidRPr="00D16DC5">
        <w:rPr>
          <w:rFonts w:ascii="Times New Roman" w:hAnsi="Times New Roman" w:cs="Times New Roman"/>
          <w:sz w:val="28"/>
          <w:szCs w:val="28"/>
        </w:rPr>
        <w:t xml:space="preserve"> о ценных бумагах и Закон</w:t>
      </w:r>
      <w:r w:rsidR="00D11A67" w:rsidRPr="00D16DC5">
        <w:rPr>
          <w:rFonts w:ascii="Times New Roman" w:hAnsi="Times New Roman" w:cs="Times New Roman"/>
          <w:sz w:val="28"/>
          <w:szCs w:val="28"/>
        </w:rPr>
        <w:t>ом</w:t>
      </w:r>
      <w:r w:rsidRPr="00D16DC5">
        <w:rPr>
          <w:rFonts w:ascii="Times New Roman" w:hAnsi="Times New Roman" w:cs="Times New Roman"/>
          <w:sz w:val="28"/>
          <w:szCs w:val="28"/>
        </w:rPr>
        <w:t xml:space="preserve"> об инвестиционных ф</w:t>
      </w:r>
      <w:r w:rsidR="00D11A67" w:rsidRPr="00D16DC5">
        <w:rPr>
          <w:rFonts w:ascii="Times New Roman" w:hAnsi="Times New Roman" w:cs="Times New Roman"/>
          <w:sz w:val="28"/>
          <w:szCs w:val="28"/>
        </w:rPr>
        <w:t>ондах) и более 300 постановлениями</w:t>
      </w:r>
      <w:r w:rsidRPr="00D16DC5">
        <w:rPr>
          <w:rFonts w:ascii="Times New Roman" w:hAnsi="Times New Roman" w:cs="Times New Roman"/>
          <w:sz w:val="28"/>
          <w:szCs w:val="28"/>
        </w:rPr>
        <w:t>, правил</w:t>
      </w:r>
      <w:r w:rsidR="00D11A67" w:rsidRPr="00D16DC5">
        <w:rPr>
          <w:rFonts w:ascii="Times New Roman" w:hAnsi="Times New Roman" w:cs="Times New Roman"/>
          <w:sz w:val="28"/>
          <w:szCs w:val="28"/>
        </w:rPr>
        <w:t>ами и кодексами</w:t>
      </w:r>
      <w:r w:rsidRPr="00D16DC5">
        <w:rPr>
          <w:rFonts w:ascii="Times New Roman" w:hAnsi="Times New Roman" w:cs="Times New Roman"/>
          <w:sz w:val="28"/>
          <w:szCs w:val="28"/>
        </w:rPr>
        <w:t>.</w:t>
      </w:r>
    </w:p>
    <w:p w14:paraId="1C33D7F2" w14:textId="77777777" w:rsidR="00D11A67" w:rsidRPr="00D16DC5" w:rsidRDefault="00D11A67" w:rsidP="00D16DC5">
      <w:pPr>
        <w:autoSpaceDE w:val="0"/>
        <w:autoSpaceDN w:val="0"/>
        <w:adjustRightInd w:val="0"/>
        <w:spacing w:line="360" w:lineRule="auto"/>
        <w:ind w:left="-284" w:right="43" w:firstLine="284"/>
        <w:jc w:val="both"/>
        <w:rPr>
          <w:rFonts w:ascii="Times New Roman" w:hAnsi="Times New Roman" w:cs="Times New Roman"/>
          <w:sz w:val="28"/>
          <w:szCs w:val="28"/>
        </w:rPr>
      </w:pPr>
      <w:r w:rsidRPr="00D16DC5">
        <w:rPr>
          <w:rFonts w:ascii="Times New Roman" w:hAnsi="Times New Roman" w:cs="Times New Roman"/>
          <w:sz w:val="28"/>
          <w:szCs w:val="28"/>
        </w:rPr>
        <w:t>В Законе «О компаниях» от 1994 г. прописаны нормы устройства акционерных компании в КНР. Согласно этому закону, китайские акционерные компании делятся на компании с ограниченной ответственностью и открытые акционерные общества. Закон «О ценных бумагах» вступил в силу в 1999 г. Он устанавливает основные требования по листингу, раскрытию инсайдерской информации</w:t>
      </w:r>
      <w:r w:rsidR="005B297F" w:rsidRPr="00D16DC5">
        <w:rPr>
          <w:rFonts w:ascii="Times New Roman" w:hAnsi="Times New Roman" w:cs="Times New Roman"/>
          <w:sz w:val="28"/>
          <w:szCs w:val="28"/>
        </w:rPr>
        <w:t xml:space="preserve"> и открытой подписке на ценные бумаги, </w:t>
      </w:r>
      <w:r w:rsidRPr="00D16DC5">
        <w:rPr>
          <w:rFonts w:ascii="Times New Roman" w:hAnsi="Times New Roman" w:cs="Times New Roman"/>
          <w:sz w:val="28"/>
          <w:szCs w:val="28"/>
        </w:rPr>
        <w:t>вводит понятие инсайдерской торговли, перечисляет лица, обладающие инсайдерской информацией, декларирует запрет на с</w:t>
      </w:r>
      <w:r w:rsidR="005B297F" w:rsidRPr="00D16DC5">
        <w:rPr>
          <w:rFonts w:ascii="Times New Roman" w:hAnsi="Times New Roman" w:cs="Times New Roman"/>
          <w:sz w:val="28"/>
          <w:szCs w:val="28"/>
        </w:rPr>
        <w:t>овершение манипулятивных сделок, а также регулирует вопросы слияний и поглощений.</w:t>
      </w:r>
    </w:p>
    <w:p w14:paraId="0BF01457" w14:textId="77777777" w:rsidR="00DF0932" w:rsidRPr="00D16DC5" w:rsidRDefault="00DF0932" w:rsidP="00D16DC5">
      <w:pPr>
        <w:spacing w:line="360" w:lineRule="auto"/>
        <w:ind w:left="-284" w:right="43" w:firstLine="284"/>
        <w:jc w:val="both"/>
        <w:rPr>
          <w:rFonts w:ascii="Times New Roman" w:hAnsi="Times New Roman" w:cs="Times New Roman"/>
          <w:sz w:val="28"/>
          <w:szCs w:val="28"/>
        </w:rPr>
      </w:pPr>
      <w:r w:rsidRPr="00D16DC5">
        <w:rPr>
          <w:rFonts w:ascii="Times New Roman" w:hAnsi="Times New Roman" w:cs="Times New Roman"/>
          <w:sz w:val="28"/>
          <w:szCs w:val="28"/>
        </w:rPr>
        <w:t>Законодательство российского финансового рынка более развито. Процедура эми</w:t>
      </w:r>
      <w:r w:rsidR="00A96C60" w:rsidRPr="00D16DC5">
        <w:rPr>
          <w:rFonts w:ascii="Times New Roman" w:hAnsi="Times New Roman" w:cs="Times New Roman"/>
          <w:sz w:val="28"/>
          <w:szCs w:val="28"/>
        </w:rPr>
        <w:t>ссии ценных бумаг регулируется Законом «О</w:t>
      </w:r>
      <w:r w:rsidRPr="00D16DC5">
        <w:rPr>
          <w:rFonts w:ascii="Times New Roman" w:hAnsi="Times New Roman" w:cs="Times New Roman"/>
          <w:sz w:val="28"/>
          <w:szCs w:val="28"/>
        </w:rPr>
        <w:t xml:space="preserve"> рынке ценных бумаг». Российский рынок ценных бума</w:t>
      </w:r>
      <w:r w:rsidR="00A96C60" w:rsidRPr="00D16DC5">
        <w:rPr>
          <w:rFonts w:ascii="Times New Roman" w:hAnsi="Times New Roman" w:cs="Times New Roman"/>
          <w:sz w:val="28"/>
          <w:szCs w:val="28"/>
        </w:rPr>
        <w:t>г также регулируют Гражданский к</w:t>
      </w:r>
      <w:r w:rsidRPr="00D16DC5">
        <w:rPr>
          <w:rFonts w:ascii="Times New Roman" w:hAnsi="Times New Roman" w:cs="Times New Roman"/>
          <w:sz w:val="28"/>
          <w:szCs w:val="28"/>
        </w:rPr>
        <w:t xml:space="preserve">одекс </w:t>
      </w:r>
      <w:r w:rsidR="00A96C60" w:rsidRPr="00D16DC5">
        <w:rPr>
          <w:rFonts w:ascii="Times New Roman" w:hAnsi="Times New Roman" w:cs="Times New Roman"/>
          <w:sz w:val="28"/>
          <w:szCs w:val="28"/>
        </w:rPr>
        <w:t>(</w:t>
      </w:r>
      <w:r w:rsidRPr="00D16DC5">
        <w:rPr>
          <w:rFonts w:ascii="Times New Roman" w:hAnsi="Times New Roman" w:cs="Times New Roman"/>
          <w:sz w:val="28"/>
          <w:szCs w:val="28"/>
        </w:rPr>
        <w:t>Глава 7 «Ценные бумаги»</w:t>
      </w:r>
      <w:r w:rsidR="00A96C60" w:rsidRPr="00D16DC5">
        <w:rPr>
          <w:rFonts w:ascii="Times New Roman" w:hAnsi="Times New Roman" w:cs="Times New Roman"/>
          <w:sz w:val="28"/>
          <w:szCs w:val="28"/>
        </w:rPr>
        <w:t>)</w:t>
      </w:r>
      <w:r w:rsidR="00D11A67" w:rsidRPr="00D16DC5">
        <w:rPr>
          <w:rFonts w:ascii="Times New Roman" w:hAnsi="Times New Roman" w:cs="Times New Roman"/>
          <w:sz w:val="28"/>
          <w:szCs w:val="28"/>
        </w:rPr>
        <w:t xml:space="preserve">, </w:t>
      </w:r>
      <w:r w:rsidRPr="00D16DC5">
        <w:rPr>
          <w:rFonts w:ascii="Times New Roman" w:hAnsi="Times New Roman" w:cs="Times New Roman"/>
          <w:sz w:val="28"/>
          <w:szCs w:val="28"/>
        </w:rPr>
        <w:t xml:space="preserve">Закон </w:t>
      </w:r>
      <w:r w:rsidR="00D11A67" w:rsidRPr="00D16DC5">
        <w:rPr>
          <w:rFonts w:ascii="Times New Roman" w:hAnsi="Times New Roman" w:cs="Times New Roman"/>
          <w:sz w:val="28"/>
          <w:szCs w:val="28"/>
        </w:rPr>
        <w:t>«Об акционерных обществах», Закон «О</w:t>
      </w:r>
      <w:r w:rsidRPr="00D16DC5">
        <w:rPr>
          <w:rFonts w:ascii="Times New Roman" w:hAnsi="Times New Roman" w:cs="Times New Roman"/>
          <w:sz w:val="28"/>
          <w:szCs w:val="28"/>
        </w:rPr>
        <w:t xml:space="preserve"> защите прав и законных интересов инве</w:t>
      </w:r>
      <w:r w:rsidR="00D11A67" w:rsidRPr="00D16DC5">
        <w:rPr>
          <w:rFonts w:ascii="Times New Roman" w:hAnsi="Times New Roman" w:cs="Times New Roman"/>
          <w:sz w:val="28"/>
          <w:szCs w:val="28"/>
        </w:rPr>
        <w:t>сторов на рынке ценных бумаг», Закон «О</w:t>
      </w:r>
      <w:r w:rsidRPr="00D16DC5">
        <w:rPr>
          <w:rFonts w:ascii="Times New Roman" w:hAnsi="Times New Roman" w:cs="Times New Roman"/>
          <w:sz w:val="28"/>
          <w:szCs w:val="28"/>
        </w:rPr>
        <w:t xml:space="preserve">б особенностях эмиссии и обращения государственных </w:t>
      </w:r>
      <w:r w:rsidR="00D11A67" w:rsidRPr="00D16DC5">
        <w:rPr>
          <w:rFonts w:ascii="Times New Roman" w:hAnsi="Times New Roman" w:cs="Times New Roman"/>
          <w:sz w:val="28"/>
          <w:szCs w:val="28"/>
        </w:rPr>
        <w:t>и муниципальных ценных бумаг», Закон «О</w:t>
      </w:r>
      <w:r w:rsidRPr="00D16DC5">
        <w:rPr>
          <w:rFonts w:ascii="Times New Roman" w:hAnsi="Times New Roman" w:cs="Times New Roman"/>
          <w:sz w:val="28"/>
          <w:szCs w:val="28"/>
        </w:rPr>
        <w:t xml:space="preserve"> банк</w:t>
      </w:r>
      <w:r w:rsidR="00D11A67" w:rsidRPr="00D16DC5">
        <w:rPr>
          <w:rFonts w:ascii="Times New Roman" w:hAnsi="Times New Roman" w:cs="Times New Roman"/>
          <w:sz w:val="28"/>
          <w:szCs w:val="28"/>
        </w:rPr>
        <w:t>ах и банковской деятельности», Закон «О</w:t>
      </w:r>
      <w:r w:rsidRPr="00D16DC5">
        <w:rPr>
          <w:rFonts w:ascii="Times New Roman" w:hAnsi="Times New Roman" w:cs="Times New Roman"/>
          <w:sz w:val="28"/>
          <w:szCs w:val="28"/>
        </w:rPr>
        <w:t>б инвестиционных фондах» и т.д.</w:t>
      </w:r>
    </w:p>
    <w:p w14:paraId="144914A4" w14:textId="77777777" w:rsidR="005B297F" w:rsidRPr="00D16DC5" w:rsidRDefault="005B297F" w:rsidP="00D16DC5">
      <w:pPr>
        <w:spacing w:line="360" w:lineRule="auto"/>
        <w:ind w:left="-284" w:right="43" w:firstLine="284"/>
        <w:jc w:val="both"/>
        <w:rPr>
          <w:rFonts w:ascii="Times New Roman" w:hAnsi="Times New Roman" w:cs="Times New Roman"/>
          <w:sz w:val="28"/>
          <w:szCs w:val="28"/>
        </w:rPr>
      </w:pPr>
      <w:r w:rsidRPr="00D16DC5">
        <w:rPr>
          <w:rFonts w:ascii="Times New Roman" w:hAnsi="Times New Roman" w:cs="Times New Roman"/>
          <w:sz w:val="28"/>
          <w:szCs w:val="28"/>
        </w:rPr>
        <w:lastRenderedPageBreak/>
        <w:t>Касаемо законодательной базы рынка ценных бумаг в Китае, стоит отметить, что одной из ее особенностей является детальное описание правонарушений и мер ответственности за них. Ни в одном подобном законе мира нет такого подробного описания. К примеру, в российском законе «О рынке ценных бу</w:t>
      </w:r>
      <w:r w:rsidR="000811E4" w:rsidRPr="00D16DC5">
        <w:rPr>
          <w:rFonts w:ascii="Times New Roman" w:hAnsi="Times New Roman" w:cs="Times New Roman"/>
          <w:sz w:val="28"/>
          <w:szCs w:val="28"/>
        </w:rPr>
        <w:t>маг» нет такого раздела, в РФ описание мер ответственности за правонарушения прописаны в Уголовном кодексе и Кодексе об административных нарушениях</w:t>
      </w:r>
      <w:r w:rsidR="000811E4" w:rsidRPr="00D16DC5">
        <w:rPr>
          <w:rStyle w:val="FootnoteReference"/>
          <w:sz w:val="28"/>
          <w:szCs w:val="28"/>
        </w:rPr>
        <w:footnoteReference w:id="54"/>
      </w:r>
      <w:r w:rsidR="000811E4" w:rsidRPr="00D16DC5">
        <w:rPr>
          <w:rFonts w:ascii="Times New Roman" w:hAnsi="Times New Roman" w:cs="Times New Roman"/>
          <w:sz w:val="28"/>
          <w:szCs w:val="28"/>
        </w:rPr>
        <w:t>.</w:t>
      </w:r>
    </w:p>
    <w:p w14:paraId="52A9928C" w14:textId="77777777" w:rsidR="00DF0932" w:rsidRPr="00D16DC5" w:rsidRDefault="000811E4" w:rsidP="00D16DC5">
      <w:pPr>
        <w:spacing w:line="360" w:lineRule="auto"/>
        <w:ind w:left="-284" w:right="43" w:firstLine="284"/>
        <w:jc w:val="both"/>
        <w:rPr>
          <w:rFonts w:ascii="Times New Roman" w:hAnsi="Times New Roman" w:cs="Times New Roman"/>
          <w:sz w:val="28"/>
          <w:szCs w:val="28"/>
        </w:rPr>
      </w:pPr>
      <w:r w:rsidRPr="00D16DC5">
        <w:rPr>
          <w:rFonts w:ascii="Times New Roman" w:hAnsi="Times New Roman" w:cs="Times New Roman"/>
          <w:sz w:val="28"/>
          <w:szCs w:val="28"/>
        </w:rPr>
        <w:t>Лицензирование профессиональной деятельности на рынках ценных бумаг разных стран варьируется. Например, в США выделяются четыре категории профессиональных участников (брокер, дилер, андеррайтер и инвестиционный консультант). В российском законе «О рынке ценных бумаг» прописаны такие виды профессиональной деятельности, как брокерская, дилерская, депозитарная, клиринговая, управление ценными бумагами, ведение реестра владельцев ценных бумаг, организации торговли на рынке ценных  бумаг</w:t>
      </w:r>
      <w:r w:rsidRPr="00D16DC5">
        <w:rPr>
          <w:rStyle w:val="FootnoteReference"/>
          <w:rFonts w:ascii="Times New Roman" w:hAnsi="Times New Roman" w:cs="Times New Roman"/>
          <w:sz w:val="28"/>
          <w:szCs w:val="28"/>
        </w:rPr>
        <w:footnoteReference w:id="55"/>
      </w:r>
      <w:r w:rsidRPr="00D16DC5">
        <w:rPr>
          <w:rFonts w:ascii="Times New Roman" w:hAnsi="Times New Roman" w:cs="Times New Roman"/>
          <w:sz w:val="28"/>
          <w:szCs w:val="28"/>
        </w:rPr>
        <w:t xml:space="preserve">. В законе «О ценных бумагах» Китай выделяет шесть видов профессиональной деятельности, а именно: </w:t>
      </w:r>
      <w:r w:rsidR="00DF0932" w:rsidRPr="00D16DC5">
        <w:rPr>
          <w:rFonts w:ascii="Times New Roman" w:hAnsi="Times New Roman" w:cs="Times New Roman"/>
          <w:sz w:val="28"/>
          <w:szCs w:val="28"/>
        </w:rPr>
        <w:t>1) брокерская деятельность, 2) дилерская деятельность, 3) инвестиционное консультирование, 4) брокерские услуги и инвестиционное консультирование; 5) андеррайтинг; 6) управление ценными бумагами</w:t>
      </w:r>
      <w:r w:rsidR="00DF0932" w:rsidRPr="00D16DC5">
        <w:rPr>
          <w:rStyle w:val="FootnoteReference"/>
          <w:sz w:val="28"/>
          <w:szCs w:val="28"/>
        </w:rPr>
        <w:footnoteReference w:id="56"/>
      </w:r>
      <w:r w:rsidR="00DF0932" w:rsidRPr="00D16DC5">
        <w:rPr>
          <w:rFonts w:ascii="Times New Roman" w:hAnsi="Times New Roman" w:cs="Times New Roman"/>
          <w:sz w:val="28"/>
          <w:szCs w:val="28"/>
        </w:rPr>
        <w:t>.</w:t>
      </w:r>
      <w:r w:rsidR="00E8533F" w:rsidRPr="00D16DC5">
        <w:rPr>
          <w:rFonts w:ascii="Times New Roman" w:hAnsi="Times New Roman" w:cs="Times New Roman"/>
          <w:sz w:val="28"/>
          <w:szCs w:val="28"/>
        </w:rPr>
        <w:t xml:space="preserve"> К дополнительным видам деятельности, которые также требуют лицензий</w:t>
      </w:r>
      <w:r w:rsidR="0008244F" w:rsidRPr="00D16DC5">
        <w:rPr>
          <w:rFonts w:ascii="Times New Roman" w:hAnsi="Times New Roman" w:cs="Times New Roman"/>
          <w:sz w:val="28"/>
          <w:szCs w:val="28"/>
        </w:rPr>
        <w:t xml:space="preserve"> в Китае</w:t>
      </w:r>
      <w:r w:rsidR="00E8533F" w:rsidRPr="00D16DC5">
        <w:rPr>
          <w:rFonts w:ascii="Times New Roman" w:hAnsi="Times New Roman" w:cs="Times New Roman"/>
          <w:sz w:val="28"/>
          <w:szCs w:val="28"/>
        </w:rPr>
        <w:t xml:space="preserve">, относится в первую очередь деятельность </w:t>
      </w:r>
      <w:r w:rsidR="00E8533F" w:rsidRPr="00D16DC5">
        <w:rPr>
          <w:rFonts w:ascii="Times New Roman" w:hAnsi="Times New Roman" w:cs="Times New Roman"/>
          <w:sz w:val="28"/>
          <w:szCs w:val="28"/>
          <w:lang w:val="en-US"/>
        </w:rPr>
        <w:t>QFII</w:t>
      </w:r>
      <w:r w:rsidR="00E8533F" w:rsidRPr="00D16DC5">
        <w:rPr>
          <w:rFonts w:ascii="Times New Roman" w:hAnsi="Times New Roman" w:cs="Times New Roman"/>
          <w:sz w:val="28"/>
          <w:szCs w:val="28"/>
        </w:rPr>
        <w:t xml:space="preserve">, деятельность по проведению ссудных и заемных операций с </w:t>
      </w:r>
      <w:r w:rsidR="0008244F" w:rsidRPr="00D16DC5">
        <w:rPr>
          <w:rFonts w:ascii="Times New Roman" w:hAnsi="Times New Roman" w:cs="Times New Roman"/>
          <w:sz w:val="28"/>
          <w:szCs w:val="28"/>
        </w:rPr>
        <w:t>различными видами ценных бумаг, а также с иностранными ценными бумагами, инвестирование отечественных инвесторов за рубежом</w:t>
      </w:r>
      <w:r w:rsidR="0008244F" w:rsidRPr="00D16DC5">
        <w:rPr>
          <w:rStyle w:val="FootnoteReference"/>
          <w:sz w:val="28"/>
          <w:szCs w:val="28"/>
        </w:rPr>
        <w:footnoteReference w:id="57"/>
      </w:r>
      <w:r w:rsidR="0008244F" w:rsidRPr="00D16DC5">
        <w:rPr>
          <w:rFonts w:ascii="Times New Roman" w:hAnsi="Times New Roman" w:cs="Times New Roman"/>
          <w:sz w:val="28"/>
          <w:szCs w:val="28"/>
        </w:rPr>
        <w:t>.</w:t>
      </w:r>
    </w:p>
    <w:p w14:paraId="4E67DCD3" w14:textId="77777777" w:rsidR="00DF0932" w:rsidRPr="00D16DC5" w:rsidRDefault="00DF0932" w:rsidP="00D16DC5">
      <w:pPr>
        <w:spacing w:line="360" w:lineRule="auto"/>
        <w:ind w:left="-284" w:right="43" w:firstLine="284"/>
        <w:jc w:val="both"/>
        <w:rPr>
          <w:rFonts w:ascii="Times New Roman" w:hAnsi="Times New Roman" w:cs="Times New Roman"/>
          <w:sz w:val="28"/>
          <w:szCs w:val="28"/>
        </w:rPr>
      </w:pPr>
      <w:r w:rsidRPr="00D16DC5">
        <w:rPr>
          <w:rFonts w:ascii="Times New Roman" w:hAnsi="Times New Roman" w:cs="Times New Roman"/>
          <w:sz w:val="28"/>
          <w:szCs w:val="28"/>
        </w:rPr>
        <w:t>Китай и Россия имеют схожую модель рынка ценных бумаг. В</w:t>
      </w:r>
      <w:r w:rsidR="00D54B5A" w:rsidRPr="00D16DC5">
        <w:rPr>
          <w:rFonts w:ascii="Times New Roman" w:hAnsi="Times New Roman" w:cs="Times New Roman"/>
          <w:sz w:val="28"/>
          <w:szCs w:val="28"/>
        </w:rPr>
        <w:t>ообще говоря, в</w:t>
      </w:r>
      <w:r w:rsidRPr="00D16DC5">
        <w:rPr>
          <w:rFonts w:ascii="Times New Roman" w:hAnsi="Times New Roman" w:cs="Times New Roman"/>
          <w:sz w:val="28"/>
          <w:szCs w:val="28"/>
        </w:rPr>
        <w:t xml:space="preserve"> экономике существует три типа финансовых систем:</w:t>
      </w:r>
    </w:p>
    <w:p w14:paraId="018F6DF0" w14:textId="77777777" w:rsidR="0008244F" w:rsidRPr="00D16DC5" w:rsidRDefault="0008244F" w:rsidP="00D16DC5">
      <w:pPr>
        <w:spacing w:line="360" w:lineRule="auto"/>
        <w:ind w:left="-284" w:right="43" w:firstLine="284"/>
        <w:jc w:val="both"/>
        <w:rPr>
          <w:rFonts w:ascii="Times New Roman" w:hAnsi="Times New Roman" w:cs="Times New Roman"/>
          <w:sz w:val="28"/>
          <w:szCs w:val="28"/>
        </w:rPr>
      </w:pPr>
      <w:r w:rsidRPr="00D16DC5">
        <w:rPr>
          <w:rFonts w:ascii="Times New Roman" w:hAnsi="Times New Roman" w:cs="Times New Roman"/>
          <w:sz w:val="28"/>
          <w:szCs w:val="28"/>
        </w:rPr>
        <w:lastRenderedPageBreak/>
        <w:t>«Германский», или «европейско-континентальный» тип финансовой системы характеризуется доминированием в экономике банков. Для этого типа характерны инсайдерская системы корпоративного управления и более консервативная корпоративная стратегия. Примерами систем, ориентированных на банки, явля</w:t>
      </w:r>
      <w:r w:rsidR="00FA1B08" w:rsidRPr="00D16DC5">
        <w:rPr>
          <w:rFonts w:ascii="Times New Roman" w:hAnsi="Times New Roman" w:cs="Times New Roman"/>
          <w:sz w:val="28"/>
          <w:szCs w:val="28"/>
        </w:rPr>
        <w:t>ются Германия и Япония. Для «англосаксонского</w:t>
      </w:r>
      <w:r w:rsidRPr="00D16DC5">
        <w:rPr>
          <w:rFonts w:ascii="Times New Roman" w:hAnsi="Times New Roman" w:cs="Times New Roman"/>
          <w:sz w:val="28"/>
          <w:szCs w:val="28"/>
        </w:rPr>
        <w:t>» тип</w:t>
      </w:r>
      <w:r w:rsidR="00FA1B08" w:rsidRPr="00D16DC5">
        <w:rPr>
          <w:rFonts w:ascii="Times New Roman" w:hAnsi="Times New Roman" w:cs="Times New Roman"/>
          <w:sz w:val="28"/>
          <w:szCs w:val="28"/>
        </w:rPr>
        <w:t>а финансовой системы характерна большая значимость рынка капиталов, нежели банков. Здесь присутствуют аутсайдерский тип корпоративного управления и гибкая, хорошо приспосабливающаяся к внешним изменениям стратегия управления и организационная структура. Классическими примерами систем, которые ориентируются на рынки капитала, являются США и Англия.</w:t>
      </w:r>
    </w:p>
    <w:p w14:paraId="469AD8FD" w14:textId="77777777" w:rsidR="00D16DC5" w:rsidRPr="00D16DC5" w:rsidRDefault="00D16DC5" w:rsidP="00D16DC5">
      <w:pPr>
        <w:spacing w:line="360" w:lineRule="auto"/>
        <w:ind w:left="-284" w:right="-914" w:firstLine="284"/>
        <w:jc w:val="both"/>
        <w:rPr>
          <w:rFonts w:ascii="Times New Roman" w:hAnsi="Times New Roman" w:cs="Times New Roman"/>
          <w:sz w:val="28"/>
          <w:szCs w:val="28"/>
        </w:rPr>
      </w:pPr>
    </w:p>
    <w:p w14:paraId="16118EEF" w14:textId="77777777" w:rsidR="00D16DC5" w:rsidRPr="00D16DC5" w:rsidRDefault="00D16DC5" w:rsidP="00D16DC5">
      <w:pPr>
        <w:spacing w:line="360" w:lineRule="auto"/>
        <w:ind w:left="-284" w:right="-914" w:firstLine="284"/>
        <w:jc w:val="both"/>
        <w:rPr>
          <w:rFonts w:ascii="Times New Roman" w:eastAsia="Times New Roman" w:hAnsi="Times New Roman" w:cs="Times New Roman"/>
          <w:sz w:val="28"/>
          <w:szCs w:val="28"/>
        </w:rPr>
      </w:pPr>
      <w:r w:rsidRPr="00D16DC5">
        <w:rPr>
          <w:rFonts w:ascii="Times New Roman" w:eastAsia="Times New Roman" w:hAnsi="Times New Roman" w:cs="Times New Roman"/>
          <w:bCs/>
          <w:sz w:val="28"/>
          <w:szCs w:val="28"/>
        </w:rPr>
        <w:t>Таблица 17. Сравнительная характеристика англо-саксонской</w:t>
      </w:r>
      <w:r w:rsidRPr="00D16DC5">
        <w:rPr>
          <w:rFonts w:ascii="Times New Roman" w:eastAsia="Times New Roman" w:hAnsi="Times New Roman" w:cs="Times New Roman"/>
          <w:sz w:val="28"/>
          <w:szCs w:val="28"/>
        </w:rPr>
        <w:t xml:space="preserve"> </w:t>
      </w:r>
      <w:r w:rsidRPr="00D16DC5">
        <w:rPr>
          <w:rFonts w:ascii="Times New Roman" w:eastAsia="Times New Roman" w:hAnsi="Times New Roman" w:cs="Times New Roman"/>
          <w:bCs/>
          <w:sz w:val="28"/>
          <w:szCs w:val="28"/>
        </w:rPr>
        <w:t>и европейско-континентальной моделей рынка ценных бумаг</w:t>
      </w:r>
    </w:p>
    <w:p w14:paraId="3AA52A56" w14:textId="77777777" w:rsidR="00D16DC5" w:rsidRPr="00D16DC5" w:rsidRDefault="00D16DC5" w:rsidP="00D16DC5">
      <w:pPr>
        <w:ind w:left="-284" w:right="-914" w:firstLine="284"/>
        <w:jc w:val="both"/>
        <w:rPr>
          <w:rFonts w:ascii="Times New Roman" w:eastAsia="Times New Roman" w:hAnsi="Times New Roman" w:cs="Times New Roman"/>
          <w:sz w:val="28"/>
          <w:szCs w:val="28"/>
        </w:rPr>
      </w:pPr>
      <w:r w:rsidRPr="00D16DC5">
        <w:rPr>
          <w:rFonts w:ascii="Times New Roman" w:eastAsia="Times New Roman" w:hAnsi="Times New Roman" w:cs="Times New Roman"/>
          <w:bCs/>
          <w:sz w:val="28"/>
          <w:szCs w:val="28"/>
        </w:rPr>
        <w:t> </w:t>
      </w:r>
    </w:p>
    <w:tbl>
      <w:tblPr>
        <w:tblW w:w="9540" w:type="dxa"/>
        <w:tblInd w:w="108" w:type="dxa"/>
        <w:tblCellMar>
          <w:left w:w="0" w:type="dxa"/>
          <w:right w:w="0" w:type="dxa"/>
        </w:tblCellMar>
        <w:tblLook w:val="04A0" w:firstRow="1" w:lastRow="0" w:firstColumn="1" w:lastColumn="0" w:noHBand="0" w:noVBand="1"/>
      </w:tblPr>
      <w:tblGrid>
        <w:gridCol w:w="2160"/>
        <w:gridCol w:w="3690"/>
        <w:gridCol w:w="3690"/>
      </w:tblGrid>
      <w:tr w:rsidR="00D16DC5" w:rsidRPr="00DB019B" w14:paraId="77F73206" w14:textId="77777777" w:rsidTr="00D16DC5">
        <w:trPr>
          <w:trHeight w:val="510"/>
        </w:trPr>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5F1F7" w14:textId="77777777" w:rsidR="00D16DC5" w:rsidRPr="00DB019B" w:rsidRDefault="00D16DC5" w:rsidP="00D16DC5">
            <w:pPr>
              <w:ind w:left="34"/>
              <w:rPr>
                <w:rFonts w:ascii="Times New Roman" w:eastAsia="Times New Roman" w:hAnsi="Times New Roman" w:cs="Times New Roman"/>
              </w:rPr>
            </w:pPr>
            <w:r w:rsidRPr="00DB019B">
              <w:rPr>
                <w:rFonts w:ascii="Times New Roman" w:eastAsia="Times New Roman" w:hAnsi="Times New Roman" w:cs="Times New Roman"/>
              </w:rPr>
              <w:t>Характеристики</w:t>
            </w:r>
          </w:p>
        </w:tc>
        <w:tc>
          <w:tcPr>
            <w:tcW w:w="36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3090F0"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Англо-саксонская</w:t>
            </w:r>
          </w:p>
          <w:p w14:paraId="0334F293"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модель</w:t>
            </w:r>
          </w:p>
        </w:tc>
        <w:tc>
          <w:tcPr>
            <w:tcW w:w="36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4AAB66"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Европейско-континентальная</w:t>
            </w:r>
          </w:p>
          <w:p w14:paraId="489E3229"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(германская) модель</w:t>
            </w:r>
          </w:p>
        </w:tc>
      </w:tr>
      <w:tr w:rsidR="00D16DC5" w:rsidRPr="00DB019B" w14:paraId="2A7559DF" w14:textId="77777777" w:rsidTr="00D16DC5">
        <w:trPr>
          <w:trHeight w:val="1725"/>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46F5EE" w14:textId="77777777" w:rsidR="00D16DC5" w:rsidRPr="00DB019B" w:rsidRDefault="00D16DC5" w:rsidP="00D16DC5">
            <w:pPr>
              <w:ind w:left="34"/>
              <w:rPr>
                <w:rFonts w:ascii="Times New Roman" w:eastAsia="Times New Roman" w:hAnsi="Times New Roman" w:cs="Times New Roman"/>
              </w:rPr>
            </w:pPr>
            <w:r>
              <w:rPr>
                <w:rFonts w:ascii="Times New Roman" w:eastAsia="Times New Roman" w:hAnsi="Times New Roman" w:cs="Times New Roman"/>
              </w:rPr>
              <w:t>1.</w:t>
            </w:r>
            <w:r w:rsidRPr="00DB019B">
              <w:rPr>
                <w:rFonts w:ascii="Times New Roman" w:eastAsia="Times New Roman" w:hAnsi="Times New Roman" w:cs="Times New Roman"/>
              </w:rPr>
              <w:t>Источники инвестиций</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559F12"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Фондовый рынок – основной источник инвестиций в реальный сектор экономики (доля банковских кредитов в финансировании сокращается). Рынок акций– наиболее крупный сегмент рынка ценных бумаг</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48028"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Финансовый рынок носит преимущественно долговой характер (банковский кредит, облигации), рынок акций имеет подчиненное значение</w:t>
            </w:r>
          </w:p>
        </w:tc>
      </w:tr>
      <w:tr w:rsidR="00D16DC5" w:rsidRPr="00DB019B" w14:paraId="1EBA2CFA" w14:textId="77777777" w:rsidTr="00D16DC5">
        <w:trPr>
          <w:trHeight w:val="510"/>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058398" w14:textId="77777777" w:rsidR="00D16DC5" w:rsidRPr="00DB019B" w:rsidRDefault="00D16DC5" w:rsidP="00D16DC5">
            <w:pPr>
              <w:ind w:left="34"/>
              <w:rPr>
                <w:rFonts w:ascii="Times New Roman" w:eastAsia="Times New Roman" w:hAnsi="Times New Roman" w:cs="Times New Roman"/>
              </w:rPr>
            </w:pPr>
            <w:r>
              <w:rPr>
                <w:rFonts w:ascii="Times New Roman" w:eastAsia="Times New Roman" w:hAnsi="Times New Roman" w:cs="Times New Roman"/>
              </w:rPr>
              <w:t>2.</w:t>
            </w:r>
            <w:r w:rsidRPr="00DB019B">
              <w:rPr>
                <w:rFonts w:ascii="Times New Roman" w:eastAsia="Times New Roman" w:hAnsi="Times New Roman" w:cs="Times New Roman"/>
              </w:rPr>
              <w:t>Инструменты фондового</w:t>
            </w:r>
          </w:p>
          <w:p w14:paraId="35965847" w14:textId="77777777" w:rsidR="00D16DC5" w:rsidRPr="00DB019B" w:rsidRDefault="00D16DC5" w:rsidP="00D16DC5">
            <w:pPr>
              <w:ind w:left="34"/>
              <w:rPr>
                <w:rFonts w:ascii="Times New Roman" w:eastAsia="Times New Roman" w:hAnsi="Times New Roman" w:cs="Times New Roman"/>
              </w:rPr>
            </w:pPr>
            <w:r w:rsidRPr="00DB019B">
              <w:rPr>
                <w:rFonts w:ascii="Times New Roman" w:eastAsia="Times New Roman" w:hAnsi="Times New Roman" w:cs="Times New Roman"/>
              </w:rPr>
              <w:t>рынка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57196"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Акции</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36082"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Облигации</w:t>
            </w:r>
          </w:p>
        </w:tc>
      </w:tr>
      <w:tr w:rsidR="00D16DC5" w:rsidRPr="00DB019B" w14:paraId="662157D8" w14:textId="77777777" w:rsidTr="00D16DC5">
        <w:trPr>
          <w:trHeight w:val="2805"/>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5C2CD0" w14:textId="77777777" w:rsidR="00D16DC5" w:rsidRPr="00DB019B" w:rsidRDefault="00D16DC5" w:rsidP="00D16DC5">
            <w:pPr>
              <w:ind w:left="34"/>
              <w:rPr>
                <w:rFonts w:ascii="Times New Roman" w:eastAsia="Times New Roman" w:hAnsi="Times New Roman" w:cs="Times New Roman"/>
              </w:rPr>
            </w:pPr>
            <w:r>
              <w:rPr>
                <w:rFonts w:ascii="Times New Roman" w:eastAsia="Times New Roman" w:hAnsi="Times New Roman" w:cs="Times New Roman"/>
              </w:rPr>
              <w:t>3.</w:t>
            </w:r>
            <w:r w:rsidRPr="00DB019B">
              <w:rPr>
                <w:rFonts w:ascii="Times New Roman" w:eastAsia="Times New Roman" w:hAnsi="Times New Roman" w:cs="Times New Roman"/>
              </w:rPr>
              <w:t>Участники фондового</w:t>
            </w:r>
          </w:p>
          <w:p w14:paraId="56301807" w14:textId="77777777" w:rsidR="00D16DC5" w:rsidRPr="00DB019B" w:rsidRDefault="00D16DC5" w:rsidP="00D16DC5">
            <w:pPr>
              <w:ind w:left="34"/>
              <w:rPr>
                <w:rFonts w:ascii="Times New Roman" w:eastAsia="Times New Roman" w:hAnsi="Times New Roman" w:cs="Times New Roman"/>
              </w:rPr>
            </w:pPr>
            <w:r w:rsidRPr="00DB019B">
              <w:rPr>
                <w:rFonts w:ascii="Times New Roman" w:eastAsia="Times New Roman" w:hAnsi="Times New Roman" w:cs="Times New Roman"/>
              </w:rPr>
              <w:t>рынка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16B709"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Существенно выше в структуре собственности доля розничных инвесторов и представляющих их институтов коллективного финансирования; ниже доля собственности государства и крупных корпоративных структур и банков</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89CBA"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Выше доля собственности государства и крупных корпоративных структур, существенно ниже в структуре собственности доля розничных инвесторов и представляющих их институтов коллективного инвестирования. Важнейшую роль играют банки как крупные инвесторы в акционерные капиталы хозяйства</w:t>
            </w:r>
          </w:p>
        </w:tc>
      </w:tr>
    </w:tbl>
    <w:p w14:paraId="2833F63A"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i/>
          <w:iCs/>
        </w:rPr>
        <w:t> </w:t>
      </w:r>
    </w:p>
    <w:tbl>
      <w:tblPr>
        <w:tblW w:w="9540" w:type="dxa"/>
        <w:tblInd w:w="108" w:type="dxa"/>
        <w:tblCellMar>
          <w:left w:w="0" w:type="dxa"/>
          <w:right w:w="0" w:type="dxa"/>
        </w:tblCellMar>
        <w:tblLook w:val="04A0" w:firstRow="1" w:lastRow="0" w:firstColumn="1" w:lastColumn="0" w:noHBand="0" w:noVBand="1"/>
      </w:tblPr>
      <w:tblGrid>
        <w:gridCol w:w="2160"/>
        <w:gridCol w:w="3690"/>
        <w:gridCol w:w="3690"/>
      </w:tblGrid>
      <w:tr w:rsidR="00D16DC5" w:rsidRPr="00DB019B" w14:paraId="7FB5B2E1" w14:textId="77777777" w:rsidTr="00D16DC5">
        <w:trPr>
          <w:trHeight w:val="510"/>
        </w:trPr>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9D31A"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lastRenderedPageBreak/>
              <w:t>Характеристики</w:t>
            </w:r>
          </w:p>
        </w:tc>
        <w:tc>
          <w:tcPr>
            <w:tcW w:w="36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A489F4"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Англо-саксонская</w:t>
            </w:r>
          </w:p>
          <w:p w14:paraId="7B4D12B4"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модель</w:t>
            </w:r>
          </w:p>
        </w:tc>
        <w:tc>
          <w:tcPr>
            <w:tcW w:w="36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D38504"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Европейско-континентальная</w:t>
            </w:r>
          </w:p>
          <w:p w14:paraId="0BA2CD96"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(германская) модель</w:t>
            </w:r>
          </w:p>
        </w:tc>
      </w:tr>
      <w:tr w:rsidR="00D16DC5" w:rsidRPr="00DB019B" w14:paraId="20FE749A" w14:textId="77777777" w:rsidTr="00D16DC5">
        <w:trPr>
          <w:trHeight w:val="2040"/>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9C5533" w14:textId="77777777" w:rsidR="00D16DC5" w:rsidRPr="00DB019B" w:rsidRDefault="00D16DC5" w:rsidP="00D16DC5">
            <w:pPr>
              <w:ind w:firstLine="34"/>
              <w:rPr>
                <w:rFonts w:ascii="Times New Roman" w:eastAsia="Times New Roman" w:hAnsi="Times New Roman" w:cs="Times New Roman"/>
              </w:rPr>
            </w:pPr>
            <w:r>
              <w:rPr>
                <w:rFonts w:ascii="Times New Roman" w:eastAsia="Times New Roman" w:hAnsi="Times New Roman" w:cs="Times New Roman"/>
              </w:rPr>
              <w:t>4.</w:t>
            </w:r>
            <w:r w:rsidRPr="00DB019B">
              <w:rPr>
                <w:rFonts w:ascii="Times New Roman" w:eastAsia="Times New Roman" w:hAnsi="Times New Roman" w:cs="Times New Roman"/>
              </w:rPr>
              <w:t>Степень вмешательства государства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D8249"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На либерализованных рынках возникает сильный государственный надзор, обеспечивающий честное ведение бизнеса и снижение рисков</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BEEA2"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Степень централизации в принятии решений, роль государства, масштабы административного вмешательства и размеры государственной собственности выше, чем в англо-саксонской модели</w:t>
            </w:r>
          </w:p>
        </w:tc>
      </w:tr>
      <w:tr w:rsidR="00D16DC5" w:rsidRPr="00DB019B" w14:paraId="7D8FC34E" w14:textId="77777777" w:rsidTr="00D16DC5">
        <w:trPr>
          <w:trHeight w:val="1755"/>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CBF0D1"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5. Банки</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E25699"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Широко представлены специализированные банки (например, инвестиционные банки)</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20E8CD"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Банки являются универсальными, действуя как на рынке традиционных банковских продуктов (кредиты, депозиты, расчеты), так и в качестве профессиональных участников на рынке ценных бумаг</w:t>
            </w:r>
          </w:p>
        </w:tc>
      </w:tr>
      <w:tr w:rsidR="00D16DC5" w:rsidRPr="00DB019B" w14:paraId="70FFDD9E" w14:textId="77777777" w:rsidTr="00D16DC5">
        <w:trPr>
          <w:trHeight w:val="795"/>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448871" w14:textId="77777777" w:rsidR="00D16DC5" w:rsidRPr="00DB019B" w:rsidRDefault="00D16DC5" w:rsidP="00D16DC5">
            <w:pPr>
              <w:ind w:firstLine="34"/>
              <w:rPr>
                <w:rFonts w:ascii="Times New Roman" w:eastAsia="Times New Roman" w:hAnsi="Times New Roman" w:cs="Times New Roman"/>
              </w:rPr>
            </w:pPr>
            <w:r>
              <w:rPr>
                <w:rFonts w:ascii="Times New Roman" w:eastAsia="Times New Roman" w:hAnsi="Times New Roman" w:cs="Times New Roman"/>
              </w:rPr>
              <w:t>6.</w:t>
            </w:r>
            <w:r w:rsidRPr="00DB019B">
              <w:rPr>
                <w:rFonts w:ascii="Times New Roman" w:eastAsia="Times New Roman" w:hAnsi="Times New Roman" w:cs="Times New Roman"/>
              </w:rPr>
              <w:t>Диверсификация финансовых рынков</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30954"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Диверсификация структуры финансового рынка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F9B0C8" w14:textId="77777777" w:rsidR="00D16DC5" w:rsidRPr="00DB019B" w:rsidRDefault="00D16DC5" w:rsidP="00D16DC5">
            <w:pPr>
              <w:ind w:firstLine="34"/>
              <w:rPr>
                <w:rFonts w:ascii="Times New Roman" w:eastAsia="Times New Roman" w:hAnsi="Times New Roman" w:cs="Times New Roman"/>
              </w:rPr>
            </w:pPr>
            <w:r w:rsidRPr="00DB019B">
              <w:rPr>
                <w:rFonts w:ascii="Times New Roman" w:eastAsia="Times New Roman" w:hAnsi="Times New Roman" w:cs="Times New Roman"/>
              </w:rPr>
              <w:t>Финансовые рынки менее диверсифицированы</w:t>
            </w:r>
          </w:p>
        </w:tc>
      </w:tr>
      <w:tr w:rsidR="00D16DC5" w:rsidRPr="00DB019B" w14:paraId="1F33BCF6" w14:textId="77777777" w:rsidTr="00D16DC5">
        <w:trPr>
          <w:trHeight w:val="255"/>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E5E4FF" w14:textId="77777777" w:rsidR="00D16DC5" w:rsidRPr="00DB019B" w:rsidRDefault="00D16DC5" w:rsidP="00D16DC5">
            <w:pPr>
              <w:ind w:firstLine="34"/>
              <w:jc w:val="both"/>
              <w:rPr>
                <w:rFonts w:ascii="Times New Roman" w:eastAsia="Times New Roman" w:hAnsi="Times New Roman" w:cs="Times New Roman"/>
              </w:rPr>
            </w:pPr>
            <w:r w:rsidRPr="00DB019B">
              <w:rPr>
                <w:rFonts w:ascii="Times New Roman" w:eastAsia="Times New Roman" w:hAnsi="Times New Roman" w:cs="Times New Roman"/>
              </w:rPr>
              <w:t>7. Страны</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EC202" w14:textId="77777777" w:rsidR="00D16DC5" w:rsidRPr="00DB019B" w:rsidRDefault="00D16DC5" w:rsidP="00D16DC5">
            <w:pPr>
              <w:ind w:firstLine="34"/>
              <w:jc w:val="both"/>
              <w:rPr>
                <w:rFonts w:ascii="Times New Roman" w:eastAsia="Times New Roman" w:hAnsi="Times New Roman" w:cs="Times New Roman"/>
              </w:rPr>
            </w:pPr>
            <w:r w:rsidRPr="00DB019B">
              <w:rPr>
                <w:rFonts w:ascii="Times New Roman" w:eastAsia="Times New Roman" w:hAnsi="Times New Roman" w:cs="Times New Roman"/>
              </w:rPr>
              <w:t>США, Великобритания, Канада</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B5A97B" w14:textId="77777777" w:rsidR="00D16DC5" w:rsidRPr="00DB019B" w:rsidRDefault="00D16DC5" w:rsidP="00D16DC5">
            <w:pPr>
              <w:ind w:firstLine="34"/>
              <w:jc w:val="both"/>
              <w:rPr>
                <w:rFonts w:ascii="Times New Roman" w:eastAsia="Times New Roman" w:hAnsi="Times New Roman" w:cs="Times New Roman"/>
              </w:rPr>
            </w:pPr>
            <w:r w:rsidRPr="00DB019B">
              <w:rPr>
                <w:rFonts w:ascii="Times New Roman" w:eastAsia="Times New Roman" w:hAnsi="Times New Roman" w:cs="Times New Roman"/>
              </w:rPr>
              <w:t>Германия, Франция, Япония</w:t>
            </w:r>
          </w:p>
        </w:tc>
      </w:tr>
    </w:tbl>
    <w:p w14:paraId="1EE4E4B6" w14:textId="77777777" w:rsidR="00D16DC5" w:rsidRPr="008F172C" w:rsidRDefault="00D16DC5" w:rsidP="00D16DC5">
      <w:pPr>
        <w:autoSpaceDE w:val="0"/>
        <w:autoSpaceDN w:val="0"/>
        <w:adjustRightInd w:val="0"/>
        <w:rPr>
          <w:rFonts w:ascii="Times New Roman" w:hAnsi="Times New Roman" w:cs="Times New Roman"/>
          <w:sz w:val="20"/>
          <w:szCs w:val="20"/>
        </w:rPr>
      </w:pPr>
      <w:r>
        <w:rPr>
          <w:rFonts w:ascii="Times New Roman" w:hAnsi="Times New Roman" w:cs="Times New Roman"/>
        </w:rPr>
        <w:tab/>
      </w:r>
      <w:r w:rsidRPr="008F172C">
        <w:rPr>
          <w:rFonts w:ascii="Times New Roman" w:hAnsi="Times New Roman" w:cs="Times New Roman"/>
          <w:sz w:val="20"/>
          <w:szCs w:val="20"/>
        </w:rPr>
        <w:t>Источник: Рот А., Захаров А., Златкис Б., Миркин Я., Борн Б., Бернард Р., Баренбойм</w:t>
      </w:r>
    </w:p>
    <w:p w14:paraId="4E26EE90" w14:textId="77777777" w:rsidR="00D16DC5" w:rsidRPr="008F172C" w:rsidRDefault="00D16DC5" w:rsidP="00D16DC5">
      <w:pPr>
        <w:tabs>
          <w:tab w:val="left" w:pos="2040"/>
        </w:tabs>
        <w:ind w:firstLine="284"/>
        <w:rPr>
          <w:rFonts w:ascii="Times New Roman" w:hAnsi="Times New Roman" w:cs="Times New Roman"/>
          <w:sz w:val="20"/>
          <w:szCs w:val="20"/>
        </w:rPr>
      </w:pPr>
      <w:r w:rsidRPr="008F172C">
        <w:rPr>
          <w:rFonts w:ascii="Times New Roman" w:hAnsi="Times New Roman" w:cs="Times New Roman"/>
          <w:sz w:val="20"/>
          <w:szCs w:val="20"/>
        </w:rPr>
        <w:t>П., Хит А. Указ. Соч. 2003. С. 435.</w:t>
      </w:r>
    </w:p>
    <w:p w14:paraId="5ECB8807" w14:textId="77777777" w:rsidR="00D16DC5" w:rsidRPr="00DB019B" w:rsidRDefault="00D16DC5" w:rsidP="00D16DC5">
      <w:pPr>
        <w:jc w:val="both"/>
        <w:rPr>
          <w:rFonts w:ascii="Times New Roman" w:hAnsi="Times New Roman" w:cs="Times New Roman"/>
        </w:rPr>
      </w:pPr>
    </w:p>
    <w:p w14:paraId="76793726" w14:textId="77777777" w:rsidR="00DF0932" w:rsidRPr="00D16DC5" w:rsidRDefault="00DF0932" w:rsidP="00D16DC5">
      <w:pPr>
        <w:pStyle w:val="NormalWeb"/>
        <w:shd w:val="clear" w:color="auto" w:fill="FFFFFF"/>
        <w:spacing w:before="0" w:beforeAutospacing="0" w:after="0" w:afterAutospacing="0" w:line="360" w:lineRule="auto"/>
        <w:ind w:left="-284" w:firstLine="284"/>
        <w:jc w:val="both"/>
        <w:rPr>
          <w:rFonts w:ascii="Times New Roman" w:hAnsi="Times New Roman"/>
          <w:sz w:val="28"/>
          <w:szCs w:val="28"/>
        </w:rPr>
      </w:pPr>
      <w:r w:rsidRPr="00D16DC5">
        <w:rPr>
          <w:rFonts w:ascii="Times New Roman" w:hAnsi="Times New Roman"/>
          <w:sz w:val="28"/>
          <w:szCs w:val="28"/>
        </w:rPr>
        <w:t>В России и Китае действует смешанная модель рынка ценных бумаг, которая в мирово</w:t>
      </w:r>
      <w:r w:rsidR="00D54B5A" w:rsidRPr="00D16DC5">
        <w:rPr>
          <w:rFonts w:ascii="Times New Roman" w:hAnsi="Times New Roman"/>
          <w:sz w:val="28"/>
          <w:szCs w:val="28"/>
        </w:rPr>
        <w:t>й практике считается переходной, однако обе страны в большей степени тяготеют к ко</w:t>
      </w:r>
      <w:r w:rsidR="00282726" w:rsidRPr="00D16DC5">
        <w:rPr>
          <w:rFonts w:ascii="Times New Roman" w:hAnsi="Times New Roman"/>
          <w:sz w:val="28"/>
          <w:szCs w:val="28"/>
        </w:rPr>
        <w:t>нтинентальной модели, нежели к англосаксонской.</w:t>
      </w:r>
      <w:r w:rsidR="00D54B5A" w:rsidRPr="00D16DC5">
        <w:rPr>
          <w:rFonts w:ascii="Times New Roman" w:hAnsi="Times New Roman"/>
          <w:sz w:val="28"/>
          <w:szCs w:val="28"/>
        </w:rPr>
        <w:t xml:space="preserve"> </w:t>
      </w:r>
      <w:r w:rsidRPr="00D16DC5">
        <w:rPr>
          <w:rFonts w:ascii="Times New Roman" w:hAnsi="Times New Roman"/>
          <w:sz w:val="28"/>
          <w:szCs w:val="28"/>
        </w:rPr>
        <w:t xml:space="preserve"> На фондовых рынках работают коммерческие банки, а также различные инвестиционные институты. При этом все участники рынка обладают равными правами и возможностями.</w:t>
      </w:r>
    </w:p>
    <w:p w14:paraId="23459808" w14:textId="77777777" w:rsidR="00DF0932" w:rsidRPr="00D16DC5" w:rsidRDefault="00DF0932" w:rsidP="00D16DC5">
      <w:pPr>
        <w:pStyle w:val="NormalWeb"/>
        <w:shd w:val="clear" w:color="auto" w:fill="FFFFFF"/>
        <w:spacing w:before="0" w:beforeAutospacing="0" w:after="0" w:afterAutospacing="0" w:line="360" w:lineRule="auto"/>
        <w:ind w:left="-284" w:firstLine="284"/>
        <w:jc w:val="both"/>
        <w:rPr>
          <w:rFonts w:ascii="Times New Roman" w:hAnsi="Times New Roman"/>
          <w:sz w:val="28"/>
          <w:szCs w:val="28"/>
        </w:rPr>
      </w:pPr>
      <w:r w:rsidRPr="00D16DC5">
        <w:rPr>
          <w:rFonts w:ascii="Times New Roman" w:hAnsi="Times New Roman"/>
          <w:sz w:val="28"/>
          <w:szCs w:val="28"/>
        </w:rPr>
        <w:t xml:space="preserve">Что касается работы с ценными бумагами в разрезе отдельно взятого российского банка, то тут действует европейская модель, накладывающая ряд определенных ограничений, в том числе и на ценные бумаги, а также осуществляемые с ними операции. Такая модель работы с ценными бумагами связана с довольно высоким уровнем риска для самого </w:t>
      </w:r>
      <w:r w:rsidR="00282726" w:rsidRPr="00D16DC5">
        <w:rPr>
          <w:rFonts w:ascii="Times New Roman" w:hAnsi="Times New Roman"/>
          <w:sz w:val="28"/>
          <w:szCs w:val="28"/>
        </w:rPr>
        <w:t>банка. Часть этих рисков связана</w:t>
      </w:r>
      <w:r w:rsidRPr="00D16DC5">
        <w:rPr>
          <w:rFonts w:ascii="Times New Roman" w:hAnsi="Times New Roman"/>
          <w:sz w:val="28"/>
          <w:szCs w:val="28"/>
        </w:rPr>
        <w:t xml:space="preserve"> непосредственно с деятельностью банков на фондовом рынке, а часть — с определенными сложностями при осуществлении сопутствующих расчетных и депозитных операций. В связи с такими сложностями в </w:t>
      </w:r>
      <w:r w:rsidRPr="00D16DC5">
        <w:rPr>
          <w:rFonts w:ascii="Times New Roman" w:hAnsi="Times New Roman"/>
          <w:sz w:val="28"/>
          <w:szCs w:val="28"/>
        </w:rPr>
        <w:lastRenderedPageBreak/>
        <w:t>банковской сфере, в последнее время фондовый рынок все больше завоевывают иные (небанковские) участники.</w:t>
      </w:r>
    </w:p>
    <w:p w14:paraId="1F4FA378" w14:textId="3079EE36" w:rsidR="00D03E84" w:rsidRPr="00D16DC5" w:rsidRDefault="00DF0932"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На финансовом рынке России в настоящее время представлено большое количество институциональных инвесторов, каждый из которых характеризуется спецификой методов и способов работы со средствами клиетов, составом потенциальных клиентов и используемой технолог</w:t>
      </w:r>
      <w:r w:rsidR="00D03E84" w:rsidRPr="00D16DC5">
        <w:rPr>
          <w:rFonts w:ascii="Times New Roman" w:hAnsi="Times New Roman" w:cs="Times New Roman"/>
          <w:sz w:val="28"/>
          <w:szCs w:val="28"/>
        </w:rPr>
        <w:t>ией продаж. Финансовый рынок России представлен следующими институциональными инвесторами: страховыми компаниями, негосударственными пенсионными фондами, инвестиционными фондами, коммерческими банками, кредитными союзами, обществами взаимного страхования.</w:t>
      </w:r>
    </w:p>
    <w:p w14:paraId="50B457B9" w14:textId="5B273134" w:rsidR="00D03E84" w:rsidRPr="00D16DC5" w:rsidRDefault="00D03E84"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Неразвитость рынка ценных бумаг и сетей небанковских институтов, а также широкая возможность для универсальных банков </w:t>
      </w:r>
      <w:r w:rsidR="008A6AC6" w:rsidRPr="00D16DC5">
        <w:rPr>
          <w:rFonts w:ascii="Times New Roman" w:hAnsi="Times New Roman" w:cs="Times New Roman"/>
          <w:sz w:val="28"/>
          <w:szCs w:val="28"/>
        </w:rPr>
        <w:t xml:space="preserve">развиваться в условиях нестабильности экономики, обуславливают вынужденный характер </w:t>
      </w:r>
      <w:r w:rsidR="008A6AC6" w:rsidRPr="00D16DC5">
        <w:rPr>
          <w:rFonts w:ascii="Times New Roman" w:hAnsi="Times New Roman" w:cs="Times New Roman"/>
          <w:i/>
          <w:sz w:val="28"/>
          <w:szCs w:val="28"/>
        </w:rPr>
        <w:t>коммерческих банков</w:t>
      </w:r>
      <w:r w:rsidR="008A6AC6" w:rsidRPr="00D16DC5">
        <w:rPr>
          <w:rFonts w:ascii="Times New Roman" w:hAnsi="Times New Roman" w:cs="Times New Roman"/>
          <w:sz w:val="28"/>
          <w:szCs w:val="28"/>
        </w:rPr>
        <w:t xml:space="preserve"> в России. В связи с этим банки, которые изначально создавались в качестве специализированных инвестиционных банков, были вынуждены диверсифицировать свою деятельность, осуществлять банковские операции, которые характерны для универсальных банков. Страховые компании, паевые инвестиционные и негосударственные пенсионные фонды получили наибольшее развитие по сравнению с остальными небанковскими финансово-кредитными институтами.</w:t>
      </w:r>
    </w:p>
    <w:p w14:paraId="0997745B" w14:textId="5D6D555D" w:rsidR="008A6AC6" w:rsidRPr="00D16DC5" w:rsidRDefault="008A6AC6" w:rsidP="00D16DC5">
      <w:pPr>
        <w:spacing w:line="360" w:lineRule="auto"/>
        <w:ind w:left="-284" w:firstLine="284"/>
        <w:jc w:val="both"/>
        <w:rPr>
          <w:rFonts w:ascii="Times New Roman" w:hAnsi="Times New Roman" w:cs="Times New Roman"/>
          <w:sz w:val="28"/>
          <w:szCs w:val="28"/>
          <w:lang w:val="en-US"/>
        </w:rPr>
      </w:pPr>
      <w:r w:rsidRPr="00D16DC5">
        <w:rPr>
          <w:rFonts w:ascii="Times New Roman" w:hAnsi="Times New Roman" w:cs="Times New Roman"/>
          <w:sz w:val="28"/>
          <w:szCs w:val="28"/>
        </w:rPr>
        <w:t xml:space="preserve">На конец января 2013 г. 460 </w:t>
      </w:r>
      <w:r w:rsidRPr="00D16DC5">
        <w:rPr>
          <w:rFonts w:ascii="Times New Roman" w:hAnsi="Times New Roman" w:cs="Times New Roman"/>
          <w:i/>
          <w:sz w:val="28"/>
          <w:szCs w:val="28"/>
        </w:rPr>
        <w:t>страховых компаний</w:t>
      </w:r>
      <w:r w:rsidRPr="00D16DC5">
        <w:rPr>
          <w:rFonts w:ascii="Times New Roman" w:hAnsi="Times New Roman" w:cs="Times New Roman"/>
          <w:sz w:val="28"/>
          <w:szCs w:val="28"/>
        </w:rPr>
        <w:t xml:space="preserve"> действовали на страховом рынке РФ. На сегодняшний день отечественные страховые компании имеют меньше финансовых возможностей и масштабов операций по сравнению со страховыми компаниями на Западе. Доля взносов в ВВП в развитых странах составляет от 8% до 12</w:t>
      </w:r>
      <w:r w:rsidRPr="00D16DC5">
        <w:rPr>
          <w:rFonts w:ascii="Times New Roman" w:hAnsi="Times New Roman" w:cs="Times New Roman"/>
          <w:sz w:val="28"/>
          <w:szCs w:val="28"/>
          <w:lang w:val="en-US"/>
        </w:rPr>
        <w:t>%, в России этот показатель составляет 2%. Российские страховые компании вкладывают в государственные ценные бумаги</w:t>
      </w:r>
      <w:r w:rsidR="00ED4859" w:rsidRPr="00D16DC5">
        <w:rPr>
          <w:rFonts w:ascii="Times New Roman" w:hAnsi="Times New Roman" w:cs="Times New Roman"/>
          <w:sz w:val="28"/>
          <w:szCs w:val="28"/>
          <w:lang w:val="en-US"/>
        </w:rPr>
        <w:t xml:space="preserve">, недвижимость, банковские депозиты, а также инвестируют в различные виды организаций в виде акций, облигаций и векселей. Страховые компании не </w:t>
      </w:r>
      <w:r w:rsidR="00ED4859" w:rsidRPr="00D16DC5">
        <w:rPr>
          <w:rFonts w:ascii="Times New Roman" w:hAnsi="Times New Roman" w:cs="Times New Roman"/>
          <w:sz w:val="28"/>
          <w:szCs w:val="28"/>
          <w:lang w:val="en-US"/>
        </w:rPr>
        <w:lastRenderedPageBreak/>
        <w:t>стали ведущими институциональными инвесторами ввиду неразвитости рынка РФ и недостатосной финансовой мощи.</w:t>
      </w:r>
    </w:p>
    <w:p w14:paraId="4F8390EB" w14:textId="75E3BDAA" w:rsidR="00DF0932" w:rsidRPr="00D16DC5" w:rsidRDefault="00ED4859"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i/>
          <w:sz w:val="28"/>
          <w:szCs w:val="28"/>
        </w:rPr>
        <w:t>Паевые инвестиционные фонды (ПИФы)</w:t>
      </w:r>
      <w:r w:rsidRPr="00D16DC5">
        <w:rPr>
          <w:rFonts w:ascii="Times New Roman" w:hAnsi="Times New Roman" w:cs="Times New Roman"/>
          <w:sz w:val="28"/>
          <w:szCs w:val="28"/>
        </w:rPr>
        <w:t xml:space="preserve"> являются наиболее динамичной и эффективной формой привлечения сбережений населения. Появление первых паевых инвестиционных фондов в России датируется ноябрем 1996 г. В настоящее время в РФ представлено </w:t>
      </w:r>
      <w:r w:rsidR="00576870" w:rsidRPr="00D16DC5">
        <w:rPr>
          <w:rFonts w:ascii="Times New Roman" w:hAnsi="Times New Roman" w:cs="Times New Roman"/>
          <w:sz w:val="28"/>
          <w:szCs w:val="28"/>
        </w:rPr>
        <w:t>три</w:t>
      </w:r>
      <w:r w:rsidRPr="00D16DC5">
        <w:rPr>
          <w:rFonts w:ascii="Times New Roman" w:hAnsi="Times New Roman" w:cs="Times New Roman"/>
          <w:sz w:val="28"/>
          <w:szCs w:val="28"/>
        </w:rPr>
        <w:t xml:space="preserve"> вида ПИФов, которые различаются по степени паевой ликвидности. </w:t>
      </w:r>
      <w:r w:rsidR="00576870" w:rsidRPr="00D16DC5">
        <w:rPr>
          <w:rFonts w:ascii="Times New Roman" w:hAnsi="Times New Roman" w:cs="Times New Roman"/>
          <w:sz w:val="28"/>
          <w:szCs w:val="28"/>
        </w:rPr>
        <w:t>Первый вид – открытый фонд, паи которого могут покупаться и продаваться ежедневно. Второй вид – интервальный фонд, паи которого продаются и покупаются в течение определенного периода времени. Третий вид – закрытый фонд, инвестор может купить паи только при их формировании.</w:t>
      </w:r>
    </w:p>
    <w:p w14:paraId="3CF01B65" w14:textId="39356429" w:rsidR="00576870" w:rsidRPr="00D16DC5" w:rsidRDefault="00576870"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Активами открытого паевого фонда</w:t>
      </w:r>
      <w:r w:rsidR="0066498E" w:rsidRPr="00D16DC5">
        <w:rPr>
          <w:rFonts w:ascii="Times New Roman" w:hAnsi="Times New Roman" w:cs="Times New Roman"/>
          <w:sz w:val="28"/>
          <w:szCs w:val="28"/>
        </w:rPr>
        <w:t xml:space="preserve"> могут быть денежные средства, государственные и корпоративные </w:t>
      </w:r>
      <w:r w:rsidRPr="00D16DC5">
        <w:rPr>
          <w:rFonts w:ascii="Times New Roman" w:hAnsi="Times New Roman" w:cs="Times New Roman"/>
          <w:sz w:val="28"/>
          <w:szCs w:val="28"/>
        </w:rPr>
        <w:t>ценные бумаги</w:t>
      </w:r>
      <w:r w:rsidR="0066498E" w:rsidRPr="00D16DC5">
        <w:rPr>
          <w:rFonts w:ascii="Times New Roman" w:hAnsi="Times New Roman" w:cs="Times New Roman"/>
          <w:sz w:val="28"/>
          <w:szCs w:val="28"/>
        </w:rPr>
        <w:t>, в то время как активы интервальных паевых фондов могут выступать не только вышеперчисленные активы, но и имущественные права на недвижимость и ценные бумаги без признаваемой котировки. По состоянию на конец 2008 года количество паевых инвестиционных фондов достигло 1058, стоимость чистых активов которых составила 507 млрд. руб., при этом активы закрытых фондов составили 365 млрд. руб., открытых фондов – 104 млрд. руб., а интервальных – 38 млрд. руб. Не смотря на стремительное развитие ПИФов, зарубежные аналоги превосходят российские ПИФы по инвестиционной значимости, количеству и качеству предоставляемых услуг, а также по доходности операций.</w:t>
      </w:r>
    </w:p>
    <w:p w14:paraId="50505249" w14:textId="50B29EF9" w:rsidR="0066498E" w:rsidRPr="00D16DC5" w:rsidRDefault="0097158B"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Первые</w:t>
      </w:r>
      <w:r w:rsidRPr="00D16DC5">
        <w:rPr>
          <w:rFonts w:ascii="Times New Roman" w:hAnsi="Times New Roman" w:cs="Times New Roman"/>
          <w:i/>
          <w:sz w:val="28"/>
          <w:szCs w:val="28"/>
        </w:rPr>
        <w:t xml:space="preserve"> н</w:t>
      </w:r>
      <w:r w:rsidR="0066498E" w:rsidRPr="00D16DC5">
        <w:rPr>
          <w:rFonts w:ascii="Times New Roman" w:hAnsi="Times New Roman" w:cs="Times New Roman"/>
          <w:i/>
          <w:sz w:val="28"/>
          <w:szCs w:val="28"/>
        </w:rPr>
        <w:t>егосударственные пенсионные фонды (НПФ)</w:t>
      </w:r>
      <w:r w:rsidRPr="00D16DC5">
        <w:rPr>
          <w:rFonts w:ascii="Times New Roman" w:hAnsi="Times New Roman" w:cs="Times New Roman"/>
          <w:sz w:val="28"/>
          <w:szCs w:val="28"/>
        </w:rPr>
        <w:t>появились в России в 1992 г., однако на финансовом рынке РФ их позиции по-прежнему незначительны. На конец 2011 г. их число достигло 428, а сумма активов – 20 млрд. руб. НПф имеют более долгосрочные ресурсы по сравнению с коммерчискими банками. Это и дает толчок к их развитию как институциональных инвесторов.</w:t>
      </w:r>
    </w:p>
    <w:p w14:paraId="6F899C5B" w14:textId="6CEEE5AC" w:rsidR="0097158B" w:rsidRPr="00D16DC5" w:rsidRDefault="0097158B"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lastRenderedPageBreak/>
        <w:t>Как уже было сказано, российский рынок тяготеет к европейско-континентальной модели, что означает преобладание на нем банков. Не смотря на то, что небанковские финансовые институты развиваются быстрыми темпами и играют заметную роль в экономике страны, на данном этапе становления российского рынка они уступают банкам по суммарным объемам активов, привлечению сбережений и диверсификации финансовых операций.</w:t>
      </w:r>
      <w:r w:rsidR="005E6264" w:rsidRPr="00D16DC5">
        <w:rPr>
          <w:rFonts w:ascii="Times New Roman" w:hAnsi="Times New Roman" w:cs="Times New Roman"/>
          <w:sz w:val="28"/>
          <w:szCs w:val="28"/>
        </w:rPr>
        <w:t xml:space="preserve"> Российскому рынку необходимо достигнуть определенную степень организации, для того, чтобы небанковские финансовые институты имели возможность функционировать. В странах с развитой рыночной экономикой являются крупнейшими институциональными инвесторами, аналогичные структуры в России в перспективе смогут занять такое же место. </w:t>
      </w:r>
    </w:p>
    <w:p w14:paraId="4B75877C" w14:textId="210013C8" w:rsidR="0032635B" w:rsidRPr="00D16DC5" w:rsidRDefault="005E6264"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В Китае, в отличие от России, была создана надежная опора рынка ценных бумаг в лице национальных индивидуальных инвесторов. Эта составляющая является важной, если речь идет об использовании китайского опыта в Ро</w:t>
      </w:r>
      <w:r w:rsidR="0032635B" w:rsidRPr="00D16DC5">
        <w:rPr>
          <w:rFonts w:ascii="Times New Roman" w:hAnsi="Times New Roman" w:cs="Times New Roman"/>
          <w:sz w:val="28"/>
          <w:szCs w:val="28"/>
        </w:rPr>
        <w:t>с</w:t>
      </w:r>
      <w:r w:rsidRPr="00D16DC5">
        <w:rPr>
          <w:rFonts w:ascii="Times New Roman" w:hAnsi="Times New Roman" w:cs="Times New Roman"/>
          <w:sz w:val="28"/>
          <w:szCs w:val="28"/>
        </w:rPr>
        <w:t xml:space="preserve">сии. </w:t>
      </w:r>
      <w:r w:rsidR="0032635B" w:rsidRPr="00D16DC5">
        <w:rPr>
          <w:rFonts w:ascii="Times New Roman" w:hAnsi="Times New Roman" w:cs="Times New Roman"/>
          <w:sz w:val="28"/>
          <w:szCs w:val="28"/>
        </w:rPr>
        <w:t>Ввиду полного открытия финансового рынка России, спекулятивная природа на нем усилилась, появилась зависимость от зарубежного спекулятивного капитала, в том числе и от «горячих денег».</w:t>
      </w:r>
    </w:p>
    <w:p w14:paraId="686E6911" w14:textId="7D54D146" w:rsidR="0003738B" w:rsidRPr="00D16DC5" w:rsidRDefault="0003738B"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Так или иначе, на развитых фондовых рынках, представляющих англо-американскую модель, доля участия населения чрезвычайно велика. Приоритетной задачей в России ставится развитие внутренней инвестиционной базы и повышения роли населения в ее структуре. На российском фондовом рынке преобладает иностранный капитал, из-за чего цены на акции «голубых фишек» образуются на зарубежных биржах при помощи механизма депозитарных расписок. Соответственно, возникают диспропорции, </w:t>
      </w:r>
      <w:r w:rsidR="006F4826" w:rsidRPr="00D16DC5">
        <w:rPr>
          <w:rFonts w:ascii="Times New Roman" w:hAnsi="Times New Roman" w:cs="Times New Roman"/>
          <w:sz w:val="28"/>
          <w:szCs w:val="28"/>
        </w:rPr>
        <w:t xml:space="preserve">поиск путей по преодолению которых входит в число важнейших задач России. В частности, одним из способов привлечения населения на финансовый рынок являются «народные </w:t>
      </w:r>
      <w:r w:rsidR="006F4826" w:rsidRPr="00D16DC5">
        <w:rPr>
          <w:rFonts w:ascii="Times New Roman" w:hAnsi="Times New Roman" w:cs="Times New Roman"/>
          <w:sz w:val="28"/>
          <w:szCs w:val="28"/>
          <w:lang w:val="en-US"/>
        </w:rPr>
        <w:t>IPO</w:t>
      </w:r>
      <w:r w:rsidR="006F4826" w:rsidRPr="00D16DC5">
        <w:rPr>
          <w:rFonts w:ascii="Times New Roman" w:hAnsi="Times New Roman" w:cs="Times New Roman"/>
          <w:sz w:val="28"/>
          <w:szCs w:val="28"/>
        </w:rPr>
        <w:t xml:space="preserve">», однако граждане в по большей части разочаровываются в них из-за того, что цены их размещения очень завышены, что, в свою очередь, отталкивает существующих инвесторов </w:t>
      </w:r>
      <w:r w:rsidR="006F4826" w:rsidRPr="00D16DC5">
        <w:rPr>
          <w:rFonts w:ascii="Times New Roman" w:hAnsi="Times New Roman" w:cs="Times New Roman"/>
          <w:sz w:val="28"/>
          <w:szCs w:val="28"/>
        </w:rPr>
        <w:lastRenderedPageBreak/>
        <w:t xml:space="preserve">и не способствует привлечению новых. Напротив, в Китае согласно установленным административным процедурам цены размещения </w:t>
      </w:r>
      <w:r w:rsidR="006F4826" w:rsidRPr="00D16DC5">
        <w:rPr>
          <w:rFonts w:ascii="Times New Roman" w:hAnsi="Times New Roman" w:cs="Times New Roman"/>
          <w:sz w:val="28"/>
          <w:szCs w:val="28"/>
          <w:lang w:val="en-US"/>
        </w:rPr>
        <w:t>IPO (в первую очередь “народных IPO</w:t>
      </w:r>
      <w:r w:rsidR="006F4826" w:rsidRPr="00D16DC5">
        <w:rPr>
          <w:rFonts w:ascii="Times New Roman" w:hAnsi="Times New Roman" w:cs="Times New Roman"/>
          <w:sz w:val="28"/>
          <w:szCs w:val="28"/>
        </w:rPr>
        <w:t>»)</w:t>
      </w:r>
      <w:r w:rsidR="006F4826" w:rsidRPr="00D16DC5">
        <w:rPr>
          <w:rFonts w:ascii="Times New Roman" w:hAnsi="Times New Roman" w:cs="Times New Roman"/>
          <w:sz w:val="28"/>
          <w:szCs w:val="28"/>
          <w:lang w:val="en-US"/>
        </w:rPr>
        <w:t xml:space="preserve"> </w:t>
      </w:r>
      <w:r w:rsidR="006F4826" w:rsidRPr="00D16DC5">
        <w:rPr>
          <w:rFonts w:ascii="Times New Roman" w:hAnsi="Times New Roman" w:cs="Times New Roman"/>
          <w:sz w:val="28"/>
          <w:szCs w:val="28"/>
        </w:rPr>
        <w:t>четко контролируются на предмет завышения, так как доверие всего населения к фондовому рынку формируется благодаря им.</w:t>
      </w:r>
    </w:p>
    <w:p w14:paraId="39ED7426" w14:textId="54423463" w:rsidR="006F4826" w:rsidRPr="00D16DC5" w:rsidRDefault="006F4826"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Фондовые рынки России и Китая в докризисный период </w:t>
      </w:r>
      <w:r w:rsidR="00C96E0C" w:rsidRPr="00D16DC5">
        <w:rPr>
          <w:rFonts w:ascii="Times New Roman" w:hAnsi="Times New Roman" w:cs="Times New Roman"/>
          <w:sz w:val="28"/>
          <w:szCs w:val="28"/>
        </w:rPr>
        <w:t xml:space="preserve">росли колоссальными темпами, увеличившись в разы. В обеих странах рост был спекулятивным, разница лишь в том, что в Китае он был обусловлен внутренним спросом, тогда как в России  - внешним. Обвал обоих рынков также был стремительным, что связано с вхождением мирового финансового рынка в активную стадию. </w:t>
      </w:r>
    </w:p>
    <w:p w14:paraId="6622A588" w14:textId="41870EE3" w:rsidR="00C96E0C" w:rsidRPr="00D16DC5" w:rsidRDefault="00C96E0C"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Важным преимуществом китайского фондового рынка является то, что сделки по видам акций на биржах высоко диверсифицированы, что сопоставимо с уровнем диверсификации на развитых рынках. Важно отметить, что даже после выхода «голубых фишек» на рынок, диверсификация сделок осталась на прежнем уровне. Таким образом, интересы инвесторов в Китае относительно равномерно распределены среди </w:t>
      </w:r>
      <w:r w:rsidR="00557F62" w:rsidRPr="00D16DC5">
        <w:rPr>
          <w:rFonts w:ascii="Times New Roman" w:hAnsi="Times New Roman" w:cs="Times New Roman"/>
          <w:sz w:val="28"/>
          <w:szCs w:val="28"/>
        </w:rPr>
        <w:t>различных эмитентов и не зависят от размера компаний. Напротив, на российском фондовом рынке ярко выражена олигополистическая структура, в рамках которой доминируют «голубые фишки». Таким образом, в силу низкого уровня диверсификации сделок и опоры на «голубые фишки», рынок ценных бумаг  российский рынок ценных бумаг обладает меньшей ликвидностью и большей степенью рыночного риска. В этом плане финансовый рынок Китая больше развит и сбалансирован.</w:t>
      </w:r>
    </w:p>
    <w:p w14:paraId="7552F294" w14:textId="28E9EF60" w:rsidR="00557F62" w:rsidRPr="00D16DC5" w:rsidRDefault="00557F62"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Отраслевая структура китайского фондового рынка также высоко диверсифицирована. </w:t>
      </w:r>
      <w:r w:rsidR="00EB43B1" w:rsidRPr="00D16DC5">
        <w:rPr>
          <w:rFonts w:ascii="Times New Roman" w:hAnsi="Times New Roman" w:cs="Times New Roman"/>
          <w:sz w:val="28"/>
          <w:szCs w:val="28"/>
        </w:rPr>
        <w:t xml:space="preserve">По данному критерию фондовый рынок Китая можно сопоставить с развитыми рынками. На российском рынке преобладают «голубые фишки» топливно-энергетического комплекса. И в России, и в Китае наблюдается прямая зависимость отраслевой структуры фондовых рынков и </w:t>
      </w:r>
      <w:r w:rsidR="00EB43B1" w:rsidRPr="00D16DC5">
        <w:rPr>
          <w:rFonts w:ascii="Times New Roman" w:hAnsi="Times New Roman" w:cs="Times New Roman"/>
          <w:sz w:val="28"/>
          <w:szCs w:val="28"/>
        </w:rPr>
        <w:lastRenderedPageBreak/>
        <w:t>отраслевой структуры экономики. Так, в Китае отраслевая структура экономики диверсифицирована, преобладают обрабатывающие отрасли промышленности, в России же доминирует сырьевой сектор в экономике, в этой связи российским государством осознается необходимость диверсификации структуры экономики. Это позволит равномерно распределить отраслевые риски,</w:t>
      </w:r>
      <w:r w:rsidR="00195C4B" w:rsidRPr="00D16DC5">
        <w:rPr>
          <w:rFonts w:ascii="Times New Roman" w:hAnsi="Times New Roman" w:cs="Times New Roman"/>
          <w:sz w:val="28"/>
          <w:szCs w:val="28"/>
        </w:rPr>
        <w:t xml:space="preserve"> сейчас же риски (международные цены на сырье) ложатся бременем на весь фондовый рынок. Относительно равный доступ отраслей на рынок ценных бумаг позволит повысить их эффективность, обострить как внтуриотраслевую, так и межотраслевую конкуренцию за ресурсы рынка. </w:t>
      </w:r>
    </w:p>
    <w:p w14:paraId="25CD5491" w14:textId="77777777" w:rsidR="00EF354C" w:rsidRPr="00D16DC5" w:rsidRDefault="00EF354C" w:rsidP="00D16DC5">
      <w:pPr>
        <w:autoSpaceDE w:val="0"/>
        <w:autoSpaceDN w:val="0"/>
        <w:adjustRightInd w:val="0"/>
        <w:spacing w:line="360" w:lineRule="auto"/>
        <w:ind w:left="-284" w:firstLine="284"/>
        <w:jc w:val="both"/>
        <w:rPr>
          <w:rFonts w:ascii="Times New Roman" w:hAnsi="Times New Roman" w:cs="Times New Roman"/>
          <w:b/>
          <w:sz w:val="28"/>
          <w:szCs w:val="28"/>
        </w:rPr>
      </w:pPr>
    </w:p>
    <w:p w14:paraId="05B321DE" w14:textId="4B148C8A" w:rsidR="00EF354C" w:rsidRPr="00D16DC5" w:rsidRDefault="00EF354C" w:rsidP="00D16DC5">
      <w:pPr>
        <w:autoSpaceDE w:val="0"/>
        <w:autoSpaceDN w:val="0"/>
        <w:adjustRightInd w:val="0"/>
        <w:spacing w:line="360" w:lineRule="auto"/>
        <w:ind w:left="-284" w:firstLine="284"/>
        <w:jc w:val="both"/>
        <w:rPr>
          <w:rFonts w:ascii="Times New Roman" w:hAnsi="Times New Roman" w:cs="Times New Roman"/>
          <w:b/>
          <w:i/>
          <w:sz w:val="28"/>
          <w:szCs w:val="28"/>
          <w:shd w:val="clear" w:color="auto" w:fill="FFFFFF"/>
        </w:rPr>
      </w:pPr>
      <w:r w:rsidRPr="00D16DC5">
        <w:rPr>
          <w:rFonts w:ascii="Times New Roman" w:hAnsi="Times New Roman" w:cs="Times New Roman"/>
          <w:b/>
          <w:i/>
          <w:sz w:val="28"/>
          <w:szCs w:val="28"/>
          <w:shd w:val="clear" w:color="auto" w:fill="FFFFFF"/>
        </w:rPr>
        <w:t xml:space="preserve">3.3 Сравнение рынков ценных бумаг при помощи модели </w:t>
      </w:r>
      <w:r w:rsidRPr="00D16DC5">
        <w:rPr>
          <w:rFonts w:ascii="Times New Roman" w:hAnsi="Times New Roman" w:cs="Times New Roman"/>
          <w:b/>
          <w:i/>
          <w:sz w:val="28"/>
          <w:szCs w:val="28"/>
          <w:shd w:val="clear" w:color="auto" w:fill="FFFFFF"/>
          <w:lang w:val="en-US"/>
        </w:rPr>
        <w:t>EVA</w:t>
      </w:r>
    </w:p>
    <w:p w14:paraId="31910380" w14:textId="2D930CC5" w:rsidR="00195C4B" w:rsidRPr="00D16DC5" w:rsidRDefault="00195C4B"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Для детальной оценки и сравнения эффективности работы финансовых рынков России и Китая, необходимо провести анализ при помощи модели </w:t>
      </w:r>
      <w:r w:rsidR="00796DE4" w:rsidRPr="00D16DC5">
        <w:rPr>
          <w:rFonts w:ascii="Times New Roman" w:hAnsi="Times New Roman" w:cs="Times New Roman"/>
          <w:sz w:val="28"/>
          <w:szCs w:val="28"/>
        </w:rPr>
        <w:t xml:space="preserve">Ольсона и концепции </w:t>
      </w:r>
      <w:r w:rsidRPr="00D16DC5">
        <w:rPr>
          <w:rFonts w:ascii="Times New Roman" w:hAnsi="Times New Roman" w:cs="Times New Roman"/>
          <w:sz w:val="28"/>
          <w:szCs w:val="28"/>
          <w:lang w:val="en-US"/>
        </w:rPr>
        <w:t xml:space="preserve">EVA. </w:t>
      </w:r>
      <w:r w:rsidRPr="00D16DC5">
        <w:rPr>
          <w:rFonts w:ascii="Times New Roman" w:hAnsi="Times New Roman" w:cs="Times New Roman"/>
          <w:sz w:val="28"/>
          <w:szCs w:val="28"/>
        </w:rPr>
        <w:t xml:space="preserve">Суть этой концепции сводится к тому, что эффективность финансового рынка можно оценить при помощи анализа эффективности работы компаний, представленных на нем. При этом критерием эффективности </w:t>
      </w:r>
      <w:r w:rsidR="00796DE4" w:rsidRPr="00D16DC5">
        <w:rPr>
          <w:rFonts w:ascii="Times New Roman" w:hAnsi="Times New Roman" w:cs="Times New Roman"/>
          <w:sz w:val="28"/>
          <w:szCs w:val="28"/>
        </w:rPr>
        <w:t>фондового рынка является его способность качественно оценивать ситуацию в компаниях и, исходя из внешних и внутренних факторов, которые влияют на развитие компании, формировать рыночную стоимость ценных бумаг. В свою очередь, эффективная работа компании –  работа, обеспечивающая прирост реальной стоимости компании.</w:t>
      </w:r>
    </w:p>
    <w:p w14:paraId="2ADF6ABF" w14:textId="31ABF998" w:rsidR="00796DE4" w:rsidRPr="00D16DC5" w:rsidRDefault="00796DE4"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Используя факторный и ретроспективный анализ, сопоставляются рыночные и реальные показатели динамики стоимости компаний. На этой основе можно сделать вывод о том, эффективно ли фондовый рынок оценивает реальное положение дел. </w:t>
      </w:r>
    </w:p>
    <w:p w14:paraId="70DEE2B4" w14:textId="677D5F17" w:rsidR="00796DE4" w:rsidRPr="00D16DC5" w:rsidRDefault="00796DE4"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Модель Ольсона рассматривает стоимоть компании как </w:t>
      </w:r>
      <w:r w:rsidR="00AF6CAD" w:rsidRPr="00D16DC5">
        <w:rPr>
          <w:rFonts w:ascii="Times New Roman" w:hAnsi="Times New Roman" w:cs="Times New Roman"/>
          <w:sz w:val="28"/>
          <w:szCs w:val="28"/>
        </w:rPr>
        <w:t>сумму текущей стоимости</w:t>
      </w:r>
      <w:r w:rsidRPr="00D16DC5">
        <w:rPr>
          <w:rFonts w:ascii="Times New Roman" w:hAnsi="Times New Roman" w:cs="Times New Roman"/>
          <w:sz w:val="28"/>
          <w:szCs w:val="28"/>
        </w:rPr>
        <w:t xml:space="preserve"> ее активов</w:t>
      </w:r>
      <w:r w:rsidR="00AF6CAD" w:rsidRPr="00D16DC5">
        <w:rPr>
          <w:rFonts w:ascii="Times New Roman" w:hAnsi="Times New Roman" w:cs="Times New Roman"/>
          <w:sz w:val="28"/>
          <w:szCs w:val="28"/>
        </w:rPr>
        <w:t xml:space="preserve"> и диконтированного потока «сверх»-доходов, или отклонений прибыли от средней величины по отрасли. Этот подход удобно </w:t>
      </w:r>
      <w:r w:rsidR="00AF6CAD" w:rsidRPr="00D16DC5">
        <w:rPr>
          <w:rFonts w:ascii="Times New Roman" w:hAnsi="Times New Roman" w:cs="Times New Roman"/>
          <w:sz w:val="28"/>
          <w:szCs w:val="28"/>
        </w:rPr>
        <w:lastRenderedPageBreak/>
        <w:t>применять в при сравнительном анализе компаний из одной отрасли.</w:t>
      </w:r>
    </w:p>
    <w:p w14:paraId="58E1A81D" w14:textId="3F41F14D" w:rsidR="00E200E0" w:rsidRPr="00D16DC5" w:rsidRDefault="00AF6CAD"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Концепция экономической добавленной стоимости </w:t>
      </w:r>
      <w:r w:rsidRPr="00D16DC5">
        <w:rPr>
          <w:rFonts w:ascii="Times New Roman" w:hAnsi="Times New Roman" w:cs="Times New Roman"/>
          <w:sz w:val="28"/>
          <w:szCs w:val="28"/>
          <w:lang w:val="en-US"/>
        </w:rPr>
        <w:t>(Economic Value Added – EVA)</w:t>
      </w:r>
      <w:r w:rsidR="008A78D7" w:rsidRPr="00D16DC5">
        <w:rPr>
          <w:rFonts w:ascii="Times New Roman" w:hAnsi="Times New Roman" w:cs="Times New Roman"/>
          <w:sz w:val="28"/>
          <w:szCs w:val="28"/>
        </w:rPr>
        <w:t xml:space="preserve"> тес</w:t>
      </w:r>
      <w:r w:rsidRPr="00D16DC5">
        <w:rPr>
          <w:rFonts w:ascii="Times New Roman" w:hAnsi="Times New Roman" w:cs="Times New Roman"/>
          <w:sz w:val="28"/>
          <w:szCs w:val="28"/>
        </w:rPr>
        <w:t>но переплетается с подходом, применяемым в модели Ольсона</w:t>
      </w:r>
      <w:r w:rsidRPr="00D16DC5">
        <w:rPr>
          <w:rStyle w:val="FootnoteReference"/>
          <w:rFonts w:ascii="Times New Roman" w:hAnsi="Times New Roman" w:cs="Times New Roman"/>
          <w:sz w:val="28"/>
          <w:szCs w:val="28"/>
        </w:rPr>
        <w:footnoteReference w:id="58"/>
      </w:r>
      <w:r w:rsidRPr="00D16DC5">
        <w:rPr>
          <w:rFonts w:ascii="Times New Roman" w:hAnsi="Times New Roman" w:cs="Times New Roman"/>
          <w:sz w:val="28"/>
          <w:szCs w:val="28"/>
        </w:rPr>
        <w:t xml:space="preserve">. Согласно концепции экономической добавленной стоимости, балансовая стоимость и будущая добавленная стоимость, приведенная к моменту оценки, представляют собой стоимость компании. Основной идеей показателя </w:t>
      </w:r>
      <w:r w:rsidRPr="00D16DC5">
        <w:rPr>
          <w:rFonts w:ascii="Times New Roman" w:hAnsi="Times New Roman" w:cs="Times New Roman"/>
          <w:sz w:val="28"/>
          <w:szCs w:val="28"/>
          <w:lang w:val="en-US"/>
        </w:rPr>
        <w:t xml:space="preserve">EVA </w:t>
      </w:r>
      <w:r w:rsidRPr="00D16DC5">
        <w:rPr>
          <w:rFonts w:ascii="Times New Roman" w:hAnsi="Times New Roman" w:cs="Times New Roman"/>
          <w:sz w:val="28"/>
          <w:szCs w:val="28"/>
        </w:rPr>
        <w:t>является эффективность капитала, который должен работать так, чтобы удовлетворить и нужды бизнеса, и обеспечить норму доходности инвесторам и акционерам</w:t>
      </w:r>
      <w:r w:rsidR="00E200E0" w:rsidRPr="00D16DC5">
        <w:rPr>
          <w:rFonts w:ascii="Times New Roman" w:hAnsi="Times New Roman" w:cs="Times New Roman"/>
          <w:sz w:val="28"/>
          <w:szCs w:val="28"/>
        </w:rPr>
        <w:t xml:space="preserve"> на необходимом уровне (выше той нормы</w:t>
      </w:r>
      <w:r w:rsidRPr="00D16DC5">
        <w:rPr>
          <w:rFonts w:ascii="Times New Roman" w:hAnsi="Times New Roman" w:cs="Times New Roman"/>
          <w:sz w:val="28"/>
          <w:szCs w:val="28"/>
        </w:rPr>
        <w:t>, которую они могли бы получить от вложений в альтернативный проект</w:t>
      </w:r>
      <w:r w:rsidR="00CB070A" w:rsidRPr="00D16DC5">
        <w:rPr>
          <w:rFonts w:ascii="Times New Roman" w:hAnsi="Times New Roman" w:cs="Times New Roman"/>
          <w:sz w:val="28"/>
          <w:szCs w:val="28"/>
        </w:rPr>
        <w:t xml:space="preserve"> с таким же уровнем риска</w:t>
      </w:r>
      <w:r w:rsidRPr="00D16DC5">
        <w:rPr>
          <w:rFonts w:ascii="Times New Roman" w:hAnsi="Times New Roman" w:cs="Times New Roman"/>
          <w:sz w:val="28"/>
          <w:szCs w:val="28"/>
        </w:rPr>
        <w:t>).</w:t>
      </w:r>
    </w:p>
    <w:p w14:paraId="4FB5EB5E" w14:textId="21292DD4" w:rsidR="00AF6CAD" w:rsidRPr="00D16DC5" w:rsidRDefault="00E200E0"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Метод </w:t>
      </w:r>
      <w:r w:rsidRPr="00D16DC5">
        <w:rPr>
          <w:rFonts w:ascii="Times New Roman" w:hAnsi="Times New Roman" w:cs="Times New Roman"/>
          <w:sz w:val="28"/>
          <w:szCs w:val="28"/>
          <w:lang w:val="en-US"/>
        </w:rPr>
        <w:t xml:space="preserve">EVA </w:t>
      </w:r>
      <w:r w:rsidRPr="00D16DC5">
        <w:rPr>
          <w:rFonts w:ascii="Times New Roman" w:hAnsi="Times New Roman" w:cs="Times New Roman"/>
          <w:sz w:val="28"/>
          <w:szCs w:val="28"/>
        </w:rPr>
        <w:t xml:space="preserve">показывает, что все заинтересованные группы </w:t>
      </w:r>
      <w:r w:rsidR="000C4909" w:rsidRPr="00D16DC5">
        <w:rPr>
          <w:rFonts w:ascii="Times New Roman" w:hAnsi="Times New Roman" w:cs="Times New Roman"/>
          <w:sz w:val="28"/>
          <w:szCs w:val="28"/>
        </w:rPr>
        <w:t xml:space="preserve">стремятся увеличить стоимость бизнеса, при том условии, что компания адекватно использует собственный и заемный капитал. Последнее замечание в особенности важно, так как показатель </w:t>
      </w:r>
      <w:r w:rsidR="000C4909" w:rsidRPr="00D16DC5">
        <w:rPr>
          <w:rFonts w:ascii="Times New Roman" w:hAnsi="Times New Roman" w:cs="Times New Roman"/>
          <w:sz w:val="28"/>
          <w:szCs w:val="28"/>
          <w:lang w:val="en-US"/>
        </w:rPr>
        <w:t xml:space="preserve">EVA, с одной стороны, может быть использован в качестве индикатора качества принятия управленческих решенеий, а с другой стороны, для анализа эффективности оценки финансовым рынком деятельности компаний </w:t>
      </w:r>
      <w:r w:rsidR="00CB070A" w:rsidRPr="00D16DC5">
        <w:rPr>
          <w:rFonts w:ascii="Times New Roman" w:hAnsi="Times New Roman" w:cs="Times New Roman"/>
          <w:sz w:val="28"/>
          <w:szCs w:val="28"/>
        </w:rPr>
        <w:t xml:space="preserve"> </w:t>
      </w:r>
      <w:r w:rsidR="000C4909" w:rsidRPr="00D16DC5">
        <w:rPr>
          <w:rFonts w:ascii="Times New Roman" w:hAnsi="Times New Roman" w:cs="Times New Roman"/>
          <w:sz w:val="28"/>
          <w:szCs w:val="28"/>
        </w:rPr>
        <w:t>данный показатель сравнивают с капитализацией компании.</w:t>
      </w:r>
    </w:p>
    <w:p w14:paraId="19A6FDCA" w14:textId="6AFDA9C3" w:rsidR="000C4909" w:rsidRPr="00D16DC5" w:rsidRDefault="000C4909"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Для определения предмета дальнейшего исследования, необходимо отметить основные критерии, по которым будут определяться компании. Акции обеих компаний должны обращаться на национальных фондовых рынках. Это условие является особенно важным для России, так как до 2011 </w:t>
      </w:r>
      <w:r w:rsidR="00975828" w:rsidRPr="00D16DC5">
        <w:rPr>
          <w:rFonts w:ascii="Times New Roman" w:hAnsi="Times New Roman" w:cs="Times New Roman"/>
          <w:sz w:val="28"/>
          <w:szCs w:val="28"/>
        </w:rPr>
        <w:t xml:space="preserve">ценные бумаги российских компаний не обязательно должны были обращаться на родном фондовом рынке. Чтобы не учитывать несущественные факторы и особенности отрасли, обе компании должны быть из одной отрасли экономики. Помимо этого, компании не должны занимать монопольного положения на рынке и быть негосударственной формы собственности. </w:t>
      </w:r>
      <w:r w:rsidR="00975828" w:rsidRPr="00D16DC5">
        <w:rPr>
          <w:rFonts w:ascii="Times New Roman" w:hAnsi="Times New Roman" w:cs="Times New Roman"/>
          <w:sz w:val="28"/>
          <w:szCs w:val="28"/>
        </w:rPr>
        <w:lastRenderedPageBreak/>
        <w:t>Поэтому при отборе компаний из России нужно игнорировать нефтегазовую отрасль, отрасли электроэнергии и металлургии.</w:t>
      </w:r>
    </w:p>
    <w:p w14:paraId="20669248" w14:textId="638C9F1B" w:rsidR="00975828" w:rsidRPr="00D16DC5" w:rsidRDefault="00975828"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Нью-Йоркская фондовая биржа будет выступать в качестве финансовой площадки, так как она имеет длительную историю и устоявшиеся правила работы. Акции всего пяти российских компаний котируются н</w:t>
      </w:r>
      <w:r w:rsidR="00702B0A" w:rsidRPr="00D16DC5">
        <w:rPr>
          <w:rFonts w:ascii="Times New Roman" w:hAnsi="Times New Roman" w:cs="Times New Roman"/>
          <w:sz w:val="28"/>
          <w:szCs w:val="28"/>
        </w:rPr>
        <w:t xml:space="preserve">а американской бирже, а именно акции компаний Мечел, Вимм-Билль-Данн, Мобильные ТелеСистемы, Вымпелком. При сравнении данных компаний было выявлено, что компания МТС является лидером по периоду рассмотрения и динамике развития отрасли. </w:t>
      </w:r>
    </w:p>
    <w:p w14:paraId="24C0B22A" w14:textId="52CDC925" w:rsidR="00702B0A" w:rsidRPr="00D16DC5" w:rsidRDefault="00702B0A"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В то же время, на Нью-Йоркском фондовом рынке представлено 45 китайских компаний, из которых две являются компаниями телекоммуникационной отрасли – </w:t>
      </w:r>
      <w:r w:rsidRPr="00D16DC5">
        <w:rPr>
          <w:rFonts w:ascii="Times New Roman" w:hAnsi="Times New Roman" w:cs="Times New Roman"/>
          <w:sz w:val="28"/>
          <w:szCs w:val="28"/>
          <w:lang w:val="en-US"/>
        </w:rPr>
        <w:t xml:space="preserve">China Unicom </w:t>
      </w:r>
      <w:r w:rsidRPr="00D16DC5">
        <w:rPr>
          <w:rFonts w:ascii="Times New Roman" w:hAnsi="Times New Roman" w:cs="Times New Roman"/>
          <w:sz w:val="28"/>
          <w:szCs w:val="28"/>
        </w:rPr>
        <w:t xml:space="preserve">и </w:t>
      </w:r>
      <w:r w:rsidRPr="00D16DC5">
        <w:rPr>
          <w:rFonts w:ascii="Times New Roman" w:hAnsi="Times New Roman" w:cs="Times New Roman"/>
          <w:sz w:val="28"/>
          <w:szCs w:val="28"/>
          <w:lang w:val="en-US"/>
        </w:rPr>
        <w:t>China Mobile</w:t>
      </w:r>
      <w:r w:rsidRPr="00D16DC5">
        <w:rPr>
          <w:rFonts w:ascii="Times New Roman" w:hAnsi="Times New Roman" w:cs="Times New Roman"/>
          <w:sz w:val="28"/>
          <w:szCs w:val="28"/>
        </w:rPr>
        <w:t>. Кризис крайне неблагоприятно повлиял на развитие компании</w:t>
      </w:r>
      <w:r w:rsidRPr="00D16DC5">
        <w:rPr>
          <w:rFonts w:ascii="Times New Roman" w:hAnsi="Times New Roman" w:cs="Times New Roman"/>
          <w:sz w:val="28"/>
          <w:szCs w:val="28"/>
          <w:lang w:val="en-US"/>
        </w:rPr>
        <w:t xml:space="preserve"> China Mobile</w:t>
      </w:r>
      <w:r w:rsidRPr="00D16DC5">
        <w:rPr>
          <w:rFonts w:ascii="Times New Roman" w:hAnsi="Times New Roman" w:cs="Times New Roman"/>
          <w:sz w:val="28"/>
          <w:szCs w:val="28"/>
        </w:rPr>
        <w:t xml:space="preserve">, в связи с тем она была исключена из рассмотрения. Таким образом, в качестве объектов исследования будут рассматриваться компании МТС в России и </w:t>
      </w:r>
      <w:r w:rsidRPr="00D16DC5">
        <w:rPr>
          <w:rFonts w:ascii="Times New Roman" w:hAnsi="Times New Roman" w:cs="Times New Roman"/>
          <w:sz w:val="28"/>
          <w:szCs w:val="28"/>
          <w:lang w:val="en-US"/>
        </w:rPr>
        <w:t xml:space="preserve">China Unicom </w:t>
      </w:r>
      <w:r w:rsidRPr="00D16DC5">
        <w:rPr>
          <w:rFonts w:ascii="Times New Roman" w:hAnsi="Times New Roman" w:cs="Times New Roman"/>
          <w:sz w:val="28"/>
          <w:szCs w:val="28"/>
        </w:rPr>
        <w:t>в Китае.</w:t>
      </w:r>
    </w:p>
    <w:p w14:paraId="3BAA803C" w14:textId="3CE146C7" w:rsidR="00702B0A" w:rsidRPr="00D16DC5" w:rsidRDefault="00702B0A" w:rsidP="00D16DC5">
      <w:pPr>
        <w:widowControl w:val="0"/>
        <w:autoSpaceDE w:val="0"/>
        <w:autoSpaceDN w:val="0"/>
        <w:adjustRightInd w:val="0"/>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Оба объекта исследования – крупнейшие мобильные операторы, при этом они не являются монополистами в своем регионе</w:t>
      </w:r>
      <w:r w:rsidR="00A74B3E" w:rsidRPr="00D16DC5">
        <w:rPr>
          <w:rFonts w:ascii="Times New Roman" w:hAnsi="Times New Roman" w:cs="Times New Roman"/>
          <w:sz w:val="28"/>
          <w:szCs w:val="28"/>
        </w:rPr>
        <w:t xml:space="preserve"> и не конкурируют между собой на рынке. Данная отрасль как в России, так и в Китае, начала развиваться сравнительно недавно, при этом оба государства имеют схожие особенности развития данной индустрии, как географические, так и исторические. К тому же, акции обеих компаний свободно обращаются и на национальном рынке, и на Нью-Йоркской фондовой бирже.  </w:t>
      </w:r>
    </w:p>
    <w:p w14:paraId="04040128" w14:textId="0970CEDE" w:rsidR="00DF0932" w:rsidRPr="00D16DC5" w:rsidRDefault="00DF0932"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Для оценки была выбрана модель </w:t>
      </w:r>
      <w:r w:rsidR="00A74B3E" w:rsidRPr="00D16DC5">
        <w:rPr>
          <w:rFonts w:ascii="Times New Roman" w:hAnsi="Times New Roman" w:cs="Times New Roman"/>
          <w:sz w:val="28"/>
          <w:szCs w:val="28"/>
        </w:rPr>
        <w:t>EVA</w:t>
      </w:r>
      <w:r w:rsidRPr="00D16DC5">
        <w:rPr>
          <w:rFonts w:ascii="Times New Roman" w:hAnsi="Times New Roman" w:cs="Times New Roman"/>
          <w:sz w:val="28"/>
          <w:szCs w:val="28"/>
        </w:rPr>
        <w:t xml:space="preserve">. </w:t>
      </w:r>
      <w:r w:rsidR="00820380" w:rsidRPr="00D16DC5">
        <w:rPr>
          <w:rFonts w:ascii="Times New Roman" w:hAnsi="Times New Roman" w:cs="Times New Roman"/>
          <w:sz w:val="28"/>
          <w:szCs w:val="28"/>
        </w:rPr>
        <w:t>Экономическая добавленная стоимость рассчитывается по данной формуле</w:t>
      </w:r>
      <w:r w:rsidRPr="00D16DC5">
        <w:rPr>
          <w:rFonts w:ascii="Times New Roman" w:hAnsi="Times New Roman" w:cs="Times New Roman"/>
          <w:sz w:val="28"/>
          <w:szCs w:val="28"/>
        </w:rPr>
        <w:t>:</w:t>
      </w:r>
    </w:p>
    <w:p w14:paraId="28ACFB4D" w14:textId="77777777" w:rsidR="00DF0932" w:rsidRPr="00D16DC5" w:rsidRDefault="00DF0932" w:rsidP="00D16DC5">
      <w:pPr>
        <w:spacing w:line="360" w:lineRule="auto"/>
        <w:ind w:left="-284" w:firstLine="284"/>
        <w:jc w:val="both"/>
        <w:rPr>
          <w:rFonts w:ascii="Times New Roman" w:hAnsi="Times New Roman" w:cs="Times New Roman"/>
          <w:sz w:val="28"/>
          <w:szCs w:val="28"/>
        </w:rPr>
      </w:pPr>
    </w:p>
    <w:p w14:paraId="0F31936A" w14:textId="77777777" w:rsidR="00DF0932" w:rsidRPr="00D16DC5" w:rsidRDefault="00DF0932"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b/>
          <w:sz w:val="28"/>
          <w:szCs w:val="28"/>
          <w:lang w:val="en-US"/>
        </w:rPr>
        <w:t>EVA</w:t>
      </w:r>
      <w:r w:rsidRPr="00D16DC5">
        <w:rPr>
          <w:rFonts w:ascii="Times New Roman" w:hAnsi="Times New Roman" w:cs="Times New Roman"/>
          <w:b/>
          <w:sz w:val="28"/>
          <w:szCs w:val="28"/>
        </w:rPr>
        <w:t>=</w:t>
      </w:r>
      <w:r w:rsidRPr="00D16DC5">
        <w:rPr>
          <w:rFonts w:ascii="Times New Roman" w:hAnsi="Times New Roman" w:cs="Times New Roman"/>
          <w:b/>
          <w:sz w:val="28"/>
          <w:szCs w:val="28"/>
          <w:lang w:val="en-US"/>
        </w:rPr>
        <w:t>NOPLAT</w:t>
      </w:r>
      <w:r w:rsidRPr="00D16DC5">
        <w:rPr>
          <w:rFonts w:ascii="Times New Roman" w:hAnsi="Times New Roman" w:cs="Times New Roman"/>
          <w:b/>
          <w:sz w:val="28"/>
          <w:szCs w:val="28"/>
        </w:rPr>
        <w:t xml:space="preserve"> – </w:t>
      </w:r>
      <w:r w:rsidRPr="00D16DC5">
        <w:rPr>
          <w:rFonts w:ascii="Times New Roman" w:hAnsi="Times New Roman" w:cs="Times New Roman"/>
          <w:b/>
          <w:sz w:val="28"/>
          <w:szCs w:val="28"/>
          <w:lang w:val="en-US"/>
        </w:rPr>
        <w:t>Capital</w:t>
      </w:r>
      <w:r w:rsidRPr="00D16DC5">
        <w:rPr>
          <w:rFonts w:ascii="Times New Roman" w:hAnsi="Times New Roman" w:cs="Times New Roman"/>
          <w:b/>
          <w:sz w:val="28"/>
          <w:szCs w:val="28"/>
        </w:rPr>
        <w:t xml:space="preserve"> = </w:t>
      </w:r>
      <w:r w:rsidRPr="00D16DC5">
        <w:rPr>
          <w:rFonts w:ascii="Times New Roman" w:hAnsi="Times New Roman" w:cs="Times New Roman"/>
          <w:b/>
          <w:sz w:val="28"/>
          <w:szCs w:val="28"/>
          <w:lang w:val="en-US"/>
        </w:rPr>
        <w:t>NOPLAT</w:t>
      </w:r>
      <w:r w:rsidRPr="00D16DC5">
        <w:rPr>
          <w:rFonts w:ascii="Times New Roman" w:hAnsi="Times New Roman" w:cs="Times New Roman"/>
          <w:b/>
          <w:sz w:val="28"/>
          <w:szCs w:val="28"/>
        </w:rPr>
        <w:t xml:space="preserve"> – </w:t>
      </w:r>
      <w:r w:rsidRPr="00D16DC5">
        <w:rPr>
          <w:rFonts w:ascii="Times New Roman" w:hAnsi="Times New Roman" w:cs="Times New Roman"/>
          <w:b/>
          <w:sz w:val="28"/>
          <w:szCs w:val="28"/>
          <w:lang w:val="en-US"/>
        </w:rPr>
        <w:t>WACC</w:t>
      </w:r>
      <w:r w:rsidRPr="00D16DC5">
        <w:rPr>
          <w:rFonts w:ascii="Times New Roman" w:hAnsi="Times New Roman" w:cs="Times New Roman"/>
          <w:b/>
          <w:sz w:val="28"/>
          <w:szCs w:val="28"/>
        </w:rPr>
        <w:t>*</w:t>
      </w:r>
      <w:r w:rsidRPr="00D16DC5">
        <w:rPr>
          <w:rFonts w:ascii="Times New Roman" w:hAnsi="Times New Roman" w:cs="Times New Roman"/>
          <w:b/>
          <w:sz w:val="28"/>
          <w:szCs w:val="28"/>
          <w:lang w:val="en-US"/>
        </w:rPr>
        <w:t>CE</w:t>
      </w:r>
      <w:r w:rsidRPr="00D16DC5">
        <w:rPr>
          <w:rFonts w:ascii="Times New Roman" w:hAnsi="Times New Roman" w:cs="Times New Roman"/>
          <w:sz w:val="28"/>
          <w:szCs w:val="28"/>
        </w:rPr>
        <w:t>,        (6)</w:t>
      </w:r>
    </w:p>
    <w:p w14:paraId="7BF10632" w14:textId="77777777" w:rsidR="00DF0932" w:rsidRPr="00D16DC5" w:rsidRDefault="00DF0932" w:rsidP="00D16DC5">
      <w:pPr>
        <w:spacing w:line="360" w:lineRule="auto"/>
        <w:ind w:left="-284" w:firstLine="284"/>
        <w:jc w:val="both"/>
        <w:rPr>
          <w:rFonts w:ascii="Times New Roman" w:hAnsi="Times New Roman" w:cs="Times New Roman"/>
          <w:sz w:val="28"/>
          <w:szCs w:val="28"/>
        </w:rPr>
      </w:pPr>
    </w:p>
    <w:p w14:paraId="6887B14F" w14:textId="3A529591" w:rsidR="00DF0932" w:rsidRPr="00D16DC5" w:rsidRDefault="000B3B95"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lastRenderedPageBreak/>
        <w:t>г</w:t>
      </w:r>
      <w:r w:rsidR="00DF0932" w:rsidRPr="00D16DC5">
        <w:rPr>
          <w:rFonts w:ascii="Times New Roman" w:hAnsi="Times New Roman" w:cs="Times New Roman"/>
          <w:sz w:val="28"/>
          <w:szCs w:val="28"/>
        </w:rPr>
        <w:t xml:space="preserve">де NOPLAT – чистая операционная прибыль по данным финансовой отчетности с </w:t>
      </w:r>
      <w:r w:rsidR="00A74B3E" w:rsidRPr="00D16DC5">
        <w:rPr>
          <w:rFonts w:ascii="Times New Roman" w:hAnsi="Times New Roman" w:cs="Times New Roman"/>
          <w:sz w:val="28"/>
          <w:szCs w:val="28"/>
        </w:rPr>
        <w:t>необходимыми корректировками</w:t>
      </w:r>
      <w:r w:rsidR="00DF0932" w:rsidRPr="00D16DC5">
        <w:rPr>
          <w:rFonts w:ascii="Times New Roman" w:hAnsi="Times New Roman" w:cs="Times New Roman"/>
          <w:sz w:val="28"/>
          <w:szCs w:val="28"/>
        </w:rPr>
        <w:t xml:space="preserve">, Capital -  </w:t>
      </w:r>
      <w:r w:rsidR="00A74B3E" w:rsidRPr="00D16DC5">
        <w:rPr>
          <w:rFonts w:ascii="Times New Roman" w:hAnsi="Times New Roman" w:cs="Times New Roman"/>
          <w:sz w:val="28"/>
          <w:szCs w:val="28"/>
        </w:rPr>
        <w:t>стоимость</w:t>
      </w:r>
      <w:r w:rsidR="00DF0932" w:rsidRPr="00D16DC5">
        <w:rPr>
          <w:rFonts w:ascii="Times New Roman" w:hAnsi="Times New Roman" w:cs="Times New Roman"/>
          <w:sz w:val="28"/>
          <w:szCs w:val="28"/>
        </w:rPr>
        <w:t xml:space="preserve"> капитала компании, WACC – средневзвешенная стоимость капитала, CE – инвестированный капитал.</w:t>
      </w:r>
    </w:p>
    <w:p w14:paraId="38AA1B5C" w14:textId="77777777" w:rsidR="00DF0932" w:rsidRPr="00D16DC5" w:rsidRDefault="00DF0932" w:rsidP="00D16DC5">
      <w:pPr>
        <w:spacing w:line="360" w:lineRule="auto"/>
        <w:ind w:left="-284" w:firstLine="284"/>
        <w:jc w:val="both"/>
        <w:rPr>
          <w:rFonts w:ascii="Times New Roman" w:hAnsi="Times New Roman" w:cs="Times New Roman"/>
          <w:sz w:val="28"/>
          <w:szCs w:val="28"/>
        </w:rPr>
      </w:pPr>
    </w:p>
    <w:p w14:paraId="70E87555" w14:textId="5075E818" w:rsidR="00DF0932" w:rsidRPr="00D16DC5" w:rsidRDefault="00D6796E"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Чтобы рассчитать</w:t>
      </w:r>
      <w:r w:rsidR="00DF0932" w:rsidRPr="00D16DC5">
        <w:rPr>
          <w:rFonts w:ascii="Times New Roman" w:hAnsi="Times New Roman" w:cs="Times New Roman"/>
          <w:sz w:val="28"/>
          <w:szCs w:val="28"/>
        </w:rPr>
        <w:t xml:space="preserve"> </w:t>
      </w:r>
      <w:r w:rsidRPr="00D16DC5">
        <w:rPr>
          <w:rFonts w:ascii="Times New Roman" w:hAnsi="Times New Roman" w:cs="Times New Roman"/>
          <w:sz w:val="28"/>
          <w:szCs w:val="28"/>
        </w:rPr>
        <w:t>показатель</w:t>
      </w:r>
      <w:r w:rsidR="00DF0932" w:rsidRPr="00D16DC5">
        <w:rPr>
          <w:rFonts w:ascii="Times New Roman" w:hAnsi="Times New Roman" w:cs="Times New Roman"/>
          <w:sz w:val="28"/>
          <w:szCs w:val="28"/>
        </w:rPr>
        <w:t xml:space="preserve"> инвестированного капитала </w:t>
      </w:r>
      <w:r w:rsidRPr="00D16DC5">
        <w:rPr>
          <w:rFonts w:ascii="Times New Roman" w:hAnsi="Times New Roman" w:cs="Times New Roman"/>
          <w:sz w:val="28"/>
          <w:szCs w:val="28"/>
        </w:rPr>
        <w:t>обратимся к  формуле</w:t>
      </w:r>
      <w:r w:rsidR="00DF0932" w:rsidRPr="00D16DC5">
        <w:rPr>
          <w:rFonts w:ascii="Times New Roman" w:hAnsi="Times New Roman" w:cs="Times New Roman"/>
          <w:sz w:val="28"/>
          <w:szCs w:val="28"/>
        </w:rPr>
        <w:t>:</w:t>
      </w:r>
    </w:p>
    <w:p w14:paraId="20EA20B6" w14:textId="77777777" w:rsidR="00DF0932" w:rsidRPr="00D16DC5" w:rsidRDefault="00DF0932" w:rsidP="00D16DC5">
      <w:pPr>
        <w:spacing w:line="360" w:lineRule="auto"/>
        <w:ind w:left="-284" w:firstLine="284"/>
        <w:jc w:val="both"/>
        <w:rPr>
          <w:rFonts w:ascii="Times New Roman" w:hAnsi="Times New Roman" w:cs="Times New Roman"/>
          <w:sz w:val="28"/>
          <w:szCs w:val="28"/>
        </w:rPr>
      </w:pPr>
    </w:p>
    <w:p w14:paraId="50F5B012" w14:textId="77777777" w:rsidR="00DF0932" w:rsidRPr="00D16DC5" w:rsidRDefault="00DF0932"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b/>
          <w:sz w:val="28"/>
          <w:szCs w:val="28"/>
        </w:rPr>
        <w:t>CE = TA – NP</w:t>
      </w:r>
      <w:r w:rsidRPr="00D16DC5">
        <w:rPr>
          <w:rFonts w:ascii="Times New Roman" w:hAnsi="Times New Roman" w:cs="Times New Roman"/>
          <w:sz w:val="28"/>
          <w:szCs w:val="28"/>
        </w:rPr>
        <w:t>,      (7)</w:t>
      </w:r>
    </w:p>
    <w:p w14:paraId="7C708717" w14:textId="77777777" w:rsidR="00DF0932" w:rsidRPr="00D16DC5" w:rsidRDefault="00DF0932" w:rsidP="00D16DC5">
      <w:pPr>
        <w:spacing w:line="360" w:lineRule="auto"/>
        <w:ind w:left="-284" w:firstLine="284"/>
        <w:jc w:val="both"/>
        <w:rPr>
          <w:rFonts w:ascii="Times New Roman" w:hAnsi="Times New Roman" w:cs="Times New Roman"/>
          <w:sz w:val="28"/>
          <w:szCs w:val="28"/>
        </w:rPr>
      </w:pPr>
    </w:p>
    <w:p w14:paraId="03FB746C" w14:textId="357AA83D" w:rsidR="00DF0932" w:rsidRPr="00D16DC5" w:rsidRDefault="000B3B95"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г</w:t>
      </w:r>
      <w:r w:rsidR="00DF0932" w:rsidRPr="00D16DC5">
        <w:rPr>
          <w:rFonts w:ascii="Times New Roman" w:hAnsi="Times New Roman" w:cs="Times New Roman"/>
          <w:sz w:val="28"/>
          <w:szCs w:val="28"/>
        </w:rPr>
        <w:t xml:space="preserve">де TA (Total Assets) -  совокупные активы, NP (Non Percen Liabilities) – беспроцентные текущие обязательства. </w:t>
      </w:r>
    </w:p>
    <w:p w14:paraId="60ADF879" w14:textId="55E3ECA1" w:rsidR="00DF0932" w:rsidRPr="00D16DC5" w:rsidRDefault="00D6796E"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Для расчета средневзвешенной стоимости</w:t>
      </w:r>
      <w:r w:rsidR="00DF0932" w:rsidRPr="00D16DC5">
        <w:rPr>
          <w:rFonts w:ascii="Times New Roman" w:hAnsi="Times New Roman" w:cs="Times New Roman"/>
          <w:sz w:val="28"/>
          <w:szCs w:val="28"/>
        </w:rPr>
        <w:t xml:space="preserve"> капитала (WACC)  </w:t>
      </w:r>
      <w:r w:rsidRPr="00D16DC5">
        <w:rPr>
          <w:rFonts w:ascii="Times New Roman" w:hAnsi="Times New Roman" w:cs="Times New Roman"/>
          <w:sz w:val="28"/>
          <w:szCs w:val="28"/>
        </w:rPr>
        <w:t>воспользуемся следующей формулой</w:t>
      </w:r>
      <w:r w:rsidR="00DF0932" w:rsidRPr="00D16DC5">
        <w:rPr>
          <w:rFonts w:ascii="Times New Roman" w:hAnsi="Times New Roman" w:cs="Times New Roman"/>
          <w:sz w:val="28"/>
          <w:szCs w:val="28"/>
        </w:rPr>
        <w:t>:</w:t>
      </w:r>
    </w:p>
    <w:p w14:paraId="0D221E5D" w14:textId="77777777" w:rsidR="00DF0932" w:rsidRPr="00D16DC5" w:rsidRDefault="00DF0932" w:rsidP="00D16DC5">
      <w:pPr>
        <w:spacing w:line="360" w:lineRule="auto"/>
        <w:ind w:left="-284" w:firstLine="284"/>
        <w:jc w:val="both"/>
        <w:rPr>
          <w:rFonts w:ascii="Times New Roman" w:hAnsi="Times New Roman" w:cs="Times New Roman"/>
          <w:sz w:val="28"/>
          <w:szCs w:val="28"/>
        </w:rPr>
      </w:pPr>
    </w:p>
    <w:p w14:paraId="70F3988B" w14:textId="77777777" w:rsidR="00DF0932" w:rsidRPr="00D16DC5" w:rsidRDefault="00DF0932" w:rsidP="00D16DC5">
      <w:pPr>
        <w:spacing w:line="360" w:lineRule="auto"/>
        <w:ind w:left="-284" w:firstLine="284"/>
        <w:jc w:val="both"/>
        <w:rPr>
          <w:rFonts w:ascii="Times New Roman" w:hAnsi="Times New Roman" w:cs="Times New Roman"/>
          <w:sz w:val="28"/>
          <w:szCs w:val="28"/>
          <w:lang w:val="en-US"/>
        </w:rPr>
      </w:pPr>
      <w:r w:rsidRPr="00D16DC5">
        <w:rPr>
          <w:rFonts w:ascii="Times New Roman" w:hAnsi="Times New Roman" w:cs="Times New Roman"/>
          <w:b/>
          <w:sz w:val="28"/>
          <w:szCs w:val="28"/>
          <w:lang w:val="en-US"/>
        </w:rPr>
        <w:t>WACC = Ks*Ws + Kd*Wd*(1-T)</w:t>
      </w:r>
      <w:r w:rsidRPr="00D16DC5">
        <w:rPr>
          <w:rFonts w:ascii="Times New Roman" w:hAnsi="Times New Roman" w:cs="Times New Roman"/>
          <w:sz w:val="28"/>
          <w:szCs w:val="28"/>
          <w:lang w:val="en-US"/>
        </w:rPr>
        <w:t>,       (8)</w:t>
      </w:r>
    </w:p>
    <w:p w14:paraId="4C3006A1" w14:textId="77777777" w:rsidR="00DF0932" w:rsidRPr="00D16DC5" w:rsidRDefault="00DF0932" w:rsidP="00D16DC5">
      <w:pPr>
        <w:spacing w:line="360" w:lineRule="auto"/>
        <w:ind w:left="-284" w:firstLine="284"/>
        <w:jc w:val="both"/>
        <w:rPr>
          <w:rFonts w:ascii="Times New Roman" w:hAnsi="Times New Roman" w:cs="Times New Roman"/>
          <w:sz w:val="28"/>
          <w:szCs w:val="28"/>
          <w:lang w:val="en-US"/>
        </w:rPr>
      </w:pPr>
    </w:p>
    <w:p w14:paraId="697B2B52" w14:textId="77777777" w:rsidR="00DF0932" w:rsidRPr="00D16DC5" w:rsidRDefault="00DF0932"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Где Ks, Kd – стоимость собственного и заемного капитала соответственно, Ws, Wd – доли собственного и заменого капитал в общем</w:t>
      </w:r>
      <w:r w:rsidR="000B3B95" w:rsidRPr="00D16DC5">
        <w:rPr>
          <w:rFonts w:ascii="Times New Roman" w:hAnsi="Times New Roman" w:cs="Times New Roman"/>
          <w:sz w:val="28"/>
          <w:szCs w:val="28"/>
        </w:rPr>
        <w:t xml:space="preserve"> капитале компании,</w:t>
      </w:r>
      <w:r w:rsidRPr="00D16DC5">
        <w:rPr>
          <w:rFonts w:ascii="Times New Roman" w:hAnsi="Times New Roman" w:cs="Times New Roman"/>
          <w:sz w:val="28"/>
          <w:szCs w:val="28"/>
        </w:rPr>
        <w:t xml:space="preserve"> (1-T) – «налоговый щит» на заемный капитал при ставке налога T. </w:t>
      </w:r>
    </w:p>
    <w:p w14:paraId="3539EB04" w14:textId="77777777" w:rsidR="00DF0932" w:rsidRPr="00D16DC5" w:rsidRDefault="00DF0932" w:rsidP="00D16DC5">
      <w:pPr>
        <w:spacing w:line="360" w:lineRule="auto"/>
        <w:ind w:left="-284" w:firstLine="284"/>
        <w:jc w:val="both"/>
        <w:rPr>
          <w:rFonts w:ascii="Times New Roman" w:hAnsi="Times New Roman" w:cs="Times New Roman"/>
          <w:sz w:val="28"/>
          <w:szCs w:val="28"/>
        </w:rPr>
      </w:pPr>
    </w:p>
    <w:p w14:paraId="23F9CE75" w14:textId="7B56E9A1" w:rsidR="00D6796E" w:rsidRPr="00D16DC5" w:rsidRDefault="00D6796E" w:rsidP="00D16DC5">
      <w:pPr>
        <w:spacing w:line="360" w:lineRule="auto"/>
        <w:ind w:left="-284" w:firstLine="284"/>
        <w:jc w:val="both"/>
        <w:rPr>
          <w:rFonts w:ascii="Times New Roman" w:hAnsi="Times New Roman" w:cs="Times New Roman"/>
          <w:sz w:val="28"/>
          <w:szCs w:val="28"/>
        </w:rPr>
      </w:pPr>
      <w:r w:rsidRPr="00D16DC5">
        <w:rPr>
          <w:rFonts w:ascii="Times New Roman" w:hAnsi="Times New Roman" w:cs="Times New Roman"/>
          <w:sz w:val="28"/>
          <w:szCs w:val="28"/>
        </w:rPr>
        <w:t>Алгоритм решения сводится</w:t>
      </w:r>
      <w:r w:rsidR="00D16DC5" w:rsidRPr="00D16DC5">
        <w:rPr>
          <w:rFonts w:ascii="Times New Roman" w:hAnsi="Times New Roman" w:cs="Times New Roman"/>
          <w:sz w:val="28"/>
          <w:szCs w:val="28"/>
        </w:rPr>
        <w:t xml:space="preserve"> в нижепредставленную таблицу 18</w:t>
      </w:r>
      <w:r w:rsidRPr="00D16DC5">
        <w:rPr>
          <w:rFonts w:ascii="Times New Roman" w:hAnsi="Times New Roman" w:cs="Times New Roman"/>
          <w:sz w:val="28"/>
          <w:szCs w:val="28"/>
        </w:rPr>
        <w:t>, в которой отображены окончательные результаты исследования деятельности компании МТС.</w:t>
      </w:r>
    </w:p>
    <w:p w14:paraId="5B382850" w14:textId="77777777" w:rsidR="00D16DC5" w:rsidRDefault="00D16DC5" w:rsidP="008C7960">
      <w:pPr>
        <w:ind w:firstLine="284"/>
        <w:jc w:val="both"/>
        <w:rPr>
          <w:rFonts w:ascii="Times New Roman" w:hAnsi="Times New Roman" w:cs="Times New Roman"/>
        </w:rPr>
      </w:pPr>
    </w:p>
    <w:p w14:paraId="47E4C231" w14:textId="461746F1" w:rsidR="00D16DC5" w:rsidRPr="00D16DC5" w:rsidRDefault="00D16DC5" w:rsidP="00D16DC5">
      <w:pPr>
        <w:ind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Таблица 18. Динамика EVA компании </w:t>
      </w:r>
      <w:r>
        <w:rPr>
          <w:rFonts w:ascii="Times New Roman" w:hAnsi="Times New Roman" w:cs="Times New Roman"/>
          <w:sz w:val="28"/>
          <w:szCs w:val="28"/>
        </w:rPr>
        <w:t>«МТС»</w:t>
      </w:r>
    </w:p>
    <w:tbl>
      <w:tblPr>
        <w:tblStyle w:val="TableGrid"/>
        <w:tblW w:w="9640" w:type="dxa"/>
        <w:tblInd w:w="-176" w:type="dxa"/>
        <w:tblLayout w:type="fixed"/>
        <w:tblLook w:val="04A0" w:firstRow="1" w:lastRow="0" w:firstColumn="1" w:lastColumn="0" w:noHBand="0" w:noVBand="1"/>
      </w:tblPr>
      <w:tblGrid>
        <w:gridCol w:w="1135"/>
        <w:gridCol w:w="850"/>
        <w:gridCol w:w="938"/>
        <w:gridCol w:w="922"/>
        <w:gridCol w:w="989"/>
        <w:gridCol w:w="922"/>
        <w:gridCol w:w="922"/>
        <w:gridCol w:w="977"/>
        <w:gridCol w:w="993"/>
        <w:gridCol w:w="992"/>
      </w:tblGrid>
      <w:tr w:rsidR="00D16DC5" w:rsidRPr="00DB019B" w14:paraId="4DCA09CC" w14:textId="77777777" w:rsidTr="00D16DC5">
        <w:tc>
          <w:tcPr>
            <w:tcW w:w="1135" w:type="dxa"/>
          </w:tcPr>
          <w:p w14:paraId="2DFAA60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$млн.</w:t>
            </w:r>
          </w:p>
        </w:tc>
        <w:tc>
          <w:tcPr>
            <w:tcW w:w="850" w:type="dxa"/>
          </w:tcPr>
          <w:p w14:paraId="03BFEDF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2000</w:t>
            </w:r>
          </w:p>
        </w:tc>
        <w:tc>
          <w:tcPr>
            <w:tcW w:w="938" w:type="dxa"/>
          </w:tcPr>
          <w:p w14:paraId="75185ED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2001</w:t>
            </w:r>
          </w:p>
        </w:tc>
        <w:tc>
          <w:tcPr>
            <w:tcW w:w="922" w:type="dxa"/>
          </w:tcPr>
          <w:p w14:paraId="42FB3699"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2002</w:t>
            </w:r>
          </w:p>
        </w:tc>
        <w:tc>
          <w:tcPr>
            <w:tcW w:w="989" w:type="dxa"/>
          </w:tcPr>
          <w:p w14:paraId="3A6A52F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2003</w:t>
            </w:r>
          </w:p>
        </w:tc>
        <w:tc>
          <w:tcPr>
            <w:tcW w:w="922" w:type="dxa"/>
          </w:tcPr>
          <w:p w14:paraId="1BFE91B9"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2004</w:t>
            </w:r>
          </w:p>
        </w:tc>
        <w:tc>
          <w:tcPr>
            <w:tcW w:w="922" w:type="dxa"/>
          </w:tcPr>
          <w:p w14:paraId="10292992"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2005</w:t>
            </w:r>
          </w:p>
        </w:tc>
        <w:tc>
          <w:tcPr>
            <w:tcW w:w="977" w:type="dxa"/>
          </w:tcPr>
          <w:p w14:paraId="162C84D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2006</w:t>
            </w:r>
          </w:p>
        </w:tc>
        <w:tc>
          <w:tcPr>
            <w:tcW w:w="993" w:type="dxa"/>
          </w:tcPr>
          <w:p w14:paraId="44F09B19"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2007</w:t>
            </w:r>
          </w:p>
        </w:tc>
        <w:tc>
          <w:tcPr>
            <w:tcW w:w="992" w:type="dxa"/>
          </w:tcPr>
          <w:p w14:paraId="5D7ADF0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2008</w:t>
            </w:r>
          </w:p>
        </w:tc>
      </w:tr>
      <w:tr w:rsidR="00D16DC5" w:rsidRPr="00DB019B" w14:paraId="734500B7" w14:textId="77777777" w:rsidTr="00D16DC5">
        <w:tc>
          <w:tcPr>
            <w:tcW w:w="1135" w:type="dxa"/>
          </w:tcPr>
          <w:p w14:paraId="5AE6A82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NOPLAT</w:t>
            </w:r>
          </w:p>
        </w:tc>
        <w:tc>
          <w:tcPr>
            <w:tcW w:w="850" w:type="dxa"/>
          </w:tcPr>
          <w:p w14:paraId="5DCEDB1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109,86</w:t>
            </w:r>
          </w:p>
        </w:tc>
        <w:tc>
          <w:tcPr>
            <w:tcW w:w="938" w:type="dxa"/>
          </w:tcPr>
          <w:p w14:paraId="63B77D7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160,01</w:t>
            </w:r>
          </w:p>
        </w:tc>
        <w:tc>
          <w:tcPr>
            <w:tcW w:w="922" w:type="dxa"/>
          </w:tcPr>
          <w:p w14:paraId="1154E0A0"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306,69</w:t>
            </w:r>
          </w:p>
        </w:tc>
        <w:tc>
          <w:tcPr>
            <w:tcW w:w="989" w:type="dxa"/>
          </w:tcPr>
          <w:p w14:paraId="003A1BEB"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636,57</w:t>
            </w:r>
          </w:p>
        </w:tc>
        <w:tc>
          <w:tcPr>
            <w:tcW w:w="922" w:type="dxa"/>
          </w:tcPr>
          <w:p w14:paraId="504DA5E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988,96</w:t>
            </w:r>
          </w:p>
        </w:tc>
        <w:tc>
          <w:tcPr>
            <w:tcW w:w="922" w:type="dxa"/>
          </w:tcPr>
          <w:p w14:paraId="4DE2EDE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1043,88</w:t>
            </w:r>
          </w:p>
        </w:tc>
        <w:tc>
          <w:tcPr>
            <w:tcW w:w="977" w:type="dxa"/>
          </w:tcPr>
          <w:p w14:paraId="15CDB4B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1460,31</w:t>
            </w:r>
          </w:p>
        </w:tc>
        <w:tc>
          <w:tcPr>
            <w:tcW w:w="993" w:type="dxa"/>
          </w:tcPr>
          <w:p w14:paraId="0F9AF61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1898,51</w:t>
            </w:r>
          </w:p>
        </w:tc>
        <w:tc>
          <w:tcPr>
            <w:tcW w:w="992" w:type="dxa"/>
          </w:tcPr>
          <w:p w14:paraId="46DEFAB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2272,2</w:t>
            </w:r>
          </w:p>
        </w:tc>
      </w:tr>
      <w:tr w:rsidR="00D16DC5" w:rsidRPr="00DB019B" w14:paraId="6BFE4ABC" w14:textId="77777777" w:rsidTr="00D16DC5">
        <w:tc>
          <w:tcPr>
            <w:tcW w:w="1135" w:type="dxa"/>
          </w:tcPr>
          <w:p w14:paraId="39395C3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Темп роста, %</w:t>
            </w:r>
          </w:p>
        </w:tc>
        <w:tc>
          <w:tcPr>
            <w:tcW w:w="850" w:type="dxa"/>
          </w:tcPr>
          <w:p w14:paraId="6892E3C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12,74</w:t>
            </w:r>
          </w:p>
        </w:tc>
        <w:tc>
          <w:tcPr>
            <w:tcW w:w="938" w:type="dxa"/>
          </w:tcPr>
          <w:p w14:paraId="6638F53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45,65</w:t>
            </w:r>
          </w:p>
        </w:tc>
        <w:tc>
          <w:tcPr>
            <w:tcW w:w="922" w:type="dxa"/>
          </w:tcPr>
          <w:p w14:paraId="3223904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91,67</w:t>
            </w:r>
          </w:p>
        </w:tc>
        <w:tc>
          <w:tcPr>
            <w:tcW w:w="989" w:type="dxa"/>
          </w:tcPr>
          <w:p w14:paraId="1963AD9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107,56</w:t>
            </w:r>
          </w:p>
        </w:tc>
        <w:tc>
          <w:tcPr>
            <w:tcW w:w="922" w:type="dxa"/>
          </w:tcPr>
          <w:p w14:paraId="20076EF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55,36</w:t>
            </w:r>
          </w:p>
        </w:tc>
        <w:tc>
          <w:tcPr>
            <w:tcW w:w="922" w:type="dxa"/>
          </w:tcPr>
          <w:p w14:paraId="5838F64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5,55</w:t>
            </w:r>
          </w:p>
        </w:tc>
        <w:tc>
          <w:tcPr>
            <w:tcW w:w="977" w:type="dxa"/>
          </w:tcPr>
          <w:p w14:paraId="1C4C3DD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39,89</w:t>
            </w:r>
          </w:p>
        </w:tc>
        <w:tc>
          <w:tcPr>
            <w:tcW w:w="993" w:type="dxa"/>
          </w:tcPr>
          <w:p w14:paraId="33ECF7E2"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29,80</w:t>
            </w:r>
          </w:p>
        </w:tc>
        <w:tc>
          <w:tcPr>
            <w:tcW w:w="992" w:type="dxa"/>
          </w:tcPr>
          <w:p w14:paraId="24EE7B5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19,87</w:t>
            </w:r>
          </w:p>
        </w:tc>
      </w:tr>
      <w:tr w:rsidR="00D16DC5" w:rsidRPr="00DB019B" w14:paraId="401B4D91" w14:textId="77777777" w:rsidTr="00D16DC5">
        <w:tc>
          <w:tcPr>
            <w:tcW w:w="1135" w:type="dxa"/>
          </w:tcPr>
          <w:p w14:paraId="15860CDB"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CE</w:t>
            </w:r>
          </w:p>
        </w:tc>
        <w:tc>
          <w:tcPr>
            <w:tcW w:w="850" w:type="dxa"/>
          </w:tcPr>
          <w:p w14:paraId="52A7D91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918,57</w:t>
            </w:r>
          </w:p>
        </w:tc>
        <w:tc>
          <w:tcPr>
            <w:tcW w:w="938" w:type="dxa"/>
          </w:tcPr>
          <w:p w14:paraId="0C4035A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1418,84</w:t>
            </w:r>
          </w:p>
        </w:tc>
        <w:tc>
          <w:tcPr>
            <w:tcW w:w="922" w:type="dxa"/>
          </w:tcPr>
          <w:p w14:paraId="1657098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1859,08</w:t>
            </w:r>
          </w:p>
        </w:tc>
        <w:tc>
          <w:tcPr>
            <w:tcW w:w="989" w:type="dxa"/>
          </w:tcPr>
          <w:p w14:paraId="24157349"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2927,38</w:t>
            </w:r>
          </w:p>
        </w:tc>
        <w:tc>
          <w:tcPr>
            <w:tcW w:w="922" w:type="dxa"/>
          </w:tcPr>
          <w:p w14:paraId="65F478E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4351,22</w:t>
            </w:r>
          </w:p>
        </w:tc>
        <w:tc>
          <w:tcPr>
            <w:tcW w:w="922" w:type="dxa"/>
          </w:tcPr>
          <w:p w14:paraId="6ED03240"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5622,95</w:t>
            </w:r>
          </w:p>
        </w:tc>
        <w:tc>
          <w:tcPr>
            <w:tcW w:w="977" w:type="dxa"/>
          </w:tcPr>
          <w:p w14:paraId="4424C1C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6853,64</w:t>
            </w:r>
          </w:p>
        </w:tc>
        <w:tc>
          <w:tcPr>
            <w:tcW w:w="993" w:type="dxa"/>
          </w:tcPr>
          <w:p w14:paraId="5129D05F"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8355,23</w:t>
            </w:r>
          </w:p>
        </w:tc>
        <w:tc>
          <w:tcPr>
            <w:tcW w:w="992" w:type="dxa"/>
          </w:tcPr>
          <w:p w14:paraId="4C2B9C6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7141,29</w:t>
            </w:r>
          </w:p>
        </w:tc>
      </w:tr>
      <w:tr w:rsidR="00D16DC5" w:rsidRPr="00DB019B" w14:paraId="2AA98DA5" w14:textId="77777777" w:rsidTr="00D16DC5">
        <w:tc>
          <w:tcPr>
            <w:tcW w:w="1135" w:type="dxa"/>
          </w:tcPr>
          <w:p w14:paraId="727B981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 xml:space="preserve">Темп </w:t>
            </w:r>
            <w:r w:rsidRPr="00DB019B">
              <w:rPr>
                <w:rFonts w:ascii="Times New Roman" w:hAnsi="Times New Roman" w:cs="Times New Roman"/>
                <w:sz w:val="24"/>
                <w:szCs w:val="24"/>
              </w:rPr>
              <w:lastRenderedPageBreak/>
              <w:t>роста, %</w:t>
            </w:r>
          </w:p>
        </w:tc>
        <w:tc>
          <w:tcPr>
            <w:tcW w:w="850" w:type="dxa"/>
          </w:tcPr>
          <w:p w14:paraId="0A86206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lastRenderedPageBreak/>
              <w:t>n/a</w:t>
            </w:r>
          </w:p>
        </w:tc>
        <w:tc>
          <w:tcPr>
            <w:tcW w:w="938" w:type="dxa"/>
          </w:tcPr>
          <w:p w14:paraId="5695702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54,46</w:t>
            </w:r>
          </w:p>
        </w:tc>
        <w:tc>
          <w:tcPr>
            <w:tcW w:w="922" w:type="dxa"/>
          </w:tcPr>
          <w:p w14:paraId="3DFD2BA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31,03</w:t>
            </w:r>
          </w:p>
        </w:tc>
        <w:tc>
          <w:tcPr>
            <w:tcW w:w="989" w:type="dxa"/>
          </w:tcPr>
          <w:p w14:paraId="347FFC62"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57,46</w:t>
            </w:r>
          </w:p>
        </w:tc>
        <w:tc>
          <w:tcPr>
            <w:tcW w:w="922" w:type="dxa"/>
          </w:tcPr>
          <w:p w14:paraId="2D02123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48,64</w:t>
            </w:r>
          </w:p>
        </w:tc>
        <w:tc>
          <w:tcPr>
            <w:tcW w:w="922" w:type="dxa"/>
          </w:tcPr>
          <w:p w14:paraId="4381C749"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29,23</w:t>
            </w:r>
          </w:p>
        </w:tc>
        <w:tc>
          <w:tcPr>
            <w:tcW w:w="977" w:type="dxa"/>
          </w:tcPr>
          <w:p w14:paraId="64C7064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21,89</w:t>
            </w:r>
          </w:p>
        </w:tc>
        <w:tc>
          <w:tcPr>
            <w:tcW w:w="993" w:type="dxa"/>
          </w:tcPr>
          <w:p w14:paraId="4249761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21,91</w:t>
            </w:r>
          </w:p>
        </w:tc>
        <w:tc>
          <w:tcPr>
            <w:tcW w:w="992" w:type="dxa"/>
          </w:tcPr>
          <w:p w14:paraId="17441A1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-14,63</w:t>
            </w:r>
          </w:p>
        </w:tc>
      </w:tr>
      <w:tr w:rsidR="00D16DC5" w:rsidRPr="00DB019B" w14:paraId="412FD0CE" w14:textId="77777777" w:rsidTr="00D16DC5">
        <w:tc>
          <w:tcPr>
            <w:tcW w:w="1135" w:type="dxa"/>
          </w:tcPr>
          <w:p w14:paraId="45ABA9A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lastRenderedPageBreak/>
              <w:t>WACC</w:t>
            </w:r>
          </w:p>
        </w:tc>
        <w:tc>
          <w:tcPr>
            <w:tcW w:w="850" w:type="dxa"/>
          </w:tcPr>
          <w:p w14:paraId="6597C2FB"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0,1649</w:t>
            </w:r>
          </w:p>
        </w:tc>
        <w:tc>
          <w:tcPr>
            <w:tcW w:w="938" w:type="dxa"/>
          </w:tcPr>
          <w:p w14:paraId="0A1FFF30"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0,1391</w:t>
            </w:r>
          </w:p>
        </w:tc>
        <w:tc>
          <w:tcPr>
            <w:tcW w:w="922" w:type="dxa"/>
          </w:tcPr>
          <w:p w14:paraId="088D8C6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0,1212</w:t>
            </w:r>
          </w:p>
        </w:tc>
        <w:tc>
          <w:tcPr>
            <w:tcW w:w="989" w:type="dxa"/>
          </w:tcPr>
          <w:p w14:paraId="395065E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0,093</w:t>
            </w:r>
          </w:p>
        </w:tc>
        <w:tc>
          <w:tcPr>
            <w:tcW w:w="922" w:type="dxa"/>
          </w:tcPr>
          <w:p w14:paraId="5C62D70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0,087</w:t>
            </w:r>
          </w:p>
        </w:tc>
        <w:tc>
          <w:tcPr>
            <w:tcW w:w="922" w:type="dxa"/>
          </w:tcPr>
          <w:p w14:paraId="56E07F5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0,077</w:t>
            </w:r>
          </w:p>
        </w:tc>
        <w:tc>
          <w:tcPr>
            <w:tcW w:w="977" w:type="dxa"/>
          </w:tcPr>
          <w:p w14:paraId="7D81E4E0"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0,0662</w:t>
            </w:r>
          </w:p>
        </w:tc>
        <w:tc>
          <w:tcPr>
            <w:tcW w:w="993" w:type="dxa"/>
          </w:tcPr>
          <w:p w14:paraId="7B364F0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0,0836</w:t>
            </w:r>
          </w:p>
        </w:tc>
        <w:tc>
          <w:tcPr>
            <w:tcW w:w="992" w:type="dxa"/>
          </w:tcPr>
          <w:p w14:paraId="6D82778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0,0822</w:t>
            </w:r>
          </w:p>
        </w:tc>
      </w:tr>
      <w:tr w:rsidR="00D16DC5" w:rsidRPr="00DB019B" w14:paraId="358750BB" w14:textId="77777777" w:rsidTr="00D16DC5">
        <w:tc>
          <w:tcPr>
            <w:tcW w:w="1135" w:type="dxa"/>
          </w:tcPr>
          <w:p w14:paraId="626A3E2F"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Темп роста, %</w:t>
            </w:r>
          </w:p>
        </w:tc>
        <w:tc>
          <w:tcPr>
            <w:tcW w:w="850" w:type="dxa"/>
          </w:tcPr>
          <w:p w14:paraId="20E078A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n/a</w:t>
            </w:r>
          </w:p>
        </w:tc>
        <w:tc>
          <w:tcPr>
            <w:tcW w:w="938" w:type="dxa"/>
          </w:tcPr>
          <w:p w14:paraId="5E806D0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-15,64</w:t>
            </w:r>
          </w:p>
        </w:tc>
        <w:tc>
          <w:tcPr>
            <w:tcW w:w="922" w:type="dxa"/>
          </w:tcPr>
          <w:p w14:paraId="7FE2F29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-12,83</w:t>
            </w:r>
          </w:p>
        </w:tc>
        <w:tc>
          <w:tcPr>
            <w:tcW w:w="989" w:type="dxa"/>
          </w:tcPr>
          <w:p w14:paraId="4081774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-3,31%</w:t>
            </w:r>
          </w:p>
        </w:tc>
        <w:tc>
          <w:tcPr>
            <w:tcW w:w="922" w:type="dxa"/>
          </w:tcPr>
          <w:p w14:paraId="41C9B25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-6,36%</w:t>
            </w:r>
          </w:p>
        </w:tc>
        <w:tc>
          <w:tcPr>
            <w:tcW w:w="922" w:type="dxa"/>
          </w:tcPr>
          <w:p w14:paraId="71CB7B62"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-11,56</w:t>
            </w:r>
          </w:p>
        </w:tc>
        <w:tc>
          <w:tcPr>
            <w:tcW w:w="977" w:type="dxa"/>
          </w:tcPr>
          <w:p w14:paraId="26495F4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-14,04</w:t>
            </w:r>
          </w:p>
        </w:tc>
        <w:tc>
          <w:tcPr>
            <w:tcW w:w="993" w:type="dxa"/>
          </w:tcPr>
          <w:p w14:paraId="67D815C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26,35</w:t>
            </w:r>
          </w:p>
        </w:tc>
        <w:tc>
          <w:tcPr>
            <w:tcW w:w="992" w:type="dxa"/>
          </w:tcPr>
          <w:p w14:paraId="67C96DD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-1,67</w:t>
            </w:r>
          </w:p>
        </w:tc>
      </w:tr>
      <w:tr w:rsidR="00D16DC5" w:rsidRPr="00DB019B" w14:paraId="594BEC56" w14:textId="77777777" w:rsidTr="00D16DC5">
        <w:tc>
          <w:tcPr>
            <w:tcW w:w="1135" w:type="dxa"/>
          </w:tcPr>
          <w:p w14:paraId="2330F34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EVA</w:t>
            </w:r>
          </w:p>
        </w:tc>
        <w:tc>
          <w:tcPr>
            <w:tcW w:w="850" w:type="dxa"/>
          </w:tcPr>
          <w:p w14:paraId="27F26A8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-41,627</w:t>
            </w:r>
          </w:p>
        </w:tc>
        <w:tc>
          <w:tcPr>
            <w:tcW w:w="938" w:type="dxa"/>
          </w:tcPr>
          <w:p w14:paraId="19ED6E3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-37,373</w:t>
            </w:r>
          </w:p>
        </w:tc>
        <w:tc>
          <w:tcPr>
            <w:tcW w:w="922" w:type="dxa"/>
          </w:tcPr>
          <w:p w14:paraId="44A953FF"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81,2425</w:t>
            </w:r>
          </w:p>
        </w:tc>
        <w:tc>
          <w:tcPr>
            <w:tcW w:w="989" w:type="dxa"/>
          </w:tcPr>
          <w:p w14:paraId="2F0843B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364,325</w:t>
            </w:r>
          </w:p>
        </w:tc>
        <w:tc>
          <w:tcPr>
            <w:tcW w:w="922" w:type="dxa"/>
          </w:tcPr>
          <w:p w14:paraId="6B199FE9"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610,06</w:t>
            </w:r>
          </w:p>
        </w:tc>
        <w:tc>
          <w:tcPr>
            <w:tcW w:w="922" w:type="dxa"/>
          </w:tcPr>
          <w:p w14:paraId="511899D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610,86</w:t>
            </w:r>
          </w:p>
        </w:tc>
        <w:tc>
          <w:tcPr>
            <w:tcW w:w="977" w:type="dxa"/>
          </w:tcPr>
          <w:p w14:paraId="37D2B209"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1006,6</w:t>
            </w:r>
          </w:p>
        </w:tc>
        <w:tc>
          <w:tcPr>
            <w:tcW w:w="993" w:type="dxa"/>
          </w:tcPr>
          <w:p w14:paraId="2904D07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1196,63</w:t>
            </w:r>
          </w:p>
        </w:tc>
        <w:tc>
          <w:tcPr>
            <w:tcW w:w="992" w:type="dxa"/>
          </w:tcPr>
          <w:p w14:paraId="38BD82B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1684,85</w:t>
            </w:r>
          </w:p>
        </w:tc>
      </w:tr>
      <w:tr w:rsidR="00D16DC5" w:rsidRPr="00DB019B" w14:paraId="4928B780" w14:textId="77777777" w:rsidTr="00D16DC5">
        <w:tc>
          <w:tcPr>
            <w:tcW w:w="1135" w:type="dxa"/>
          </w:tcPr>
          <w:p w14:paraId="50B67AE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Темп роста, %</w:t>
            </w:r>
          </w:p>
        </w:tc>
        <w:tc>
          <w:tcPr>
            <w:tcW w:w="850" w:type="dxa"/>
          </w:tcPr>
          <w:p w14:paraId="0394E93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n/a</w:t>
            </w:r>
          </w:p>
        </w:tc>
        <w:tc>
          <w:tcPr>
            <w:tcW w:w="938" w:type="dxa"/>
          </w:tcPr>
          <w:p w14:paraId="02C30CB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10,22</w:t>
            </w:r>
          </w:p>
        </w:tc>
        <w:tc>
          <w:tcPr>
            <w:tcW w:w="922" w:type="dxa"/>
          </w:tcPr>
          <w:p w14:paraId="0FCC85E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317,38</w:t>
            </w:r>
          </w:p>
        </w:tc>
        <w:tc>
          <w:tcPr>
            <w:tcW w:w="989" w:type="dxa"/>
          </w:tcPr>
          <w:p w14:paraId="3438CCB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348,44</w:t>
            </w:r>
          </w:p>
        </w:tc>
        <w:tc>
          <w:tcPr>
            <w:tcW w:w="922" w:type="dxa"/>
          </w:tcPr>
          <w:p w14:paraId="0211D63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67,45</w:t>
            </w:r>
          </w:p>
        </w:tc>
        <w:tc>
          <w:tcPr>
            <w:tcW w:w="922" w:type="dxa"/>
          </w:tcPr>
          <w:p w14:paraId="0153674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0,13</w:t>
            </w:r>
          </w:p>
        </w:tc>
        <w:tc>
          <w:tcPr>
            <w:tcW w:w="977" w:type="dxa"/>
          </w:tcPr>
          <w:p w14:paraId="77AEC9B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64,78</w:t>
            </w:r>
          </w:p>
        </w:tc>
        <w:tc>
          <w:tcPr>
            <w:tcW w:w="993" w:type="dxa"/>
          </w:tcPr>
          <w:p w14:paraId="077D730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18,88</w:t>
            </w:r>
          </w:p>
        </w:tc>
        <w:tc>
          <w:tcPr>
            <w:tcW w:w="992" w:type="dxa"/>
          </w:tcPr>
          <w:p w14:paraId="72B29C72"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40,80</w:t>
            </w:r>
          </w:p>
        </w:tc>
      </w:tr>
    </w:tbl>
    <w:p w14:paraId="3D83311C" w14:textId="418660B0" w:rsidR="00D16DC5" w:rsidRPr="00D16DC5" w:rsidRDefault="00D16DC5" w:rsidP="00D16DC5">
      <w:pPr>
        <w:ind w:firstLine="284"/>
        <w:jc w:val="both"/>
        <w:rPr>
          <w:rFonts w:ascii="Times New Roman" w:hAnsi="Times New Roman" w:cs="Times New Roman"/>
          <w:sz w:val="20"/>
          <w:szCs w:val="20"/>
          <w:lang w:val="en-US"/>
        </w:rPr>
      </w:pPr>
      <w:r w:rsidRPr="000B3B95">
        <w:rPr>
          <w:rFonts w:ascii="Times New Roman" w:hAnsi="Times New Roman" w:cs="Times New Roman"/>
          <w:sz w:val="20"/>
          <w:szCs w:val="20"/>
        </w:rPr>
        <w:t>Рассчитано по: Годовая отчетность компании «МТС»</w:t>
      </w:r>
      <w:r>
        <w:rPr>
          <w:rFonts w:ascii="Times New Roman" w:hAnsi="Times New Roman" w:cs="Times New Roman"/>
          <w:sz w:val="20"/>
          <w:szCs w:val="20"/>
        </w:rPr>
        <w:t xml:space="preserve">. – </w:t>
      </w:r>
      <w:r>
        <w:rPr>
          <w:rFonts w:ascii="Times New Roman" w:hAnsi="Times New Roman" w:cs="Times New Roman"/>
          <w:sz w:val="20"/>
          <w:szCs w:val="20"/>
          <w:lang w:val="en-US"/>
        </w:rPr>
        <w:t>www.mts.ru</w:t>
      </w:r>
    </w:p>
    <w:p w14:paraId="6CFFD8C9" w14:textId="77777777" w:rsidR="00D16DC5" w:rsidRDefault="00D16DC5" w:rsidP="008C7960">
      <w:pPr>
        <w:ind w:firstLine="284"/>
        <w:jc w:val="both"/>
        <w:rPr>
          <w:rFonts w:ascii="Times New Roman" w:hAnsi="Times New Roman" w:cs="Times New Roman"/>
        </w:rPr>
      </w:pPr>
    </w:p>
    <w:p w14:paraId="09F9C675" w14:textId="42AB57F4" w:rsidR="000B3B95" w:rsidRPr="00D16DC5" w:rsidRDefault="00D6796E"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Показатель </w:t>
      </w:r>
      <w:r w:rsidRPr="00D16DC5">
        <w:rPr>
          <w:rFonts w:ascii="Times New Roman" w:hAnsi="Times New Roman" w:cs="Times New Roman"/>
          <w:sz w:val="28"/>
          <w:szCs w:val="28"/>
          <w:lang w:val="en-US"/>
        </w:rPr>
        <w:t xml:space="preserve">NOPLAT </w:t>
      </w:r>
      <w:r w:rsidRPr="00D16DC5">
        <w:rPr>
          <w:rFonts w:ascii="Times New Roman" w:hAnsi="Times New Roman" w:cs="Times New Roman"/>
          <w:sz w:val="28"/>
          <w:szCs w:val="28"/>
        </w:rPr>
        <w:t>указывает на то, что полученные от эмиссии в 2000 г. ценных бумаг денежные средства принесли отдачу только в 2002 г. Агрессивная политика руководства на внутреннем рынке привела к значительному росту данного показателя</w:t>
      </w:r>
      <w:r w:rsidR="00C56AD7" w:rsidRPr="00D16DC5">
        <w:rPr>
          <w:rFonts w:ascii="Times New Roman" w:hAnsi="Times New Roman" w:cs="Times New Roman"/>
          <w:sz w:val="28"/>
          <w:szCs w:val="28"/>
        </w:rPr>
        <w:t xml:space="preserve"> до 2005 г</w:t>
      </w:r>
      <w:r w:rsidRPr="00D16DC5">
        <w:rPr>
          <w:rFonts w:ascii="Times New Roman" w:hAnsi="Times New Roman" w:cs="Times New Roman"/>
          <w:sz w:val="28"/>
          <w:szCs w:val="28"/>
        </w:rPr>
        <w:t xml:space="preserve">.  </w:t>
      </w:r>
      <w:r w:rsidR="00C56AD7" w:rsidRPr="00D16DC5">
        <w:rPr>
          <w:rFonts w:ascii="Times New Roman" w:hAnsi="Times New Roman" w:cs="Times New Roman"/>
          <w:sz w:val="28"/>
          <w:szCs w:val="28"/>
        </w:rPr>
        <w:t xml:space="preserve">К этому моменту произошел первичный передел рынка, а также сформировались основные участники, что обусловило необходимость пересмотра стратигии. В итоге, в 2006 г. после изменения стратегии показатель </w:t>
      </w:r>
      <w:r w:rsidR="00C56AD7" w:rsidRPr="00D16DC5">
        <w:rPr>
          <w:rFonts w:ascii="Times New Roman" w:hAnsi="Times New Roman" w:cs="Times New Roman"/>
          <w:sz w:val="28"/>
          <w:szCs w:val="28"/>
          <w:lang w:val="en-US"/>
        </w:rPr>
        <w:t xml:space="preserve">NOPLAT </w:t>
      </w:r>
      <w:r w:rsidR="00C56AD7" w:rsidRPr="00D16DC5">
        <w:rPr>
          <w:rFonts w:ascii="Times New Roman" w:hAnsi="Times New Roman" w:cs="Times New Roman"/>
          <w:sz w:val="28"/>
          <w:szCs w:val="28"/>
        </w:rPr>
        <w:t>увеличился за счет политики на внутреннем и внешнем рынках.</w:t>
      </w:r>
    </w:p>
    <w:p w14:paraId="7A0025F6" w14:textId="61ED304F" w:rsidR="00C56AD7" w:rsidRPr="00D16DC5" w:rsidRDefault="00C56AD7"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Рассмотрим показатель </w:t>
      </w:r>
      <w:r w:rsidRPr="00D16DC5">
        <w:rPr>
          <w:rFonts w:ascii="Times New Roman" w:hAnsi="Times New Roman" w:cs="Times New Roman"/>
          <w:sz w:val="28"/>
          <w:szCs w:val="28"/>
          <w:lang w:val="en-US"/>
        </w:rPr>
        <w:t>WACC</w:t>
      </w:r>
      <w:r w:rsidRPr="00D16DC5">
        <w:rPr>
          <w:rFonts w:ascii="Times New Roman" w:hAnsi="Times New Roman" w:cs="Times New Roman"/>
          <w:sz w:val="28"/>
          <w:szCs w:val="28"/>
        </w:rPr>
        <w:t xml:space="preserve">, который тесно связан с инвестированным капиталом. В силу того, что доля заемных средств снизилась, а уровень инфляции вырос, это привело к скачку показателя </w:t>
      </w:r>
      <w:r w:rsidRPr="00D16DC5">
        <w:rPr>
          <w:rFonts w:ascii="Times New Roman" w:hAnsi="Times New Roman" w:cs="Times New Roman"/>
          <w:sz w:val="28"/>
          <w:szCs w:val="28"/>
          <w:lang w:val="en-US"/>
        </w:rPr>
        <w:t xml:space="preserve">WACC </w:t>
      </w:r>
      <w:r w:rsidRPr="00D16DC5">
        <w:rPr>
          <w:rFonts w:ascii="Times New Roman" w:hAnsi="Times New Roman" w:cs="Times New Roman"/>
          <w:sz w:val="28"/>
          <w:szCs w:val="28"/>
        </w:rPr>
        <w:t xml:space="preserve">в 2007 году. Данный показатель не только отражает ситуацию на фондовом рынке, но и в экономике России в целом. </w:t>
      </w:r>
    </w:p>
    <w:p w14:paraId="76179A89" w14:textId="2873E7E5" w:rsidR="006271AE" w:rsidRPr="00D16DC5" w:rsidRDefault="006271AE"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Наконец, был рассчитан итоговый показатель – экономическая добавленная стоимость (EVA). Эффект от выпуска акций был получен в 2002 г., о чем нам говорит отрицательное значение показателей 2000 и 2001 гг. </w:t>
      </w:r>
      <w:r w:rsidR="00060831" w:rsidRPr="00D16DC5">
        <w:rPr>
          <w:rFonts w:ascii="Times New Roman" w:hAnsi="Times New Roman" w:cs="Times New Roman"/>
          <w:sz w:val="28"/>
          <w:szCs w:val="28"/>
        </w:rPr>
        <w:t>после</w:t>
      </w:r>
      <w:r w:rsidRPr="00D16DC5">
        <w:rPr>
          <w:rFonts w:ascii="Times New Roman" w:hAnsi="Times New Roman" w:cs="Times New Roman"/>
          <w:sz w:val="28"/>
          <w:szCs w:val="28"/>
        </w:rPr>
        <w:t xml:space="preserve"> </w:t>
      </w:r>
      <w:r w:rsidR="00060831" w:rsidRPr="00D16DC5">
        <w:rPr>
          <w:rFonts w:ascii="Times New Roman" w:hAnsi="Times New Roman" w:cs="Times New Roman"/>
          <w:sz w:val="28"/>
          <w:szCs w:val="28"/>
        </w:rPr>
        <w:t xml:space="preserve">проведения </w:t>
      </w:r>
      <w:r w:rsidR="00060831" w:rsidRPr="00D16DC5">
        <w:rPr>
          <w:rFonts w:ascii="Times New Roman" w:hAnsi="Times New Roman" w:cs="Times New Roman"/>
          <w:sz w:val="28"/>
          <w:szCs w:val="28"/>
          <w:lang w:val="en-US"/>
        </w:rPr>
        <w:t xml:space="preserve">IPO. </w:t>
      </w:r>
      <w:r w:rsidR="00060831" w:rsidRPr="00D16DC5">
        <w:rPr>
          <w:rFonts w:ascii="Times New Roman" w:hAnsi="Times New Roman" w:cs="Times New Roman"/>
          <w:sz w:val="28"/>
          <w:szCs w:val="28"/>
        </w:rPr>
        <w:t xml:space="preserve">Кроме того, компания пыталась применить жесткую политику, чтобы завоевать большую долю рынка, однако это отрицательно сказалось на стоимости компании. Темпы роста </w:t>
      </w:r>
      <w:r w:rsidR="00060831" w:rsidRPr="00D16DC5">
        <w:rPr>
          <w:rFonts w:ascii="Times New Roman" w:hAnsi="Times New Roman" w:cs="Times New Roman"/>
          <w:sz w:val="28"/>
          <w:szCs w:val="28"/>
          <w:lang w:val="en-US"/>
        </w:rPr>
        <w:t xml:space="preserve">показателя </w:t>
      </w:r>
      <w:r w:rsidR="00060831" w:rsidRPr="00D16DC5">
        <w:rPr>
          <w:rFonts w:ascii="Times New Roman" w:hAnsi="Times New Roman" w:cs="Times New Roman"/>
          <w:sz w:val="28"/>
          <w:szCs w:val="28"/>
        </w:rPr>
        <w:t xml:space="preserve">в 2005 г. говорят о существенных просчетах в управлении, а снижение </w:t>
      </w:r>
      <w:r w:rsidR="00060831" w:rsidRPr="00D16DC5">
        <w:rPr>
          <w:rFonts w:ascii="Times New Roman" w:hAnsi="Times New Roman" w:cs="Times New Roman"/>
          <w:sz w:val="28"/>
          <w:szCs w:val="28"/>
          <w:lang w:val="en-US"/>
        </w:rPr>
        <w:t xml:space="preserve">EVA </w:t>
      </w:r>
      <w:r w:rsidR="00060831" w:rsidRPr="00D16DC5">
        <w:rPr>
          <w:rFonts w:ascii="Times New Roman" w:hAnsi="Times New Roman" w:cs="Times New Roman"/>
          <w:sz w:val="28"/>
          <w:szCs w:val="28"/>
        </w:rPr>
        <w:t>в 2007 г. связано с нестабильностью рынка заемного капитала в этот период.</w:t>
      </w:r>
    </w:p>
    <w:p w14:paraId="019410CA" w14:textId="2A016075" w:rsidR="00060831" w:rsidRPr="00D16DC5" w:rsidRDefault="00060831"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По тому же алгоритму были рассчитаны данные, резу</w:t>
      </w:r>
      <w:r w:rsidR="00D16DC5" w:rsidRPr="00D16DC5">
        <w:rPr>
          <w:rFonts w:ascii="Times New Roman" w:hAnsi="Times New Roman" w:cs="Times New Roman"/>
          <w:sz w:val="28"/>
          <w:szCs w:val="28"/>
        </w:rPr>
        <w:t>льтаты представлены в таблице 19</w:t>
      </w:r>
      <w:r w:rsidRPr="00D16DC5">
        <w:rPr>
          <w:rFonts w:ascii="Times New Roman" w:hAnsi="Times New Roman" w:cs="Times New Roman"/>
          <w:sz w:val="28"/>
          <w:szCs w:val="28"/>
        </w:rPr>
        <w:t>.</w:t>
      </w:r>
    </w:p>
    <w:p w14:paraId="17ED3933" w14:textId="564AE544" w:rsidR="00D16DC5" w:rsidRPr="00D16DC5" w:rsidRDefault="00D16DC5"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Таблица 19. Динамика EVA компании China Unicom Limite</w:t>
      </w:r>
    </w:p>
    <w:p w14:paraId="02B80B35" w14:textId="77777777" w:rsidR="00D16DC5" w:rsidRPr="00DB019B" w:rsidRDefault="00D16DC5" w:rsidP="00D16DC5">
      <w:pPr>
        <w:ind w:firstLine="284"/>
        <w:jc w:val="both"/>
        <w:rPr>
          <w:rFonts w:ascii="Times New Roman" w:hAnsi="Times New Roman" w:cs="Times New Roman"/>
        </w:rPr>
      </w:pPr>
    </w:p>
    <w:tbl>
      <w:tblPr>
        <w:tblStyle w:val="TableGrid"/>
        <w:tblW w:w="9782" w:type="dxa"/>
        <w:tblInd w:w="-318" w:type="dxa"/>
        <w:tblLayout w:type="fixed"/>
        <w:tblLook w:val="04A0" w:firstRow="1" w:lastRow="0" w:firstColumn="1" w:lastColumn="0" w:noHBand="0" w:noVBand="1"/>
      </w:tblPr>
      <w:tblGrid>
        <w:gridCol w:w="1135"/>
        <w:gridCol w:w="992"/>
        <w:gridCol w:w="938"/>
        <w:gridCol w:w="922"/>
        <w:gridCol w:w="989"/>
        <w:gridCol w:w="922"/>
        <w:gridCol w:w="922"/>
        <w:gridCol w:w="977"/>
        <w:gridCol w:w="993"/>
        <w:gridCol w:w="992"/>
      </w:tblGrid>
      <w:tr w:rsidR="00D16DC5" w:rsidRPr="00DB019B" w14:paraId="6750FC64" w14:textId="77777777" w:rsidTr="00D16DC5">
        <w:tc>
          <w:tcPr>
            <w:tcW w:w="1135" w:type="dxa"/>
          </w:tcPr>
          <w:p w14:paraId="6992B42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$млн.</w:t>
            </w:r>
          </w:p>
        </w:tc>
        <w:tc>
          <w:tcPr>
            <w:tcW w:w="992" w:type="dxa"/>
          </w:tcPr>
          <w:p w14:paraId="3C159249"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2000</w:t>
            </w:r>
          </w:p>
        </w:tc>
        <w:tc>
          <w:tcPr>
            <w:tcW w:w="938" w:type="dxa"/>
          </w:tcPr>
          <w:p w14:paraId="2299D6C2"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2001</w:t>
            </w:r>
          </w:p>
        </w:tc>
        <w:tc>
          <w:tcPr>
            <w:tcW w:w="922" w:type="dxa"/>
          </w:tcPr>
          <w:p w14:paraId="02D09AF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2002</w:t>
            </w:r>
          </w:p>
        </w:tc>
        <w:tc>
          <w:tcPr>
            <w:tcW w:w="989" w:type="dxa"/>
          </w:tcPr>
          <w:p w14:paraId="17D5719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2003</w:t>
            </w:r>
          </w:p>
        </w:tc>
        <w:tc>
          <w:tcPr>
            <w:tcW w:w="922" w:type="dxa"/>
          </w:tcPr>
          <w:p w14:paraId="727447E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2004</w:t>
            </w:r>
          </w:p>
        </w:tc>
        <w:tc>
          <w:tcPr>
            <w:tcW w:w="922" w:type="dxa"/>
          </w:tcPr>
          <w:p w14:paraId="71F6B49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2005</w:t>
            </w:r>
          </w:p>
        </w:tc>
        <w:tc>
          <w:tcPr>
            <w:tcW w:w="977" w:type="dxa"/>
          </w:tcPr>
          <w:p w14:paraId="207BF3A2"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2006</w:t>
            </w:r>
          </w:p>
        </w:tc>
        <w:tc>
          <w:tcPr>
            <w:tcW w:w="993" w:type="dxa"/>
          </w:tcPr>
          <w:p w14:paraId="4E3E466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2007</w:t>
            </w:r>
          </w:p>
        </w:tc>
        <w:tc>
          <w:tcPr>
            <w:tcW w:w="992" w:type="dxa"/>
          </w:tcPr>
          <w:p w14:paraId="46207C6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2008</w:t>
            </w:r>
          </w:p>
        </w:tc>
      </w:tr>
      <w:tr w:rsidR="00D16DC5" w:rsidRPr="00DB019B" w14:paraId="7F1FB4AB" w14:textId="77777777" w:rsidTr="00D16DC5">
        <w:tc>
          <w:tcPr>
            <w:tcW w:w="1135" w:type="dxa"/>
          </w:tcPr>
          <w:p w14:paraId="28EF700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NOPLAT</w:t>
            </w:r>
          </w:p>
        </w:tc>
        <w:tc>
          <w:tcPr>
            <w:tcW w:w="992" w:type="dxa"/>
          </w:tcPr>
          <w:p w14:paraId="04A9A55F"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490,57</w:t>
            </w:r>
          </w:p>
        </w:tc>
        <w:tc>
          <w:tcPr>
            <w:tcW w:w="938" w:type="dxa"/>
          </w:tcPr>
          <w:p w14:paraId="7B39E56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511,24</w:t>
            </w:r>
          </w:p>
        </w:tc>
        <w:tc>
          <w:tcPr>
            <w:tcW w:w="922" w:type="dxa"/>
          </w:tcPr>
          <w:p w14:paraId="7722B3F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673,63</w:t>
            </w:r>
          </w:p>
        </w:tc>
        <w:tc>
          <w:tcPr>
            <w:tcW w:w="989" w:type="dxa"/>
          </w:tcPr>
          <w:p w14:paraId="095E642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801,13</w:t>
            </w:r>
          </w:p>
        </w:tc>
        <w:tc>
          <w:tcPr>
            <w:tcW w:w="922" w:type="dxa"/>
          </w:tcPr>
          <w:p w14:paraId="0534A47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709,7</w:t>
            </w:r>
          </w:p>
        </w:tc>
        <w:tc>
          <w:tcPr>
            <w:tcW w:w="922" w:type="dxa"/>
          </w:tcPr>
          <w:p w14:paraId="4F95B4C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731,03</w:t>
            </w:r>
          </w:p>
        </w:tc>
        <w:tc>
          <w:tcPr>
            <w:tcW w:w="977" w:type="dxa"/>
          </w:tcPr>
          <w:p w14:paraId="3D4530C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525,65</w:t>
            </w:r>
          </w:p>
        </w:tc>
        <w:tc>
          <w:tcPr>
            <w:tcW w:w="993" w:type="dxa"/>
          </w:tcPr>
          <w:p w14:paraId="226E01A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835,57</w:t>
            </w:r>
          </w:p>
        </w:tc>
        <w:tc>
          <w:tcPr>
            <w:tcW w:w="992" w:type="dxa"/>
          </w:tcPr>
          <w:p w14:paraId="7141A9E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2557,98</w:t>
            </w:r>
          </w:p>
        </w:tc>
      </w:tr>
      <w:tr w:rsidR="00D16DC5" w:rsidRPr="00DB019B" w14:paraId="7CDC120A" w14:textId="77777777" w:rsidTr="00D16DC5">
        <w:tc>
          <w:tcPr>
            <w:tcW w:w="1135" w:type="dxa"/>
          </w:tcPr>
          <w:p w14:paraId="7E62F55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Темп роста, %</w:t>
            </w:r>
          </w:p>
        </w:tc>
        <w:tc>
          <w:tcPr>
            <w:tcW w:w="992" w:type="dxa"/>
          </w:tcPr>
          <w:p w14:paraId="356ACFC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79,49</w:t>
            </w:r>
          </w:p>
        </w:tc>
        <w:tc>
          <w:tcPr>
            <w:tcW w:w="938" w:type="dxa"/>
          </w:tcPr>
          <w:p w14:paraId="5DB15ED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4,21</w:t>
            </w:r>
          </w:p>
        </w:tc>
        <w:tc>
          <w:tcPr>
            <w:tcW w:w="922" w:type="dxa"/>
          </w:tcPr>
          <w:p w14:paraId="7890CA6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31,76</w:t>
            </w:r>
          </w:p>
        </w:tc>
        <w:tc>
          <w:tcPr>
            <w:tcW w:w="989" w:type="dxa"/>
          </w:tcPr>
          <w:p w14:paraId="65B2B3C0"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18,93</w:t>
            </w:r>
          </w:p>
        </w:tc>
        <w:tc>
          <w:tcPr>
            <w:tcW w:w="922" w:type="dxa"/>
          </w:tcPr>
          <w:p w14:paraId="13A6CC3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11,41</w:t>
            </w:r>
          </w:p>
        </w:tc>
        <w:tc>
          <w:tcPr>
            <w:tcW w:w="922" w:type="dxa"/>
          </w:tcPr>
          <w:p w14:paraId="00F4BF9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3,01</w:t>
            </w:r>
          </w:p>
        </w:tc>
        <w:tc>
          <w:tcPr>
            <w:tcW w:w="977" w:type="dxa"/>
          </w:tcPr>
          <w:p w14:paraId="4867798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28,09</w:t>
            </w:r>
          </w:p>
        </w:tc>
        <w:tc>
          <w:tcPr>
            <w:tcW w:w="993" w:type="dxa"/>
          </w:tcPr>
          <w:p w14:paraId="44AEBA5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58,96</w:t>
            </w:r>
          </w:p>
        </w:tc>
        <w:tc>
          <w:tcPr>
            <w:tcW w:w="992" w:type="dxa"/>
          </w:tcPr>
          <w:p w14:paraId="7E2F6FA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206,14</w:t>
            </w:r>
          </w:p>
        </w:tc>
      </w:tr>
      <w:tr w:rsidR="00D16DC5" w:rsidRPr="00DB019B" w14:paraId="7E2C3616" w14:textId="77777777" w:rsidTr="00D16DC5">
        <w:tc>
          <w:tcPr>
            <w:tcW w:w="1135" w:type="dxa"/>
          </w:tcPr>
          <w:p w14:paraId="21AD13E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CE</w:t>
            </w:r>
          </w:p>
        </w:tc>
        <w:tc>
          <w:tcPr>
            <w:tcW w:w="992" w:type="dxa"/>
          </w:tcPr>
          <w:p w14:paraId="07E0572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7026,34</w:t>
            </w:r>
          </w:p>
        </w:tc>
        <w:tc>
          <w:tcPr>
            <w:tcW w:w="938" w:type="dxa"/>
          </w:tcPr>
          <w:p w14:paraId="447C911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7567,9</w:t>
            </w:r>
          </w:p>
        </w:tc>
        <w:tc>
          <w:tcPr>
            <w:tcW w:w="922" w:type="dxa"/>
          </w:tcPr>
          <w:p w14:paraId="79D801D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8079,03</w:t>
            </w:r>
          </w:p>
        </w:tc>
        <w:tc>
          <w:tcPr>
            <w:tcW w:w="989" w:type="dxa"/>
          </w:tcPr>
          <w:p w14:paraId="6ECB7C0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8417,78</w:t>
            </w:r>
          </w:p>
        </w:tc>
        <w:tc>
          <w:tcPr>
            <w:tcW w:w="922" w:type="dxa"/>
          </w:tcPr>
          <w:p w14:paraId="0F63151B"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8793,5</w:t>
            </w:r>
          </w:p>
        </w:tc>
        <w:tc>
          <w:tcPr>
            <w:tcW w:w="922" w:type="dxa"/>
          </w:tcPr>
          <w:p w14:paraId="672D7590"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9453,2</w:t>
            </w:r>
          </w:p>
        </w:tc>
        <w:tc>
          <w:tcPr>
            <w:tcW w:w="977" w:type="dxa"/>
          </w:tcPr>
          <w:p w14:paraId="5603FD7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10167,9</w:t>
            </w:r>
          </w:p>
        </w:tc>
        <w:tc>
          <w:tcPr>
            <w:tcW w:w="993" w:type="dxa"/>
          </w:tcPr>
          <w:p w14:paraId="721F842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13317,4</w:t>
            </w:r>
          </w:p>
        </w:tc>
        <w:tc>
          <w:tcPr>
            <w:tcW w:w="992" w:type="dxa"/>
          </w:tcPr>
          <w:p w14:paraId="3E1D1E9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30265,0</w:t>
            </w:r>
          </w:p>
        </w:tc>
      </w:tr>
      <w:tr w:rsidR="00D16DC5" w:rsidRPr="00DB019B" w14:paraId="2E17ABE4" w14:textId="77777777" w:rsidTr="00D16DC5">
        <w:tc>
          <w:tcPr>
            <w:tcW w:w="1135" w:type="dxa"/>
          </w:tcPr>
          <w:p w14:paraId="0123EE0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Темп роста, %</w:t>
            </w:r>
          </w:p>
        </w:tc>
        <w:tc>
          <w:tcPr>
            <w:tcW w:w="992" w:type="dxa"/>
          </w:tcPr>
          <w:p w14:paraId="5A6EEB6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424,96</w:t>
            </w:r>
          </w:p>
        </w:tc>
        <w:tc>
          <w:tcPr>
            <w:tcW w:w="938" w:type="dxa"/>
          </w:tcPr>
          <w:p w14:paraId="6C49304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7,71</w:t>
            </w:r>
          </w:p>
        </w:tc>
        <w:tc>
          <w:tcPr>
            <w:tcW w:w="922" w:type="dxa"/>
          </w:tcPr>
          <w:p w14:paraId="4ECEB82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6,75</w:t>
            </w:r>
          </w:p>
        </w:tc>
        <w:tc>
          <w:tcPr>
            <w:tcW w:w="989" w:type="dxa"/>
          </w:tcPr>
          <w:p w14:paraId="6B7BF41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4,19</w:t>
            </w:r>
          </w:p>
        </w:tc>
        <w:tc>
          <w:tcPr>
            <w:tcW w:w="922" w:type="dxa"/>
          </w:tcPr>
          <w:p w14:paraId="0D508947"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4,46</w:t>
            </w:r>
          </w:p>
        </w:tc>
        <w:tc>
          <w:tcPr>
            <w:tcW w:w="922" w:type="dxa"/>
          </w:tcPr>
          <w:p w14:paraId="65AF17C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7,50</w:t>
            </w:r>
          </w:p>
        </w:tc>
        <w:tc>
          <w:tcPr>
            <w:tcW w:w="977" w:type="dxa"/>
          </w:tcPr>
          <w:p w14:paraId="092FDC80"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7,56</w:t>
            </w:r>
          </w:p>
        </w:tc>
        <w:tc>
          <w:tcPr>
            <w:tcW w:w="993" w:type="dxa"/>
          </w:tcPr>
          <w:p w14:paraId="0C2ADE9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30,97</w:t>
            </w:r>
          </w:p>
        </w:tc>
        <w:tc>
          <w:tcPr>
            <w:tcW w:w="992" w:type="dxa"/>
          </w:tcPr>
          <w:p w14:paraId="63AAE4C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127,26</w:t>
            </w:r>
          </w:p>
        </w:tc>
      </w:tr>
      <w:tr w:rsidR="00D16DC5" w:rsidRPr="00DB019B" w14:paraId="6C7DFF4A" w14:textId="77777777" w:rsidTr="00D16DC5">
        <w:tc>
          <w:tcPr>
            <w:tcW w:w="1135" w:type="dxa"/>
          </w:tcPr>
          <w:p w14:paraId="5D2A1E7F"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WACC</w:t>
            </w:r>
          </w:p>
        </w:tc>
        <w:tc>
          <w:tcPr>
            <w:tcW w:w="992" w:type="dxa"/>
          </w:tcPr>
          <w:p w14:paraId="33E0D1B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0,0259</w:t>
            </w:r>
          </w:p>
        </w:tc>
        <w:tc>
          <w:tcPr>
            <w:tcW w:w="938" w:type="dxa"/>
          </w:tcPr>
          <w:p w14:paraId="52DA42A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0,0341</w:t>
            </w:r>
          </w:p>
        </w:tc>
        <w:tc>
          <w:tcPr>
            <w:tcW w:w="922" w:type="dxa"/>
          </w:tcPr>
          <w:p w14:paraId="1A3CE7F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0,0139</w:t>
            </w:r>
          </w:p>
        </w:tc>
        <w:tc>
          <w:tcPr>
            <w:tcW w:w="989" w:type="dxa"/>
          </w:tcPr>
          <w:p w14:paraId="2D9B2DD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0,0346</w:t>
            </w:r>
          </w:p>
        </w:tc>
        <w:tc>
          <w:tcPr>
            <w:tcW w:w="922" w:type="dxa"/>
          </w:tcPr>
          <w:p w14:paraId="353A85C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0,0345</w:t>
            </w:r>
          </w:p>
        </w:tc>
        <w:tc>
          <w:tcPr>
            <w:tcW w:w="922" w:type="dxa"/>
          </w:tcPr>
          <w:p w14:paraId="212AA94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0,0228</w:t>
            </w:r>
          </w:p>
        </w:tc>
        <w:tc>
          <w:tcPr>
            <w:tcW w:w="977" w:type="dxa"/>
          </w:tcPr>
          <w:p w14:paraId="7CAD43B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0,0167</w:t>
            </w:r>
          </w:p>
        </w:tc>
        <w:tc>
          <w:tcPr>
            <w:tcW w:w="993" w:type="dxa"/>
          </w:tcPr>
          <w:p w14:paraId="1E0C8AEB"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0,0383</w:t>
            </w:r>
          </w:p>
        </w:tc>
        <w:tc>
          <w:tcPr>
            <w:tcW w:w="992" w:type="dxa"/>
          </w:tcPr>
          <w:p w14:paraId="623A2A8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0,0523</w:t>
            </w:r>
          </w:p>
        </w:tc>
      </w:tr>
      <w:tr w:rsidR="00D16DC5" w:rsidRPr="00DB019B" w14:paraId="389E17F9" w14:textId="77777777" w:rsidTr="00D16DC5">
        <w:tc>
          <w:tcPr>
            <w:tcW w:w="1135" w:type="dxa"/>
          </w:tcPr>
          <w:p w14:paraId="38B7A4F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Темп роста, %</w:t>
            </w:r>
          </w:p>
        </w:tc>
        <w:tc>
          <w:tcPr>
            <w:tcW w:w="992" w:type="dxa"/>
          </w:tcPr>
          <w:p w14:paraId="7840143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29,36</w:t>
            </w:r>
          </w:p>
        </w:tc>
        <w:tc>
          <w:tcPr>
            <w:tcW w:w="938" w:type="dxa"/>
          </w:tcPr>
          <w:p w14:paraId="4D5420D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31,82</w:t>
            </w:r>
          </w:p>
        </w:tc>
        <w:tc>
          <w:tcPr>
            <w:tcW w:w="922" w:type="dxa"/>
          </w:tcPr>
          <w:p w14:paraId="2F7D1EBE"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59,11</w:t>
            </w:r>
          </w:p>
        </w:tc>
        <w:tc>
          <w:tcPr>
            <w:tcW w:w="989" w:type="dxa"/>
          </w:tcPr>
          <w:p w14:paraId="6E1126C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148,01</w:t>
            </w:r>
          </w:p>
        </w:tc>
        <w:tc>
          <w:tcPr>
            <w:tcW w:w="922" w:type="dxa"/>
          </w:tcPr>
          <w:p w14:paraId="230A8720"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0,29</w:t>
            </w:r>
          </w:p>
        </w:tc>
        <w:tc>
          <w:tcPr>
            <w:tcW w:w="922" w:type="dxa"/>
          </w:tcPr>
          <w:p w14:paraId="65EEABD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33,93</w:t>
            </w:r>
          </w:p>
        </w:tc>
        <w:tc>
          <w:tcPr>
            <w:tcW w:w="977" w:type="dxa"/>
          </w:tcPr>
          <w:p w14:paraId="10425EE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26,64</w:t>
            </w:r>
          </w:p>
        </w:tc>
        <w:tc>
          <w:tcPr>
            <w:tcW w:w="993" w:type="dxa"/>
          </w:tcPr>
          <w:p w14:paraId="5D40501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129,17</w:t>
            </w:r>
          </w:p>
        </w:tc>
        <w:tc>
          <w:tcPr>
            <w:tcW w:w="992" w:type="dxa"/>
          </w:tcPr>
          <w:p w14:paraId="074D395B"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26,72</w:t>
            </w:r>
          </w:p>
        </w:tc>
      </w:tr>
      <w:tr w:rsidR="00D16DC5" w:rsidRPr="00DB019B" w14:paraId="567813F9" w14:textId="77777777" w:rsidTr="00D16DC5">
        <w:tc>
          <w:tcPr>
            <w:tcW w:w="1135" w:type="dxa"/>
          </w:tcPr>
          <w:p w14:paraId="240A82F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EVA</w:t>
            </w:r>
          </w:p>
        </w:tc>
        <w:tc>
          <w:tcPr>
            <w:tcW w:w="992" w:type="dxa"/>
          </w:tcPr>
          <w:p w14:paraId="424F6A4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308,78</w:t>
            </w:r>
          </w:p>
        </w:tc>
        <w:tc>
          <w:tcPr>
            <w:tcW w:w="938" w:type="dxa"/>
          </w:tcPr>
          <w:p w14:paraId="7BAD7EEF"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253,14</w:t>
            </w:r>
          </w:p>
        </w:tc>
        <w:tc>
          <w:tcPr>
            <w:tcW w:w="922" w:type="dxa"/>
          </w:tcPr>
          <w:p w14:paraId="49EB7FC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560,97</w:t>
            </w:r>
          </w:p>
        </w:tc>
        <w:tc>
          <w:tcPr>
            <w:tcW w:w="989" w:type="dxa"/>
          </w:tcPr>
          <w:p w14:paraId="6A92A161"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510,01</w:t>
            </w:r>
          </w:p>
        </w:tc>
        <w:tc>
          <w:tcPr>
            <w:tcW w:w="922" w:type="dxa"/>
          </w:tcPr>
          <w:p w14:paraId="1645F22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406,47</w:t>
            </w:r>
          </w:p>
        </w:tc>
        <w:tc>
          <w:tcPr>
            <w:tcW w:w="922" w:type="dxa"/>
          </w:tcPr>
          <w:p w14:paraId="1466F1C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515,65</w:t>
            </w:r>
          </w:p>
        </w:tc>
        <w:tc>
          <w:tcPr>
            <w:tcW w:w="977" w:type="dxa"/>
          </w:tcPr>
          <w:p w14:paraId="4C55F03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355,7</w:t>
            </w:r>
          </w:p>
        </w:tc>
        <w:tc>
          <w:tcPr>
            <w:tcW w:w="993" w:type="dxa"/>
          </w:tcPr>
          <w:p w14:paraId="17EDBCD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325,46</w:t>
            </w:r>
          </w:p>
        </w:tc>
        <w:tc>
          <w:tcPr>
            <w:tcW w:w="992" w:type="dxa"/>
          </w:tcPr>
          <w:p w14:paraId="16730AF5"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972,99</w:t>
            </w:r>
          </w:p>
        </w:tc>
      </w:tr>
      <w:tr w:rsidR="00D16DC5" w:rsidRPr="00DB019B" w14:paraId="6DD95BBD" w14:textId="77777777" w:rsidTr="00D16DC5">
        <w:tc>
          <w:tcPr>
            <w:tcW w:w="1135" w:type="dxa"/>
          </w:tcPr>
          <w:p w14:paraId="57A30F6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Темп роста, %</w:t>
            </w:r>
          </w:p>
        </w:tc>
        <w:tc>
          <w:tcPr>
            <w:tcW w:w="992" w:type="dxa"/>
          </w:tcPr>
          <w:p w14:paraId="25938584"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24,24</w:t>
            </w:r>
          </w:p>
        </w:tc>
        <w:tc>
          <w:tcPr>
            <w:tcW w:w="938" w:type="dxa"/>
          </w:tcPr>
          <w:p w14:paraId="2775E64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18,02</w:t>
            </w:r>
          </w:p>
        </w:tc>
        <w:tc>
          <w:tcPr>
            <w:tcW w:w="922" w:type="dxa"/>
          </w:tcPr>
          <w:p w14:paraId="71101D03"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121,60</w:t>
            </w:r>
          </w:p>
        </w:tc>
        <w:tc>
          <w:tcPr>
            <w:tcW w:w="989" w:type="dxa"/>
          </w:tcPr>
          <w:p w14:paraId="1235F986"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9,08</w:t>
            </w:r>
          </w:p>
        </w:tc>
        <w:tc>
          <w:tcPr>
            <w:tcW w:w="922" w:type="dxa"/>
          </w:tcPr>
          <w:p w14:paraId="3BB23FDA"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20,30</w:t>
            </w:r>
          </w:p>
        </w:tc>
        <w:tc>
          <w:tcPr>
            <w:tcW w:w="922" w:type="dxa"/>
          </w:tcPr>
          <w:p w14:paraId="4048748C"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26,86</w:t>
            </w:r>
          </w:p>
        </w:tc>
        <w:tc>
          <w:tcPr>
            <w:tcW w:w="977" w:type="dxa"/>
          </w:tcPr>
          <w:p w14:paraId="36ABFD58"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31,02</w:t>
            </w:r>
          </w:p>
        </w:tc>
        <w:tc>
          <w:tcPr>
            <w:tcW w:w="993" w:type="dxa"/>
          </w:tcPr>
          <w:p w14:paraId="7F22F4AD"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8,50</w:t>
            </w:r>
          </w:p>
        </w:tc>
        <w:tc>
          <w:tcPr>
            <w:tcW w:w="992" w:type="dxa"/>
          </w:tcPr>
          <w:p w14:paraId="7B119DA2" w14:textId="77777777" w:rsidR="00D16DC5" w:rsidRPr="00DB019B" w:rsidRDefault="00D16DC5" w:rsidP="00D16DC5">
            <w:pPr>
              <w:ind w:left="-108"/>
              <w:jc w:val="both"/>
              <w:rPr>
                <w:rFonts w:ascii="Times New Roman" w:hAnsi="Times New Roman" w:cs="Times New Roman"/>
                <w:sz w:val="24"/>
                <w:szCs w:val="24"/>
              </w:rPr>
            </w:pPr>
            <w:r w:rsidRPr="00DB019B">
              <w:rPr>
                <w:rFonts w:ascii="Times New Roman" w:hAnsi="Times New Roman" w:cs="Times New Roman"/>
                <w:sz w:val="24"/>
                <w:szCs w:val="24"/>
              </w:rPr>
              <w:t>198,96</w:t>
            </w:r>
          </w:p>
        </w:tc>
      </w:tr>
    </w:tbl>
    <w:p w14:paraId="46A166A8" w14:textId="77777777" w:rsidR="00D16DC5" w:rsidRDefault="00D16DC5" w:rsidP="00D16DC5">
      <w:pPr>
        <w:ind w:firstLine="284"/>
        <w:jc w:val="both"/>
        <w:rPr>
          <w:rFonts w:ascii="Times New Roman" w:hAnsi="Times New Roman" w:cs="Times New Roman"/>
          <w:sz w:val="20"/>
          <w:szCs w:val="20"/>
          <w:lang w:val="en-US"/>
        </w:rPr>
      </w:pPr>
      <w:r w:rsidRPr="000B3B95">
        <w:rPr>
          <w:rFonts w:ascii="Times New Roman" w:hAnsi="Times New Roman" w:cs="Times New Roman"/>
          <w:sz w:val="20"/>
          <w:szCs w:val="20"/>
        </w:rPr>
        <w:t xml:space="preserve">Рассчитано по: Годовая отчетность компании </w:t>
      </w:r>
      <w:r w:rsidRPr="000B3B95">
        <w:rPr>
          <w:rFonts w:ascii="Times New Roman" w:hAnsi="Times New Roman" w:cs="Times New Roman"/>
          <w:sz w:val="20"/>
          <w:szCs w:val="20"/>
          <w:lang w:val="en-US"/>
        </w:rPr>
        <w:t xml:space="preserve">China Unicom Limited. </w:t>
      </w:r>
      <w:r>
        <w:rPr>
          <w:rFonts w:ascii="Times New Roman" w:hAnsi="Times New Roman" w:cs="Times New Roman"/>
          <w:sz w:val="20"/>
          <w:szCs w:val="20"/>
          <w:lang w:val="en-US"/>
        </w:rPr>
        <w:t xml:space="preserve">– </w:t>
      </w:r>
      <w:r w:rsidRPr="003A721B">
        <w:rPr>
          <w:rFonts w:ascii="Times New Roman" w:hAnsi="Times New Roman" w:cs="Times New Roman"/>
          <w:sz w:val="20"/>
          <w:szCs w:val="20"/>
          <w:lang w:val="en-US"/>
        </w:rPr>
        <w:t>www.chinaunicom.cn</w:t>
      </w:r>
    </w:p>
    <w:p w14:paraId="11DE3BAD" w14:textId="77777777" w:rsidR="00D16DC5" w:rsidRDefault="00D16DC5" w:rsidP="008C7960">
      <w:pPr>
        <w:ind w:firstLine="284"/>
        <w:jc w:val="both"/>
        <w:rPr>
          <w:rFonts w:ascii="Times New Roman" w:hAnsi="Times New Roman" w:cs="Times New Roman"/>
        </w:rPr>
      </w:pPr>
    </w:p>
    <w:p w14:paraId="31020711" w14:textId="04E062C6" w:rsidR="00060831" w:rsidRPr="00D16DC5" w:rsidRDefault="00D16DC5" w:rsidP="00D16DC5">
      <w:pPr>
        <w:spacing w:line="360" w:lineRule="auto"/>
        <w:ind w:firstLine="284"/>
        <w:jc w:val="both"/>
        <w:rPr>
          <w:rFonts w:ascii="Times New Roman" w:hAnsi="Times New Roman" w:cs="Times New Roman"/>
          <w:sz w:val="28"/>
          <w:szCs w:val="28"/>
        </w:rPr>
      </w:pPr>
      <w:r w:rsidRPr="00D16DC5">
        <w:rPr>
          <w:rFonts w:ascii="Times New Roman" w:hAnsi="Times New Roman" w:cs="Times New Roman"/>
          <w:sz w:val="28"/>
          <w:szCs w:val="28"/>
        </w:rPr>
        <w:t>Из таблицы 19</w:t>
      </w:r>
      <w:r w:rsidR="00060831" w:rsidRPr="00D16DC5">
        <w:rPr>
          <w:rFonts w:ascii="Times New Roman" w:hAnsi="Times New Roman" w:cs="Times New Roman"/>
          <w:sz w:val="28"/>
          <w:szCs w:val="28"/>
        </w:rPr>
        <w:t xml:space="preserve"> видно, что положительные значения дохода от </w:t>
      </w:r>
      <w:r w:rsidR="00060831" w:rsidRPr="00D16DC5">
        <w:rPr>
          <w:rFonts w:ascii="Times New Roman" w:hAnsi="Times New Roman" w:cs="Times New Roman"/>
          <w:sz w:val="28"/>
          <w:szCs w:val="28"/>
          <w:lang w:val="en-US"/>
        </w:rPr>
        <w:t xml:space="preserve">IPO на китайском и американском рынках </w:t>
      </w:r>
      <w:r w:rsidR="00060831" w:rsidRPr="00D16DC5">
        <w:rPr>
          <w:rFonts w:ascii="Times New Roman" w:hAnsi="Times New Roman" w:cs="Times New Roman"/>
          <w:sz w:val="28"/>
          <w:szCs w:val="28"/>
        </w:rPr>
        <w:t>уже заметны по окончании первого года. Причиной этому служит образование компании, корпоративная структура и схема развития бизнеса в Китае. В 2006 г. на рынок вышел Макао, в следствие чего снизился показатель</w:t>
      </w:r>
      <w:r w:rsidR="00060831" w:rsidRPr="00D16DC5">
        <w:rPr>
          <w:rFonts w:ascii="Times New Roman" w:hAnsi="Times New Roman" w:cs="Times New Roman"/>
          <w:sz w:val="28"/>
          <w:szCs w:val="28"/>
          <w:lang w:val="en-US"/>
        </w:rPr>
        <w:t xml:space="preserve"> NOPLAT</w:t>
      </w:r>
      <w:r w:rsidR="00060831" w:rsidRPr="00D16DC5">
        <w:rPr>
          <w:rFonts w:ascii="Times New Roman" w:hAnsi="Times New Roman" w:cs="Times New Roman"/>
          <w:sz w:val="28"/>
          <w:szCs w:val="28"/>
        </w:rPr>
        <w:t xml:space="preserve"> ввиду увеличения налогооблагаемой базы.</w:t>
      </w:r>
    </w:p>
    <w:p w14:paraId="2E3E002C" w14:textId="13234293" w:rsidR="00DF0932" w:rsidRPr="00D16DC5" w:rsidRDefault="00060831" w:rsidP="00D16DC5">
      <w:pPr>
        <w:spacing w:line="360" w:lineRule="auto"/>
        <w:ind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Следует отметить, что </w:t>
      </w:r>
      <w:r w:rsidR="000C5D20" w:rsidRPr="00D16DC5">
        <w:rPr>
          <w:rFonts w:ascii="Times New Roman" w:hAnsi="Times New Roman" w:cs="Times New Roman"/>
          <w:sz w:val="28"/>
          <w:szCs w:val="28"/>
        </w:rPr>
        <w:t xml:space="preserve">по итогам 2007 г. </w:t>
      </w:r>
      <w:r w:rsidRPr="00D16DC5">
        <w:rPr>
          <w:rFonts w:ascii="Times New Roman" w:hAnsi="Times New Roman" w:cs="Times New Roman"/>
          <w:sz w:val="28"/>
          <w:szCs w:val="28"/>
        </w:rPr>
        <w:t xml:space="preserve">компания МТС увеличила годовой показатель </w:t>
      </w:r>
      <w:r w:rsidRPr="00D16DC5">
        <w:rPr>
          <w:rFonts w:ascii="Times New Roman" w:hAnsi="Times New Roman" w:cs="Times New Roman"/>
          <w:sz w:val="28"/>
          <w:szCs w:val="28"/>
          <w:lang w:val="en-US"/>
        </w:rPr>
        <w:t xml:space="preserve">NOPLAT </w:t>
      </w:r>
      <w:r w:rsidRPr="00D16DC5">
        <w:rPr>
          <w:rFonts w:ascii="Times New Roman" w:hAnsi="Times New Roman" w:cs="Times New Roman"/>
          <w:sz w:val="28"/>
          <w:szCs w:val="28"/>
        </w:rPr>
        <w:t>более чем в два раза</w:t>
      </w:r>
      <w:r w:rsidR="000C5D20" w:rsidRPr="00D16DC5">
        <w:rPr>
          <w:rFonts w:ascii="Times New Roman" w:hAnsi="Times New Roman" w:cs="Times New Roman"/>
          <w:sz w:val="28"/>
          <w:szCs w:val="28"/>
        </w:rPr>
        <w:t xml:space="preserve"> по сравнению  с </w:t>
      </w:r>
      <w:r w:rsidR="000C5D20" w:rsidRPr="00D16DC5">
        <w:rPr>
          <w:rFonts w:ascii="Times New Roman" w:hAnsi="Times New Roman" w:cs="Times New Roman"/>
          <w:sz w:val="28"/>
          <w:szCs w:val="28"/>
          <w:lang w:val="en-US"/>
        </w:rPr>
        <w:t xml:space="preserve">China Unicom. Такие различия объясняются разницей в стратегиях поведения компаний на рынке, уровнем конкуренции и влиянием государства на бизнес. Отметим, что в 2000 г. </w:t>
      </w:r>
      <w:r w:rsidR="000C5D20" w:rsidRPr="00D16DC5">
        <w:rPr>
          <w:rFonts w:ascii="Times New Roman" w:hAnsi="Times New Roman" w:cs="Times New Roman"/>
          <w:sz w:val="28"/>
          <w:szCs w:val="28"/>
        </w:rPr>
        <w:t xml:space="preserve">по этому показателю </w:t>
      </w:r>
      <w:r w:rsidR="000C5D20" w:rsidRPr="00D16DC5">
        <w:rPr>
          <w:rFonts w:ascii="Times New Roman" w:hAnsi="Times New Roman" w:cs="Times New Roman"/>
          <w:sz w:val="28"/>
          <w:szCs w:val="28"/>
          <w:lang w:val="en-US"/>
        </w:rPr>
        <w:t xml:space="preserve">China Unicom превосходила МТС почти в 5 раз. </w:t>
      </w:r>
    </w:p>
    <w:p w14:paraId="3B2784DF" w14:textId="0950FA77" w:rsidR="000C5D20" w:rsidRPr="00D16DC5" w:rsidRDefault="000C5D20" w:rsidP="00D16DC5">
      <w:pPr>
        <w:spacing w:line="360" w:lineRule="auto"/>
        <w:ind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Китайские показатели в 2008 г. заслуживают отдельного внимания, т.к. они отличаются от темпов роста показателей прошлых лет. Объяснением этому служит тот факт, что </w:t>
      </w:r>
      <w:r w:rsidRPr="00D16DC5">
        <w:rPr>
          <w:rFonts w:ascii="Times New Roman" w:hAnsi="Times New Roman" w:cs="Times New Roman"/>
          <w:sz w:val="28"/>
          <w:szCs w:val="28"/>
          <w:lang w:val="en-US"/>
        </w:rPr>
        <w:t xml:space="preserve">China Unicom </w:t>
      </w:r>
      <w:r w:rsidRPr="00D16DC5">
        <w:rPr>
          <w:rFonts w:ascii="Times New Roman" w:hAnsi="Times New Roman" w:cs="Times New Roman"/>
          <w:sz w:val="28"/>
          <w:szCs w:val="28"/>
        </w:rPr>
        <w:t xml:space="preserve">объединилась  с </w:t>
      </w:r>
      <w:r w:rsidRPr="00D16DC5">
        <w:rPr>
          <w:rFonts w:ascii="Times New Roman" w:hAnsi="Times New Roman" w:cs="Times New Roman"/>
          <w:sz w:val="28"/>
          <w:szCs w:val="28"/>
          <w:lang w:val="en-US"/>
        </w:rPr>
        <w:t xml:space="preserve">China Netcom </w:t>
      </w:r>
      <w:r w:rsidRPr="00D16DC5">
        <w:rPr>
          <w:rFonts w:ascii="Times New Roman" w:hAnsi="Times New Roman" w:cs="Times New Roman"/>
          <w:sz w:val="28"/>
          <w:szCs w:val="28"/>
        </w:rPr>
        <w:t xml:space="preserve">под маркой </w:t>
      </w:r>
      <w:r w:rsidRPr="00D16DC5">
        <w:rPr>
          <w:rFonts w:ascii="Times New Roman" w:hAnsi="Times New Roman" w:cs="Times New Roman"/>
          <w:sz w:val="28"/>
          <w:szCs w:val="28"/>
          <w:lang w:val="en-US"/>
        </w:rPr>
        <w:t xml:space="preserve">China Unicom. </w:t>
      </w:r>
      <w:r w:rsidRPr="00D16DC5">
        <w:rPr>
          <w:rFonts w:ascii="Times New Roman" w:hAnsi="Times New Roman" w:cs="Times New Roman"/>
          <w:sz w:val="28"/>
          <w:szCs w:val="28"/>
        </w:rPr>
        <w:t xml:space="preserve">Инициатором этой сделки было китайское правительство, которое хотело увеличить конкуренцию на рынке. В Китае динамика показателя </w:t>
      </w:r>
      <w:r w:rsidRPr="00D16DC5">
        <w:rPr>
          <w:rFonts w:ascii="Times New Roman" w:hAnsi="Times New Roman" w:cs="Times New Roman"/>
          <w:sz w:val="28"/>
          <w:szCs w:val="28"/>
          <w:lang w:val="en-US"/>
        </w:rPr>
        <w:t xml:space="preserve">WACC </w:t>
      </w:r>
      <w:r w:rsidRPr="00D16DC5">
        <w:rPr>
          <w:rFonts w:ascii="Times New Roman" w:hAnsi="Times New Roman" w:cs="Times New Roman"/>
          <w:sz w:val="28"/>
          <w:szCs w:val="28"/>
        </w:rPr>
        <w:t>тесно связана с динамикой инфляцией в стране, нежели с изменениями в в замной части в структуре капитала.</w:t>
      </w:r>
    </w:p>
    <w:p w14:paraId="76212045" w14:textId="69A993DA" w:rsidR="000C5D20" w:rsidRPr="00D16DC5" w:rsidRDefault="00DF7F50" w:rsidP="00D16DC5">
      <w:pPr>
        <w:spacing w:line="360" w:lineRule="auto"/>
        <w:ind w:firstLine="284"/>
        <w:jc w:val="both"/>
        <w:rPr>
          <w:rFonts w:ascii="Times New Roman" w:hAnsi="Times New Roman" w:cs="Times New Roman"/>
          <w:sz w:val="28"/>
          <w:szCs w:val="28"/>
          <w:lang w:val="en-US"/>
        </w:rPr>
      </w:pPr>
      <w:r w:rsidRPr="00D16DC5">
        <w:rPr>
          <w:rFonts w:ascii="Times New Roman" w:hAnsi="Times New Roman" w:cs="Times New Roman"/>
          <w:sz w:val="28"/>
          <w:szCs w:val="28"/>
        </w:rPr>
        <w:lastRenderedPageBreak/>
        <w:t xml:space="preserve">Итоговый показатель </w:t>
      </w:r>
      <w:r w:rsidRPr="00D16DC5">
        <w:rPr>
          <w:rFonts w:ascii="Times New Roman" w:hAnsi="Times New Roman" w:cs="Times New Roman"/>
          <w:sz w:val="28"/>
          <w:szCs w:val="28"/>
          <w:lang w:val="en-US"/>
        </w:rPr>
        <w:t xml:space="preserve">EVA </w:t>
      </w:r>
      <w:r w:rsidRPr="00D16DC5">
        <w:rPr>
          <w:rFonts w:ascii="Times New Roman" w:hAnsi="Times New Roman" w:cs="Times New Roman"/>
          <w:sz w:val="28"/>
          <w:szCs w:val="28"/>
        </w:rPr>
        <w:t xml:space="preserve">отражает сложившуюся ситуацию в компании </w:t>
      </w:r>
      <w:r w:rsidRPr="00D16DC5">
        <w:rPr>
          <w:rFonts w:ascii="Times New Roman" w:hAnsi="Times New Roman" w:cs="Times New Roman"/>
          <w:sz w:val="28"/>
          <w:szCs w:val="28"/>
          <w:lang w:val="en-US"/>
        </w:rPr>
        <w:t>China Unicom.</w:t>
      </w:r>
      <w:r w:rsidRPr="00D16DC5">
        <w:rPr>
          <w:rFonts w:ascii="Times New Roman" w:hAnsi="Times New Roman" w:cs="Times New Roman"/>
          <w:sz w:val="28"/>
          <w:szCs w:val="28"/>
        </w:rPr>
        <w:t xml:space="preserve"> Изначально руководство вкладывало в рост стоимости компании ввиду положительного эффекта от эмиссии и отрицательной инфляции. </w:t>
      </w:r>
      <w:r w:rsidR="008A78D7" w:rsidRPr="00D16DC5">
        <w:rPr>
          <w:rFonts w:ascii="Times New Roman" w:hAnsi="Times New Roman" w:cs="Times New Roman"/>
          <w:sz w:val="28"/>
          <w:szCs w:val="28"/>
        </w:rPr>
        <w:t xml:space="preserve">Однако направление инвестиций для улучшения качества и разнообразия сервиса не дало должной отдачи, о чем нам и говорит показатель </w:t>
      </w:r>
      <w:r w:rsidR="008A78D7" w:rsidRPr="00D16DC5">
        <w:rPr>
          <w:rFonts w:ascii="Times New Roman" w:hAnsi="Times New Roman" w:cs="Times New Roman"/>
          <w:sz w:val="28"/>
          <w:szCs w:val="28"/>
          <w:lang w:val="en-US"/>
        </w:rPr>
        <w:t>EVA.</w:t>
      </w:r>
    </w:p>
    <w:p w14:paraId="146F5FE1" w14:textId="77777777" w:rsidR="00D16DC5" w:rsidRPr="00D16DC5" w:rsidRDefault="008A78D7" w:rsidP="00D16DC5">
      <w:pPr>
        <w:spacing w:line="360" w:lineRule="auto"/>
        <w:ind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Результат проведенного анализа представлен на графике акций (рисунок 12), который отражает динамику рыночной и расчетной стоимости акций двух компаний. </w:t>
      </w:r>
    </w:p>
    <w:p w14:paraId="73CAD907" w14:textId="77777777" w:rsidR="00D16DC5" w:rsidRPr="00D16DC5" w:rsidRDefault="00D16DC5" w:rsidP="00D16DC5">
      <w:pPr>
        <w:spacing w:line="360" w:lineRule="auto"/>
        <w:ind w:firstLine="284"/>
        <w:jc w:val="both"/>
        <w:rPr>
          <w:rFonts w:ascii="Times New Roman" w:hAnsi="Times New Roman" w:cs="Times New Roman"/>
          <w:sz w:val="28"/>
          <w:szCs w:val="28"/>
        </w:rPr>
      </w:pPr>
      <w:r w:rsidRPr="00D16DC5">
        <w:rPr>
          <w:rFonts w:ascii="Times New Roman" w:hAnsi="Times New Roman" w:cs="Times New Roman"/>
          <w:sz w:val="28"/>
          <w:szCs w:val="28"/>
        </w:rPr>
        <w:t>Рисунок 12. Динамика цен на акции</w:t>
      </w:r>
    </w:p>
    <w:p w14:paraId="47F4E3C5" w14:textId="77777777" w:rsidR="00D16DC5" w:rsidRPr="00DB019B" w:rsidRDefault="00D16DC5" w:rsidP="00D16DC5">
      <w:pPr>
        <w:ind w:firstLine="284"/>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69B7B9A0" wp14:editId="48592596">
                <wp:simplePos x="0" y="0"/>
                <wp:positionH relativeFrom="column">
                  <wp:posOffset>735330</wp:posOffset>
                </wp:positionH>
                <wp:positionV relativeFrom="paragraph">
                  <wp:posOffset>140970</wp:posOffset>
                </wp:positionV>
                <wp:extent cx="2514600" cy="228600"/>
                <wp:effectExtent l="0" t="0" r="25400" b="2540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228600"/>
                        </a:xfrm>
                        <a:prstGeom prst="rect">
                          <a:avLst/>
                        </a:prstGeom>
                        <a:solidFill>
                          <a:schemeClr val="bg1"/>
                        </a:solidFill>
                        <a:ln>
                          <a:solidFill>
                            <a:schemeClr val="accent1">
                              <a:shade val="95000"/>
                              <a:satMod val="105000"/>
                              <a:alpha val="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57.9pt;margin-top:11.1pt;width:19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" fillcolor="white [3212]" strokecolor="#4579b8 [3044]">
                <v:stroke opacity="0"/>
                <v:path arrowok="t"/>
              </v:rect>
            </w:pict>
          </mc:Fallback>
        </mc:AlternateContent>
      </w:r>
      <w:r w:rsidRPr="00DB019B">
        <w:rPr>
          <w:rFonts w:ascii="Times New Roman" w:hAnsi="Times New Roman" w:cs="Times New Roman"/>
          <w:noProof/>
          <w:lang w:val="en-US"/>
        </w:rPr>
        <w:drawing>
          <wp:inline distT="0" distB="0" distL="0" distR="0" wp14:anchorId="1F03CC01" wp14:editId="6FB5F40A">
            <wp:extent cx="5270500" cy="3417704"/>
            <wp:effectExtent l="0" t="0" r="0" b="1143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0500" cy="3417704"/>
                    </a:xfrm>
                    <a:prstGeom prst="rect">
                      <a:avLst/>
                    </a:prstGeom>
                    <a:noFill/>
                    <a:ln>
                      <a:noFill/>
                    </a:ln>
                  </pic:spPr>
                </pic:pic>
              </a:graphicData>
            </a:graphic>
          </wp:inline>
        </w:drawing>
      </w:r>
    </w:p>
    <w:p w14:paraId="18D2CAB8" w14:textId="77777777" w:rsidR="00D16DC5" w:rsidRPr="009F093D" w:rsidRDefault="00D16DC5" w:rsidP="00D16DC5">
      <w:pPr>
        <w:rPr>
          <w:b/>
          <w:lang w:val="en-US"/>
        </w:rPr>
      </w:pPr>
    </w:p>
    <w:p w14:paraId="0542FBD4" w14:textId="77777777" w:rsidR="00D16DC5" w:rsidRDefault="00D16DC5" w:rsidP="00D16DC5">
      <w:pPr>
        <w:ind w:left="-426" w:firstLine="284"/>
        <w:jc w:val="both"/>
        <w:rPr>
          <w:rFonts w:ascii="Times New Roman" w:hAnsi="Times New Roman" w:cs="Times New Roman"/>
        </w:rPr>
      </w:pPr>
    </w:p>
    <w:p w14:paraId="5BF8C0CE" w14:textId="0FBDF3E9" w:rsidR="008A78D7" w:rsidRPr="00D16DC5" w:rsidRDefault="008A78D7"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Из рисунка 12 следует, что расчетная цена стоимости акции МТС и </w:t>
      </w:r>
      <w:r w:rsidRPr="00D16DC5">
        <w:rPr>
          <w:rFonts w:ascii="Times New Roman" w:hAnsi="Times New Roman" w:cs="Times New Roman"/>
          <w:sz w:val="28"/>
          <w:szCs w:val="28"/>
          <w:lang w:val="en-US"/>
        </w:rPr>
        <w:t xml:space="preserve">China Unicom </w:t>
      </w:r>
      <w:r w:rsidRPr="00D16DC5">
        <w:rPr>
          <w:rFonts w:ascii="Times New Roman" w:hAnsi="Times New Roman" w:cs="Times New Roman"/>
          <w:sz w:val="28"/>
          <w:szCs w:val="28"/>
        </w:rPr>
        <w:t xml:space="preserve">оказалась примерно одинаковой (6,81 долл. и 6,36 долл. соответственно). </w:t>
      </w:r>
    </w:p>
    <w:p w14:paraId="517113E9" w14:textId="34B8C339" w:rsidR="00DF0932" w:rsidRPr="00D16DC5" w:rsidRDefault="008A78D7"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Итак, при помощи модели </w:t>
      </w:r>
      <w:r w:rsidRPr="00D16DC5">
        <w:rPr>
          <w:rFonts w:ascii="Times New Roman" w:hAnsi="Times New Roman" w:cs="Times New Roman"/>
          <w:sz w:val="28"/>
          <w:szCs w:val="28"/>
          <w:lang w:val="en-US"/>
        </w:rPr>
        <w:t xml:space="preserve">EVA </w:t>
      </w:r>
      <w:r w:rsidRPr="00D16DC5">
        <w:rPr>
          <w:rFonts w:ascii="Times New Roman" w:hAnsi="Times New Roman" w:cs="Times New Roman"/>
          <w:sz w:val="28"/>
          <w:szCs w:val="28"/>
        </w:rPr>
        <w:t xml:space="preserve">нам удалось провести анализ деятельности компаний. </w:t>
      </w:r>
      <w:r w:rsidR="00AC0E73" w:rsidRPr="00D16DC5">
        <w:rPr>
          <w:rFonts w:ascii="Times New Roman" w:hAnsi="Times New Roman" w:cs="Times New Roman"/>
          <w:sz w:val="28"/>
          <w:szCs w:val="28"/>
        </w:rPr>
        <w:t xml:space="preserve">Анализ эффективности работы фондового рынка показал, что рыночная премия и дисперсия кардинально различаются при равной расчетной </w:t>
      </w:r>
      <w:r w:rsidR="00AC0E73" w:rsidRPr="00D16DC5">
        <w:rPr>
          <w:rFonts w:ascii="Times New Roman" w:hAnsi="Times New Roman" w:cs="Times New Roman"/>
          <w:sz w:val="28"/>
          <w:szCs w:val="28"/>
        </w:rPr>
        <w:lastRenderedPageBreak/>
        <w:t>стоимости компаний. Таким образом, фондовый рынок корректирует реальную цену на актив, по-разному оценивая эффективность компаний и влияние внешних факторов на них.</w:t>
      </w:r>
    </w:p>
    <w:p w14:paraId="2F262E0F" w14:textId="5DB4179F" w:rsidR="00AC0E73" w:rsidRPr="00D16DC5" w:rsidRDefault="00AC0E73"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ОАО МТС проводит агрессивную политику, что позволяет ей занимать высокую долю рынка, сохранять высокие показатели рентабельности и увеличивать реальную стоимость при наличии конкуренции, что положительно сказывается на рыночной премии как на внутреннем, так и на внешнем рынке.</w:t>
      </w:r>
    </w:p>
    <w:p w14:paraId="60FB1410" w14:textId="4A0EB410" w:rsidR="00AC0E73" w:rsidRPr="00D16DC5" w:rsidRDefault="00AC0E73" w:rsidP="00D16DC5">
      <w:pPr>
        <w:spacing w:line="360" w:lineRule="auto"/>
        <w:ind w:left="-426"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Рыночная премия компании </w:t>
      </w:r>
      <w:r w:rsidRPr="00D16DC5">
        <w:rPr>
          <w:rFonts w:ascii="Times New Roman" w:hAnsi="Times New Roman" w:cs="Times New Roman"/>
          <w:sz w:val="28"/>
          <w:szCs w:val="28"/>
          <w:lang w:val="en-US"/>
        </w:rPr>
        <w:t>China Unicom</w:t>
      </w:r>
      <w:r w:rsidRPr="00D16DC5">
        <w:rPr>
          <w:rFonts w:ascii="Times New Roman" w:hAnsi="Times New Roman" w:cs="Times New Roman"/>
          <w:sz w:val="28"/>
          <w:szCs w:val="28"/>
        </w:rPr>
        <w:t xml:space="preserve"> является отрицательной ввиду специфики </w:t>
      </w:r>
      <w:r w:rsidR="001C37DD" w:rsidRPr="00D16DC5">
        <w:rPr>
          <w:rFonts w:ascii="Times New Roman" w:hAnsi="Times New Roman" w:cs="Times New Roman"/>
          <w:sz w:val="28"/>
          <w:szCs w:val="28"/>
        </w:rPr>
        <w:t>развития бизнеса и действий руководства, несмотря на то, что фондовый рынок Китая имеет общую положительную динамику.</w:t>
      </w:r>
      <w:r w:rsidR="00C04FBC" w:rsidRPr="00D16DC5">
        <w:rPr>
          <w:rFonts w:ascii="Times New Roman" w:hAnsi="Times New Roman" w:cs="Times New Roman"/>
          <w:sz w:val="28"/>
          <w:szCs w:val="28"/>
        </w:rPr>
        <w:t xml:space="preserve"> Китайской компании необходимо пересмотреть имеющуюся стратегию развития</w:t>
      </w:r>
      <w:r w:rsidR="00536DE0" w:rsidRPr="00D16DC5">
        <w:rPr>
          <w:rFonts w:ascii="Times New Roman" w:hAnsi="Times New Roman" w:cs="Times New Roman"/>
          <w:sz w:val="28"/>
          <w:szCs w:val="28"/>
        </w:rPr>
        <w:t xml:space="preserve"> и расставить иные приоритеты, для того чтобы увеличить рыночную премию и повысить показатели работы бизнеса, однако этому может препятствовать сильное государственное влияние на рынке.</w:t>
      </w:r>
    </w:p>
    <w:p w14:paraId="1B65A66D" w14:textId="77777777" w:rsidR="008A78D7" w:rsidRDefault="008A78D7"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598BE028"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662356B7"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74C291CE"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6760782E"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7AEF6FB9"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4E9E0571"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1F4395FF"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7EDE1839"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29543294"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1E251296"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0F46CE86"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2A6DAFD7"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4CFF97AF" w14:textId="77777777" w:rsidR="000D3393" w:rsidRDefault="000D3393"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p>
    <w:p w14:paraId="046AE07B" w14:textId="77777777" w:rsidR="000D3393" w:rsidRPr="00D16DC5" w:rsidRDefault="000D3393" w:rsidP="000D3393">
      <w:pPr>
        <w:widowControl w:val="0"/>
        <w:autoSpaceDE w:val="0"/>
        <w:autoSpaceDN w:val="0"/>
        <w:adjustRightInd w:val="0"/>
        <w:spacing w:line="360" w:lineRule="auto"/>
        <w:jc w:val="both"/>
        <w:rPr>
          <w:rFonts w:ascii="Times New Roman" w:hAnsi="Times New Roman" w:cs="Times New Roman"/>
          <w:sz w:val="28"/>
          <w:szCs w:val="28"/>
        </w:rPr>
      </w:pPr>
    </w:p>
    <w:p w14:paraId="31FF36AD" w14:textId="77777777" w:rsidR="005F2CC0" w:rsidRPr="000D3393" w:rsidRDefault="00892C3E" w:rsidP="00D16DC5">
      <w:pPr>
        <w:tabs>
          <w:tab w:val="left" w:pos="1560"/>
        </w:tabs>
        <w:spacing w:before="120" w:line="360" w:lineRule="auto"/>
        <w:ind w:left="-567" w:right="-631" w:firstLine="284"/>
        <w:jc w:val="both"/>
        <w:rPr>
          <w:rFonts w:ascii="Times New Roman" w:hAnsi="Times New Roman" w:cs="Times New Roman"/>
          <w:b/>
          <w:sz w:val="32"/>
          <w:szCs w:val="32"/>
        </w:rPr>
      </w:pPr>
      <w:r w:rsidRPr="000D3393">
        <w:rPr>
          <w:rFonts w:ascii="Times New Roman" w:hAnsi="Times New Roman" w:cs="Times New Roman"/>
          <w:b/>
          <w:sz w:val="32"/>
          <w:szCs w:val="32"/>
        </w:rPr>
        <w:lastRenderedPageBreak/>
        <w:t>Заключение</w:t>
      </w:r>
    </w:p>
    <w:p w14:paraId="26E1587A" w14:textId="77777777" w:rsidR="00A35E2D" w:rsidRPr="00D16DC5" w:rsidRDefault="00A35E2D" w:rsidP="00D16DC5">
      <w:pPr>
        <w:spacing w:line="360" w:lineRule="auto"/>
        <w:ind w:left="-567" w:right="-6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Исследование китайского финансового рынка представляет немалый научный интерес. Несмотря на то, что с момента зарождения китайский финансовый рынок начал расти быстрыми темпами и на сегодняшний день по масштабу занимает 2-е место в мире, экономисты по-прежнему относят его к категории «нарождающихся». </w:t>
      </w:r>
    </w:p>
    <w:p w14:paraId="2E0BFAB1" w14:textId="77777777" w:rsidR="00EF4F44" w:rsidRPr="00D16DC5" w:rsidRDefault="002515BF" w:rsidP="00D16DC5">
      <w:pPr>
        <w:spacing w:line="360" w:lineRule="auto"/>
        <w:ind w:left="-567" w:right="-64" w:firstLine="284"/>
        <w:jc w:val="both"/>
        <w:rPr>
          <w:rFonts w:ascii="Times New Roman" w:hAnsi="Times New Roman" w:cs="Times New Roman"/>
          <w:sz w:val="28"/>
          <w:szCs w:val="28"/>
        </w:rPr>
      </w:pPr>
      <w:r w:rsidRPr="00D16DC5">
        <w:rPr>
          <w:rFonts w:ascii="Times New Roman" w:hAnsi="Times New Roman" w:cs="Times New Roman"/>
          <w:sz w:val="28"/>
          <w:szCs w:val="28"/>
        </w:rPr>
        <w:t xml:space="preserve">Страны с «нарождающимися» рынками представляют собой неоднородную группу. В ходе исследования были выявлены характерные черты, относящиеся к большинству развивающихся стран, а именно: неустойчивость фондовых рынков и высокий уровень ценовых рисков на них, небольшие объемы рынка, неэффективная регуляторная политика, высокая доля госкорпораций в структуре собственности экономики, а также проблема соотношения собственного и заемного капитала. Еще одной важной чертой «нарождающихся» рынков является </w:t>
      </w:r>
      <w:r w:rsidR="003F7644" w:rsidRPr="00D16DC5">
        <w:rPr>
          <w:rFonts w:ascii="Times New Roman" w:hAnsi="Times New Roman" w:cs="Times New Roman"/>
          <w:sz w:val="28"/>
          <w:szCs w:val="28"/>
        </w:rPr>
        <w:t>преобладание доли индивидуальных инвесторов над институциональными.</w:t>
      </w:r>
    </w:p>
    <w:p w14:paraId="1C9D1EE3" w14:textId="77777777" w:rsidR="005F2CC0" w:rsidRPr="00D16DC5" w:rsidRDefault="00892C3E" w:rsidP="00D16DC5">
      <w:pPr>
        <w:autoSpaceDE w:val="0"/>
        <w:autoSpaceDN w:val="0"/>
        <w:adjustRightInd w:val="0"/>
        <w:spacing w:line="360" w:lineRule="auto"/>
        <w:ind w:left="-709" w:right="-64"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Анализ фундаментальных факторов, формирующих </w:t>
      </w:r>
      <w:r w:rsidR="003F7644" w:rsidRPr="00D16DC5">
        <w:rPr>
          <w:rFonts w:ascii="Times New Roman" w:hAnsi="Times New Roman" w:cs="Times New Roman"/>
          <w:sz w:val="28"/>
          <w:szCs w:val="28"/>
        </w:rPr>
        <w:t>рынок ценных бумаг КНР</w:t>
      </w:r>
      <w:r w:rsidRPr="00D16DC5">
        <w:rPr>
          <w:rFonts w:ascii="Times New Roman" w:hAnsi="Times New Roman" w:cs="Times New Roman"/>
          <w:sz w:val="28"/>
          <w:szCs w:val="28"/>
        </w:rPr>
        <w:t>, позволил сделать</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следующие выводы: модель фондового рынка Китая является уникальной, так</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 xml:space="preserve">как представляет собой единственный прецедент существования крупного </w:t>
      </w:r>
      <w:r w:rsidR="003F7644" w:rsidRPr="00D16DC5">
        <w:rPr>
          <w:rFonts w:ascii="Times New Roman" w:hAnsi="Times New Roman" w:cs="Times New Roman"/>
          <w:sz w:val="28"/>
          <w:szCs w:val="28"/>
        </w:rPr>
        <w:t>рынка ценных бумаг</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в рамках многоукладной рыночно ориентированной экономики с</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монополизированной политической сферой. Несмотря на</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значительный абсолютный объем рынка акций, финансовый</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сектор Китая имеет долговой характер, что проявляется в доминирующей</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роли</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банковского кредитования и государственных ценных бумаг</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(облигаций) в</w:t>
      </w:r>
      <w:r w:rsidR="00F1404C" w:rsidRPr="00D16DC5">
        <w:rPr>
          <w:rFonts w:ascii="Times New Roman" w:hAnsi="Times New Roman" w:cs="Times New Roman"/>
          <w:sz w:val="28"/>
          <w:szCs w:val="28"/>
        </w:rPr>
        <w:t xml:space="preserve"> </w:t>
      </w:r>
      <w:r w:rsidRPr="00D16DC5">
        <w:rPr>
          <w:rFonts w:ascii="Times New Roman" w:hAnsi="Times New Roman" w:cs="Times New Roman"/>
          <w:sz w:val="28"/>
          <w:szCs w:val="28"/>
        </w:rPr>
        <w:t>финансировании хозяйства.</w:t>
      </w:r>
      <w:r w:rsidR="00F1404C" w:rsidRPr="00D16DC5">
        <w:rPr>
          <w:rFonts w:ascii="Times New Roman" w:hAnsi="Times New Roman" w:cs="Times New Roman"/>
          <w:sz w:val="28"/>
          <w:szCs w:val="28"/>
        </w:rPr>
        <w:t xml:space="preserve"> </w:t>
      </w:r>
    </w:p>
    <w:p w14:paraId="52B6A1FC" w14:textId="6B9D2303" w:rsidR="003F7644" w:rsidRPr="00D16DC5" w:rsidRDefault="00536DE0" w:rsidP="00D16DC5">
      <w:pPr>
        <w:autoSpaceDE w:val="0"/>
        <w:autoSpaceDN w:val="0"/>
        <w:adjustRightInd w:val="0"/>
        <w:spacing w:line="360" w:lineRule="auto"/>
        <w:ind w:left="-709" w:right="-64" w:firstLine="426"/>
        <w:jc w:val="both"/>
        <w:rPr>
          <w:rFonts w:ascii="Times New Roman" w:hAnsi="Times New Roman" w:cs="Times New Roman"/>
          <w:sz w:val="28"/>
          <w:szCs w:val="28"/>
        </w:rPr>
      </w:pPr>
      <w:r w:rsidRPr="00D16DC5">
        <w:rPr>
          <w:rFonts w:ascii="Times New Roman" w:hAnsi="Times New Roman" w:cs="Times New Roman"/>
          <w:sz w:val="28"/>
          <w:szCs w:val="28"/>
        </w:rPr>
        <w:t>Статистические данные говорят о том, что фондовый рынок Китая является «рынком населения», о чем говорит доля индивидуальных инвесторов на нем. Частные инвесторы являются источником спекуляции и высокой волатильности на рынке</w:t>
      </w:r>
      <w:r w:rsidR="00814954" w:rsidRPr="00D16DC5">
        <w:rPr>
          <w:rFonts w:ascii="Times New Roman" w:hAnsi="Times New Roman" w:cs="Times New Roman"/>
          <w:sz w:val="28"/>
          <w:szCs w:val="28"/>
        </w:rPr>
        <w:t xml:space="preserve">. Сектор институциональных инвесторов остается небольшим, </w:t>
      </w:r>
      <w:r w:rsidR="00065487" w:rsidRPr="00D16DC5">
        <w:rPr>
          <w:rFonts w:ascii="Times New Roman" w:hAnsi="Times New Roman" w:cs="Times New Roman"/>
          <w:sz w:val="28"/>
          <w:szCs w:val="28"/>
        </w:rPr>
        <w:t xml:space="preserve">развитием этого сегмента занимается КУКЦБ. В настоящий момент инвестиционные фонды </w:t>
      </w:r>
      <w:r w:rsidR="00065487" w:rsidRPr="00D16DC5">
        <w:rPr>
          <w:rFonts w:ascii="Times New Roman" w:hAnsi="Times New Roman" w:cs="Times New Roman"/>
          <w:sz w:val="28"/>
          <w:szCs w:val="28"/>
        </w:rPr>
        <w:lastRenderedPageBreak/>
        <w:t>доминируют по объемам инвестиций на рынки. Другими видами</w:t>
      </w:r>
      <w:r w:rsidR="003F7644" w:rsidRPr="00D16DC5">
        <w:rPr>
          <w:rFonts w:ascii="Times New Roman" w:hAnsi="Times New Roman" w:cs="Times New Roman"/>
          <w:sz w:val="28"/>
          <w:szCs w:val="28"/>
        </w:rPr>
        <w:t xml:space="preserve"> участников </w:t>
      </w:r>
      <w:r w:rsidR="00065487" w:rsidRPr="00D16DC5">
        <w:rPr>
          <w:rFonts w:ascii="Times New Roman" w:hAnsi="Times New Roman" w:cs="Times New Roman"/>
          <w:sz w:val="28"/>
          <w:szCs w:val="28"/>
        </w:rPr>
        <w:t>являются</w:t>
      </w:r>
      <w:r w:rsidR="003F7644" w:rsidRPr="00D16DC5">
        <w:rPr>
          <w:rFonts w:ascii="Times New Roman" w:hAnsi="Times New Roman" w:cs="Times New Roman"/>
          <w:sz w:val="28"/>
          <w:szCs w:val="28"/>
        </w:rPr>
        <w:t xml:space="preserve"> компании по ценным бумагам (брокерско-дилерские компании), страховые компании, Национальныи</w:t>
      </w:r>
      <w:r w:rsidR="003F7644" w:rsidRPr="00D16DC5">
        <w:rPr>
          <w:rFonts w:ascii="Cambria Math" w:hAnsi="Cambria Math" w:cs="Cambria Math"/>
          <w:sz w:val="28"/>
          <w:szCs w:val="28"/>
        </w:rPr>
        <w:t>̆</w:t>
      </w:r>
      <w:r w:rsidR="003F7644" w:rsidRPr="00D16DC5">
        <w:rPr>
          <w:rFonts w:ascii="Times New Roman" w:hAnsi="Times New Roman" w:cs="Times New Roman"/>
          <w:sz w:val="28"/>
          <w:szCs w:val="28"/>
        </w:rPr>
        <w:t xml:space="preserve"> фонд социального обеспечения, а также иностранных институциональных инвесторов, имеющих особыи</w:t>
      </w:r>
      <w:r w:rsidR="003F7644" w:rsidRPr="00D16DC5">
        <w:rPr>
          <w:rFonts w:ascii="Cambria Math" w:hAnsi="Cambria Math" w:cs="Cambria Math"/>
          <w:sz w:val="28"/>
          <w:szCs w:val="28"/>
        </w:rPr>
        <w:t>̆</w:t>
      </w:r>
      <w:r w:rsidR="003F7644" w:rsidRPr="00D16DC5">
        <w:rPr>
          <w:rFonts w:ascii="Times New Roman" w:hAnsi="Times New Roman" w:cs="Times New Roman"/>
          <w:sz w:val="28"/>
          <w:szCs w:val="28"/>
        </w:rPr>
        <w:t xml:space="preserve"> правовои</w:t>
      </w:r>
      <w:r w:rsidR="003F7644" w:rsidRPr="00D16DC5">
        <w:rPr>
          <w:rFonts w:ascii="Cambria Math" w:hAnsi="Cambria Math" w:cs="Cambria Math"/>
          <w:sz w:val="28"/>
          <w:szCs w:val="28"/>
        </w:rPr>
        <w:t>̆</w:t>
      </w:r>
      <w:r w:rsidR="003F7644" w:rsidRPr="00D16DC5">
        <w:rPr>
          <w:rFonts w:ascii="Times New Roman" w:hAnsi="Times New Roman" w:cs="Times New Roman"/>
          <w:sz w:val="28"/>
          <w:szCs w:val="28"/>
        </w:rPr>
        <w:t xml:space="preserve"> статус – «квалифицированные иностранные институциональные инвесторы».Статус квалифицированных инвесторов получают крупнейшие транснациональные финансовые институты. </w:t>
      </w:r>
    </w:p>
    <w:p w14:paraId="4371313D" w14:textId="02A54F05" w:rsidR="00EE55D4" w:rsidRPr="00D16DC5" w:rsidRDefault="00EE55D4" w:rsidP="00D16DC5">
      <w:pPr>
        <w:autoSpaceDE w:val="0"/>
        <w:autoSpaceDN w:val="0"/>
        <w:adjustRightInd w:val="0"/>
        <w:spacing w:line="360" w:lineRule="auto"/>
        <w:ind w:left="-709" w:firstLine="426"/>
        <w:jc w:val="both"/>
        <w:rPr>
          <w:rFonts w:ascii="Times New Roman" w:hAnsi="Times New Roman" w:cs="Times New Roman"/>
          <w:sz w:val="28"/>
          <w:szCs w:val="28"/>
        </w:rPr>
      </w:pPr>
      <w:r w:rsidRPr="00D16DC5">
        <w:rPr>
          <w:rFonts w:ascii="Times New Roman" w:hAnsi="Times New Roman" w:cs="Times New Roman"/>
          <w:sz w:val="28"/>
          <w:szCs w:val="28"/>
        </w:rPr>
        <w:t>Рассматриваемая в данной работе ценовая модель рынка капитала показывает, что эффективный портфель, который включает в себя все доступные активы, является рыночным портфелем. Однако с учетом того, что финансовый рынок Китая является «нарождающимся», данная модель была модифицирована.</w:t>
      </w:r>
    </w:p>
    <w:p w14:paraId="687AD231" w14:textId="77777777" w:rsidR="00EE55D4" w:rsidRPr="00D16DC5" w:rsidRDefault="00EE55D4" w:rsidP="00D16DC5">
      <w:pPr>
        <w:autoSpaceDE w:val="0"/>
        <w:autoSpaceDN w:val="0"/>
        <w:adjustRightInd w:val="0"/>
        <w:spacing w:line="360" w:lineRule="auto"/>
        <w:ind w:left="-709" w:firstLine="426"/>
        <w:jc w:val="both"/>
        <w:rPr>
          <w:rFonts w:ascii="Times New Roman" w:hAnsi="Times New Roman" w:cs="Times New Roman"/>
          <w:sz w:val="28"/>
          <w:szCs w:val="28"/>
        </w:rPr>
      </w:pPr>
      <w:r w:rsidRPr="00D16DC5">
        <w:rPr>
          <w:rFonts w:ascii="Times New Roman" w:hAnsi="Times New Roman" w:cs="Times New Roman"/>
          <w:sz w:val="28"/>
          <w:szCs w:val="28"/>
        </w:rPr>
        <w:t xml:space="preserve">Сравнение финансовых рынков России и Китая </w:t>
      </w:r>
      <w:r w:rsidR="00453C4A" w:rsidRPr="00D16DC5">
        <w:rPr>
          <w:rFonts w:ascii="Times New Roman" w:hAnsi="Times New Roman" w:cs="Times New Roman"/>
          <w:sz w:val="28"/>
          <w:szCs w:val="28"/>
        </w:rPr>
        <w:t xml:space="preserve">показало, что этапы их развития схожи, однако при относительно одинаковых начальных условиях финансовые рынки достигли разного уровня развития на данный момент. Оба рынка представляют смешанную модель рынка ценных бумаг, </w:t>
      </w:r>
      <w:r w:rsidR="003F7644" w:rsidRPr="00D16DC5">
        <w:rPr>
          <w:rFonts w:ascii="Times New Roman" w:hAnsi="Times New Roman" w:cs="Times New Roman"/>
          <w:sz w:val="28"/>
          <w:szCs w:val="28"/>
        </w:rPr>
        <w:t xml:space="preserve">однако обе страны в большей степени тяготеют к континентальной модели </w:t>
      </w:r>
      <w:r w:rsidR="00453C4A" w:rsidRPr="00D16DC5">
        <w:rPr>
          <w:rFonts w:ascii="Times New Roman" w:hAnsi="Times New Roman" w:cs="Times New Roman"/>
          <w:sz w:val="28"/>
          <w:szCs w:val="28"/>
        </w:rPr>
        <w:t xml:space="preserve">. Законодательная база в России сильнее ввиду представленности и </w:t>
      </w:r>
      <w:r w:rsidR="003F7644" w:rsidRPr="00D16DC5">
        <w:rPr>
          <w:rFonts w:ascii="Times New Roman" w:hAnsi="Times New Roman" w:cs="Times New Roman"/>
          <w:sz w:val="28"/>
          <w:szCs w:val="28"/>
        </w:rPr>
        <w:t>разработанности</w:t>
      </w:r>
      <w:r w:rsidR="00453C4A" w:rsidRPr="00D16DC5">
        <w:rPr>
          <w:rFonts w:ascii="Times New Roman" w:hAnsi="Times New Roman" w:cs="Times New Roman"/>
          <w:sz w:val="28"/>
          <w:szCs w:val="28"/>
        </w:rPr>
        <w:t xml:space="preserve"> законов.</w:t>
      </w:r>
    </w:p>
    <w:p w14:paraId="4ADE8442" w14:textId="77777777" w:rsidR="000B644C" w:rsidRPr="00D16DC5" w:rsidRDefault="000B644C" w:rsidP="00D16DC5">
      <w:pPr>
        <w:widowControl w:val="0"/>
        <w:autoSpaceDE w:val="0"/>
        <w:autoSpaceDN w:val="0"/>
        <w:adjustRightInd w:val="0"/>
        <w:spacing w:line="360" w:lineRule="auto"/>
        <w:ind w:left="-709" w:firstLine="284"/>
        <w:jc w:val="both"/>
        <w:rPr>
          <w:rFonts w:ascii="Times New Roman" w:hAnsi="Times New Roman" w:cs="Times New Roman"/>
          <w:sz w:val="28"/>
          <w:szCs w:val="28"/>
        </w:rPr>
      </w:pPr>
      <w:r w:rsidRPr="00D16DC5">
        <w:rPr>
          <w:rFonts w:ascii="Times New Roman" w:hAnsi="Times New Roman" w:cs="Times New Roman"/>
          <w:sz w:val="28"/>
          <w:szCs w:val="28"/>
        </w:rPr>
        <w:t>Для более глубокого сравнения российского и китайского рынков была использована концепция экономической добавленной стоимости, которая позволяет проанализировать эффективность оценки деятельности компании финансовым рынком. В качестве сравниваемых компаний на двух рынках были взяты компании из телекоммуникационной отрасли. Анализ эффективности работы фондового рынка в обеих странах показал, что, несмотря на равенство в расчетной стоимости акций обеих компаний, рыночная премия и количество колебаний (дисперсия) кардинально различаются. Таким образом, фондовый рынок по-разному оценивает эффективность компании и влияние на них внешних факторов, корректируя тем самым реальную цену на актив.</w:t>
      </w:r>
    </w:p>
    <w:p w14:paraId="5584A560" w14:textId="77777777" w:rsidR="000B644C" w:rsidRDefault="000B644C" w:rsidP="003F7644">
      <w:pPr>
        <w:autoSpaceDE w:val="0"/>
        <w:autoSpaceDN w:val="0"/>
        <w:adjustRightInd w:val="0"/>
        <w:ind w:firstLine="426"/>
        <w:jc w:val="both"/>
        <w:rPr>
          <w:rFonts w:ascii="Times New Roman" w:hAnsi="Times New Roman" w:cs="Times New Roman"/>
        </w:rPr>
      </w:pPr>
      <w:r>
        <w:rPr>
          <w:rFonts w:ascii="Times New Roman" w:hAnsi="Times New Roman" w:cs="Times New Roman"/>
        </w:rPr>
        <w:t xml:space="preserve"> </w:t>
      </w:r>
    </w:p>
    <w:p w14:paraId="617DE02C" w14:textId="77777777" w:rsidR="00065487" w:rsidRPr="00065487" w:rsidRDefault="00065487" w:rsidP="00065487">
      <w:pPr>
        <w:rPr>
          <w:rFonts w:ascii="Times New Roman" w:hAnsi="Times New Roman" w:cs="Times New Roman"/>
        </w:rPr>
      </w:pPr>
    </w:p>
    <w:p w14:paraId="71031D1F" w14:textId="77777777" w:rsidR="00065487" w:rsidRPr="00065487" w:rsidRDefault="00065487" w:rsidP="00065487">
      <w:pPr>
        <w:rPr>
          <w:rFonts w:ascii="Times New Roman" w:hAnsi="Times New Roman" w:cs="Times New Roman"/>
        </w:rPr>
      </w:pPr>
    </w:p>
    <w:p w14:paraId="35822F5C" w14:textId="77777777" w:rsidR="00065487" w:rsidRPr="00065487" w:rsidRDefault="00065487" w:rsidP="00065487">
      <w:pPr>
        <w:rPr>
          <w:rFonts w:ascii="Times New Roman" w:hAnsi="Times New Roman" w:cs="Times New Roman"/>
        </w:rPr>
      </w:pPr>
    </w:p>
    <w:p w14:paraId="19AC10D5" w14:textId="77777777" w:rsidR="00065487" w:rsidRPr="00065487" w:rsidRDefault="00065487" w:rsidP="00065487">
      <w:pPr>
        <w:rPr>
          <w:rFonts w:ascii="Times New Roman" w:hAnsi="Times New Roman" w:cs="Times New Roman"/>
        </w:rPr>
      </w:pPr>
    </w:p>
    <w:p w14:paraId="3BD3614E" w14:textId="77777777" w:rsidR="00065487" w:rsidRPr="00065487" w:rsidRDefault="00065487" w:rsidP="00065487">
      <w:pPr>
        <w:rPr>
          <w:rFonts w:ascii="Times New Roman" w:hAnsi="Times New Roman" w:cs="Times New Roman"/>
        </w:rPr>
      </w:pPr>
    </w:p>
    <w:p w14:paraId="7EBA5342" w14:textId="77777777" w:rsidR="00065487" w:rsidRPr="00065487" w:rsidRDefault="00065487" w:rsidP="00065487">
      <w:pPr>
        <w:rPr>
          <w:rFonts w:ascii="Times New Roman" w:hAnsi="Times New Roman" w:cs="Times New Roman"/>
        </w:rPr>
      </w:pPr>
    </w:p>
    <w:p w14:paraId="22A5AD84" w14:textId="4D18F9A5" w:rsidR="00065487" w:rsidRDefault="00065487" w:rsidP="00065487">
      <w:pPr>
        <w:rPr>
          <w:rFonts w:ascii="Times New Roman" w:hAnsi="Times New Roman" w:cs="Times New Roman"/>
        </w:rPr>
      </w:pPr>
    </w:p>
    <w:p w14:paraId="522E13B8" w14:textId="77777777" w:rsidR="00065487" w:rsidRDefault="00065487" w:rsidP="00065487">
      <w:pPr>
        <w:rPr>
          <w:rFonts w:ascii="Times New Roman" w:hAnsi="Times New Roman" w:cs="Times New Roman"/>
        </w:rPr>
      </w:pPr>
    </w:p>
    <w:p w14:paraId="4CB75F72" w14:textId="77777777" w:rsidR="00065487" w:rsidRDefault="00065487" w:rsidP="00065487">
      <w:pPr>
        <w:rPr>
          <w:rFonts w:ascii="Times New Roman" w:hAnsi="Times New Roman" w:cs="Times New Roman"/>
        </w:rPr>
      </w:pPr>
    </w:p>
    <w:p w14:paraId="6E0A710B" w14:textId="77777777" w:rsidR="00065487" w:rsidRPr="009F093D" w:rsidRDefault="00065487" w:rsidP="00065487">
      <w:pPr>
        <w:rPr>
          <w:b/>
          <w:lang w:val="en-US"/>
        </w:rPr>
      </w:pPr>
    </w:p>
    <w:p w14:paraId="31D57DF1" w14:textId="77777777" w:rsidR="00065487" w:rsidRPr="00065487" w:rsidRDefault="00065487" w:rsidP="00065487">
      <w:pPr>
        <w:rPr>
          <w:rFonts w:ascii="Times New Roman" w:hAnsi="Times New Roman" w:cs="Times New Roman"/>
        </w:rPr>
      </w:pPr>
    </w:p>
    <w:sectPr w:rsidR="00065487" w:rsidRPr="00065487" w:rsidSect="00D16DC5">
      <w:footerReference w:type="even" r:id="rId36"/>
      <w:footerReference w:type="default" r:id="rId37"/>
      <w:pgSz w:w="11900" w:h="16840"/>
      <w:pgMar w:top="1440" w:right="843"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E06BE" w14:textId="77777777" w:rsidR="00434D18" w:rsidRDefault="00434D18" w:rsidP="005F2CC0">
      <w:r>
        <w:separator/>
      </w:r>
    </w:p>
  </w:endnote>
  <w:endnote w:type="continuationSeparator" w:id="0">
    <w:p w14:paraId="6451934D" w14:textId="77777777" w:rsidR="00434D18" w:rsidRDefault="00434D18" w:rsidP="005F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A00002BF" w:usb1="68C7FCFB" w:usb2="00000010" w:usb3="00000000" w:csb0="0002009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B5704" w14:textId="77777777" w:rsidR="00434D18" w:rsidRDefault="00434D18" w:rsidP="005F2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D5FE2E" w14:textId="77777777" w:rsidR="00434D18" w:rsidRDefault="00434D18" w:rsidP="005F29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53658" w14:textId="77777777" w:rsidR="00434D18" w:rsidRDefault="00434D18" w:rsidP="005F2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163E">
      <w:rPr>
        <w:rStyle w:val="PageNumber"/>
        <w:noProof/>
      </w:rPr>
      <w:t>1</w:t>
    </w:r>
    <w:r>
      <w:rPr>
        <w:rStyle w:val="PageNumber"/>
      </w:rPr>
      <w:fldChar w:fldCharType="end"/>
    </w:r>
  </w:p>
  <w:p w14:paraId="6A429F57" w14:textId="77777777" w:rsidR="00434D18" w:rsidRDefault="00434D18" w:rsidP="005F298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3F1D1" w14:textId="77777777" w:rsidR="00434D18" w:rsidRDefault="00434D18" w:rsidP="005F2CC0">
      <w:r>
        <w:separator/>
      </w:r>
    </w:p>
  </w:footnote>
  <w:footnote w:type="continuationSeparator" w:id="0">
    <w:p w14:paraId="46F81221" w14:textId="77777777" w:rsidR="00434D18" w:rsidRDefault="00434D18" w:rsidP="005F2CC0">
      <w:r>
        <w:continuationSeparator/>
      </w:r>
    </w:p>
  </w:footnote>
  <w:footnote w:id="1">
    <w:p w14:paraId="0B81D3BC" w14:textId="77777777" w:rsidR="00434D18" w:rsidRPr="005C626D" w:rsidRDefault="00434D18" w:rsidP="00AD63F0">
      <w:pPr>
        <w:rPr>
          <w:rFonts w:ascii="Times New Roman" w:eastAsia="Times New Roman" w:hAnsi="Times New Roman" w:cs="Times New Roman"/>
          <w:color w:val="000000" w:themeColor="text1"/>
          <w:sz w:val="20"/>
          <w:szCs w:val="20"/>
        </w:rPr>
      </w:pPr>
      <w:r w:rsidRPr="005C626D">
        <w:rPr>
          <w:rStyle w:val="FootnoteReference"/>
          <w:rFonts w:ascii="Times New Roman" w:hAnsi="Times New Roman" w:cs="Times New Roman"/>
          <w:color w:val="000000" w:themeColor="text1"/>
          <w:sz w:val="20"/>
          <w:szCs w:val="20"/>
        </w:rPr>
        <w:footnoteRef/>
      </w:r>
      <w:r w:rsidRPr="005C626D">
        <w:rPr>
          <w:rFonts w:ascii="Times New Roman" w:hAnsi="Times New Roman" w:cs="Times New Roman"/>
          <w:color w:val="000000" w:themeColor="text1"/>
          <w:sz w:val="20"/>
          <w:szCs w:val="20"/>
        </w:rPr>
        <w:t xml:space="preserve"> </w:t>
      </w:r>
      <w:r w:rsidRPr="005C626D">
        <w:rPr>
          <w:rFonts w:ascii="Times New Roman" w:eastAsia="Times New Roman" w:hAnsi="Times New Roman" w:cs="Times New Roman"/>
          <w:color w:val="000000" w:themeColor="text1"/>
          <w:sz w:val="20"/>
          <w:szCs w:val="20"/>
          <w:shd w:val="clear" w:color="auto" w:fill="FFFFFF"/>
        </w:rPr>
        <w:t>О </w:t>
      </w:r>
      <w:r w:rsidRPr="005C626D">
        <w:rPr>
          <w:rFonts w:ascii="Times New Roman" w:eastAsia="Times New Roman" w:hAnsi="Times New Roman" w:cs="Times New Roman"/>
          <w:color w:val="000000" w:themeColor="text1"/>
          <w:sz w:val="20"/>
          <w:szCs w:val="20"/>
        </w:rPr>
        <w:t>кредитовании</w:t>
      </w:r>
      <w:r w:rsidRPr="005C626D">
        <w:rPr>
          <w:rFonts w:ascii="Times New Roman" w:eastAsia="Times New Roman" w:hAnsi="Times New Roman" w:cs="Times New Roman"/>
          <w:color w:val="000000" w:themeColor="text1"/>
          <w:sz w:val="20"/>
          <w:szCs w:val="20"/>
          <w:shd w:val="clear" w:color="auto" w:fill="FFFFFF"/>
        </w:rPr>
        <w:t> </w:t>
      </w:r>
      <w:r>
        <w:rPr>
          <w:rFonts w:ascii="Times New Roman" w:eastAsia="Times New Roman" w:hAnsi="Times New Roman" w:cs="Times New Roman"/>
          <w:color w:val="000000" w:themeColor="text1"/>
          <w:sz w:val="20"/>
          <w:szCs w:val="20"/>
          <w:shd w:val="clear" w:color="auto" w:fill="FFFFFF"/>
        </w:rPr>
        <w:t xml:space="preserve">стран с формирующимися рынками. – </w:t>
      </w:r>
      <w:r w:rsidRPr="00221408">
        <w:rPr>
          <w:rStyle w:val="Emphasis"/>
          <w:rFonts w:ascii="Times New Roman" w:hAnsi="Times New Roman" w:cs="Times New Roman"/>
          <w:bCs/>
          <w:i w:val="0"/>
          <w:color w:val="000000" w:themeColor="text1"/>
          <w:sz w:val="20"/>
          <w:szCs w:val="20"/>
          <w:shd w:val="clear" w:color="auto" w:fill="FFFFFF"/>
        </w:rPr>
        <w:t>Бюллетень иностранной коммерческой информации</w:t>
      </w:r>
      <w:r>
        <w:rPr>
          <w:rStyle w:val="Emphasis"/>
          <w:rFonts w:ascii="Times New Roman" w:hAnsi="Times New Roman" w:cs="Times New Roman"/>
          <w:bCs/>
          <w:color w:val="000000" w:themeColor="text1"/>
          <w:sz w:val="20"/>
          <w:szCs w:val="20"/>
          <w:shd w:val="clear" w:color="auto" w:fill="FFFFFF"/>
        </w:rPr>
        <w:t>.</w:t>
      </w:r>
      <w:r w:rsidRPr="005C626D">
        <w:rPr>
          <w:rFonts w:ascii="Times New Roman" w:eastAsia="Times New Roman" w:hAnsi="Times New Roman" w:cs="Times New Roman"/>
          <w:color w:val="000000" w:themeColor="text1"/>
          <w:sz w:val="20"/>
          <w:szCs w:val="20"/>
          <w:shd w:val="clear" w:color="auto" w:fill="FFFFFF"/>
        </w:rPr>
        <w:t xml:space="preserve"> 1999, № 75.</w:t>
      </w:r>
      <w:r>
        <w:rPr>
          <w:rFonts w:ascii="Times New Roman" w:eastAsia="Times New Roman" w:hAnsi="Times New Roman" w:cs="Times New Roman"/>
          <w:color w:val="000000" w:themeColor="text1"/>
          <w:sz w:val="20"/>
          <w:szCs w:val="20"/>
          <w:shd w:val="clear" w:color="auto" w:fill="FFFFFF"/>
        </w:rPr>
        <w:t xml:space="preserve"> С. 29-47.</w:t>
      </w:r>
    </w:p>
  </w:footnote>
  <w:footnote w:id="2">
    <w:p w14:paraId="0EA48700" w14:textId="77777777" w:rsidR="00434D18" w:rsidRPr="005C626D" w:rsidRDefault="00434D18" w:rsidP="00AD63F0">
      <w:pPr>
        <w:rPr>
          <w:rFonts w:ascii="Times New Roman" w:eastAsia="Times New Roman" w:hAnsi="Times New Roman" w:cs="Times New Roman"/>
          <w:color w:val="000000" w:themeColor="text1"/>
          <w:sz w:val="20"/>
          <w:szCs w:val="20"/>
        </w:rPr>
      </w:pPr>
      <w:r w:rsidRPr="005C626D">
        <w:rPr>
          <w:rStyle w:val="FootnoteReference"/>
          <w:rFonts w:ascii="Times New Roman" w:hAnsi="Times New Roman" w:cs="Times New Roman"/>
          <w:color w:val="000000" w:themeColor="text1"/>
          <w:sz w:val="20"/>
          <w:szCs w:val="20"/>
        </w:rPr>
        <w:footnoteRef/>
      </w:r>
      <w:r w:rsidRPr="005C626D">
        <w:rPr>
          <w:rFonts w:ascii="Times New Roman" w:hAnsi="Times New Roman" w:cs="Times New Roman"/>
          <w:bCs/>
          <w:color w:val="000000" w:themeColor="text1"/>
          <w:sz w:val="20"/>
          <w:szCs w:val="20"/>
        </w:rPr>
        <w:t>Мозиас П.М. Международные</w:t>
      </w:r>
      <w:r w:rsidRPr="005C626D">
        <w:rPr>
          <w:rStyle w:val="apple-converted-space"/>
          <w:rFonts w:ascii="Times New Roman" w:hAnsi="Times New Roman" w:cs="Times New Roman"/>
          <w:color w:val="000000" w:themeColor="text1"/>
          <w:sz w:val="20"/>
          <w:szCs w:val="20"/>
          <w:shd w:val="clear" w:color="auto" w:fill="FFFFFF"/>
        </w:rPr>
        <w:t> </w:t>
      </w:r>
      <w:r w:rsidRPr="005C626D">
        <w:rPr>
          <w:rFonts w:ascii="Times New Roman" w:hAnsi="Times New Roman" w:cs="Times New Roman"/>
          <w:bCs/>
          <w:color w:val="000000" w:themeColor="text1"/>
          <w:sz w:val="20"/>
          <w:szCs w:val="20"/>
        </w:rPr>
        <w:t>рынки</w:t>
      </w:r>
      <w:r w:rsidRPr="005C626D">
        <w:rPr>
          <w:rStyle w:val="apple-converted-space"/>
          <w:rFonts w:ascii="Times New Roman" w:hAnsi="Times New Roman" w:cs="Times New Roman"/>
          <w:color w:val="000000" w:themeColor="text1"/>
          <w:sz w:val="20"/>
          <w:szCs w:val="20"/>
          <w:shd w:val="clear" w:color="auto" w:fill="FFFFFF"/>
        </w:rPr>
        <w:t> </w:t>
      </w:r>
      <w:r w:rsidRPr="005C626D">
        <w:rPr>
          <w:rFonts w:ascii="Times New Roman" w:hAnsi="Times New Roman" w:cs="Times New Roman"/>
          <w:bCs/>
          <w:color w:val="000000" w:themeColor="text1"/>
          <w:sz w:val="20"/>
          <w:szCs w:val="20"/>
        </w:rPr>
        <w:t>капитала</w:t>
      </w:r>
      <w:r w:rsidRPr="005C626D">
        <w:rPr>
          <w:rFonts w:ascii="Times New Roman" w:hAnsi="Times New Roman" w:cs="Times New Roman"/>
          <w:color w:val="000000" w:themeColor="text1"/>
          <w:sz w:val="20"/>
          <w:szCs w:val="20"/>
          <w:shd w:val="clear" w:color="auto" w:fill="FFFFFF"/>
        </w:rPr>
        <w:t>: в ожидании момента истины.</w:t>
      </w:r>
      <w:r>
        <w:rPr>
          <w:rFonts w:ascii="Times New Roman" w:hAnsi="Times New Roman" w:cs="Times New Roman"/>
          <w:color w:val="000000" w:themeColor="text1"/>
          <w:sz w:val="20"/>
          <w:szCs w:val="20"/>
          <w:shd w:val="clear" w:color="auto" w:fill="FFFFFF"/>
        </w:rPr>
        <w:t xml:space="preserve"> </w:t>
      </w:r>
      <w:r>
        <w:rPr>
          <w:rFonts w:ascii="Times New Roman" w:eastAsia="Times New Roman" w:hAnsi="Times New Roman" w:cs="Times New Roman"/>
          <w:color w:val="000000" w:themeColor="text1"/>
          <w:sz w:val="20"/>
          <w:szCs w:val="20"/>
          <w:shd w:val="clear" w:color="auto" w:fill="FFFFFF"/>
        </w:rPr>
        <w:t>–</w:t>
      </w:r>
      <w:r>
        <w:rPr>
          <w:rFonts w:ascii="Times New Roman" w:hAnsi="Times New Roman" w:cs="Times New Roman"/>
          <w:color w:val="000000" w:themeColor="text1"/>
          <w:sz w:val="20"/>
          <w:szCs w:val="20"/>
          <w:shd w:val="clear" w:color="auto" w:fill="FFFFFF"/>
        </w:rPr>
        <w:t xml:space="preserve"> Финансовый Бизнес.</w:t>
      </w:r>
      <w:r w:rsidRPr="005C626D">
        <w:rPr>
          <w:rFonts w:ascii="Times New Roman" w:hAnsi="Times New Roman" w:cs="Times New Roman"/>
          <w:color w:val="000000" w:themeColor="text1"/>
          <w:sz w:val="20"/>
          <w:szCs w:val="20"/>
          <w:shd w:val="clear" w:color="auto" w:fill="FFFFFF"/>
        </w:rPr>
        <w:t xml:space="preserve"> 2004,</w:t>
      </w:r>
      <w:r w:rsidRPr="005C626D">
        <w:rPr>
          <w:rStyle w:val="apple-converted-space"/>
          <w:rFonts w:ascii="Times New Roman" w:hAnsi="Times New Roman" w:cs="Times New Roman"/>
          <w:color w:val="000000" w:themeColor="text1"/>
          <w:sz w:val="20"/>
          <w:szCs w:val="20"/>
          <w:shd w:val="clear" w:color="auto" w:fill="FFFFFF"/>
        </w:rPr>
        <w:t> </w:t>
      </w:r>
      <w:r>
        <w:rPr>
          <w:rFonts w:ascii="Times New Roman" w:hAnsi="Times New Roman" w:cs="Times New Roman"/>
          <w:bCs/>
          <w:color w:val="000000" w:themeColor="text1"/>
          <w:sz w:val="20"/>
          <w:szCs w:val="20"/>
        </w:rPr>
        <w:t xml:space="preserve">№ </w:t>
      </w:r>
      <w:r w:rsidRPr="005C626D">
        <w:rPr>
          <w:rFonts w:ascii="Times New Roman" w:hAnsi="Times New Roman" w:cs="Times New Roman"/>
          <w:bCs/>
          <w:color w:val="000000" w:themeColor="text1"/>
          <w:sz w:val="20"/>
          <w:szCs w:val="20"/>
        </w:rPr>
        <w:t>3. С.63-70</w:t>
      </w:r>
      <w:r>
        <w:rPr>
          <w:rFonts w:ascii="Times New Roman" w:hAnsi="Times New Roman" w:cs="Times New Roman"/>
          <w:bCs/>
          <w:color w:val="000000" w:themeColor="text1"/>
          <w:sz w:val="20"/>
          <w:szCs w:val="20"/>
        </w:rPr>
        <w:t>.</w:t>
      </w:r>
      <w:r w:rsidRPr="005C626D">
        <w:rPr>
          <w:rStyle w:val="apple-converted-space"/>
          <w:rFonts w:ascii="Times New Roman" w:hAnsi="Times New Roman" w:cs="Times New Roman"/>
          <w:color w:val="000000" w:themeColor="text1"/>
          <w:sz w:val="20"/>
          <w:szCs w:val="20"/>
          <w:shd w:val="clear" w:color="auto" w:fill="FFFFFF"/>
        </w:rPr>
        <w:t> </w:t>
      </w:r>
    </w:p>
  </w:footnote>
  <w:footnote w:id="3">
    <w:p w14:paraId="58DBCB36" w14:textId="77777777" w:rsidR="00434D18" w:rsidRPr="007F1818" w:rsidRDefault="00434D18" w:rsidP="00AD63F0">
      <w:pPr>
        <w:pStyle w:val="101"/>
        <w:spacing w:line="240" w:lineRule="auto"/>
        <w:ind w:right="20"/>
        <w:rPr>
          <w:color w:val="000000" w:themeColor="text1"/>
          <w:sz w:val="20"/>
          <w:szCs w:val="20"/>
        </w:rPr>
      </w:pPr>
      <w:r>
        <w:rPr>
          <w:rStyle w:val="FootnoteReference"/>
        </w:rPr>
        <w:footnoteRef/>
      </w:r>
      <w:r w:rsidRPr="007F1818">
        <w:rPr>
          <w:rFonts w:eastAsia="MS Mincho"/>
          <w:color w:val="000000" w:themeColor="text1"/>
          <w:sz w:val="20"/>
          <w:szCs w:val="20"/>
        </w:rPr>
        <w:t xml:space="preserve">Мозиас П.М. Кризис финансовых рынков в развивающихся странах. </w:t>
      </w:r>
      <w:r w:rsidRPr="007F1818">
        <w:rPr>
          <w:rFonts w:eastAsia="Times New Roman"/>
          <w:color w:val="000000" w:themeColor="text1"/>
          <w:sz w:val="20"/>
          <w:szCs w:val="20"/>
          <w:shd w:val="clear" w:color="auto" w:fill="FFFFFF"/>
        </w:rPr>
        <w:t>–</w:t>
      </w:r>
      <w:r w:rsidRPr="007F1818">
        <w:rPr>
          <w:rFonts w:eastAsia="MS Mincho"/>
          <w:color w:val="000000" w:themeColor="text1"/>
          <w:sz w:val="20"/>
          <w:szCs w:val="20"/>
        </w:rPr>
        <w:t xml:space="preserve"> Мировая экономика и международные отношения. 1999, №1. С. 38-47.</w:t>
      </w:r>
    </w:p>
  </w:footnote>
  <w:footnote w:id="4">
    <w:p w14:paraId="030FCA03" w14:textId="77777777" w:rsidR="00434D18" w:rsidRPr="005C626D" w:rsidRDefault="00434D18" w:rsidP="00AD63F0">
      <w:pPr>
        <w:rPr>
          <w:rFonts w:ascii="Times New Roman" w:eastAsia="Times New Roman" w:hAnsi="Times New Roman" w:cs="Times New Roman"/>
          <w:color w:val="000000" w:themeColor="text1"/>
          <w:sz w:val="20"/>
          <w:szCs w:val="20"/>
        </w:rPr>
      </w:pPr>
      <w:r w:rsidRPr="005C626D">
        <w:rPr>
          <w:rStyle w:val="FootnoteReference"/>
          <w:rFonts w:ascii="Times New Roman" w:hAnsi="Times New Roman" w:cs="Times New Roman"/>
          <w:color w:val="000000" w:themeColor="text1"/>
          <w:sz w:val="20"/>
          <w:szCs w:val="20"/>
        </w:rPr>
        <w:footnoteRef/>
      </w:r>
      <w:r w:rsidRPr="005C626D">
        <w:rPr>
          <w:rFonts w:ascii="Times New Roman" w:hAnsi="Times New Roman" w:cs="Times New Roman"/>
          <w:color w:val="000000" w:themeColor="text1"/>
          <w:sz w:val="20"/>
          <w:szCs w:val="20"/>
        </w:rPr>
        <w:t xml:space="preserve"> </w:t>
      </w:r>
      <w:r w:rsidRPr="005C626D">
        <w:rPr>
          <w:rFonts w:ascii="Times New Roman" w:eastAsia="Times New Roman" w:hAnsi="Times New Roman" w:cs="Times New Roman"/>
          <w:color w:val="000000" w:themeColor="text1"/>
          <w:sz w:val="20"/>
          <w:szCs w:val="20"/>
        </w:rPr>
        <w:t>Долгов</w:t>
      </w:r>
      <w:r w:rsidRPr="005C626D">
        <w:rPr>
          <w:rFonts w:ascii="Times New Roman" w:eastAsia="Times New Roman" w:hAnsi="Times New Roman" w:cs="Times New Roman"/>
          <w:color w:val="000000" w:themeColor="text1"/>
          <w:sz w:val="20"/>
          <w:szCs w:val="20"/>
          <w:shd w:val="clear" w:color="auto" w:fill="FFFFFF"/>
        </w:rPr>
        <w:t xml:space="preserve"> С. Глобализация экономики: новое слово или явление? </w:t>
      </w:r>
      <w:r>
        <w:rPr>
          <w:rFonts w:ascii="Times New Roman" w:eastAsia="Times New Roman" w:hAnsi="Times New Roman" w:cs="Times New Roman"/>
          <w:color w:val="000000" w:themeColor="text1"/>
          <w:sz w:val="20"/>
          <w:szCs w:val="20"/>
          <w:shd w:val="clear" w:color="auto" w:fill="FFFFFF"/>
        </w:rPr>
        <w:t xml:space="preserve">– М.: </w:t>
      </w:r>
      <w:r w:rsidRPr="005C626D">
        <w:rPr>
          <w:rFonts w:ascii="Times New Roman" w:eastAsia="Times New Roman" w:hAnsi="Times New Roman" w:cs="Times New Roman"/>
          <w:color w:val="000000" w:themeColor="text1"/>
          <w:sz w:val="20"/>
          <w:szCs w:val="20"/>
        </w:rPr>
        <w:t>ОАО</w:t>
      </w:r>
      <w:r w:rsidRPr="005C626D">
        <w:rPr>
          <w:rFonts w:ascii="Times New Roman" w:eastAsia="Times New Roman" w:hAnsi="Times New Roman" w:cs="Times New Roman"/>
          <w:color w:val="000000" w:themeColor="text1"/>
          <w:sz w:val="20"/>
          <w:szCs w:val="20"/>
          <w:shd w:val="clear" w:color="auto" w:fill="FFFFFF"/>
        </w:rPr>
        <w:t> «Издательство «</w:t>
      </w:r>
      <w:r w:rsidRPr="005C626D">
        <w:rPr>
          <w:rFonts w:ascii="Times New Roman" w:eastAsia="Times New Roman" w:hAnsi="Times New Roman" w:cs="Times New Roman"/>
          <w:color w:val="000000" w:themeColor="text1"/>
          <w:sz w:val="20"/>
          <w:szCs w:val="20"/>
        </w:rPr>
        <w:t>Экономика</w:t>
      </w:r>
      <w:r>
        <w:rPr>
          <w:rFonts w:ascii="Times New Roman" w:eastAsia="Times New Roman" w:hAnsi="Times New Roman" w:cs="Times New Roman"/>
          <w:color w:val="000000" w:themeColor="text1"/>
          <w:sz w:val="20"/>
          <w:szCs w:val="20"/>
          <w:shd w:val="clear" w:color="auto" w:fill="FFFFFF"/>
        </w:rPr>
        <w:t>». 1998. С. 70-93.</w:t>
      </w:r>
      <w:r w:rsidRPr="005C626D">
        <w:rPr>
          <w:rFonts w:ascii="Times New Roman" w:eastAsia="Times New Roman" w:hAnsi="Times New Roman" w:cs="Times New Roman"/>
          <w:color w:val="000000" w:themeColor="text1"/>
          <w:sz w:val="20"/>
          <w:szCs w:val="20"/>
          <w:shd w:val="clear" w:color="auto" w:fill="FFFFFF"/>
        </w:rPr>
        <w:t>; </w:t>
      </w:r>
      <w:r w:rsidRPr="005C626D">
        <w:rPr>
          <w:rFonts w:ascii="Times New Roman" w:eastAsia="Times New Roman" w:hAnsi="Times New Roman" w:cs="Times New Roman"/>
          <w:color w:val="000000" w:themeColor="text1"/>
          <w:sz w:val="20"/>
          <w:szCs w:val="20"/>
        </w:rPr>
        <w:t>Афонцев</w:t>
      </w:r>
      <w:r w:rsidRPr="005C626D">
        <w:rPr>
          <w:rFonts w:ascii="Times New Roman" w:eastAsia="Times New Roman" w:hAnsi="Times New Roman" w:cs="Times New Roman"/>
          <w:color w:val="000000" w:themeColor="text1"/>
          <w:sz w:val="20"/>
          <w:szCs w:val="20"/>
          <w:shd w:val="clear" w:color="auto" w:fill="FFFFFF"/>
        </w:rPr>
        <w:t xml:space="preserve"> С. Кризис на развивающихся рынках и экономические институты. </w:t>
      </w:r>
      <w:r>
        <w:rPr>
          <w:rFonts w:ascii="Times New Roman" w:eastAsia="Times New Roman" w:hAnsi="Times New Roman" w:cs="Times New Roman"/>
          <w:color w:val="000000" w:themeColor="text1"/>
          <w:sz w:val="20"/>
          <w:szCs w:val="20"/>
          <w:shd w:val="clear" w:color="auto" w:fill="FFFFFF"/>
        </w:rPr>
        <w:t>–</w:t>
      </w:r>
      <w:r w:rsidRPr="005C626D">
        <w:rPr>
          <w:rFonts w:ascii="Times New Roman" w:eastAsia="Times New Roman" w:hAnsi="Times New Roman" w:cs="Times New Roman"/>
          <w:color w:val="000000" w:themeColor="text1"/>
          <w:sz w:val="20"/>
          <w:szCs w:val="20"/>
          <w:shd w:val="clear" w:color="auto" w:fill="FFFFFF"/>
        </w:rPr>
        <w:t>М</w:t>
      </w:r>
      <w:r>
        <w:rPr>
          <w:rFonts w:ascii="Times New Roman" w:eastAsia="Times New Roman" w:hAnsi="Times New Roman" w:cs="Times New Roman"/>
          <w:color w:val="000000" w:themeColor="text1"/>
          <w:sz w:val="20"/>
          <w:szCs w:val="20"/>
          <w:shd w:val="clear" w:color="auto" w:fill="FFFFFF"/>
        </w:rPr>
        <w:t xml:space="preserve">ировая экономика и международные отношения. 1999, № 5. </w:t>
      </w:r>
      <w:r w:rsidRPr="005C626D">
        <w:rPr>
          <w:rFonts w:ascii="Times New Roman" w:eastAsia="Times New Roman" w:hAnsi="Times New Roman" w:cs="Times New Roman"/>
          <w:color w:val="000000" w:themeColor="text1"/>
          <w:sz w:val="20"/>
          <w:szCs w:val="20"/>
          <w:shd w:val="clear" w:color="auto" w:fill="FFFFFF"/>
        </w:rPr>
        <w:t>С. 33-38; Доронин И. Положение на </w:t>
      </w:r>
      <w:r w:rsidRPr="005C626D">
        <w:rPr>
          <w:rFonts w:ascii="Times New Roman" w:eastAsia="Times New Roman" w:hAnsi="Times New Roman" w:cs="Times New Roman"/>
          <w:color w:val="000000" w:themeColor="text1"/>
          <w:sz w:val="20"/>
          <w:szCs w:val="20"/>
        </w:rPr>
        <w:t>фондовых</w:t>
      </w:r>
      <w:r>
        <w:rPr>
          <w:rFonts w:ascii="Times New Roman" w:eastAsia="Times New Roman" w:hAnsi="Times New Roman" w:cs="Times New Roman"/>
          <w:color w:val="000000" w:themeColor="text1"/>
          <w:sz w:val="20"/>
          <w:szCs w:val="20"/>
          <w:shd w:val="clear" w:color="auto" w:fill="FFFFFF"/>
        </w:rPr>
        <w:t xml:space="preserve"> и валютных рынках. – </w:t>
      </w:r>
      <w:r w:rsidRPr="005C626D">
        <w:rPr>
          <w:rFonts w:ascii="Times New Roman" w:eastAsia="Times New Roman" w:hAnsi="Times New Roman" w:cs="Times New Roman"/>
          <w:color w:val="000000" w:themeColor="text1"/>
          <w:sz w:val="20"/>
          <w:szCs w:val="20"/>
          <w:shd w:val="clear" w:color="auto" w:fill="FFFFFF"/>
        </w:rPr>
        <w:t>М</w:t>
      </w:r>
      <w:r>
        <w:rPr>
          <w:rFonts w:ascii="Times New Roman" w:eastAsia="Times New Roman" w:hAnsi="Times New Roman" w:cs="Times New Roman"/>
          <w:color w:val="000000" w:themeColor="text1"/>
          <w:sz w:val="20"/>
          <w:szCs w:val="20"/>
          <w:shd w:val="clear" w:color="auto" w:fill="FFFFFF"/>
        </w:rPr>
        <w:t>ировая экономика и международные отношения</w:t>
      </w:r>
      <w:r w:rsidRPr="005C626D">
        <w:rPr>
          <w:rFonts w:ascii="Times New Roman" w:eastAsia="Times New Roman" w:hAnsi="Times New Roman" w:cs="Times New Roman"/>
          <w:color w:val="000000" w:themeColor="text1"/>
          <w:sz w:val="20"/>
          <w:szCs w:val="20"/>
          <w:shd w:val="clear" w:color="auto" w:fill="FFFFFF"/>
        </w:rPr>
        <w:t>. 1998, № 8.  С. 14 - 25; Киреев А. Межд</w:t>
      </w:r>
      <w:r>
        <w:rPr>
          <w:rFonts w:ascii="Times New Roman" w:eastAsia="Times New Roman" w:hAnsi="Times New Roman" w:cs="Times New Roman"/>
          <w:color w:val="000000" w:themeColor="text1"/>
          <w:sz w:val="20"/>
          <w:szCs w:val="20"/>
          <w:shd w:val="clear" w:color="auto" w:fill="FFFFFF"/>
        </w:rPr>
        <w:t xml:space="preserve">ународная экономика. Ч. 2. – Международные отношения. </w:t>
      </w:r>
      <w:r w:rsidRPr="005C626D">
        <w:rPr>
          <w:rFonts w:ascii="Times New Roman" w:eastAsia="Times New Roman" w:hAnsi="Times New Roman" w:cs="Times New Roman"/>
          <w:color w:val="000000" w:themeColor="text1"/>
          <w:sz w:val="20"/>
          <w:szCs w:val="20"/>
          <w:shd w:val="clear" w:color="auto" w:fill="FFFFFF"/>
        </w:rPr>
        <w:t>1999.  С. 177-178. и т. д.</w:t>
      </w:r>
    </w:p>
  </w:footnote>
  <w:footnote w:id="5">
    <w:p w14:paraId="0FC57E14" w14:textId="77777777" w:rsidR="00434D18" w:rsidRPr="005C626D" w:rsidRDefault="00434D18" w:rsidP="00AD63F0">
      <w:pPr>
        <w:pStyle w:val="NormalWeb"/>
        <w:shd w:val="clear" w:color="auto" w:fill="FFFFFF"/>
        <w:spacing w:before="0" w:beforeAutospacing="0" w:after="0" w:afterAutospacing="0"/>
        <w:rPr>
          <w:rFonts w:ascii="Times New Roman" w:hAnsi="Times New Roman"/>
          <w:color w:val="000000" w:themeColor="text1"/>
        </w:rPr>
      </w:pPr>
      <w:r w:rsidRPr="005C626D">
        <w:rPr>
          <w:rStyle w:val="FootnoteReference"/>
          <w:rFonts w:ascii="Times New Roman" w:hAnsi="Times New Roman"/>
          <w:color w:val="000000" w:themeColor="text1"/>
        </w:rPr>
        <w:footnoteRef/>
      </w:r>
      <w:r w:rsidRPr="005C626D">
        <w:rPr>
          <w:rFonts w:ascii="Times New Roman" w:hAnsi="Times New Roman"/>
          <w:color w:val="000000" w:themeColor="text1"/>
        </w:rPr>
        <w:t xml:space="preserve"> </w:t>
      </w:r>
      <w:r w:rsidRPr="005C626D">
        <w:rPr>
          <w:rFonts w:ascii="Times New Roman" w:eastAsia="SimSun" w:hAnsi="Times New Roman"/>
          <w:color w:val="000000" w:themeColor="text1"/>
          <w:lang w:eastAsia="zh-CN"/>
        </w:rPr>
        <w:t>Информация, приведенная на официальном сайте МФК: «</w:t>
      </w:r>
      <w:r w:rsidRPr="005C626D">
        <w:rPr>
          <w:rFonts w:ascii="Times New Roman" w:hAnsi="Times New Roman"/>
          <w:color w:val="000000" w:themeColor="text1"/>
        </w:rPr>
        <w:t>МФК является одной из организаций Группы Всемирного банка и крупнейшим учреждением в области глобального развития, которое работает исключительно с частным сектором развивающихся стран. Созданная в 1956 году, МФК находится в собственности </w:t>
      </w:r>
      <w:hyperlink r:id="rId1" w:history="1">
        <w:r w:rsidRPr="005C626D">
          <w:rPr>
            <w:rFonts w:ascii="Times New Roman" w:hAnsi="Times New Roman"/>
            <w:color w:val="000000" w:themeColor="text1"/>
          </w:rPr>
          <w:t>184 стран-членов</w:t>
        </w:r>
      </w:hyperlink>
      <w:r w:rsidRPr="005C626D">
        <w:rPr>
          <w:rFonts w:ascii="Times New Roman" w:hAnsi="Times New Roman"/>
          <w:color w:val="000000" w:themeColor="text1"/>
        </w:rPr>
        <w:t>, которые совместно определяют ее политику. Деятельность Корпорации в более чем </w:t>
      </w:r>
      <w:hyperlink r:id="rId2" w:history="1">
        <w:r w:rsidRPr="005C626D">
          <w:rPr>
            <w:rFonts w:ascii="Times New Roman" w:hAnsi="Times New Roman"/>
            <w:color w:val="000000" w:themeColor="text1"/>
          </w:rPr>
          <w:t>100 развивающихся странах</w:t>
        </w:r>
      </w:hyperlink>
      <w:r w:rsidRPr="005C626D">
        <w:rPr>
          <w:rFonts w:ascii="Times New Roman" w:hAnsi="Times New Roman"/>
          <w:color w:val="000000" w:themeColor="text1"/>
        </w:rPr>
        <w:t> позволяет компаниям и финансовым учреждениям на формирующихся рынках создавать рабочие места, обеспечивать налоговые поступления, совершенствовать корпоративное управление и улучшать экологические показатели деятельности, а также содействовать местным сообществам».</w:t>
      </w:r>
      <w:r>
        <w:rPr>
          <w:rFonts w:ascii="Times New Roman" w:hAnsi="Times New Roman"/>
          <w:color w:val="000000" w:themeColor="text1"/>
        </w:rPr>
        <w:t xml:space="preserve"> -</w:t>
      </w:r>
      <w:r w:rsidRPr="001C0A14">
        <w:rPr>
          <w:rFonts w:ascii="Times New Roman" w:hAnsi="Times New Roman"/>
          <w:color w:val="000000" w:themeColor="text1"/>
        </w:rPr>
        <w:t>http://www1.ifc.org/wps/wcm/connect/corp_ext_content/ifc_external_corporate_site/home</w:t>
      </w:r>
    </w:p>
  </w:footnote>
  <w:footnote w:id="6">
    <w:p w14:paraId="26828675" w14:textId="77777777" w:rsidR="00434D18" w:rsidRPr="005C626D" w:rsidRDefault="00434D18" w:rsidP="00AD63F0">
      <w:pPr>
        <w:pStyle w:val="Heading1"/>
        <w:shd w:val="clear" w:color="auto" w:fill="FFFFFF"/>
        <w:spacing w:before="0" w:beforeAutospacing="0" w:after="0" w:afterAutospacing="0"/>
        <w:rPr>
          <w:rFonts w:ascii="Tahoma" w:hAnsi="Tahoma" w:cs="Tahoma"/>
          <w:b w:val="0"/>
          <w:bCs w:val="0"/>
          <w:color w:val="333333"/>
          <w:sz w:val="20"/>
          <w:szCs w:val="20"/>
          <w:lang w:val="ru-RU"/>
        </w:rPr>
      </w:pPr>
      <w:r w:rsidRPr="005C626D">
        <w:rPr>
          <w:rStyle w:val="FootnoteReference"/>
          <w:b w:val="0"/>
          <w:sz w:val="20"/>
          <w:szCs w:val="20"/>
        </w:rPr>
        <w:footnoteRef/>
      </w:r>
      <w:r w:rsidRPr="005C626D">
        <w:rPr>
          <w:b w:val="0"/>
          <w:sz w:val="20"/>
          <w:szCs w:val="20"/>
          <w:lang w:val="ru-RU"/>
        </w:rPr>
        <w:t xml:space="preserve">Завьялова К. </w:t>
      </w:r>
      <w:r w:rsidRPr="005C626D">
        <w:rPr>
          <w:b w:val="0"/>
          <w:bCs w:val="0"/>
          <w:color w:val="333333"/>
          <w:sz w:val="20"/>
          <w:szCs w:val="20"/>
        </w:rPr>
        <w:t>Credit</w:t>
      </w:r>
      <w:r w:rsidRPr="005C626D">
        <w:rPr>
          <w:b w:val="0"/>
          <w:bCs w:val="0"/>
          <w:color w:val="333333"/>
          <w:sz w:val="20"/>
          <w:szCs w:val="20"/>
          <w:lang w:val="ru-RU"/>
        </w:rPr>
        <w:t xml:space="preserve"> </w:t>
      </w:r>
      <w:r w:rsidRPr="005C626D">
        <w:rPr>
          <w:b w:val="0"/>
          <w:bCs w:val="0"/>
          <w:color w:val="333333"/>
          <w:sz w:val="20"/>
          <w:szCs w:val="20"/>
        </w:rPr>
        <w:t>Suisse</w:t>
      </w:r>
      <w:r w:rsidRPr="005C626D">
        <w:rPr>
          <w:b w:val="0"/>
          <w:bCs w:val="0"/>
          <w:color w:val="333333"/>
          <w:sz w:val="20"/>
          <w:szCs w:val="20"/>
          <w:lang w:val="ru-RU"/>
        </w:rPr>
        <w:t>: Инвестиции в развивающиеся рынки оправданны</w:t>
      </w:r>
      <w:r>
        <w:rPr>
          <w:b w:val="0"/>
          <w:bCs w:val="0"/>
          <w:color w:val="333333"/>
          <w:sz w:val="20"/>
          <w:szCs w:val="20"/>
          <w:lang w:val="ru-RU"/>
        </w:rPr>
        <w:t>. -</w:t>
      </w:r>
      <w:hyperlink r:id="rId3" w:history="1">
        <w:r w:rsidRPr="005C626D">
          <w:rPr>
            <w:b w:val="0"/>
            <w:color w:val="333333"/>
            <w:sz w:val="20"/>
            <w:szCs w:val="20"/>
            <w:shd w:val="clear" w:color="auto" w:fill="FFFFFF"/>
          </w:rPr>
          <w:t>http</w:t>
        </w:r>
        <w:r w:rsidRPr="005C626D">
          <w:rPr>
            <w:b w:val="0"/>
            <w:color w:val="333333"/>
            <w:sz w:val="20"/>
            <w:szCs w:val="20"/>
            <w:shd w:val="clear" w:color="auto" w:fill="FFFFFF"/>
            <w:lang w:val="ru-RU"/>
          </w:rPr>
          <w:t>://</w:t>
        </w:r>
        <w:r w:rsidRPr="005C626D">
          <w:rPr>
            <w:b w:val="0"/>
            <w:color w:val="333333"/>
            <w:sz w:val="20"/>
            <w:szCs w:val="20"/>
            <w:shd w:val="clear" w:color="auto" w:fill="FFFFFF"/>
          </w:rPr>
          <w:t>quote</w:t>
        </w:r>
        <w:r w:rsidRPr="005C626D">
          <w:rPr>
            <w:b w:val="0"/>
            <w:color w:val="333333"/>
            <w:sz w:val="20"/>
            <w:szCs w:val="20"/>
            <w:shd w:val="clear" w:color="auto" w:fill="FFFFFF"/>
            <w:lang w:val="ru-RU"/>
          </w:rPr>
          <w:t>.</w:t>
        </w:r>
        <w:r w:rsidRPr="005C626D">
          <w:rPr>
            <w:b w:val="0"/>
            <w:color w:val="333333"/>
            <w:sz w:val="20"/>
            <w:szCs w:val="20"/>
            <w:shd w:val="clear" w:color="auto" w:fill="FFFFFF"/>
          </w:rPr>
          <w:t>rbc</w:t>
        </w:r>
        <w:r w:rsidRPr="005C626D">
          <w:rPr>
            <w:b w:val="0"/>
            <w:color w:val="333333"/>
            <w:sz w:val="20"/>
            <w:szCs w:val="20"/>
            <w:shd w:val="clear" w:color="auto" w:fill="FFFFFF"/>
            <w:lang w:val="ru-RU"/>
          </w:rPr>
          <w:t>.</w:t>
        </w:r>
        <w:r w:rsidRPr="005C626D">
          <w:rPr>
            <w:b w:val="0"/>
            <w:color w:val="333333"/>
            <w:sz w:val="20"/>
            <w:szCs w:val="20"/>
            <w:shd w:val="clear" w:color="auto" w:fill="FFFFFF"/>
          </w:rPr>
          <w:t>ru</w:t>
        </w:r>
        <w:r w:rsidRPr="005C626D">
          <w:rPr>
            <w:b w:val="0"/>
            <w:color w:val="333333"/>
            <w:sz w:val="20"/>
            <w:szCs w:val="20"/>
            <w:shd w:val="clear" w:color="auto" w:fill="FFFFFF"/>
            <w:lang w:val="ru-RU"/>
          </w:rPr>
          <w:t>/</w:t>
        </w:r>
        <w:r w:rsidRPr="005C626D">
          <w:rPr>
            <w:b w:val="0"/>
            <w:color w:val="333333"/>
            <w:sz w:val="20"/>
            <w:szCs w:val="20"/>
            <w:shd w:val="clear" w:color="auto" w:fill="FFFFFF"/>
          </w:rPr>
          <w:t>topnews</w:t>
        </w:r>
        <w:r w:rsidRPr="005C626D">
          <w:rPr>
            <w:b w:val="0"/>
            <w:color w:val="333333"/>
            <w:sz w:val="20"/>
            <w:szCs w:val="20"/>
            <w:shd w:val="clear" w:color="auto" w:fill="FFFFFF"/>
            <w:lang w:val="ru-RU"/>
          </w:rPr>
          <w:t>/2012/09/17/33768375.</w:t>
        </w:r>
        <w:r w:rsidRPr="005C626D">
          <w:rPr>
            <w:b w:val="0"/>
            <w:color w:val="333333"/>
            <w:sz w:val="20"/>
            <w:szCs w:val="20"/>
            <w:shd w:val="clear" w:color="auto" w:fill="FFFFFF"/>
          </w:rPr>
          <w:t>html</w:t>
        </w:r>
      </w:hyperlink>
    </w:p>
  </w:footnote>
  <w:footnote w:id="7">
    <w:p w14:paraId="786D0207" w14:textId="77777777" w:rsidR="00434D18" w:rsidRPr="002313D7" w:rsidRDefault="00434D18" w:rsidP="00AD63F0">
      <w:pPr>
        <w:pStyle w:val="FootnoteText"/>
        <w:rPr>
          <w:rFonts w:ascii="Times New Roman" w:hAnsi="Times New Roman" w:cs="Times New Roman"/>
          <w:sz w:val="20"/>
          <w:szCs w:val="20"/>
          <w:lang w:val="en-US"/>
        </w:rPr>
      </w:pPr>
      <w:r>
        <w:rPr>
          <w:rStyle w:val="FootnoteReference"/>
        </w:rPr>
        <w:footnoteRef/>
      </w:r>
      <w:r>
        <w:t xml:space="preserve"> </w:t>
      </w:r>
      <w:r w:rsidRPr="005C626D">
        <w:rPr>
          <w:rFonts w:ascii="Times New Roman" w:hAnsi="Times New Roman" w:cs="Times New Roman"/>
          <w:sz w:val="20"/>
          <w:szCs w:val="20"/>
        </w:rPr>
        <w:t>Наумов И. Закономерности ценовой динамики акций.</w:t>
      </w:r>
      <w:r>
        <w:rPr>
          <w:rFonts w:ascii="Times New Roman" w:hAnsi="Times New Roman" w:cs="Times New Roman"/>
          <w:sz w:val="20"/>
          <w:szCs w:val="20"/>
        </w:rPr>
        <w:t xml:space="preserve"> </w:t>
      </w:r>
      <w:r>
        <w:rPr>
          <w:rFonts w:ascii="Times New Roman" w:eastAsia="Times New Roman" w:hAnsi="Times New Roman" w:cs="Times New Roman"/>
          <w:color w:val="000000" w:themeColor="text1"/>
          <w:sz w:val="20"/>
          <w:szCs w:val="20"/>
          <w:shd w:val="clear" w:color="auto" w:fill="FFFFFF"/>
        </w:rPr>
        <w:t>–</w:t>
      </w:r>
      <w:r w:rsidRPr="00420AB5">
        <w:rPr>
          <w:rFonts w:ascii="Times New Roman" w:eastAsia="Times New Roman" w:hAnsi="Times New Roman" w:cs="Times New Roman"/>
          <w:color w:val="000000" w:themeColor="text1"/>
          <w:sz w:val="20"/>
          <w:szCs w:val="20"/>
          <w:shd w:val="clear" w:color="auto" w:fill="FFFFFF"/>
        </w:rPr>
        <w:t xml:space="preserve"> </w:t>
      </w:r>
      <w:r w:rsidRPr="005C626D">
        <w:rPr>
          <w:rFonts w:ascii="Times New Roman" w:hAnsi="Times New Roman" w:cs="Times New Roman"/>
          <w:sz w:val="20"/>
          <w:szCs w:val="20"/>
        </w:rPr>
        <w:t>Рынок</w:t>
      </w:r>
      <w:r w:rsidRPr="00420AB5">
        <w:rPr>
          <w:rFonts w:ascii="Times New Roman" w:hAnsi="Times New Roman" w:cs="Times New Roman"/>
          <w:sz w:val="20"/>
          <w:szCs w:val="20"/>
        </w:rPr>
        <w:t xml:space="preserve"> </w:t>
      </w:r>
      <w:r w:rsidRPr="005C626D">
        <w:rPr>
          <w:rFonts w:ascii="Times New Roman" w:hAnsi="Times New Roman" w:cs="Times New Roman"/>
          <w:sz w:val="20"/>
          <w:szCs w:val="20"/>
        </w:rPr>
        <w:t>ценных</w:t>
      </w:r>
      <w:r w:rsidRPr="00420AB5">
        <w:rPr>
          <w:rFonts w:ascii="Times New Roman" w:hAnsi="Times New Roman" w:cs="Times New Roman"/>
          <w:sz w:val="20"/>
          <w:szCs w:val="20"/>
        </w:rPr>
        <w:t xml:space="preserve"> </w:t>
      </w:r>
      <w:r w:rsidRPr="005C626D">
        <w:rPr>
          <w:rFonts w:ascii="Times New Roman" w:hAnsi="Times New Roman" w:cs="Times New Roman"/>
          <w:sz w:val="20"/>
          <w:szCs w:val="20"/>
        </w:rPr>
        <w:t>бумаг</w:t>
      </w:r>
      <w:r w:rsidRPr="00420AB5">
        <w:rPr>
          <w:rFonts w:ascii="Times New Roman" w:hAnsi="Times New Roman" w:cs="Times New Roman"/>
          <w:sz w:val="20"/>
          <w:szCs w:val="20"/>
        </w:rPr>
        <w:t xml:space="preserve">.  </w:t>
      </w:r>
      <w:r w:rsidRPr="007F1818">
        <w:rPr>
          <w:rFonts w:ascii="Times New Roman" w:hAnsi="Times New Roman" w:cs="Times New Roman"/>
          <w:sz w:val="20"/>
          <w:szCs w:val="20"/>
          <w:lang w:val="en-US"/>
        </w:rPr>
        <w:t xml:space="preserve">2003, № 7. </w:t>
      </w:r>
      <w:r>
        <w:rPr>
          <w:rFonts w:ascii="Times New Roman" w:hAnsi="Times New Roman" w:cs="Times New Roman"/>
          <w:sz w:val="20"/>
          <w:szCs w:val="20"/>
          <w:lang w:val="en-US"/>
        </w:rPr>
        <w:t>C</w:t>
      </w:r>
      <w:r w:rsidRPr="002313D7">
        <w:rPr>
          <w:rFonts w:ascii="Times New Roman" w:hAnsi="Times New Roman" w:cs="Times New Roman"/>
          <w:sz w:val="20"/>
          <w:szCs w:val="20"/>
          <w:lang w:val="en-US"/>
        </w:rPr>
        <w:t>. 49.</w:t>
      </w:r>
    </w:p>
  </w:footnote>
  <w:footnote w:id="8">
    <w:p w14:paraId="08F3CA58" w14:textId="77777777" w:rsidR="00434D18" w:rsidRPr="00420AB5" w:rsidRDefault="00434D18" w:rsidP="00AD63F0">
      <w:pPr>
        <w:pStyle w:val="FootnoteText"/>
        <w:rPr>
          <w:rFonts w:ascii="Times New Roman" w:hAnsi="Times New Roman" w:cs="Times New Roman"/>
          <w:sz w:val="20"/>
          <w:szCs w:val="20"/>
          <w:lang w:val="en-US"/>
        </w:rPr>
      </w:pPr>
      <w:r w:rsidRPr="005C626D">
        <w:rPr>
          <w:rStyle w:val="FootnoteReference"/>
          <w:rFonts w:ascii="Times New Roman" w:hAnsi="Times New Roman" w:cs="Times New Roman"/>
          <w:sz w:val="20"/>
          <w:szCs w:val="20"/>
        </w:rPr>
        <w:footnoteRef/>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Poon</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S</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Granger</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C</w:t>
      </w:r>
      <w:r w:rsidRPr="000D7997">
        <w:rPr>
          <w:rFonts w:ascii="Times New Roman" w:hAnsi="Times New Roman" w:cs="Times New Roman"/>
          <w:sz w:val="20"/>
          <w:szCs w:val="20"/>
          <w:lang w:val="en-US"/>
        </w:rPr>
        <w:t>.</w:t>
      </w:r>
      <w:r w:rsidRPr="005C626D">
        <w:rPr>
          <w:rFonts w:ascii="Times New Roman" w:hAnsi="Times New Roman" w:cs="Times New Roman"/>
          <w:sz w:val="20"/>
          <w:szCs w:val="20"/>
          <w:lang w:val="en-US"/>
        </w:rPr>
        <w:t>W</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Forecasting</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Volatility</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in</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Financial</w:t>
      </w:r>
      <w:r w:rsidRPr="000D7997">
        <w:rPr>
          <w:rFonts w:ascii="Times New Roman" w:hAnsi="Times New Roman" w:cs="Times New Roman"/>
          <w:sz w:val="20"/>
          <w:szCs w:val="20"/>
          <w:lang w:val="en-US"/>
        </w:rPr>
        <w:t xml:space="preserve"> </w:t>
      </w:r>
      <w:r>
        <w:rPr>
          <w:rFonts w:ascii="Times New Roman" w:hAnsi="Times New Roman" w:cs="Times New Roman"/>
          <w:sz w:val="20"/>
          <w:szCs w:val="20"/>
          <w:lang w:val="en-US"/>
        </w:rPr>
        <w:t>Market</w:t>
      </w:r>
      <w:r w:rsidRPr="000D7997">
        <w:rPr>
          <w:rFonts w:ascii="Times New Roman" w:hAnsi="Times New Roman" w:cs="Times New Roman"/>
          <w:sz w:val="20"/>
          <w:szCs w:val="20"/>
          <w:lang w:val="en-US"/>
        </w:rPr>
        <w:t xml:space="preserve">. </w:t>
      </w:r>
      <w:r w:rsidRPr="00420AB5">
        <w:rPr>
          <w:rFonts w:ascii="Times New Roman" w:eastAsia="Times New Roman" w:hAnsi="Times New Roman" w:cs="Times New Roman"/>
          <w:color w:val="000000" w:themeColor="text1"/>
          <w:sz w:val="20"/>
          <w:szCs w:val="20"/>
          <w:shd w:val="clear" w:color="auto" w:fill="FFFFFF"/>
          <w:lang w:val="en-US"/>
        </w:rPr>
        <w:t>–</w:t>
      </w:r>
      <w:r>
        <w:rPr>
          <w:rFonts w:ascii="Times New Roman" w:eastAsia="Times New Roman" w:hAnsi="Times New Roman" w:cs="Times New Roman"/>
          <w:color w:val="000000" w:themeColor="text1"/>
          <w:sz w:val="20"/>
          <w:szCs w:val="20"/>
          <w:shd w:val="clear" w:color="auto" w:fill="FFFFFF"/>
          <w:lang w:val="en-US"/>
        </w:rPr>
        <w:t xml:space="preserve"> </w:t>
      </w:r>
      <w:r w:rsidRPr="005C626D">
        <w:rPr>
          <w:rFonts w:ascii="Times New Roman" w:hAnsi="Times New Roman" w:cs="Times New Roman"/>
          <w:sz w:val="20"/>
          <w:szCs w:val="20"/>
          <w:lang w:val="en-US"/>
        </w:rPr>
        <w:t>Journal</w:t>
      </w:r>
      <w:r w:rsidRPr="00420AB5">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Economic</w:t>
      </w:r>
      <w:r w:rsidRPr="00420AB5">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Literature</w:t>
      </w:r>
      <w:r>
        <w:rPr>
          <w:rFonts w:ascii="Times New Roman" w:hAnsi="Times New Roman" w:cs="Times New Roman"/>
          <w:sz w:val="20"/>
          <w:szCs w:val="20"/>
          <w:lang w:val="en-US"/>
        </w:rPr>
        <w:t>.</w:t>
      </w:r>
      <w:r w:rsidRPr="00420AB5">
        <w:rPr>
          <w:rFonts w:ascii="Times New Roman" w:hAnsi="Times New Roman" w:cs="Times New Roman"/>
          <w:sz w:val="20"/>
          <w:szCs w:val="20"/>
          <w:lang w:val="en-US"/>
        </w:rPr>
        <w:t xml:space="preserve"> </w:t>
      </w:r>
      <w:r w:rsidRPr="006D5E67">
        <w:rPr>
          <w:rFonts w:ascii="Times New Roman" w:hAnsi="Times New Roman" w:cs="Times New Roman"/>
          <w:sz w:val="20"/>
          <w:szCs w:val="20"/>
          <w:lang w:val="en-US"/>
        </w:rPr>
        <w:t xml:space="preserve">2003, </w:t>
      </w:r>
      <w:r w:rsidRPr="005C626D">
        <w:rPr>
          <w:rFonts w:ascii="Times New Roman" w:hAnsi="Times New Roman" w:cs="Times New Roman"/>
          <w:sz w:val="20"/>
          <w:szCs w:val="20"/>
          <w:lang w:val="en-US"/>
        </w:rPr>
        <w:t>Vol</w:t>
      </w:r>
      <w:r w:rsidRPr="006D5E6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XLI</w:t>
      </w:r>
      <w:r>
        <w:rPr>
          <w:rFonts w:ascii="Times New Roman" w:hAnsi="Times New Roman" w:cs="Times New Roman"/>
          <w:sz w:val="20"/>
          <w:szCs w:val="20"/>
          <w:lang w:val="en-US"/>
        </w:rPr>
        <w:t>,</w:t>
      </w:r>
      <w:r w:rsidRPr="006D5E67">
        <w:rPr>
          <w:rFonts w:ascii="Times New Roman" w:hAnsi="Times New Roman" w:cs="Times New Roman"/>
          <w:sz w:val="20"/>
          <w:szCs w:val="20"/>
          <w:lang w:val="en-US"/>
        </w:rPr>
        <w:t xml:space="preserve"> №2.</w:t>
      </w:r>
      <w:r>
        <w:rPr>
          <w:rFonts w:ascii="Times New Roman" w:hAnsi="Times New Roman" w:cs="Times New Roman"/>
          <w:sz w:val="20"/>
          <w:szCs w:val="20"/>
          <w:lang w:val="en-US"/>
        </w:rPr>
        <w:t xml:space="preserve"> P. 72-75.</w:t>
      </w:r>
    </w:p>
  </w:footnote>
  <w:footnote w:id="9">
    <w:p w14:paraId="0BA658EE" w14:textId="77777777" w:rsidR="00434D18" w:rsidRPr="001C0A14" w:rsidRDefault="00434D18" w:rsidP="00AD63F0">
      <w:pPr>
        <w:pStyle w:val="FootnoteText"/>
      </w:pPr>
      <w:r>
        <w:rPr>
          <w:rStyle w:val="FootnoteReference"/>
        </w:rPr>
        <w:footnoteRef/>
      </w:r>
      <w:r w:rsidRPr="006D5E67">
        <w:rPr>
          <w:lang w:val="en-US"/>
        </w:rPr>
        <w:t xml:space="preserve"> </w:t>
      </w:r>
      <w:r w:rsidRPr="006D5E67">
        <w:rPr>
          <w:rFonts w:ascii="Times New Roman" w:hAnsi="Times New Roman" w:cs="Times New Roman"/>
          <w:sz w:val="20"/>
          <w:szCs w:val="20"/>
          <w:lang w:val="en-US"/>
        </w:rPr>
        <w:t xml:space="preserve">Davis P.E., Stone M.R. Corporate financial structure and financial stability. – Journal of Financial Stability. </w:t>
      </w:r>
      <w:r w:rsidRPr="001C0A14">
        <w:rPr>
          <w:rFonts w:ascii="Times New Roman" w:hAnsi="Times New Roman" w:cs="Times New Roman"/>
          <w:sz w:val="20"/>
          <w:szCs w:val="20"/>
        </w:rPr>
        <w:t>2004, № 1</w:t>
      </w:r>
      <w:r w:rsidRPr="006D5E67">
        <w:rPr>
          <w:rFonts w:ascii="Times New Roman" w:hAnsi="Times New Roman" w:cs="Times New Roman"/>
          <w:sz w:val="20"/>
          <w:szCs w:val="20"/>
        </w:rPr>
        <w:t>.</w:t>
      </w:r>
      <w:r w:rsidRPr="001C0A14">
        <w:rPr>
          <w:rFonts w:ascii="Times New Roman" w:hAnsi="Times New Roman" w:cs="Times New Roman"/>
          <w:sz w:val="20"/>
          <w:szCs w:val="20"/>
        </w:rPr>
        <w:t xml:space="preserve"> P.65-91.</w:t>
      </w:r>
    </w:p>
  </w:footnote>
  <w:footnote w:id="10">
    <w:p w14:paraId="07AE5677" w14:textId="77777777" w:rsidR="00434D18" w:rsidRPr="007F1818" w:rsidRDefault="00434D18" w:rsidP="00AD63F0">
      <w:pPr>
        <w:autoSpaceDE w:val="0"/>
        <w:autoSpaceDN w:val="0"/>
        <w:adjustRightInd w:val="0"/>
        <w:rPr>
          <w:rFonts w:ascii="Times New Roman" w:hAnsi="Times New Roman" w:cs="Times New Roman"/>
          <w:sz w:val="20"/>
          <w:szCs w:val="20"/>
        </w:rPr>
      </w:pPr>
      <w:r w:rsidRPr="005C626D">
        <w:rPr>
          <w:rStyle w:val="FootnoteReference"/>
          <w:rFonts w:ascii="Times New Roman" w:hAnsi="Times New Roman" w:cs="Times New Roman"/>
          <w:sz w:val="20"/>
          <w:szCs w:val="20"/>
        </w:rPr>
        <w:footnoteRef/>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Ивашковская</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И</w:t>
      </w:r>
      <w:r w:rsidRPr="001D70CC">
        <w:rPr>
          <w:rFonts w:ascii="Times New Roman" w:hAnsi="Times New Roman" w:cs="Times New Roman"/>
          <w:sz w:val="20"/>
          <w:szCs w:val="20"/>
        </w:rPr>
        <w:t>.</w:t>
      </w:r>
      <w:r w:rsidRPr="005C626D">
        <w:rPr>
          <w:rFonts w:ascii="Times New Roman" w:hAnsi="Times New Roman" w:cs="Times New Roman"/>
          <w:sz w:val="20"/>
          <w:szCs w:val="20"/>
        </w:rPr>
        <w:t>В</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Макаров</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П</w:t>
      </w:r>
      <w:r w:rsidRPr="001D70CC">
        <w:rPr>
          <w:rFonts w:ascii="Times New Roman" w:hAnsi="Times New Roman" w:cs="Times New Roman"/>
          <w:sz w:val="20"/>
          <w:szCs w:val="20"/>
        </w:rPr>
        <w:t>.</w:t>
      </w:r>
      <w:r w:rsidRPr="005C626D">
        <w:rPr>
          <w:rFonts w:ascii="Times New Roman" w:hAnsi="Times New Roman" w:cs="Times New Roman"/>
          <w:sz w:val="20"/>
          <w:szCs w:val="20"/>
        </w:rPr>
        <w:t>В</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Действуют</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ли</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классические</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концепции</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выбора</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структуры</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капитала</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на</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развивающихся</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рынках</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Эмпирический</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анализ</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компаний</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Восточной</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и</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Центральной</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Европы</w:t>
      </w:r>
      <w:r w:rsidRPr="001D70CC">
        <w:rPr>
          <w:rFonts w:ascii="Times New Roman" w:hAnsi="Times New Roman" w:cs="Times New Roman"/>
          <w:sz w:val="20"/>
          <w:szCs w:val="20"/>
        </w:rPr>
        <w:t xml:space="preserve">. </w:t>
      </w:r>
      <w:r>
        <w:rPr>
          <w:rFonts w:ascii="Times New Roman" w:eastAsia="Times New Roman" w:hAnsi="Times New Roman" w:cs="Times New Roman"/>
          <w:color w:val="000000" w:themeColor="text1"/>
          <w:sz w:val="20"/>
          <w:szCs w:val="20"/>
          <w:shd w:val="clear" w:color="auto" w:fill="FFFFFF"/>
        </w:rPr>
        <w:t xml:space="preserve">– </w:t>
      </w:r>
      <w:r w:rsidRPr="005C626D">
        <w:rPr>
          <w:rFonts w:ascii="Times New Roman" w:hAnsi="Times New Roman" w:cs="Times New Roman"/>
          <w:sz w:val="20"/>
          <w:szCs w:val="20"/>
        </w:rPr>
        <w:t>Корпоративные</w:t>
      </w:r>
      <w:r w:rsidRPr="001D70CC">
        <w:rPr>
          <w:rFonts w:ascii="Times New Roman" w:hAnsi="Times New Roman" w:cs="Times New Roman"/>
          <w:sz w:val="20"/>
          <w:szCs w:val="20"/>
        </w:rPr>
        <w:t xml:space="preserve"> </w:t>
      </w:r>
      <w:r w:rsidRPr="005C626D">
        <w:rPr>
          <w:rFonts w:ascii="Times New Roman" w:hAnsi="Times New Roman" w:cs="Times New Roman"/>
          <w:sz w:val="20"/>
          <w:szCs w:val="20"/>
        </w:rPr>
        <w:t>финансы</w:t>
      </w:r>
      <w:r w:rsidRPr="006D5E67">
        <w:rPr>
          <w:rFonts w:ascii="Times New Roman" w:hAnsi="Times New Roman" w:cs="Times New Roman"/>
          <w:sz w:val="20"/>
          <w:szCs w:val="20"/>
        </w:rPr>
        <w:t>.</w:t>
      </w:r>
      <w:r w:rsidRPr="001D70CC">
        <w:rPr>
          <w:rFonts w:ascii="Times New Roman" w:hAnsi="Times New Roman" w:cs="Times New Roman"/>
          <w:sz w:val="20"/>
          <w:szCs w:val="20"/>
        </w:rPr>
        <w:t xml:space="preserve"> 2010, № 15. </w:t>
      </w:r>
      <w:r w:rsidRPr="005C626D">
        <w:rPr>
          <w:rFonts w:ascii="Times New Roman" w:hAnsi="Times New Roman" w:cs="Times New Roman"/>
          <w:sz w:val="20"/>
          <w:szCs w:val="20"/>
        </w:rPr>
        <w:t>С</w:t>
      </w:r>
      <w:r w:rsidRPr="007F1818">
        <w:rPr>
          <w:rFonts w:ascii="Times New Roman" w:hAnsi="Times New Roman" w:cs="Times New Roman"/>
          <w:sz w:val="20"/>
          <w:szCs w:val="20"/>
        </w:rPr>
        <w:t>. 47–62.</w:t>
      </w:r>
    </w:p>
  </w:footnote>
  <w:footnote w:id="11">
    <w:p w14:paraId="4637C8F4" w14:textId="77777777" w:rsidR="00434D18" w:rsidRPr="005C626D" w:rsidRDefault="00434D18" w:rsidP="00AD63F0">
      <w:pPr>
        <w:autoSpaceDE w:val="0"/>
        <w:autoSpaceDN w:val="0"/>
        <w:adjustRightInd w:val="0"/>
        <w:rPr>
          <w:rFonts w:ascii="Times New Roman" w:hAnsi="Times New Roman" w:cs="Times New Roman"/>
          <w:sz w:val="20"/>
          <w:szCs w:val="20"/>
          <w:lang w:val="en-US"/>
        </w:rPr>
      </w:pPr>
      <w:r w:rsidRPr="005C626D">
        <w:rPr>
          <w:rStyle w:val="FootnoteReference"/>
          <w:rFonts w:ascii="Times New Roman" w:hAnsi="Times New Roman" w:cs="Times New Roman"/>
          <w:sz w:val="20"/>
          <w:szCs w:val="20"/>
        </w:rPr>
        <w:footnoteRef/>
      </w:r>
      <w:r w:rsidRPr="005C626D">
        <w:rPr>
          <w:rFonts w:ascii="Times New Roman" w:hAnsi="Times New Roman" w:cs="Times New Roman"/>
          <w:sz w:val="20"/>
          <w:szCs w:val="20"/>
          <w:lang w:val="en-US"/>
        </w:rPr>
        <w:t xml:space="preserve"> </w:t>
      </w:r>
      <w:r>
        <w:rPr>
          <w:rFonts w:ascii="Times New Roman" w:hAnsi="Times New Roman" w:cs="Times New Roman"/>
          <w:sz w:val="20"/>
          <w:szCs w:val="20"/>
          <w:lang w:val="en-US"/>
        </w:rPr>
        <w:t>Delcoure N.</w:t>
      </w:r>
      <w:r w:rsidRPr="005C626D">
        <w:rPr>
          <w:rFonts w:ascii="Times New Roman" w:hAnsi="Times New Roman" w:cs="Times New Roman"/>
          <w:sz w:val="20"/>
          <w:szCs w:val="20"/>
          <w:lang w:val="en-US"/>
        </w:rPr>
        <w:t xml:space="preserve"> The determinants of capital structure in transitional economies.</w:t>
      </w:r>
      <w:r>
        <w:rPr>
          <w:rFonts w:ascii="Times New Roman" w:hAnsi="Times New Roman" w:cs="Times New Roman"/>
          <w:sz w:val="20"/>
          <w:szCs w:val="20"/>
          <w:lang w:val="en-US"/>
        </w:rPr>
        <w:t xml:space="preserve"> </w:t>
      </w:r>
      <w:r w:rsidRPr="00420AB5">
        <w:rPr>
          <w:rFonts w:ascii="Times New Roman" w:eastAsia="Times New Roman" w:hAnsi="Times New Roman" w:cs="Times New Roman"/>
          <w:color w:val="000000" w:themeColor="text1"/>
          <w:sz w:val="20"/>
          <w:szCs w:val="20"/>
          <w:shd w:val="clear" w:color="auto" w:fill="FFFFFF"/>
          <w:lang w:val="en-US"/>
        </w:rPr>
        <w:t>–</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 xml:space="preserve">International Review of Economics </w:t>
      </w:r>
      <w:r>
        <w:rPr>
          <w:rFonts w:ascii="Times New Roman" w:hAnsi="Times New Roman" w:cs="Times New Roman"/>
          <w:sz w:val="20"/>
          <w:szCs w:val="20"/>
          <w:lang w:val="en-US"/>
        </w:rPr>
        <w:t>and Finance. 2007, № 16. P</w:t>
      </w:r>
      <w:r w:rsidRPr="005C626D">
        <w:rPr>
          <w:rFonts w:ascii="Times New Roman" w:hAnsi="Times New Roman" w:cs="Times New Roman"/>
          <w:sz w:val="20"/>
          <w:szCs w:val="20"/>
          <w:lang w:val="en-US"/>
        </w:rPr>
        <w:t>. 400–415.</w:t>
      </w:r>
    </w:p>
  </w:footnote>
  <w:footnote w:id="12">
    <w:p w14:paraId="65251B8B" w14:textId="77777777" w:rsidR="00434D18" w:rsidRPr="005C626D" w:rsidRDefault="00434D18" w:rsidP="00AD63F0">
      <w:pPr>
        <w:autoSpaceDE w:val="0"/>
        <w:autoSpaceDN w:val="0"/>
        <w:adjustRightInd w:val="0"/>
        <w:rPr>
          <w:rFonts w:ascii="Times New Roman" w:hAnsi="Times New Roman" w:cs="Times New Roman"/>
          <w:sz w:val="20"/>
          <w:szCs w:val="20"/>
          <w:lang w:val="en-US"/>
        </w:rPr>
      </w:pPr>
      <w:r w:rsidRPr="005C626D">
        <w:rPr>
          <w:rStyle w:val="FootnoteReference"/>
          <w:rFonts w:ascii="Times New Roman" w:hAnsi="Times New Roman" w:cs="Times New Roman"/>
          <w:sz w:val="20"/>
          <w:szCs w:val="20"/>
        </w:rPr>
        <w:footnoteRef/>
      </w:r>
      <w:r w:rsidRPr="005C626D">
        <w:rPr>
          <w:rFonts w:ascii="Times New Roman" w:hAnsi="Times New Roman" w:cs="Times New Roman"/>
          <w:sz w:val="20"/>
          <w:szCs w:val="20"/>
          <w:lang w:val="en-US"/>
        </w:rPr>
        <w:t xml:space="preserve"> Stephan A.,Talavera O., Tsapin A.</w:t>
      </w:r>
      <w:r w:rsidRPr="000D7997">
        <w:rPr>
          <w:rFonts w:ascii="Times New Roman" w:hAnsi="Times New Roman" w:cs="Times New Roman"/>
          <w:sz w:val="20"/>
          <w:szCs w:val="20"/>
          <w:lang w:val="en-US"/>
        </w:rPr>
        <w:t xml:space="preserve"> </w:t>
      </w:r>
      <w:r w:rsidRPr="005C626D">
        <w:rPr>
          <w:rFonts w:ascii="Times New Roman" w:hAnsi="Times New Roman" w:cs="Times New Roman"/>
          <w:sz w:val="20"/>
          <w:szCs w:val="20"/>
          <w:lang w:val="en-US"/>
        </w:rPr>
        <w:t xml:space="preserve">Corporate debt maturity choice in emerging financial markets. </w:t>
      </w:r>
      <w:r w:rsidRPr="00420AB5">
        <w:rPr>
          <w:rFonts w:ascii="Times New Roman" w:eastAsia="Times New Roman" w:hAnsi="Times New Roman" w:cs="Times New Roman"/>
          <w:color w:val="000000" w:themeColor="text1"/>
          <w:sz w:val="20"/>
          <w:szCs w:val="20"/>
          <w:shd w:val="clear" w:color="auto" w:fill="FFFFFF"/>
          <w:lang w:val="en-US"/>
        </w:rPr>
        <w:t>–</w:t>
      </w:r>
      <w:r w:rsidRPr="005C626D">
        <w:rPr>
          <w:rFonts w:ascii="Times New Roman" w:hAnsi="Times New Roman" w:cs="Times New Roman"/>
          <w:sz w:val="20"/>
          <w:szCs w:val="20"/>
          <w:lang w:val="en-US"/>
        </w:rPr>
        <w:t>The Quarterly Review of Economics and Fina</w:t>
      </w:r>
      <w:r>
        <w:rPr>
          <w:rFonts w:ascii="Times New Roman" w:hAnsi="Times New Roman" w:cs="Times New Roman"/>
          <w:sz w:val="20"/>
          <w:szCs w:val="20"/>
          <w:lang w:val="en-US"/>
        </w:rPr>
        <w:t>nce. 2011, № 51. P</w:t>
      </w:r>
      <w:r w:rsidRPr="005C626D">
        <w:rPr>
          <w:rFonts w:ascii="Times New Roman" w:hAnsi="Times New Roman" w:cs="Times New Roman"/>
          <w:sz w:val="20"/>
          <w:szCs w:val="20"/>
          <w:lang w:val="en-US"/>
        </w:rPr>
        <w:t>. 141–151.</w:t>
      </w:r>
    </w:p>
  </w:footnote>
  <w:footnote w:id="13">
    <w:p w14:paraId="5B9E9AB5" w14:textId="77777777" w:rsidR="00434D18" w:rsidRPr="00CE0078" w:rsidRDefault="00434D18" w:rsidP="00AD63F0">
      <w:pPr>
        <w:pStyle w:val="FootnoteText"/>
        <w:rPr>
          <w:rFonts w:ascii="Times New Roman" w:hAnsi="Times New Roman" w:cs="Times New Roman"/>
          <w:sz w:val="20"/>
          <w:szCs w:val="20"/>
          <w:lang w:val="en-US"/>
        </w:rPr>
      </w:pPr>
      <w:r>
        <w:rPr>
          <w:rStyle w:val="FootnoteReference"/>
        </w:rPr>
        <w:footnoteRef/>
      </w:r>
      <w:r w:rsidRPr="001D70CC">
        <w:rPr>
          <w:lang w:val="en-US"/>
        </w:rPr>
        <w:t xml:space="preserve"> </w:t>
      </w:r>
      <w:r w:rsidRPr="00CE0078">
        <w:rPr>
          <w:rFonts w:ascii="Times New Roman" w:hAnsi="Times New Roman" w:cs="Times New Roman"/>
          <w:sz w:val="20"/>
          <w:szCs w:val="20"/>
          <w:lang w:val="en-US"/>
        </w:rPr>
        <w:t>De Medeiros</w:t>
      </w:r>
      <w:r>
        <w:rPr>
          <w:rFonts w:ascii="Times New Roman" w:hAnsi="Times New Roman" w:cs="Times New Roman"/>
          <w:sz w:val="20"/>
          <w:szCs w:val="20"/>
          <w:lang w:val="en-US"/>
        </w:rPr>
        <w:t>, O.R., Daher, C.E. Testing static tradeoff against pecking order models of capital structure in Brazilian f</w:t>
      </w:r>
      <w:r w:rsidRPr="00CE0078">
        <w:rPr>
          <w:rFonts w:ascii="Times New Roman" w:hAnsi="Times New Roman" w:cs="Times New Roman"/>
          <w:sz w:val="20"/>
          <w:szCs w:val="20"/>
          <w:lang w:val="en-US"/>
        </w:rPr>
        <w:t xml:space="preserve">irms. </w:t>
      </w:r>
      <w:r w:rsidRPr="00CE0078">
        <w:rPr>
          <w:rFonts w:ascii="Times New Roman" w:eastAsia="Times New Roman" w:hAnsi="Times New Roman" w:cs="Times New Roman"/>
          <w:color w:val="000000" w:themeColor="text1"/>
          <w:sz w:val="20"/>
          <w:szCs w:val="20"/>
          <w:shd w:val="clear" w:color="auto" w:fill="FFFFFF"/>
          <w:lang w:val="en-US"/>
        </w:rPr>
        <w:t>–</w:t>
      </w:r>
      <w:r>
        <w:rPr>
          <w:rFonts w:ascii="Times New Roman" w:eastAsia="Times New Roman" w:hAnsi="Times New Roman" w:cs="Times New Roman"/>
          <w:color w:val="000000" w:themeColor="text1"/>
          <w:sz w:val="20"/>
          <w:szCs w:val="20"/>
          <w:shd w:val="clear" w:color="auto" w:fill="FFFFFF"/>
          <w:lang w:val="en-US"/>
        </w:rPr>
        <w:t xml:space="preserve"> </w:t>
      </w:r>
      <w:r w:rsidRPr="00CE0078">
        <w:rPr>
          <w:rFonts w:ascii="Times New Roman" w:hAnsi="Times New Roman" w:cs="Times New Roman"/>
          <w:sz w:val="20"/>
          <w:szCs w:val="20"/>
          <w:lang w:val="en-US"/>
        </w:rPr>
        <w:t>SSRN.</w:t>
      </w:r>
      <w:r>
        <w:rPr>
          <w:rFonts w:ascii="Times New Roman" w:hAnsi="Times New Roman" w:cs="Times New Roman"/>
          <w:sz w:val="20"/>
          <w:szCs w:val="20"/>
          <w:lang w:val="en-US"/>
        </w:rPr>
        <w:t xml:space="preserve"> 2004. - </w:t>
      </w:r>
      <w:r w:rsidRPr="00936860">
        <w:rPr>
          <w:rFonts w:ascii="Times New Roman" w:hAnsi="Times New Roman" w:cs="Times New Roman"/>
          <w:sz w:val="20"/>
          <w:szCs w:val="20"/>
          <w:lang w:val="en-US"/>
        </w:rPr>
        <w:t>http://ssrn.com/abstract=868466</w:t>
      </w:r>
    </w:p>
  </w:footnote>
  <w:footnote w:id="14">
    <w:p w14:paraId="6EA1EB37" w14:textId="77777777" w:rsidR="00434D18" w:rsidRPr="001D70CC" w:rsidRDefault="00434D18" w:rsidP="00AD63F0">
      <w:pPr>
        <w:pStyle w:val="FootnoteText"/>
        <w:rPr>
          <w:lang w:val="en-US"/>
        </w:rPr>
      </w:pPr>
      <w:r w:rsidRPr="00CE0078">
        <w:rPr>
          <w:rStyle w:val="FootnoteReference"/>
          <w:rFonts w:ascii="Times New Roman" w:hAnsi="Times New Roman" w:cs="Times New Roman"/>
          <w:sz w:val="20"/>
          <w:szCs w:val="20"/>
        </w:rPr>
        <w:footnoteRef/>
      </w:r>
      <w:r w:rsidRPr="00CE0078">
        <w:rPr>
          <w:rFonts w:ascii="Times New Roman" w:hAnsi="Times New Roman" w:cs="Times New Roman"/>
          <w:sz w:val="20"/>
          <w:szCs w:val="20"/>
          <w:lang w:val="en-US"/>
        </w:rPr>
        <w:t xml:space="preserve"> Chen</w:t>
      </w:r>
      <w:r>
        <w:rPr>
          <w:rFonts w:ascii="Times New Roman" w:hAnsi="Times New Roman" w:cs="Times New Roman"/>
          <w:sz w:val="20"/>
          <w:szCs w:val="20"/>
          <w:lang w:val="en-US"/>
        </w:rPr>
        <w:t xml:space="preserve"> J. </w:t>
      </w:r>
      <w:r w:rsidRPr="00CE0078">
        <w:rPr>
          <w:rFonts w:ascii="Times New Roman" w:hAnsi="Times New Roman" w:cs="Times New Roman"/>
          <w:sz w:val="20"/>
          <w:szCs w:val="20"/>
          <w:lang w:val="en-US"/>
        </w:rPr>
        <w:t>Determinants of capital structure of Chinese-listed companies.</w:t>
      </w:r>
      <w:r>
        <w:rPr>
          <w:rFonts w:ascii="Times New Roman" w:hAnsi="Times New Roman" w:cs="Times New Roman"/>
          <w:sz w:val="20"/>
          <w:szCs w:val="20"/>
          <w:lang w:val="en-US"/>
        </w:rPr>
        <w:t xml:space="preserve"> </w:t>
      </w:r>
      <w:r w:rsidRPr="00CE0078">
        <w:rPr>
          <w:rFonts w:ascii="Times New Roman" w:eastAsia="Times New Roman" w:hAnsi="Times New Roman" w:cs="Times New Roman"/>
          <w:color w:val="000000" w:themeColor="text1"/>
          <w:sz w:val="20"/>
          <w:szCs w:val="20"/>
          <w:shd w:val="clear" w:color="auto" w:fill="FFFFFF"/>
          <w:lang w:val="en-US"/>
        </w:rPr>
        <w:t>–</w:t>
      </w:r>
      <w:r w:rsidRPr="00CE0078">
        <w:rPr>
          <w:rFonts w:ascii="Times New Roman" w:hAnsi="Times New Roman" w:cs="Times New Roman"/>
          <w:sz w:val="20"/>
          <w:szCs w:val="20"/>
          <w:lang w:val="en-US"/>
        </w:rPr>
        <w:t xml:space="preserve"> Journal of  Business Research</w:t>
      </w:r>
      <w:r>
        <w:rPr>
          <w:rFonts w:ascii="Times New Roman" w:hAnsi="Times New Roman" w:cs="Times New Roman"/>
          <w:sz w:val="20"/>
          <w:szCs w:val="20"/>
          <w:lang w:val="en-US"/>
        </w:rPr>
        <w:t xml:space="preserve">. 2004, </w:t>
      </w:r>
      <w:r w:rsidRPr="00CE0078">
        <w:rPr>
          <w:rFonts w:ascii="Times New Roman" w:hAnsi="Times New Roman" w:cs="Times New Roman"/>
          <w:sz w:val="20"/>
          <w:szCs w:val="20"/>
          <w:lang w:val="en-US"/>
        </w:rPr>
        <w:t>№</w:t>
      </w:r>
      <w:r>
        <w:rPr>
          <w:rFonts w:ascii="Times New Roman" w:hAnsi="Times New Roman" w:cs="Times New Roman"/>
          <w:sz w:val="20"/>
          <w:szCs w:val="20"/>
          <w:lang w:val="en-US"/>
        </w:rPr>
        <w:t xml:space="preserve"> 57. P. 134-135</w:t>
      </w:r>
      <w:r w:rsidRPr="00CE0078">
        <w:rPr>
          <w:rFonts w:ascii="Times New Roman" w:hAnsi="Times New Roman" w:cs="Times New Roman"/>
          <w:sz w:val="20"/>
          <w:szCs w:val="20"/>
          <w:lang w:val="en-US"/>
        </w:rPr>
        <w:t>.</w:t>
      </w:r>
    </w:p>
  </w:footnote>
  <w:footnote w:id="15">
    <w:p w14:paraId="54C99889" w14:textId="77777777" w:rsidR="00434D18" w:rsidRPr="006D5E67" w:rsidRDefault="00434D18" w:rsidP="00AD63F0">
      <w:pPr>
        <w:pStyle w:val="FootnoteText"/>
        <w:rPr>
          <w:rFonts w:ascii="Times New Roman" w:hAnsi="Times New Roman" w:cs="Times New Roman"/>
          <w:sz w:val="20"/>
          <w:szCs w:val="20"/>
        </w:rPr>
      </w:pPr>
      <w:r w:rsidRPr="008903DE">
        <w:rPr>
          <w:rStyle w:val="FootnoteReference"/>
          <w:rFonts w:ascii="Times New Roman" w:hAnsi="Times New Roman" w:cs="Times New Roman"/>
          <w:sz w:val="20"/>
          <w:szCs w:val="20"/>
        </w:rPr>
        <w:footnoteRef/>
      </w:r>
      <w:r w:rsidRPr="008903DE">
        <w:rPr>
          <w:rFonts w:ascii="Times New Roman" w:hAnsi="Times New Roman" w:cs="Times New Roman"/>
          <w:sz w:val="20"/>
          <w:szCs w:val="20"/>
          <w:lang w:val="en-US"/>
        </w:rPr>
        <w:t>Statistical Abstract of the United States.</w:t>
      </w:r>
      <w:r>
        <w:rPr>
          <w:rFonts w:ascii="Times New Roman" w:hAnsi="Times New Roman" w:cs="Times New Roman"/>
          <w:sz w:val="20"/>
          <w:szCs w:val="20"/>
          <w:lang w:val="en-US"/>
        </w:rPr>
        <w:t xml:space="preserve"> – Wash.: </w:t>
      </w:r>
      <w:r w:rsidRPr="008903DE">
        <w:rPr>
          <w:rFonts w:ascii="Times New Roman" w:hAnsi="Times New Roman" w:cs="Times New Roman"/>
          <w:sz w:val="20"/>
          <w:szCs w:val="20"/>
          <w:lang w:val="en-US"/>
        </w:rPr>
        <w:t>U.S. Census Bureau</w:t>
      </w:r>
      <w:r>
        <w:rPr>
          <w:rFonts w:ascii="Times New Roman" w:hAnsi="Times New Roman" w:cs="Times New Roman"/>
          <w:sz w:val="20"/>
          <w:szCs w:val="20"/>
          <w:lang w:val="en-US"/>
        </w:rPr>
        <w:t>.</w:t>
      </w:r>
      <w:r w:rsidRPr="008903DE">
        <w:rPr>
          <w:rFonts w:ascii="Times New Roman" w:hAnsi="Times New Roman" w:cs="Times New Roman"/>
          <w:sz w:val="20"/>
          <w:szCs w:val="20"/>
          <w:lang w:val="en-US"/>
        </w:rPr>
        <w:t xml:space="preserve"> </w:t>
      </w:r>
      <w:r w:rsidRPr="006D5E67">
        <w:rPr>
          <w:rFonts w:ascii="Times New Roman" w:hAnsi="Times New Roman" w:cs="Times New Roman"/>
          <w:sz w:val="20"/>
          <w:szCs w:val="20"/>
        </w:rPr>
        <w:t xml:space="preserve">2008. </w:t>
      </w:r>
      <w:r>
        <w:rPr>
          <w:rFonts w:ascii="Times New Roman" w:hAnsi="Times New Roman" w:cs="Times New Roman"/>
          <w:sz w:val="20"/>
          <w:szCs w:val="20"/>
          <w:lang w:val="en-US"/>
        </w:rPr>
        <w:t>P</w:t>
      </w:r>
      <w:r w:rsidRPr="006D5E67">
        <w:rPr>
          <w:rFonts w:ascii="Times New Roman" w:hAnsi="Times New Roman" w:cs="Times New Roman"/>
          <w:sz w:val="20"/>
          <w:szCs w:val="20"/>
        </w:rPr>
        <w:t>. 725.</w:t>
      </w:r>
    </w:p>
  </w:footnote>
  <w:footnote w:id="16">
    <w:p w14:paraId="54EDADD7" w14:textId="77777777" w:rsidR="00434D18" w:rsidRPr="008903DE" w:rsidRDefault="00434D18" w:rsidP="00AD63F0">
      <w:pPr>
        <w:pStyle w:val="FootnoteText"/>
        <w:rPr>
          <w:rFonts w:ascii="Times New Roman" w:hAnsi="Times New Roman" w:cs="Times New Roman"/>
          <w:sz w:val="20"/>
          <w:szCs w:val="20"/>
        </w:rPr>
      </w:pPr>
      <w:r w:rsidRPr="008903DE">
        <w:rPr>
          <w:rStyle w:val="FootnoteReference"/>
          <w:rFonts w:ascii="Times New Roman" w:hAnsi="Times New Roman" w:cs="Times New Roman"/>
          <w:sz w:val="20"/>
          <w:szCs w:val="20"/>
        </w:rPr>
        <w:footnoteRef/>
      </w:r>
      <w:r w:rsidRPr="008903DE">
        <w:rPr>
          <w:rFonts w:ascii="Times New Roman" w:hAnsi="Times New Roman" w:cs="Times New Roman"/>
          <w:sz w:val="20"/>
          <w:szCs w:val="20"/>
        </w:rPr>
        <w:t xml:space="preserve"> Киреев А.П. </w:t>
      </w:r>
      <w:r>
        <w:rPr>
          <w:rFonts w:ascii="Times New Roman" w:hAnsi="Times New Roman" w:cs="Times New Roman"/>
          <w:sz w:val="20"/>
          <w:szCs w:val="20"/>
        </w:rPr>
        <w:t>Указ. Соч.</w:t>
      </w:r>
    </w:p>
  </w:footnote>
  <w:footnote w:id="17">
    <w:p w14:paraId="3D32E46D" w14:textId="77777777" w:rsidR="00434D18" w:rsidRPr="006F0DFA" w:rsidRDefault="00434D18" w:rsidP="00AD63F0">
      <w:pPr>
        <w:pStyle w:val="FootnoteText"/>
        <w:rPr>
          <w:rFonts w:ascii="Times New Roman" w:hAnsi="Times New Roman" w:cs="Times New Roman"/>
          <w:sz w:val="20"/>
          <w:szCs w:val="20"/>
        </w:rPr>
      </w:pPr>
      <w:r w:rsidRPr="008903DE">
        <w:rPr>
          <w:rStyle w:val="FootnoteReference"/>
          <w:rFonts w:ascii="Times New Roman" w:hAnsi="Times New Roman" w:cs="Times New Roman"/>
          <w:sz w:val="20"/>
          <w:szCs w:val="20"/>
        </w:rPr>
        <w:footnoteRef/>
      </w:r>
      <w:r w:rsidRPr="008903DE">
        <w:rPr>
          <w:rFonts w:ascii="Times New Roman" w:hAnsi="Times New Roman" w:cs="Times New Roman"/>
          <w:sz w:val="20"/>
          <w:szCs w:val="20"/>
        </w:rPr>
        <w:t xml:space="preserve"> </w:t>
      </w:r>
      <w:r>
        <w:rPr>
          <w:rFonts w:ascii="Times New Roman" w:hAnsi="Times New Roman" w:cs="Times New Roman"/>
          <w:sz w:val="20"/>
          <w:szCs w:val="20"/>
        </w:rPr>
        <w:t>Рожков</w:t>
      </w:r>
      <w:r w:rsidRPr="008903DE">
        <w:rPr>
          <w:rFonts w:ascii="Times New Roman" w:hAnsi="Times New Roman" w:cs="Times New Roman"/>
          <w:sz w:val="20"/>
          <w:szCs w:val="20"/>
        </w:rPr>
        <w:t xml:space="preserve"> Ю.В. Финансовое посредничество коммерческих банков:</w:t>
      </w:r>
      <w:r w:rsidRPr="006F0DFA">
        <w:rPr>
          <w:rFonts w:ascii="Times New Roman" w:hAnsi="Times New Roman" w:cs="Times New Roman"/>
          <w:sz w:val="20"/>
          <w:szCs w:val="20"/>
        </w:rPr>
        <w:t xml:space="preserve"> </w:t>
      </w:r>
      <w:r>
        <w:rPr>
          <w:rFonts w:ascii="Times New Roman" w:hAnsi="Times New Roman" w:cs="Times New Roman"/>
          <w:sz w:val="20"/>
          <w:szCs w:val="20"/>
        </w:rPr>
        <w:t>монография</w:t>
      </w:r>
      <w:r w:rsidRPr="006F0DFA">
        <w:rPr>
          <w:rFonts w:ascii="Times New Roman" w:hAnsi="Times New Roman" w:cs="Times New Roman"/>
          <w:sz w:val="20"/>
          <w:szCs w:val="20"/>
        </w:rPr>
        <w:t xml:space="preserve">. </w:t>
      </w:r>
      <w:r>
        <w:rPr>
          <w:rFonts w:ascii="Times New Roman" w:hAnsi="Times New Roman" w:cs="Times New Roman"/>
          <w:sz w:val="20"/>
          <w:szCs w:val="20"/>
        </w:rPr>
        <w:t>Хабаровск: РИЦ ХГАЭП</w:t>
      </w:r>
      <w:r w:rsidRPr="006F0DFA">
        <w:rPr>
          <w:rFonts w:ascii="Times New Roman" w:hAnsi="Times New Roman" w:cs="Times New Roman"/>
          <w:sz w:val="20"/>
          <w:szCs w:val="20"/>
        </w:rPr>
        <w:t>.</w:t>
      </w:r>
      <w:r>
        <w:rPr>
          <w:rFonts w:ascii="Times New Roman" w:hAnsi="Times New Roman" w:cs="Times New Roman"/>
          <w:sz w:val="20"/>
          <w:szCs w:val="20"/>
        </w:rPr>
        <w:t xml:space="preserve"> </w:t>
      </w:r>
      <w:r w:rsidRPr="008903DE">
        <w:rPr>
          <w:rFonts w:ascii="Times New Roman" w:hAnsi="Times New Roman" w:cs="Times New Roman"/>
          <w:sz w:val="20"/>
          <w:szCs w:val="20"/>
        </w:rPr>
        <w:t>2011.</w:t>
      </w:r>
      <w:r>
        <w:rPr>
          <w:rFonts w:ascii="Times New Roman" w:hAnsi="Times New Roman" w:cs="Times New Roman"/>
          <w:sz w:val="20"/>
          <w:szCs w:val="20"/>
        </w:rPr>
        <w:t xml:space="preserve"> </w:t>
      </w:r>
      <w:r>
        <w:rPr>
          <w:rFonts w:ascii="Times New Roman" w:hAnsi="Times New Roman" w:cs="Times New Roman"/>
          <w:sz w:val="20"/>
          <w:szCs w:val="20"/>
          <w:lang w:val="en-US"/>
        </w:rPr>
        <w:t>C</w:t>
      </w:r>
      <w:r w:rsidRPr="006F0DFA">
        <w:rPr>
          <w:rFonts w:ascii="Times New Roman" w:hAnsi="Times New Roman" w:cs="Times New Roman"/>
          <w:sz w:val="20"/>
          <w:szCs w:val="20"/>
        </w:rPr>
        <w:t>. 204</w:t>
      </w:r>
      <w:r w:rsidRPr="008903DE">
        <w:rPr>
          <w:rFonts w:ascii="Times New Roman" w:hAnsi="Times New Roman" w:cs="Times New Roman"/>
          <w:sz w:val="20"/>
          <w:szCs w:val="20"/>
        </w:rPr>
        <w:t>.</w:t>
      </w:r>
    </w:p>
  </w:footnote>
  <w:footnote w:id="18">
    <w:p w14:paraId="647202D6" w14:textId="77777777" w:rsidR="00434D18" w:rsidRPr="002313D7" w:rsidRDefault="00434D18" w:rsidP="00AD63F0">
      <w:pPr>
        <w:pStyle w:val="FootnoteText"/>
        <w:rPr>
          <w:rFonts w:ascii="Times New Roman" w:hAnsi="Times New Roman" w:cs="Times New Roman"/>
          <w:sz w:val="20"/>
          <w:szCs w:val="20"/>
          <w:lang w:val="en-US"/>
        </w:rPr>
      </w:pPr>
      <w:r w:rsidRPr="008903DE">
        <w:rPr>
          <w:rStyle w:val="FootnoteReference"/>
          <w:rFonts w:ascii="Times New Roman" w:hAnsi="Times New Roman" w:cs="Times New Roman"/>
          <w:sz w:val="20"/>
          <w:szCs w:val="20"/>
        </w:rPr>
        <w:footnoteRef/>
      </w:r>
      <w:r w:rsidRPr="008903DE">
        <w:rPr>
          <w:rFonts w:ascii="Times New Roman" w:hAnsi="Times New Roman" w:cs="Times New Roman"/>
          <w:sz w:val="20"/>
          <w:szCs w:val="20"/>
        </w:rPr>
        <w:t xml:space="preserve"> Кейнс</w:t>
      </w:r>
      <w:r w:rsidRPr="006F0DFA">
        <w:rPr>
          <w:rFonts w:ascii="Times New Roman" w:hAnsi="Times New Roman" w:cs="Times New Roman"/>
          <w:sz w:val="20"/>
          <w:szCs w:val="20"/>
        </w:rPr>
        <w:t xml:space="preserve"> </w:t>
      </w:r>
      <w:r>
        <w:rPr>
          <w:rFonts w:ascii="Times New Roman" w:hAnsi="Times New Roman" w:cs="Times New Roman"/>
          <w:sz w:val="20"/>
          <w:szCs w:val="20"/>
        </w:rPr>
        <w:t>Дж. М</w:t>
      </w:r>
      <w:r w:rsidRPr="008903DE">
        <w:rPr>
          <w:rFonts w:ascii="Times New Roman" w:hAnsi="Times New Roman" w:cs="Times New Roman"/>
          <w:sz w:val="20"/>
          <w:szCs w:val="20"/>
        </w:rPr>
        <w:t>. Общая теория занятости, процента и денег.</w:t>
      </w:r>
      <w:r w:rsidRPr="006F0DFA">
        <w:rPr>
          <w:rFonts w:ascii="Times New Roman" w:hAnsi="Times New Roman" w:cs="Times New Roman"/>
          <w:sz w:val="20"/>
          <w:szCs w:val="20"/>
        </w:rPr>
        <w:t xml:space="preserve"> – </w:t>
      </w:r>
      <w:r>
        <w:rPr>
          <w:rFonts w:ascii="Times New Roman" w:hAnsi="Times New Roman" w:cs="Times New Roman"/>
          <w:sz w:val="20"/>
          <w:szCs w:val="20"/>
        </w:rPr>
        <w:t xml:space="preserve">М.: </w:t>
      </w:r>
      <w:r w:rsidRPr="008903DE">
        <w:rPr>
          <w:rFonts w:ascii="Times New Roman" w:hAnsi="Times New Roman" w:cs="Times New Roman"/>
          <w:sz w:val="20"/>
          <w:szCs w:val="20"/>
        </w:rPr>
        <w:t>Прогресс</w:t>
      </w:r>
      <w:r w:rsidRPr="006F0DFA">
        <w:rPr>
          <w:rFonts w:ascii="Times New Roman" w:hAnsi="Times New Roman" w:cs="Times New Roman"/>
          <w:sz w:val="20"/>
          <w:szCs w:val="20"/>
        </w:rPr>
        <w:t>.</w:t>
      </w:r>
      <w:r w:rsidRPr="001D70CC">
        <w:rPr>
          <w:rFonts w:ascii="Times New Roman" w:hAnsi="Times New Roman" w:cs="Times New Roman"/>
          <w:sz w:val="20"/>
          <w:szCs w:val="20"/>
        </w:rPr>
        <w:t xml:space="preserve"> </w:t>
      </w:r>
      <w:r w:rsidRPr="007F1818">
        <w:rPr>
          <w:rFonts w:ascii="Times New Roman" w:hAnsi="Times New Roman" w:cs="Times New Roman"/>
          <w:sz w:val="20"/>
          <w:szCs w:val="20"/>
          <w:lang w:val="en-US"/>
        </w:rPr>
        <w:t xml:space="preserve">1978. </w:t>
      </w:r>
      <w:r w:rsidRPr="008903DE">
        <w:rPr>
          <w:rFonts w:ascii="Times New Roman" w:hAnsi="Times New Roman" w:cs="Times New Roman"/>
          <w:sz w:val="20"/>
          <w:szCs w:val="20"/>
        </w:rPr>
        <w:t>С</w:t>
      </w:r>
      <w:r w:rsidRPr="002313D7">
        <w:rPr>
          <w:rFonts w:ascii="Times New Roman" w:hAnsi="Times New Roman" w:cs="Times New Roman"/>
          <w:sz w:val="20"/>
          <w:szCs w:val="20"/>
          <w:lang w:val="en-US"/>
        </w:rPr>
        <w:t>. 170-171.</w:t>
      </w:r>
    </w:p>
  </w:footnote>
  <w:footnote w:id="19">
    <w:p w14:paraId="04E3B266" w14:textId="77777777" w:rsidR="00434D18" w:rsidRPr="008903DE" w:rsidRDefault="00434D18" w:rsidP="00AD63F0">
      <w:pPr>
        <w:pStyle w:val="FootnoteText"/>
        <w:rPr>
          <w:rFonts w:ascii="Times New Roman" w:hAnsi="Times New Roman" w:cs="Times New Roman"/>
          <w:sz w:val="20"/>
          <w:szCs w:val="20"/>
          <w:lang w:val="en-US"/>
        </w:rPr>
      </w:pPr>
      <w:r w:rsidRPr="008903DE">
        <w:rPr>
          <w:rStyle w:val="FootnoteReference"/>
          <w:rFonts w:ascii="Times New Roman" w:hAnsi="Times New Roman" w:cs="Times New Roman"/>
          <w:sz w:val="20"/>
          <w:szCs w:val="20"/>
        </w:rPr>
        <w:footnoteRef/>
      </w:r>
      <w:r w:rsidRPr="006D5E67">
        <w:rPr>
          <w:rFonts w:ascii="Times New Roman" w:hAnsi="Times New Roman" w:cs="Times New Roman"/>
          <w:sz w:val="20"/>
          <w:szCs w:val="20"/>
          <w:lang w:val="en-US"/>
        </w:rPr>
        <w:t xml:space="preserve"> </w:t>
      </w:r>
      <w:r w:rsidRPr="008903DE">
        <w:rPr>
          <w:rFonts w:ascii="Times New Roman" w:hAnsi="Times New Roman" w:cs="Times New Roman"/>
          <w:sz w:val="20"/>
          <w:szCs w:val="20"/>
          <w:lang w:val="en-US"/>
        </w:rPr>
        <w:t>Pigou</w:t>
      </w:r>
      <w:r w:rsidRPr="006D5E67">
        <w:rPr>
          <w:rFonts w:ascii="Times New Roman" w:hAnsi="Times New Roman" w:cs="Times New Roman"/>
          <w:sz w:val="20"/>
          <w:szCs w:val="20"/>
          <w:lang w:val="en-US"/>
        </w:rPr>
        <w:t xml:space="preserve"> </w:t>
      </w:r>
      <w:r w:rsidRPr="008903DE">
        <w:rPr>
          <w:rFonts w:ascii="Times New Roman" w:hAnsi="Times New Roman" w:cs="Times New Roman"/>
          <w:sz w:val="20"/>
          <w:szCs w:val="20"/>
          <w:lang w:val="en-US"/>
        </w:rPr>
        <w:t>A</w:t>
      </w:r>
      <w:r w:rsidRPr="006D5E67">
        <w:rPr>
          <w:rFonts w:ascii="Times New Roman" w:hAnsi="Times New Roman" w:cs="Times New Roman"/>
          <w:sz w:val="20"/>
          <w:szCs w:val="20"/>
          <w:lang w:val="en-US"/>
        </w:rPr>
        <w:t>.</w:t>
      </w:r>
      <w:r w:rsidRPr="008903DE">
        <w:rPr>
          <w:rFonts w:ascii="Times New Roman" w:hAnsi="Times New Roman" w:cs="Times New Roman"/>
          <w:sz w:val="20"/>
          <w:szCs w:val="20"/>
          <w:lang w:val="en-US"/>
        </w:rPr>
        <w:t>C</w:t>
      </w:r>
      <w:r w:rsidRPr="006D5E67">
        <w:rPr>
          <w:rFonts w:ascii="Times New Roman" w:hAnsi="Times New Roman" w:cs="Times New Roman"/>
          <w:sz w:val="20"/>
          <w:szCs w:val="20"/>
          <w:lang w:val="en-US"/>
        </w:rPr>
        <w:t xml:space="preserve">.. </w:t>
      </w:r>
      <w:r>
        <w:rPr>
          <w:rFonts w:ascii="Times New Roman" w:hAnsi="Times New Roman" w:cs="Times New Roman"/>
          <w:sz w:val="20"/>
          <w:szCs w:val="20"/>
          <w:lang w:val="en-US"/>
        </w:rPr>
        <w:t>Economies of Welfare.</w:t>
      </w:r>
      <w:r w:rsidRPr="008903DE">
        <w:rPr>
          <w:rFonts w:ascii="Times New Roman" w:hAnsi="Times New Roman" w:cs="Times New Roman"/>
          <w:sz w:val="20"/>
          <w:szCs w:val="20"/>
          <w:lang w:val="en-US"/>
        </w:rPr>
        <w:t xml:space="preserve"> </w:t>
      </w:r>
      <w:r w:rsidRPr="006F0DFA">
        <w:rPr>
          <w:rFonts w:ascii="Times New Roman" w:hAnsi="Times New Roman" w:cs="Times New Roman"/>
          <w:sz w:val="20"/>
          <w:szCs w:val="20"/>
          <w:lang w:val="en-US"/>
        </w:rPr>
        <w:t>–</w:t>
      </w:r>
      <w:r>
        <w:rPr>
          <w:rFonts w:ascii="Times New Roman" w:hAnsi="Times New Roman" w:cs="Times New Roman"/>
          <w:sz w:val="20"/>
          <w:szCs w:val="20"/>
          <w:lang w:val="en-US"/>
        </w:rPr>
        <w:t xml:space="preserve"> L.: </w:t>
      </w:r>
      <w:r w:rsidRPr="008903DE">
        <w:rPr>
          <w:rFonts w:ascii="Times New Roman" w:hAnsi="Times New Roman" w:cs="Times New Roman"/>
          <w:sz w:val="20"/>
          <w:szCs w:val="20"/>
          <w:lang w:val="en-US"/>
        </w:rPr>
        <w:t>London</w:t>
      </w:r>
      <w:r>
        <w:rPr>
          <w:rFonts w:ascii="Times New Roman" w:hAnsi="Times New Roman" w:cs="Times New Roman"/>
          <w:sz w:val="20"/>
          <w:szCs w:val="20"/>
          <w:lang w:val="en-US"/>
        </w:rPr>
        <w:t xml:space="preserve"> Press.</w:t>
      </w:r>
      <w:r w:rsidRPr="008903DE">
        <w:rPr>
          <w:rFonts w:ascii="Times New Roman" w:hAnsi="Times New Roman" w:cs="Times New Roman"/>
          <w:sz w:val="20"/>
          <w:szCs w:val="20"/>
          <w:lang w:val="en-US"/>
        </w:rPr>
        <w:t xml:space="preserve"> 1932</w:t>
      </w:r>
      <w:r>
        <w:rPr>
          <w:rFonts w:ascii="Times New Roman" w:hAnsi="Times New Roman" w:cs="Times New Roman"/>
          <w:sz w:val="20"/>
          <w:szCs w:val="20"/>
          <w:lang w:val="en-US"/>
        </w:rPr>
        <w:t xml:space="preserve">, </w:t>
      </w:r>
      <w:r w:rsidRPr="008903DE">
        <w:rPr>
          <w:rFonts w:ascii="Times New Roman" w:hAnsi="Times New Roman" w:cs="Times New Roman"/>
          <w:sz w:val="20"/>
          <w:szCs w:val="20"/>
          <w:lang w:val="en-US"/>
        </w:rPr>
        <w:t>4</w:t>
      </w:r>
      <w:r w:rsidRPr="008903DE">
        <w:rPr>
          <w:rFonts w:ascii="Times New Roman" w:hAnsi="Times New Roman" w:cs="Times New Roman"/>
          <w:sz w:val="20"/>
          <w:szCs w:val="20"/>
          <w:vertAlign w:val="superscript"/>
          <w:lang w:val="en-US"/>
        </w:rPr>
        <w:t>th</w:t>
      </w:r>
      <w:r>
        <w:rPr>
          <w:rFonts w:ascii="Times New Roman" w:hAnsi="Times New Roman" w:cs="Times New Roman"/>
          <w:sz w:val="20"/>
          <w:szCs w:val="20"/>
          <w:lang w:val="en-US"/>
        </w:rPr>
        <w:t>.ed</w:t>
      </w:r>
      <w:r w:rsidRPr="008903DE">
        <w:rPr>
          <w:rFonts w:ascii="Times New Roman" w:hAnsi="Times New Roman" w:cs="Times New Roman"/>
          <w:sz w:val="20"/>
          <w:szCs w:val="20"/>
          <w:lang w:val="en-US"/>
        </w:rPr>
        <w:t>.</w:t>
      </w:r>
      <w:r>
        <w:rPr>
          <w:rFonts w:ascii="Times New Roman" w:hAnsi="Times New Roman" w:cs="Times New Roman"/>
          <w:sz w:val="20"/>
          <w:szCs w:val="20"/>
          <w:lang w:val="en-US"/>
        </w:rPr>
        <w:t xml:space="preserve"> P. 128-165.</w:t>
      </w:r>
    </w:p>
  </w:footnote>
  <w:footnote w:id="20">
    <w:p w14:paraId="2E3FA0B0" w14:textId="77777777" w:rsidR="00434D18" w:rsidRPr="008903DE" w:rsidRDefault="00434D18" w:rsidP="00AD63F0">
      <w:pPr>
        <w:pStyle w:val="FootnoteText"/>
        <w:rPr>
          <w:rFonts w:ascii="Times New Roman" w:hAnsi="Times New Roman" w:cs="Times New Roman"/>
          <w:sz w:val="20"/>
          <w:szCs w:val="20"/>
          <w:lang w:val="en-US"/>
        </w:rPr>
      </w:pPr>
      <w:r w:rsidRPr="008903DE">
        <w:rPr>
          <w:rStyle w:val="FootnoteReference"/>
          <w:rFonts w:ascii="Times New Roman" w:hAnsi="Times New Roman" w:cs="Times New Roman"/>
          <w:sz w:val="20"/>
          <w:szCs w:val="20"/>
        </w:rPr>
        <w:footnoteRef/>
      </w:r>
      <w:r w:rsidRPr="008903DE">
        <w:rPr>
          <w:rFonts w:ascii="Times New Roman" w:hAnsi="Times New Roman" w:cs="Times New Roman"/>
          <w:sz w:val="20"/>
          <w:szCs w:val="20"/>
          <w:lang w:val="en-US"/>
        </w:rPr>
        <w:t xml:space="preserve"> Goldsmith R.W. The Flow of Capit</w:t>
      </w:r>
      <w:r>
        <w:rPr>
          <w:rFonts w:ascii="Times New Roman" w:hAnsi="Times New Roman" w:cs="Times New Roman"/>
          <w:sz w:val="20"/>
          <w:szCs w:val="20"/>
          <w:lang w:val="en-US"/>
        </w:rPr>
        <w:t xml:space="preserve">al Funds. The Post-War Economy. </w:t>
      </w:r>
      <w:r w:rsidRPr="006F0DFA">
        <w:rPr>
          <w:rFonts w:ascii="Times New Roman" w:hAnsi="Times New Roman" w:cs="Times New Roman"/>
          <w:sz w:val="20"/>
          <w:szCs w:val="20"/>
          <w:lang w:val="en-US"/>
        </w:rPr>
        <w:t>–</w:t>
      </w:r>
      <w:r>
        <w:rPr>
          <w:rFonts w:ascii="Times New Roman" w:hAnsi="Times New Roman" w:cs="Times New Roman"/>
          <w:sz w:val="20"/>
          <w:szCs w:val="20"/>
          <w:lang w:val="en-US"/>
        </w:rPr>
        <w:t xml:space="preserve"> N.Y.: </w:t>
      </w:r>
      <w:r w:rsidRPr="008903DE">
        <w:rPr>
          <w:rFonts w:ascii="Times New Roman" w:hAnsi="Times New Roman" w:cs="Times New Roman"/>
          <w:sz w:val="20"/>
          <w:szCs w:val="20"/>
          <w:lang w:val="en-US"/>
        </w:rPr>
        <w:t xml:space="preserve">National Bureau of Economic Research. 1965. </w:t>
      </w:r>
      <w:r w:rsidRPr="008903DE">
        <w:rPr>
          <w:rFonts w:ascii="Times New Roman" w:hAnsi="Times New Roman" w:cs="Times New Roman"/>
          <w:sz w:val="20"/>
          <w:szCs w:val="20"/>
        </w:rPr>
        <w:t>Цит</w:t>
      </w:r>
      <w:r w:rsidRPr="008903DE">
        <w:rPr>
          <w:rFonts w:ascii="Times New Roman" w:hAnsi="Times New Roman" w:cs="Times New Roman"/>
          <w:sz w:val="20"/>
          <w:szCs w:val="20"/>
          <w:lang w:val="en-US"/>
        </w:rPr>
        <w:t xml:space="preserve">. </w:t>
      </w:r>
      <w:r w:rsidRPr="008903DE">
        <w:rPr>
          <w:rFonts w:ascii="Times New Roman" w:hAnsi="Times New Roman" w:cs="Times New Roman"/>
          <w:sz w:val="20"/>
          <w:szCs w:val="20"/>
        </w:rPr>
        <w:t>по</w:t>
      </w:r>
      <w:r w:rsidRPr="008903DE">
        <w:rPr>
          <w:rFonts w:ascii="Times New Roman" w:hAnsi="Times New Roman" w:cs="Times New Roman"/>
          <w:sz w:val="20"/>
          <w:szCs w:val="20"/>
          <w:lang w:val="en-US"/>
        </w:rPr>
        <w:t xml:space="preserve">: </w:t>
      </w:r>
      <w:r w:rsidRPr="008903DE">
        <w:rPr>
          <w:rFonts w:ascii="Times New Roman" w:hAnsi="Times New Roman" w:cs="Times New Roman"/>
          <w:sz w:val="20"/>
          <w:szCs w:val="20"/>
        </w:rPr>
        <w:t>Харрис</w:t>
      </w:r>
      <w:r w:rsidRPr="006D5E67">
        <w:rPr>
          <w:rFonts w:ascii="Times New Roman" w:hAnsi="Times New Roman" w:cs="Times New Roman"/>
          <w:sz w:val="20"/>
          <w:szCs w:val="20"/>
          <w:lang w:val="en-US"/>
        </w:rPr>
        <w:t xml:space="preserve"> </w:t>
      </w:r>
      <w:r w:rsidRPr="008903DE">
        <w:rPr>
          <w:rFonts w:ascii="Times New Roman" w:hAnsi="Times New Roman" w:cs="Times New Roman"/>
          <w:sz w:val="20"/>
          <w:szCs w:val="20"/>
        </w:rPr>
        <w:t>Л</w:t>
      </w:r>
      <w:r w:rsidRPr="008903DE">
        <w:rPr>
          <w:rFonts w:ascii="Times New Roman" w:hAnsi="Times New Roman" w:cs="Times New Roman"/>
          <w:sz w:val="20"/>
          <w:szCs w:val="20"/>
          <w:lang w:val="en-US"/>
        </w:rPr>
        <w:t xml:space="preserve">.. </w:t>
      </w:r>
      <w:r w:rsidRPr="008903DE">
        <w:rPr>
          <w:rFonts w:ascii="Times New Roman" w:hAnsi="Times New Roman" w:cs="Times New Roman"/>
          <w:sz w:val="20"/>
          <w:szCs w:val="20"/>
        </w:rPr>
        <w:t>Денежная</w:t>
      </w:r>
      <w:r w:rsidRPr="008903DE">
        <w:rPr>
          <w:rFonts w:ascii="Times New Roman" w:hAnsi="Times New Roman" w:cs="Times New Roman"/>
          <w:sz w:val="20"/>
          <w:szCs w:val="20"/>
          <w:lang w:val="en-US"/>
        </w:rPr>
        <w:t xml:space="preserve"> </w:t>
      </w:r>
      <w:r w:rsidRPr="008903DE">
        <w:rPr>
          <w:rFonts w:ascii="Times New Roman" w:hAnsi="Times New Roman" w:cs="Times New Roman"/>
          <w:sz w:val="20"/>
          <w:szCs w:val="20"/>
        </w:rPr>
        <w:t>теория</w:t>
      </w:r>
      <w:r w:rsidRPr="008903DE">
        <w:rPr>
          <w:rFonts w:ascii="Times New Roman" w:hAnsi="Times New Roman" w:cs="Times New Roman"/>
          <w:sz w:val="20"/>
          <w:szCs w:val="20"/>
          <w:lang w:val="en-US"/>
        </w:rPr>
        <w:t xml:space="preserve">.  </w:t>
      </w:r>
      <w:r w:rsidRPr="006F0DFA">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Pr>
          <w:rFonts w:ascii="Times New Roman" w:hAnsi="Times New Roman" w:cs="Times New Roman"/>
          <w:sz w:val="20"/>
          <w:szCs w:val="20"/>
        </w:rPr>
        <w:t>М</w:t>
      </w:r>
      <w:r w:rsidRPr="006D5E67">
        <w:rPr>
          <w:rFonts w:ascii="Times New Roman" w:hAnsi="Times New Roman" w:cs="Times New Roman"/>
          <w:sz w:val="20"/>
          <w:szCs w:val="20"/>
          <w:lang w:val="en-US"/>
        </w:rPr>
        <w:t xml:space="preserve">.: </w:t>
      </w:r>
      <w:r w:rsidRPr="008903DE">
        <w:rPr>
          <w:rFonts w:ascii="Times New Roman" w:hAnsi="Times New Roman" w:cs="Times New Roman"/>
          <w:sz w:val="20"/>
          <w:szCs w:val="20"/>
        </w:rPr>
        <w:t>Прогресс</w:t>
      </w:r>
      <w:r w:rsidRPr="008903DE">
        <w:rPr>
          <w:rFonts w:ascii="Times New Roman" w:hAnsi="Times New Roman" w:cs="Times New Roman"/>
          <w:sz w:val="20"/>
          <w:szCs w:val="20"/>
          <w:lang w:val="en-US"/>
        </w:rPr>
        <w:t>.</w:t>
      </w:r>
      <w:r>
        <w:rPr>
          <w:rFonts w:ascii="Times New Roman" w:hAnsi="Times New Roman" w:cs="Times New Roman"/>
          <w:sz w:val="20"/>
          <w:szCs w:val="20"/>
          <w:lang w:val="en-US"/>
        </w:rPr>
        <w:t xml:space="preserve"> 1990.</w:t>
      </w:r>
      <w:r w:rsidRPr="008903DE">
        <w:rPr>
          <w:rFonts w:ascii="Times New Roman" w:hAnsi="Times New Roman" w:cs="Times New Roman"/>
          <w:sz w:val="20"/>
          <w:szCs w:val="20"/>
          <w:lang w:val="en-US"/>
        </w:rPr>
        <w:t xml:space="preserve"> </w:t>
      </w:r>
      <w:r w:rsidRPr="008903DE">
        <w:rPr>
          <w:rFonts w:ascii="Times New Roman" w:hAnsi="Times New Roman" w:cs="Times New Roman"/>
          <w:sz w:val="20"/>
          <w:szCs w:val="20"/>
        </w:rPr>
        <w:t>С</w:t>
      </w:r>
      <w:r w:rsidRPr="008903DE">
        <w:rPr>
          <w:rFonts w:ascii="Times New Roman" w:hAnsi="Times New Roman" w:cs="Times New Roman"/>
          <w:sz w:val="20"/>
          <w:szCs w:val="20"/>
          <w:lang w:val="en-US"/>
        </w:rPr>
        <w:t>. 647.</w:t>
      </w:r>
    </w:p>
  </w:footnote>
  <w:footnote w:id="21">
    <w:p w14:paraId="5A044B2A" w14:textId="77777777" w:rsidR="00434D18" w:rsidRPr="00C963E6" w:rsidRDefault="00434D18" w:rsidP="00AD63F0">
      <w:pPr>
        <w:pStyle w:val="FootnoteText"/>
      </w:pPr>
      <w:r w:rsidRPr="008903DE">
        <w:rPr>
          <w:rStyle w:val="FootnoteReference"/>
          <w:rFonts w:ascii="Times New Roman" w:hAnsi="Times New Roman" w:cs="Times New Roman"/>
          <w:sz w:val="20"/>
          <w:szCs w:val="20"/>
        </w:rPr>
        <w:footnoteRef/>
      </w:r>
      <w:r w:rsidRPr="008903DE">
        <w:rPr>
          <w:rFonts w:ascii="Times New Roman" w:hAnsi="Times New Roman" w:cs="Times New Roman"/>
          <w:sz w:val="20"/>
          <w:szCs w:val="20"/>
          <w:lang w:val="en-US"/>
        </w:rPr>
        <w:t xml:space="preserve"> Gurley J.C., Show E.S. Money in a Theory of Finance.</w:t>
      </w:r>
      <w:r>
        <w:rPr>
          <w:rFonts w:ascii="Times New Roman" w:hAnsi="Times New Roman" w:cs="Times New Roman"/>
          <w:sz w:val="20"/>
          <w:szCs w:val="20"/>
          <w:lang w:val="en-US"/>
        </w:rPr>
        <w:t xml:space="preserve"> </w:t>
      </w:r>
      <w:r w:rsidRPr="006F0DFA">
        <w:rPr>
          <w:rFonts w:ascii="Times New Roman" w:hAnsi="Times New Roman" w:cs="Times New Roman"/>
          <w:sz w:val="20"/>
          <w:szCs w:val="20"/>
          <w:lang w:val="en-US"/>
        </w:rPr>
        <w:t>–</w:t>
      </w:r>
      <w:r w:rsidRPr="008903DE">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Brookings: </w:t>
      </w:r>
      <w:r w:rsidRPr="008903DE">
        <w:rPr>
          <w:rFonts w:ascii="Times New Roman" w:hAnsi="Times New Roman" w:cs="Times New Roman"/>
          <w:sz w:val="20"/>
          <w:szCs w:val="20"/>
          <w:lang w:val="en-US"/>
        </w:rPr>
        <w:t>The</w:t>
      </w:r>
      <w:r w:rsidRPr="006F0DFA">
        <w:rPr>
          <w:rFonts w:ascii="Times New Roman" w:hAnsi="Times New Roman" w:cs="Times New Roman"/>
          <w:sz w:val="20"/>
          <w:szCs w:val="20"/>
          <w:lang w:val="en-US"/>
        </w:rPr>
        <w:t xml:space="preserve"> </w:t>
      </w:r>
      <w:r w:rsidRPr="008903DE">
        <w:rPr>
          <w:rFonts w:ascii="Times New Roman" w:hAnsi="Times New Roman" w:cs="Times New Roman"/>
          <w:sz w:val="20"/>
          <w:szCs w:val="20"/>
          <w:lang w:val="en-US"/>
        </w:rPr>
        <w:t>Brookings</w:t>
      </w:r>
      <w:r w:rsidRPr="006F0DFA">
        <w:rPr>
          <w:rFonts w:ascii="Times New Roman" w:hAnsi="Times New Roman" w:cs="Times New Roman"/>
          <w:sz w:val="20"/>
          <w:szCs w:val="20"/>
          <w:lang w:val="en-US"/>
        </w:rPr>
        <w:t xml:space="preserve"> </w:t>
      </w:r>
      <w:r w:rsidRPr="008903DE">
        <w:rPr>
          <w:rFonts w:ascii="Times New Roman" w:hAnsi="Times New Roman" w:cs="Times New Roman"/>
          <w:sz w:val="20"/>
          <w:szCs w:val="20"/>
          <w:lang w:val="en-US"/>
        </w:rPr>
        <w:t>Institution</w:t>
      </w:r>
      <w:r w:rsidRPr="006F0DFA">
        <w:rPr>
          <w:rFonts w:ascii="Times New Roman" w:hAnsi="Times New Roman" w:cs="Times New Roman"/>
          <w:sz w:val="20"/>
          <w:szCs w:val="20"/>
          <w:lang w:val="en-US"/>
        </w:rPr>
        <w:t>, 1960.</w:t>
      </w:r>
      <w:r>
        <w:rPr>
          <w:rFonts w:ascii="Times New Roman" w:hAnsi="Times New Roman" w:cs="Times New Roman"/>
          <w:sz w:val="20"/>
          <w:szCs w:val="20"/>
          <w:lang w:val="en-US"/>
        </w:rPr>
        <w:t xml:space="preserve"> P</w:t>
      </w:r>
      <w:r w:rsidRPr="006F0DFA">
        <w:rPr>
          <w:rFonts w:ascii="Times New Roman" w:hAnsi="Times New Roman" w:cs="Times New Roman"/>
          <w:sz w:val="20"/>
          <w:szCs w:val="20"/>
        </w:rPr>
        <w:t>. 59-8</w:t>
      </w:r>
      <w:r w:rsidRPr="00C963E6">
        <w:rPr>
          <w:rFonts w:ascii="Times New Roman" w:hAnsi="Times New Roman" w:cs="Times New Roman"/>
          <w:sz w:val="20"/>
          <w:szCs w:val="20"/>
        </w:rPr>
        <w:t>2.</w:t>
      </w:r>
    </w:p>
  </w:footnote>
  <w:footnote w:id="22">
    <w:p w14:paraId="71C4722E" w14:textId="77777777" w:rsidR="00434D18" w:rsidRPr="00420AB5" w:rsidRDefault="00434D18" w:rsidP="00AD63F0">
      <w:pPr>
        <w:pStyle w:val="FootnoteText"/>
        <w:rPr>
          <w:rFonts w:ascii="Times New Roman" w:hAnsi="Times New Roman" w:cs="Times New Roman"/>
          <w:sz w:val="20"/>
          <w:szCs w:val="20"/>
          <w:lang w:val="en-US"/>
        </w:rPr>
      </w:pPr>
      <w:r w:rsidRPr="00C659BB">
        <w:rPr>
          <w:rStyle w:val="FootnoteReference"/>
          <w:rFonts w:ascii="Times New Roman" w:hAnsi="Times New Roman" w:cs="Times New Roman"/>
          <w:sz w:val="20"/>
          <w:szCs w:val="20"/>
        </w:rPr>
        <w:footnoteRef/>
      </w:r>
      <w:r w:rsidRPr="00C659BB">
        <w:rPr>
          <w:rFonts w:ascii="Times New Roman" w:hAnsi="Times New Roman" w:cs="Times New Roman"/>
          <w:sz w:val="20"/>
          <w:szCs w:val="20"/>
        </w:rPr>
        <w:t xml:space="preserve"> Янукян М.Г. Современные тенденции развития международного рынка ценных бумаг.  </w:t>
      </w:r>
      <w:r w:rsidRPr="006F0DFA">
        <w:rPr>
          <w:rFonts w:ascii="Times New Roman" w:hAnsi="Times New Roman" w:cs="Times New Roman"/>
          <w:sz w:val="20"/>
          <w:szCs w:val="20"/>
          <w:lang w:val="en-US"/>
        </w:rPr>
        <w:t>–</w:t>
      </w:r>
      <w:r w:rsidRPr="00C659BB">
        <w:rPr>
          <w:rFonts w:ascii="Times New Roman" w:hAnsi="Times New Roman" w:cs="Times New Roman"/>
          <w:sz w:val="20"/>
          <w:szCs w:val="20"/>
        </w:rPr>
        <w:t>Финансы</w:t>
      </w:r>
      <w:r w:rsidRPr="00420AB5">
        <w:rPr>
          <w:rFonts w:ascii="Times New Roman" w:hAnsi="Times New Roman" w:cs="Times New Roman"/>
          <w:sz w:val="20"/>
          <w:szCs w:val="20"/>
          <w:lang w:val="en-US"/>
        </w:rPr>
        <w:t xml:space="preserve"> </w:t>
      </w:r>
      <w:r w:rsidRPr="00C659BB">
        <w:rPr>
          <w:rFonts w:ascii="Times New Roman" w:hAnsi="Times New Roman" w:cs="Times New Roman"/>
          <w:sz w:val="20"/>
          <w:szCs w:val="20"/>
        </w:rPr>
        <w:t>и</w:t>
      </w:r>
      <w:r w:rsidRPr="00420AB5">
        <w:rPr>
          <w:rFonts w:ascii="Times New Roman" w:hAnsi="Times New Roman" w:cs="Times New Roman"/>
          <w:sz w:val="20"/>
          <w:szCs w:val="20"/>
          <w:lang w:val="en-US"/>
        </w:rPr>
        <w:t xml:space="preserve"> </w:t>
      </w:r>
      <w:r w:rsidRPr="00C659BB">
        <w:rPr>
          <w:rFonts w:ascii="Times New Roman" w:hAnsi="Times New Roman" w:cs="Times New Roman"/>
          <w:sz w:val="20"/>
          <w:szCs w:val="20"/>
        </w:rPr>
        <w:t>кредит</w:t>
      </w:r>
      <w:r>
        <w:rPr>
          <w:rFonts w:ascii="Times New Roman" w:hAnsi="Times New Roman" w:cs="Times New Roman"/>
          <w:sz w:val="20"/>
          <w:szCs w:val="20"/>
          <w:lang w:val="en-US"/>
        </w:rPr>
        <w:t>.</w:t>
      </w:r>
      <w:r w:rsidRPr="00420AB5">
        <w:rPr>
          <w:rFonts w:ascii="Times New Roman" w:hAnsi="Times New Roman" w:cs="Times New Roman"/>
          <w:sz w:val="20"/>
          <w:szCs w:val="20"/>
          <w:lang w:val="en-US"/>
        </w:rPr>
        <w:t xml:space="preserve"> 2005, №5. </w:t>
      </w:r>
      <w:r>
        <w:rPr>
          <w:rFonts w:ascii="Times New Roman" w:hAnsi="Times New Roman" w:cs="Times New Roman"/>
          <w:sz w:val="20"/>
          <w:szCs w:val="20"/>
          <w:lang w:val="en-US"/>
        </w:rPr>
        <w:t>C</w:t>
      </w:r>
      <w:r w:rsidRPr="00420AB5">
        <w:rPr>
          <w:rFonts w:ascii="Times New Roman" w:hAnsi="Times New Roman" w:cs="Times New Roman"/>
          <w:sz w:val="20"/>
          <w:szCs w:val="20"/>
          <w:lang w:val="en-US"/>
        </w:rPr>
        <w:t>. 642</w:t>
      </w:r>
      <w:r>
        <w:rPr>
          <w:rFonts w:ascii="Times New Roman" w:hAnsi="Times New Roman" w:cs="Times New Roman"/>
          <w:sz w:val="20"/>
          <w:szCs w:val="20"/>
          <w:lang w:val="en-US"/>
        </w:rPr>
        <w:t>.</w:t>
      </w:r>
    </w:p>
  </w:footnote>
  <w:footnote w:id="23">
    <w:p w14:paraId="185D4C72" w14:textId="77777777" w:rsidR="00434D18" w:rsidRPr="00420AB5" w:rsidRDefault="00434D18" w:rsidP="00AD63F0">
      <w:pPr>
        <w:pStyle w:val="FootnoteText"/>
        <w:rPr>
          <w:lang w:val="en-US"/>
        </w:rPr>
      </w:pPr>
      <w:r w:rsidRPr="00C659BB">
        <w:rPr>
          <w:rStyle w:val="FootnoteReference"/>
          <w:rFonts w:ascii="Times New Roman" w:hAnsi="Times New Roman" w:cs="Times New Roman"/>
          <w:sz w:val="20"/>
          <w:szCs w:val="20"/>
        </w:rPr>
        <w:footnoteRef/>
      </w:r>
      <w:r w:rsidRPr="00420AB5">
        <w:rPr>
          <w:rFonts w:ascii="Times New Roman" w:hAnsi="Times New Roman" w:cs="Times New Roman"/>
          <w:sz w:val="20"/>
          <w:szCs w:val="20"/>
          <w:lang w:val="en-US"/>
        </w:rPr>
        <w:t xml:space="preserve"> </w:t>
      </w:r>
      <w:r w:rsidRPr="00C659BB">
        <w:rPr>
          <w:rFonts w:ascii="Times New Roman" w:hAnsi="Times New Roman" w:cs="Times New Roman"/>
          <w:sz w:val="20"/>
          <w:szCs w:val="20"/>
        </w:rPr>
        <w:t>Там</w:t>
      </w:r>
      <w:r w:rsidRPr="00420AB5">
        <w:rPr>
          <w:rFonts w:ascii="Times New Roman" w:hAnsi="Times New Roman" w:cs="Times New Roman"/>
          <w:sz w:val="20"/>
          <w:szCs w:val="20"/>
          <w:lang w:val="en-US"/>
        </w:rPr>
        <w:t xml:space="preserve"> </w:t>
      </w:r>
      <w:r w:rsidRPr="00C659BB">
        <w:rPr>
          <w:rFonts w:ascii="Times New Roman" w:hAnsi="Times New Roman" w:cs="Times New Roman"/>
          <w:sz w:val="20"/>
          <w:szCs w:val="20"/>
        </w:rPr>
        <w:t>же</w:t>
      </w:r>
      <w:r w:rsidRPr="00420AB5">
        <w:rPr>
          <w:rFonts w:ascii="Times New Roman" w:hAnsi="Times New Roman" w:cs="Times New Roman"/>
          <w:sz w:val="20"/>
          <w:szCs w:val="20"/>
          <w:lang w:val="en-US"/>
        </w:rPr>
        <w:t>.</w:t>
      </w:r>
      <w:r w:rsidRPr="00420AB5">
        <w:rPr>
          <w:lang w:val="en-US"/>
        </w:rPr>
        <w:t xml:space="preserve"> </w:t>
      </w:r>
    </w:p>
  </w:footnote>
  <w:footnote w:id="24">
    <w:p w14:paraId="4E4A5D19" w14:textId="77777777" w:rsidR="00434D18" w:rsidRPr="00C659BB" w:rsidRDefault="00434D18" w:rsidP="00AD63F0">
      <w:pPr>
        <w:pStyle w:val="FootnoteText"/>
        <w:rPr>
          <w:rFonts w:ascii="Times New Roman" w:hAnsi="Times New Roman" w:cs="Times New Roman"/>
          <w:sz w:val="20"/>
          <w:szCs w:val="20"/>
          <w:lang w:val="en-US"/>
        </w:rPr>
      </w:pPr>
      <w:r w:rsidRPr="00C659BB">
        <w:rPr>
          <w:rStyle w:val="FootnoteReference"/>
          <w:rFonts w:ascii="Times New Roman" w:hAnsi="Times New Roman" w:cs="Times New Roman"/>
          <w:sz w:val="20"/>
          <w:szCs w:val="20"/>
        </w:rPr>
        <w:footnoteRef/>
      </w:r>
      <w:r w:rsidRPr="00C659BB">
        <w:rPr>
          <w:rFonts w:ascii="Times New Roman" w:hAnsi="Times New Roman" w:cs="Times New Roman"/>
          <w:sz w:val="20"/>
          <w:szCs w:val="20"/>
          <w:lang w:val="en-US"/>
        </w:rPr>
        <w:t xml:space="preserve"> China Securities Regulatory Co</w:t>
      </w:r>
      <w:r>
        <w:rPr>
          <w:rFonts w:ascii="Times New Roman" w:hAnsi="Times New Roman" w:cs="Times New Roman"/>
          <w:sz w:val="20"/>
          <w:szCs w:val="20"/>
          <w:lang w:val="en-US"/>
        </w:rPr>
        <w:t>mmission Annual Report. 2007. P. 23.</w:t>
      </w:r>
      <w:r w:rsidRPr="00C659BB">
        <w:rPr>
          <w:rFonts w:ascii="Times New Roman" w:hAnsi="Times New Roman" w:cs="Times New Roman"/>
          <w:sz w:val="20"/>
          <w:szCs w:val="20"/>
          <w:lang w:val="en-US"/>
        </w:rPr>
        <w:t xml:space="preserve"> </w:t>
      </w:r>
      <w:r w:rsidRPr="00C963E6">
        <w:rPr>
          <w:rFonts w:ascii="Times New Roman" w:hAnsi="Times New Roman" w:cs="Times New Roman"/>
          <w:sz w:val="20"/>
          <w:szCs w:val="20"/>
          <w:lang w:val="en-US"/>
        </w:rPr>
        <w:t>www.csrc.gov.cn</w:t>
      </w:r>
    </w:p>
  </w:footnote>
  <w:footnote w:id="25">
    <w:p w14:paraId="15E25DF4" w14:textId="77777777" w:rsidR="00434D18" w:rsidRPr="00420AB5" w:rsidRDefault="00434D18" w:rsidP="00AD63F0">
      <w:pPr>
        <w:pStyle w:val="FootnoteText"/>
        <w:rPr>
          <w:rFonts w:ascii="Times New Roman" w:hAnsi="Times New Roman" w:cs="Times New Roman"/>
          <w:sz w:val="20"/>
          <w:szCs w:val="20"/>
          <w:lang w:val="en-US"/>
        </w:rPr>
      </w:pPr>
      <w:r w:rsidRPr="00C659BB">
        <w:rPr>
          <w:rStyle w:val="FootnoteReference"/>
          <w:rFonts w:ascii="Times New Roman" w:hAnsi="Times New Roman" w:cs="Times New Roman"/>
          <w:sz w:val="20"/>
          <w:szCs w:val="20"/>
        </w:rPr>
        <w:footnoteRef/>
      </w:r>
      <w:r w:rsidRPr="00420AB5">
        <w:rPr>
          <w:rFonts w:ascii="Times New Roman" w:hAnsi="Times New Roman" w:cs="Times New Roman"/>
          <w:sz w:val="20"/>
          <w:szCs w:val="20"/>
          <w:lang w:val="en-US"/>
        </w:rPr>
        <w:t xml:space="preserve"> </w:t>
      </w:r>
      <w:r w:rsidRPr="00C659BB">
        <w:rPr>
          <w:rFonts w:ascii="Times New Roman" w:hAnsi="Times New Roman" w:cs="Times New Roman"/>
          <w:sz w:val="20"/>
          <w:szCs w:val="20"/>
          <w:lang w:val="en-US"/>
        </w:rPr>
        <w:t>Ibid</w:t>
      </w:r>
      <w:r w:rsidRPr="00420AB5">
        <w:rPr>
          <w:rFonts w:ascii="Times New Roman" w:hAnsi="Times New Roman" w:cs="Times New Roman"/>
          <w:sz w:val="20"/>
          <w:szCs w:val="20"/>
          <w:lang w:val="en-US"/>
        </w:rPr>
        <w:t xml:space="preserve">. </w:t>
      </w:r>
      <w:r>
        <w:rPr>
          <w:rFonts w:ascii="Times New Roman" w:hAnsi="Times New Roman" w:cs="Times New Roman"/>
          <w:sz w:val="20"/>
          <w:szCs w:val="20"/>
          <w:lang w:val="en-US"/>
        </w:rPr>
        <w:t>P</w:t>
      </w:r>
      <w:r w:rsidRPr="00420AB5">
        <w:rPr>
          <w:rFonts w:ascii="Times New Roman" w:hAnsi="Times New Roman" w:cs="Times New Roman"/>
          <w:sz w:val="20"/>
          <w:szCs w:val="20"/>
          <w:lang w:val="en-US"/>
        </w:rPr>
        <w:t>. 35.</w:t>
      </w:r>
    </w:p>
  </w:footnote>
  <w:footnote w:id="26">
    <w:p w14:paraId="283B1343" w14:textId="77777777" w:rsidR="00434D18" w:rsidRPr="006D5E67" w:rsidRDefault="00434D18" w:rsidP="00AD63F0">
      <w:pPr>
        <w:rPr>
          <w:rFonts w:ascii="Times New Roman" w:eastAsia="Times New Roman" w:hAnsi="Times New Roman" w:cs="Times New Roman"/>
          <w:sz w:val="20"/>
          <w:szCs w:val="20"/>
          <w:lang w:val="en-US"/>
        </w:rPr>
      </w:pPr>
      <w:r w:rsidRPr="00C659BB">
        <w:rPr>
          <w:rStyle w:val="FootnoteReference"/>
          <w:rFonts w:ascii="Times New Roman" w:hAnsi="Times New Roman" w:cs="Times New Roman"/>
          <w:sz w:val="20"/>
          <w:szCs w:val="20"/>
        </w:rPr>
        <w:footnoteRef/>
      </w:r>
      <w:r w:rsidRPr="005A6EAA">
        <w:rPr>
          <w:rFonts w:ascii="Times New Roman" w:hAnsi="Times New Roman" w:cs="Times New Roman"/>
          <w:sz w:val="20"/>
          <w:szCs w:val="20"/>
          <w:lang w:val="en-US"/>
        </w:rPr>
        <w:t xml:space="preserve"> </w:t>
      </w:r>
      <w:r w:rsidRPr="00C659BB">
        <w:rPr>
          <w:rFonts w:ascii="Times New Roman" w:hAnsi="Times New Roman" w:cs="Times New Roman"/>
          <w:sz w:val="20"/>
          <w:szCs w:val="20"/>
          <w:lang w:val="en-US"/>
        </w:rPr>
        <w:t>Green</w:t>
      </w:r>
      <w:r w:rsidRPr="005A6EAA">
        <w:rPr>
          <w:rFonts w:ascii="Times New Roman" w:hAnsi="Times New Roman" w:cs="Times New Roman"/>
          <w:sz w:val="20"/>
          <w:szCs w:val="20"/>
          <w:lang w:val="en-US"/>
        </w:rPr>
        <w:t xml:space="preserve"> </w:t>
      </w:r>
      <w:r w:rsidRPr="00C659BB">
        <w:rPr>
          <w:rFonts w:ascii="Times New Roman" w:hAnsi="Times New Roman" w:cs="Times New Roman"/>
          <w:sz w:val="20"/>
          <w:szCs w:val="20"/>
          <w:lang w:val="en-US"/>
        </w:rPr>
        <w:t>S</w:t>
      </w:r>
      <w:r w:rsidRPr="005A6EAA">
        <w:rPr>
          <w:rFonts w:ascii="Times New Roman" w:hAnsi="Times New Roman" w:cs="Times New Roman"/>
          <w:sz w:val="20"/>
          <w:szCs w:val="20"/>
          <w:lang w:val="en-US"/>
        </w:rPr>
        <w:t xml:space="preserve">. </w:t>
      </w:r>
      <w:r w:rsidRPr="00C659BB">
        <w:rPr>
          <w:rFonts w:ascii="Times New Roman" w:hAnsi="Times New Roman" w:cs="Times New Roman"/>
          <w:sz w:val="20"/>
          <w:szCs w:val="20"/>
          <w:lang w:val="en-US"/>
        </w:rPr>
        <w:t>Enterprise Reform and Stock Market Development in Mainland China.</w:t>
      </w:r>
      <w:r>
        <w:rPr>
          <w:rFonts w:ascii="Times New Roman" w:hAnsi="Times New Roman" w:cs="Times New Roman"/>
          <w:sz w:val="20"/>
          <w:szCs w:val="20"/>
          <w:lang w:val="en-US"/>
        </w:rPr>
        <w:t xml:space="preserve"> </w:t>
      </w:r>
      <w:r w:rsidRPr="00C963E6">
        <w:rPr>
          <w:rFonts w:ascii="Times New Roman" w:hAnsi="Times New Roman" w:cs="Times New Roman"/>
          <w:sz w:val="20"/>
          <w:szCs w:val="20"/>
          <w:lang w:val="en-US"/>
        </w:rPr>
        <w:t>–</w:t>
      </w:r>
      <w:r w:rsidRPr="00C659BB">
        <w:rPr>
          <w:rFonts w:ascii="Times New Roman" w:hAnsi="Times New Roman" w:cs="Times New Roman"/>
          <w:sz w:val="20"/>
          <w:szCs w:val="20"/>
          <w:lang w:val="en-US"/>
        </w:rPr>
        <w:t xml:space="preserve"> </w:t>
      </w:r>
      <w:r w:rsidRPr="006D5E67">
        <w:rPr>
          <w:rFonts w:ascii="Times New Roman" w:eastAsia="Times New Roman" w:hAnsi="Times New Roman" w:cs="Times New Roman"/>
          <w:color w:val="444444"/>
          <w:sz w:val="20"/>
          <w:szCs w:val="20"/>
          <w:shd w:val="clear" w:color="auto" w:fill="FFFFFF"/>
          <w:lang w:val="en-US"/>
        </w:rPr>
        <w:t>Frankfurt:</w:t>
      </w:r>
    </w:p>
    <w:p w14:paraId="7D5EBEF6" w14:textId="77777777" w:rsidR="00434D18" w:rsidRPr="00AD63F0" w:rsidRDefault="00434D18" w:rsidP="00AD63F0">
      <w:pPr>
        <w:pStyle w:val="FootnoteText"/>
        <w:ind w:left="-1560" w:hanging="141"/>
        <w:rPr>
          <w:rFonts w:ascii="Times New Roman" w:hAnsi="Times New Roman" w:cs="Times New Roman"/>
          <w:sz w:val="20"/>
          <w:szCs w:val="20"/>
          <w:lang w:val="en-US"/>
        </w:rPr>
      </w:pPr>
      <w:r w:rsidRPr="00910B3E">
        <w:rPr>
          <w:rFonts w:ascii="Times New Roman" w:hAnsi="Times New Roman" w:cs="Times New Roman"/>
          <w:sz w:val="20"/>
          <w:szCs w:val="20"/>
          <w:lang w:val="en-US"/>
        </w:rPr>
        <w:t xml:space="preserve">                                   </w:t>
      </w:r>
      <w:r w:rsidRPr="00C659BB">
        <w:rPr>
          <w:rFonts w:ascii="Times New Roman" w:hAnsi="Times New Roman" w:cs="Times New Roman"/>
          <w:sz w:val="20"/>
          <w:szCs w:val="20"/>
          <w:lang w:val="en-US"/>
        </w:rPr>
        <w:t>Deutsche</w:t>
      </w:r>
      <w:r w:rsidRPr="00AD63F0">
        <w:rPr>
          <w:rFonts w:ascii="Times New Roman" w:hAnsi="Times New Roman" w:cs="Times New Roman"/>
          <w:sz w:val="20"/>
          <w:szCs w:val="20"/>
          <w:lang w:val="en-US"/>
        </w:rPr>
        <w:t xml:space="preserve"> </w:t>
      </w:r>
      <w:r w:rsidRPr="00C659BB">
        <w:rPr>
          <w:rFonts w:ascii="Times New Roman" w:hAnsi="Times New Roman" w:cs="Times New Roman"/>
          <w:sz w:val="20"/>
          <w:szCs w:val="20"/>
          <w:lang w:val="en-US"/>
        </w:rPr>
        <w:t>Bank</w:t>
      </w:r>
      <w:r w:rsidRPr="00AD63F0">
        <w:rPr>
          <w:rFonts w:ascii="Times New Roman" w:hAnsi="Times New Roman" w:cs="Times New Roman"/>
          <w:sz w:val="20"/>
          <w:szCs w:val="20"/>
          <w:lang w:val="en-US"/>
        </w:rPr>
        <w:t xml:space="preserve"> </w:t>
      </w:r>
      <w:r w:rsidRPr="00C659BB">
        <w:rPr>
          <w:rFonts w:ascii="Times New Roman" w:hAnsi="Times New Roman" w:cs="Times New Roman"/>
          <w:sz w:val="20"/>
          <w:szCs w:val="20"/>
          <w:lang w:val="en-US"/>
        </w:rPr>
        <w:t>Research</w:t>
      </w:r>
      <w:r w:rsidRPr="00AD63F0">
        <w:rPr>
          <w:rFonts w:ascii="Times New Roman" w:hAnsi="Times New Roman" w:cs="Times New Roman"/>
          <w:sz w:val="20"/>
          <w:szCs w:val="20"/>
          <w:lang w:val="en-US"/>
        </w:rPr>
        <w:t xml:space="preserve">. 2004. </w:t>
      </w:r>
      <w:r>
        <w:rPr>
          <w:rFonts w:ascii="Times New Roman" w:hAnsi="Times New Roman" w:cs="Times New Roman"/>
          <w:sz w:val="20"/>
          <w:szCs w:val="20"/>
          <w:lang w:val="en-US"/>
        </w:rPr>
        <w:t>P</w:t>
      </w:r>
      <w:r w:rsidRPr="00AD63F0">
        <w:rPr>
          <w:rFonts w:ascii="Times New Roman" w:hAnsi="Times New Roman" w:cs="Times New Roman"/>
          <w:sz w:val="20"/>
          <w:szCs w:val="20"/>
          <w:lang w:val="en-US"/>
        </w:rPr>
        <w:t>. 34.</w:t>
      </w:r>
    </w:p>
  </w:footnote>
  <w:footnote w:id="27">
    <w:p w14:paraId="36D0EA77" w14:textId="77777777" w:rsidR="00434D18" w:rsidRPr="00AD63F0" w:rsidRDefault="00434D18" w:rsidP="00AD63F0">
      <w:pPr>
        <w:widowControl w:val="0"/>
        <w:tabs>
          <w:tab w:val="left" w:pos="220"/>
          <w:tab w:val="left" w:pos="720"/>
        </w:tabs>
        <w:autoSpaceDE w:val="0"/>
        <w:autoSpaceDN w:val="0"/>
        <w:adjustRightInd w:val="0"/>
        <w:rPr>
          <w:rFonts w:ascii="Times New Roman" w:hAnsi="Times New Roman" w:cs="Times New Roman"/>
          <w:sz w:val="20"/>
          <w:szCs w:val="20"/>
        </w:rPr>
      </w:pPr>
      <w:r w:rsidRPr="00C659BB">
        <w:rPr>
          <w:rStyle w:val="FootnoteReference"/>
          <w:rFonts w:ascii="Times New Roman" w:hAnsi="Times New Roman" w:cs="Times New Roman"/>
          <w:sz w:val="20"/>
          <w:szCs w:val="20"/>
        </w:rPr>
        <w:footnoteRef/>
      </w:r>
      <w:r w:rsidRPr="00C659BB">
        <w:rPr>
          <w:rFonts w:ascii="Times New Roman" w:hAnsi="Times New Roman" w:cs="Times New Roman"/>
          <w:sz w:val="20"/>
          <w:szCs w:val="20"/>
          <w:lang w:val="en-US"/>
        </w:rPr>
        <w:t xml:space="preserve"> China Securities Regulatory Commi</w:t>
      </w:r>
      <w:r>
        <w:rPr>
          <w:rFonts w:ascii="Times New Roman" w:hAnsi="Times New Roman" w:cs="Times New Roman"/>
          <w:sz w:val="20"/>
          <w:szCs w:val="20"/>
          <w:lang w:val="en-US"/>
        </w:rPr>
        <w:t>ssion Annual Report</w:t>
      </w:r>
      <w:r w:rsidRPr="00CD0AEC">
        <w:rPr>
          <w:rFonts w:ascii="Times New Roman" w:hAnsi="Times New Roman" w:cs="Times New Roman"/>
          <w:sz w:val="20"/>
          <w:szCs w:val="20"/>
          <w:lang w:val="en-US"/>
        </w:rPr>
        <w:t xml:space="preserve">. </w:t>
      </w:r>
      <w:r w:rsidRPr="00AD63F0">
        <w:rPr>
          <w:rFonts w:ascii="Times New Roman" w:hAnsi="Times New Roman" w:cs="Times New Roman"/>
          <w:sz w:val="20"/>
          <w:szCs w:val="20"/>
        </w:rPr>
        <w:t xml:space="preserve">2007 – </w:t>
      </w:r>
      <w:r w:rsidRPr="00C659BB">
        <w:rPr>
          <w:rFonts w:ascii="Times New Roman" w:hAnsi="Times New Roman" w:cs="Times New Roman"/>
          <w:sz w:val="20"/>
          <w:szCs w:val="20"/>
          <w:lang w:val="en-US"/>
        </w:rPr>
        <w:t>www</w:t>
      </w:r>
      <w:r w:rsidRPr="00AD63F0">
        <w:rPr>
          <w:rFonts w:ascii="Times New Roman" w:hAnsi="Times New Roman" w:cs="Times New Roman"/>
          <w:sz w:val="20"/>
          <w:szCs w:val="20"/>
        </w:rPr>
        <w:t>.</w:t>
      </w:r>
      <w:r w:rsidRPr="00C659BB">
        <w:rPr>
          <w:rFonts w:ascii="Times New Roman" w:hAnsi="Times New Roman" w:cs="Times New Roman"/>
          <w:sz w:val="20"/>
          <w:szCs w:val="20"/>
          <w:lang w:val="en-US"/>
        </w:rPr>
        <w:t>csrc</w:t>
      </w:r>
      <w:r w:rsidRPr="00AD63F0">
        <w:rPr>
          <w:rFonts w:ascii="Times New Roman" w:hAnsi="Times New Roman" w:cs="Times New Roman"/>
          <w:sz w:val="20"/>
          <w:szCs w:val="20"/>
        </w:rPr>
        <w:t>.</w:t>
      </w:r>
      <w:r w:rsidRPr="00C659BB">
        <w:rPr>
          <w:rFonts w:ascii="Times New Roman" w:hAnsi="Times New Roman" w:cs="Times New Roman"/>
          <w:sz w:val="20"/>
          <w:szCs w:val="20"/>
          <w:lang w:val="en-US"/>
        </w:rPr>
        <w:t>gov</w:t>
      </w:r>
      <w:r w:rsidRPr="00AD63F0">
        <w:rPr>
          <w:rFonts w:ascii="Times New Roman" w:hAnsi="Times New Roman" w:cs="Times New Roman"/>
          <w:sz w:val="20"/>
          <w:szCs w:val="20"/>
        </w:rPr>
        <w:t>.</w:t>
      </w:r>
      <w:r w:rsidRPr="00C659BB">
        <w:rPr>
          <w:rFonts w:ascii="Times New Roman" w:hAnsi="Times New Roman" w:cs="Times New Roman"/>
          <w:sz w:val="20"/>
          <w:szCs w:val="20"/>
          <w:lang w:val="en-US"/>
        </w:rPr>
        <w:t>cn</w:t>
      </w:r>
      <w:r w:rsidRPr="00AD63F0">
        <w:rPr>
          <w:rFonts w:ascii="Times New Roman" w:hAnsi="Times New Roman" w:cs="Times New Roman"/>
          <w:sz w:val="20"/>
          <w:szCs w:val="20"/>
        </w:rPr>
        <w:t xml:space="preserve"> </w:t>
      </w:r>
    </w:p>
  </w:footnote>
  <w:footnote w:id="28">
    <w:p w14:paraId="07BF9DE4" w14:textId="77777777" w:rsidR="00434D18" w:rsidRPr="00DF0932" w:rsidRDefault="00434D18" w:rsidP="00AD63F0">
      <w:pPr>
        <w:widowControl w:val="0"/>
        <w:tabs>
          <w:tab w:val="left" w:pos="220"/>
          <w:tab w:val="left" w:pos="720"/>
        </w:tabs>
        <w:autoSpaceDE w:val="0"/>
        <w:autoSpaceDN w:val="0"/>
        <w:adjustRightInd w:val="0"/>
        <w:rPr>
          <w:rFonts w:ascii="Times New Roman" w:hAnsi="Times New Roman" w:cs="Times New Roman"/>
          <w:sz w:val="20"/>
          <w:szCs w:val="20"/>
          <w:lang w:val="en-US"/>
        </w:rPr>
      </w:pPr>
      <w:r w:rsidRPr="00C659BB">
        <w:rPr>
          <w:rStyle w:val="FootnoteReference"/>
          <w:rFonts w:ascii="Times New Roman" w:hAnsi="Times New Roman" w:cs="Times New Roman"/>
          <w:sz w:val="20"/>
          <w:szCs w:val="20"/>
        </w:rPr>
        <w:footnoteRef/>
      </w:r>
      <w:r w:rsidRPr="001D70CC">
        <w:rPr>
          <w:rFonts w:ascii="Times New Roman" w:hAnsi="Times New Roman" w:cs="Times New Roman"/>
          <w:sz w:val="20"/>
          <w:szCs w:val="20"/>
        </w:rPr>
        <w:t xml:space="preserve"> </w:t>
      </w:r>
      <w:r>
        <w:rPr>
          <w:rFonts w:ascii="Times New Roman" w:hAnsi="Times New Roman" w:cs="Times New Roman"/>
          <w:sz w:val="20"/>
          <w:szCs w:val="20"/>
        </w:rPr>
        <w:t xml:space="preserve">Фещенко В. </w:t>
      </w:r>
      <w:r w:rsidRPr="00C659BB">
        <w:rPr>
          <w:rFonts w:ascii="Times New Roman" w:hAnsi="Times New Roman" w:cs="Times New Roman"/>
          <w:sz w:val="20"/>
          <w:szCs w:val="20"/>
        </w:rPr>
        <w:t>Гонконг</w:t>
      </w:r>
      <w:r w:rsidRPr="001D70CC">
        <w:rPr>
          <w:rFonts w:ascii="Times New Roman" w:hAnsi="Times New Roman" w:cs="Times New Roman"/>
          <w:sz w:val="20"/>
          <w:szCs w:val="20"/>
        </w:rPr>
        <w:t xml:space="preserve">: </w:t>
      </w:r>
      <w:r w:rsidRPr="00C659BB">
        <w:rPr>
          <w:rFonts w:ascii="Times New Roman" w:hAnsi="Times New Roman" w:cs="Times New Roman"/>
          <w:sz w:val="20"/>
          <w:szCs w:val="20"/>
        </w:rPr>
        <w:t>уроки</w:t>
      </w:r>
      <w:r w:rsidRPr="001D70CC">
        <w:rPr>
          <w:rFonts w:ascii="Times New Roman" w:hAnsi="Times New Roman" w:cs="Times New Roman"/>
          <w:sz w:val="20"/>
          <w:szCs w:val="20"/>
        </w:rPr>
        <w:t xml:space="preserve"> </w:t>
      </w:r>
      <w:r w:rsidRPr="00C659BB">
        <w:rPr>
          <w:rFonts w:ascii="Times New Roman" w:hAnsi="Times New Roman" w:cs="Times New Roman"/>
          <w:sz w:val="20"/>
          <w:szCs w:val="20"/>
        </w:rPr>
        <w:t>финансового</w:t>
      </w:r>
      <w:r w:rsidRPr="001D70CC">
        <w:rPr>
          <w:rFonts w:ascii="Times New Roman" w:hAnsi="Times New Roman" w:cs="Times New Roman"/>
          <w:sz w:val="20"/>
          <w:szCs w:val="20"/>
        </w:rPr>
        <w:t xml:space="preserve"> </w:t>
      </w:r>
      <w:r w:rsidRPr="00C659BB">
        <w:rPr>
          <w:rFonts w:ascii="Times New Roman" w:hAnsi="Times New Roman" w:cs="Times New Roman"/>
          <w:sz w:val="20"/>
          <w:szCs w:val="20"/>
        </w:rPr>
        <w:t>кризиса</w:t>
      </w:r>
      <w:r w:rsidRPr="001D70CC">
        <w:rPr>
          <w:rFonts w:ascii="Times New Roman" w:hAnsi="Times New Roman" w:cs="Times New Roman"/>
          <w:sz w:val="20"/>
          <w:szCs w:val="20"/>
        </w:rPr>
        <w:t xml:space="preserve">. </w:t>
      </w:r>
      <w:r w:rsidRPr="00CD0AEC">
        <w:rPr>
          <w:rFonts w:ascii="Times New Roman" w:hAnsi="Times New Roman" w:cs="Times New Roman"/>
          <w:sz w:val="20"/>
          <w:szCs w:val="20"/>
        </w:rPr>
        <w:t>–</w:t>
      </w:r>
      <w:r>
        <w:rPr>
          <w:rFonts w:ascii="Times New Roman" w:hAnsi="Times New Roman" w:cs="Times New Roman"/>
          <w:sz w:val="20"/>
          <w:szCs w:val="20"/>
        </w:rPr>
        <w:t xml:space="preserve"> </w:t>
      </w:r>
      <w:r w:rsidRPr="00C659BB">
        <w:rPr>
          <w:rFonts w:ascii="Times New Roman" w:hAnsi="Times New Roman" w:cs="Times New Roman"/>
          <w:sz w:val="20"/>
          <w:szCs w:val="20"/>
        </w:rPr>
        <w:t>Б</w:t>
      </w:r>
      <w:r>
        <w:rPr>
          <w:rFonts w:ascii="Times New Roman" w:hAnsi="Times New Roman" w:cs="Times New Roman"/>
          <w:sz w:val="20"/>
          <w:szCs w:val="20"/>
        </w:rPr>
        <w:t xml:space="preserve">анковское дело: зарубежный опыт. </w:t>
      </w:r>
      <w:r w:rsidRPr="00DF0932">
        <w:rPr>
          <w:rFonts w:ascii="Times New Roman" w:hAnsi="Times New Roman" w:cs="Times New Roman"/>
          <w:sz w:val="20"/>
          <w:szCs w:val="20"/>
          <w:lang w:val="en-US"/>
        </w:rPr>
        <w:t xml:space="preserve">2001, №12. </w:t>
      </w:r>
      <w:r>
        <w:rPr>
          <w:rFonts w:ascii="Times New Roman" w:hAnsi="Times New Roman" w:cs="Times New Roman"/>
          <w:sz w:val="20"/>
          <w:szCs w:val="20"/>
        </w:rPr>
        <w:t>С</w:t>
      </w:r>
      <w:r w:rsidRPr="00DF0932">
        <w:rPr>
          <w:rFonts w:ascii="Times New Roman" w:hAnsi="Times New Roman" w:cs="Times New Roman"/>
          <w:sz w:val="20"/>
          <w:szCs w:val="20"/>
          <w:lang w:val="en-US"/>
        </w:rPr>
        <w:t xml:space="preserve">. 62. </w:t>
      </w:r>
    </w:p>
    <w:p w14:paraId="5D18F251" w14:textId="77777777" w:rsidR="00434D18" w:rsidRPr="00DF0932" w:rsidRDefault="00434D18" w:rsidP="00AD63F0">
      <w:pPr>
        <w:pStyle w:val="FootnoteText"/>
        <w:rPr>
          <w:lang w:val="en-US"/>
        </w:rPr>
      </w:pPr>
    </w:p>
  </w:footnote>
  <w:footnote w:id="29">
    <w:p w14:paraId="2114FA00" w14:textId="77777777" w:rsidR="00434D18" w:rsidRPr="00DF0932" w:rsidRDefault="00434D18" w:rsidP="00AD63F0">
      <w:pPr>
        <w:widowControl w:val="0"/>
        <w:tabs>
          <w:tab w:val="left" w:pos="220"/>
          <w:tab w:val="left" w:pos="720"/>
        </w:tabs>
        <w:autoSpaceDE w:val="0"/>
        <w:autoSpaceDN w:val="0"/>
        <w:adjustRightInd w:val="0"/>
        <w:spacing w:after="360"/>
        <w:rPr>
          <w:rFonts w:ascii="Times New Roman" w:hAnsi="Times New Roman" w:cs="Times New Roman"/>
          <w:sz w:val="38"/>
          <w:szCs w:val="38"/>
          <w:lang w:val="en-US"/>
        </w:rPr>
      </w:pPr>
      <w:r w:rsidRPr="00C659BB">
        <w:rPr>
          <w:rStyle w:val="FootnoteReference"/>
          <w:rFonts w:ascii="Times New Roman" w:hAnsi="Times New Roman" w:cs="Times New Roman"/>
          <w:sz w:val="20"/>
          <w:szCs w:val="20"/>
        </w:rPr>
        <w:footnoteRef/>
      </w:r>
      <w:r w:rsidRPr="00C659BB">
        <w:rPr>
          <w:rFonts w:ascii="Times New Roman" w:hAnsi="Times New Roman" w:cs="Times New Roman"/>
          <w:sz w:val="20"/>
          <w:szCs w:val="20"/>
          <w:lang w:val="en-US"/>
        </w:rPr>
        <w:t xml:space="preserve"> China Securities Regulator</w:t>
      </w:r>
      <w:r>
        <w:rPr>
          <w:rFonts w:ascii="Times New Roman" w:hAnsi="Times New Roman" w:cs="Times New Roman"/>
          <w:sz w:val="20"/>
          <w:szCs w:val="20"/>
          <w:lang w:val="en-US"/>
        </w:rPr>
        <w:t>y Commission Annual Report</w:t>
      </w:r>
      <w:r w:rsidRPr="00CD0AEC">
        <w:rPr>
          <w:rFonts w:ascii="Times New Roman" w:hAnsi="Times New Roman" w:cs="Times New Roman"/>
          <w:sz w:val="20"/>
          <w:szCs w:val="20"/>
          <w:lang w:val="en-US"/>
        </w:rPr>
        <w:t xml:space="preserve">. </w:t>
      </w:r>
      <w:r w:rsidRPr="00DF0932">
        <w:rPr>
          <w:rFonts w:ascii="Times New Roman" w:hAnsi="Times New Roman" w:cs="Times New Roman"/>
          <w:sz w:val="20"/>
          <w:szCs w:val="20"/>
          <w:lang w:val="en-US"/>
        </w:rPr>
        <w:t xml:space="preserve">2011. –  </w:t>
      </w:r>
      <w:r w:rsidRPr="00C659BB">
        <w:rPr>
          <w:rFonts w:ascii="Times New Roman" w:hAnsi="Times New Roman" w:cs="Times New Roman"/>
          <w:sz w:val="20"/>
          <w:szCs w:val="20"/>
          <w:lang w:val="en-US"/>
        </w:rPr>
        <w:t>www</w:t>
      </w:r>
      <w:r w:rsidRPr="00DF0932">
        <w:rPr>
          <w:rFonts w:ascii="Times New Roman" w:hAnsi="Times New Roman" w:cs="Times New Roman"/>
          <w:sz w:val="20"/>
          <w:szCs w:val="20"/>
          <w:lang w:val="en-US"/>
        </w:rPr>
        <w:t>.</w:t>
      </w:r>
      <w:r w:rsidRPr="00C659BB">
        <w:rPr>
          <w:rFonts w:ascii="Times New Roman" w:hAnsi="Times New Roman" w:cs="Times New Roman"/>
          <w:sz w:val="20"/>
          <w:szCs w:val="20"/>
          <w:lang w:val="en-US"/>
        </w:rPr>
        <w:t>csrc</w:t>
      </w:r>
      <w:r w:rsidRPr="00DF0932">
        <w:rPr>
          <w:rFonts w:ascii="Times New Roman" w:hAnsi="Times New Roman" w:cs="Times New Roman"/>
          <w:sz w:val="20"/>
          <w:szCs w:val="20"/>
          <w:lang w:val="en-US"/>
        </w:rPr>
        <w:t>.</w:t>
      </w:r>
      <w:r w:rsidRPr="00C659BB">
        <w:rPr>
          <w:rFonts w:ascii="Times New Roman" w:hAnsi="Times New Roman" w:cs="Times New Roman"/>
          <w:sz w:val="20"/>
          <w:szCs w:val="20"/>
          <w:lang w:val="en-US"/>
        </w:rPr>
        <w:t>gov</w:t>
      </w:r>
      <w:r w:rsidRPr="00DF0932">
        <w:rPr>
          <w:rFonts w:ascii="Times New Roman" w:hAnsi="Times New Roman" w:cs="Times New Roman"/>
          <w:sz w:val="20"/>
          <w:szCs w:val="20"/>
          <w:lang w:val="en-US"/>
        </w:rPr>
        <w:t>.</w:t>
      </w:r>
      <w:r w:rsidRPr="00C659BB">
        <w:rPr>
          <w:rFonts w:ascii="Times New Roman" w:hAnsi="Times New Roman" w:cs="Times New Roman"/>
          <w:sz w:val="20"/>
          <w:szCs w:val="20"/>
          <w:lang w:val="en-US"/>
        </w:rPr>
        <w:t>cn</w:t>
      </w:r>
    </w:p>
  </w:footnote>
  <w:footnote w:id="30">
    <w:p w14:paraId="3CC78D0B" w14:textId="77777777" w:rsidR="00434D18" w:rsidRPr="00405CF3" w:rsidRDefault="00434D18" w:rsidP="00AD63F0">
      <w:pPr>
        <w:pStyle w:val="FootnoteText"/>
        <w:rPr>
          <w:rFonts w:ascii="Times New Roman" w:hAnsi="Times New Roman" w:cs="Times New Roman"/>
          <w:sz w:val="20"/>
          <w:szCs w:val="20"/>
        </w:rPr>
      </w:pPr>
      <w:r>
        <w:rPr>
          <w:rStyle w:val="FootnoteReference"/>
        </w:rPr>
        <w:footnoteRef/>
      </w:r>
      <w:r>
        <w:t xml:space="preserve"> </w:t>
      </w:r>
      <w:r w:rsidRPr="00405CF3">
        <w:rPr>
          <w:rFonts w:ascii="Times New Roman" w:hAnsi="Times New Roman" w:cs="Times New Roman"/>
          <w:sz w:val="20"/>
          <w:szCs w:val="20"/>
        </w:rPr>
        <w:t>Миркин Я.М. Рынок це</w:t>
      </w:r>
      <w:r>
        <w:rPr>
          <w:rFonts w:ascii="Times New Roman" w:hAnsi="Times New Roman" w:cs="Times New Roman"/>
          <w:sz w:val="20"/>
          <w:szCs w:val="20"/>
        </w:rPr>
        <w:t xml:space="preserve">нных бумаг России: воздействие </w:t>
      </w:r>
      <w:r w:rsidRPr="00405CF3">
        <w:rPr>
          <w:rFonts w:ascii="Times New Roman" w:hAnsi="Times New Roman" w:cs="Times New Roman"/>
          <w:sz w:val="20"/>
          <w:szCs w:val="20"/>
        </w:rPr>
        <w:t>фундаментальных факторов, прогноз и п</w:t>
      </w:r>
      <w:r>
        <w:rPr>
          <w:rFonts w:ascii="Times New Roman" w:hAnsi="Times New Roman" w:cs="Times New Roman"/>
          <w:sz w:val="20"/>
          <w:szCs w:val="20"/>
        </w:rPr>
        <w:t xml:space="preserve">олитика развития. </w:t>
      </w:r>
      <w:r w:rsidRPr="00F95522">
        <w:rPr>
          <w:rFonts w:ascii="Times New Roman" w:hAnsi="Times New Roman" w:cs="Times New Roman"/>
          <w:sz w:val="20"/>
          <w:szCs w:val="20"/>
        </w:rPr>
        <w:t xml:space="preserve">- </w:t>
      </w:r>
      <w:r>
        <w:rPr>
          <w:rFonts w:ascii="Times New Roman" w:hAnsi="Times New Roman" w:cs="Times New Roman"/>
          <w:sz w:val="20"/>
          <w:szCs w:val="20"/>
        </w:rPr>
        <w:t xml:space="preserve">М.: Альпина </w:t>
      </w:r>
      <w:r w:rsidRPr="00405CF3">
        <w:rPr>
          <w:rFonts w:ascii="Times New Roman" w:hAnsi="Times New Roman" w:cs="Times New Roman"/>
          <w:sz w:val="20"/>
          <w:szCs w:val="20"/>
        </w:rPr>
        <w:t>Паблишер, 2002</w:t>
      </w:r>
      <w:r>
        <w:rPr>
          <w:rFonts w:ascii="Times New Roman" w:hAnsi="Times New Roman" w:cs="Times New Roman"/>
          <w:sz w:val="20"/>
          <w:szCs w:val="20"/>
        </w:rPr>
        <w:t>. С. 237.</w:t>
      </w:r>
    </w:p>
  </w:footnote>
  <w:footnote w:id="31">
    <w:p w14:paraId="4E7ABDEE" w14:textId="77777777" w:rsidR="00434D18" w:rsidRPr="009C080C" w:rsidRDefault="00434D18" w:rsidP="00AD63F0">
      <w:pPr>
        <w:pStyle w:val="FootnoteText"/>
        <w:rPr>
          <w:rFonts w:ascii="Times New Roman" w:hAnsi="Times New Roman" w:cs="Times New Roman"/>
          <w:sz w:val="20"/>
          <w:szCs w:val="20"/>
          <w:lang w:val="en-US"/>
        </w:rPr>
      </w:pPr>
      <w:r>
        <w:rPr>
          <w:rStyle w:val="FootnoteReference"/>
        </w:rPr>
        <w:footnoteRef/>
      </w:r>
      <w:r>
        <w:t xml:space="preserve"> </w:t>
      </w:r>
      <w:r w:rsidRPr="00405CF3">
        <w:rPr>
          <w:rFonts w:ascii="Times New Roman" w:hAnsi="Times New Roman" w:cs="Times New Roman"/>
          <w:sz w:val="20"/>
          <w:szCs w:val="20"/>
        </w:rPr>
        <w:t>Новоселова Л. Фондовый рынок</w:t>
      </w:r>
      <w:r>
        <w:rPr>
          <w:rFonts w:ascii="Times New Roman" w:hAnsi="Times New Roman" w:cs="Times New Roman"/>
          <w:sz w:val="20"/>
          <w:szCs w:val="20"/>
        </w:rPr>
        <w:t xml:space="preserve"> КНР в эпицентре экономических преобразований. </w:t>
      </w:r>
      <w:r w:rsidRPr="009769B6">
        <w:rPr>
          <w:rFonts w:ascii="Times New Roman" w:hAnsi="Times New Roman" w:cs="Times New Roman"/>
          <w:sz w:val="20"/>
          <w:szCs w:val="20"/>
        </w:rPr>
        <w:t>-</w:t>
      </w:r>
      <w:r>
        <w:rPr>
          <w:rFonts w:ascii="Times New Roman" w:hAnsi="Times New Roman" w:cs="Times New Roman"/>
          <w:sz w:val="20"/>
          <w:szCs w:val="20"/>
        </w:rPr>
        <w:t>Российский экономический журнал</w:t>
      </w:r>
      <w:r w:rsidRPr="00F95522">
        <w:rPr>
          <w:rFonts w:ascii="Times New Roman" w:hAnsi="Times New Roman" w:cs="Times New Roman"/>
          <w:sz w:val="20"/>
          <w:szCs w:val="20"/>
        </w:rPr>
        <w:t>.</w:t>
      </w:r>
      <w:r>
        <w:rPr>
          <w:rFonts w:ascii="Times New Roman" w:hAnsi="Times New Roman" w:cs="Times New Roman"/>
          <w:sz w:val="20"/>
          <w:szCs w:val="20"/>
        </w:rPr>
        <w:t xml:space="preserve"> </w:t>
      </w:r>
      <w:r w:rsidRPr="009C080C">
        <w:rPr>
          <w:rFonts w:ascii="Times New Roman" w:hAnsi="Times New Roman" w:cs="Times New Roman"/>
          <w:sz w:val="20"/>
          <w:szCs w:val="20"/>
          <w:lang w:val="en-US"/>
        </w:rPr>
        <w:t xml:space="preserve">2007. </w:t>
      </w:r>
      <w:r>
        <w:rPr>
          <w:rFonts w:ascii="Times New Roman" w:hAnsi="Times New Roman" w:cs="Times New Roman"/>
          <w:sz w:val="20"/>
          <w:szCs w:val="20"/>
        </w:rPr>
        <w:t>С</w:t>
      </w:r>
      <w:r w:rsidRPr="009C080C">
        <w:rPr>
          <w:rFonts w:ascii="Times New Roman" w:hAnsi="Times New Roman" w:cs="Times New Roman"/>
          <w:sz w:val="20"/>
          <w:szCs w:val="20"/>
          <w:lang w:val="en-US"/>
        </w:rPr>
        <w:t>. 69.</w:t>
      </w:r>
    </w:p>
  </w:footnote>
  <w:footnote w:id="32">
    <w:p w14:paraId="55D5329E" w14:textId="77777777" w:rsidR="00434D18" w:rsidRPr="009C080C" w:rsidRDefault="00434D18" w:rsidP="009C080C">
      <w:pPr>
        <w:pStyle w:val="FootnoteText"/>
        <w:rPr>
          <w:rFonts w:ascii="Times New Roman" w:hAnsi="Times New Roman" w:cs="Times New Roman"/>
          <w:sz w:val="20"/>
          <w:szCs w:val="20"/>
        </w:rPr>
      </w:pPr>
      <w:r w:rsidRPr="009F2B82">
        <w:rPr>
          <w:rStyle w:val="FootnoteReference"/>
          <w:rFonts w:ascii="Times New Roman" w:hAnsi="Times New Roman" w:cs="Times New Roman"/>
          <w:sz w:val="20"/>
          <w:szCs w:val="20"/>
        </w:rPr>
        <w:footnoteRef/>
      </w:r>
      <w:r w:rsidRPr="009F2B82">
        <w:rPr>
          <w:rFonts w:ascii="Times New Roman" w:hAnsi="Times New Roman" w:cs="Times New Roman"/>
          <w:sz w:val="20"/>
          <w:szCs w:val="20"/>
          <w:lang w:val="en-US"/>
        </w:rPr>
        <w:t xml:space="preserve"> Gillan S.L., Starks L.T. Institutional investors, corporate ownership and corporate governance. </w:t>
      </w:r>
      <w:r w:rsidRPr="006D5E67">
        <w:rPr>
          <w:rFonts w:ascii="Times New Roman" w:hAnsi="Times New Roman" w:cs="Times New Roman"/>
          <w:sz w:val="20"/>
          <w:szCs w:val="20"/>
          <w:lang w:val="en-US"/>
        </w:rPr>
        <w:t>–</w:t>
      </w:r>
      <w:r w:rsidRPr="009F2B8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Wash.: </w:t>
      </w:r>
      <w:r w:rsidRPr="009F2B82">
        <w:rPr>
          <w:rFonts w:ascii="Times New Roman" w:hAnsi="Times New Roman" w:cs="Times New Roman"/>
          <w:sz w:val="20"/>
          <w:szCs w:val="20"/>
          <w:lang w:val="en-US"/>
        </w:rPr>
        <w:t xml:space="preserve">WIDER (World Institute for Development Economies Research of the United Nations University). </w:t>
      </w:r>
      <w:r w:rsidRPr="009C080C">
        <w:rPr>
          <w:rFonts w:ascii="Times New Roman" w:hAnsi="Times New Roman" w:cs="Times New Roman"/>
          <w:sz w:val="20"/>
          <w:szCs w:val="20"/>
        </w:rPr>
        <w:t xml:space="preserve">2002. </w:t>
      </w:r>
      <w:r w:rsidRPr="009F2B82">
        <w:rPr>
          <w:rFonts w:ascii="Times New Roman" w:hAnsi="Times New Roman" w:cs="Times New Roman"/>
          <w:sz w:val="20"/>
          <w:szCs w:val="20"/>
          <w:lang w:val="en-US"/>
        </w:rPr>
        <w:t>P</w:t>
      </w:r>
      <w:r w:rsidRPr="009C080C">
        <w:rPr>
          <w:rFonts w:ascii="Times New Roman" w:hAnsi="Times New Roman" w:cs="Times New Roman"/>
          <w:sz w:val="20"/>
          <w:szCs w:val="20"/>
        </w:rPr>
        <w:t>. 37-62.</w:t>
      </w:r>
    </w:p>
  </w:footnote>
  <w:footnote w:id="33">
    <w:p w14:paraId="6F03CB76" w14:textId="77777777" w:rsidR="00434D18" w:rsidRPr="006D5E67" w:rsidRDefault="00434D18" w:rsidP="009C080C">
      <w:pPr>
        <w:pStyle w:val="FootnoteText"/>
        <w:rPr>
          <w:rFonts w:ascii="Times New Roman" w:hAnsi="Times New Roman" w:cs="Times New Roman"/>
          <w:sz w:val="20"/>
          <w:szCs w:val="20"/>
          <w:lang w:val="en-US"/>
        </w:rPr>
      </w:pPr>
      <w:r w:rsidRPr="009F2B82">
        <w:rPr>
          <w:rStyle w:val="FootnoteReference"/>
          <w:rFonts w:ascii="Times New Roman" w:hAnsi="Times New Roman" w:cs="Times New Roman"/>
          <w:sz w:val="20"/>
          <w:szCs w:val="20"/>
        </w:rPr>
        <w:footnoteRef/>
      </w:r>
      <w:r w:rsidRPr="009F2B82">
        <w:rPr>
          <w:rFonts w:ascii="Times New Roman" w:hAnsi="Times New Roman" w:cs="Times New Roman"/>
          <w:sz w:val="20"/>
          <w:szCs w:val="20"/>
        </w:rPr>
        <w:t xml:space="preserve"> Рубцов Б. Б. Современные фондовые рынки. – Альпина бизнес букс. </w:t>
      </w:r>
      <w:r w:rsidRPr="006D5E67">
        <w:rPr>
          <w:rFonts w:ascii="Times New Roman" w:hAnsi="Times New Roman" w:cs="Times New Roman"/>
          <w:sz w:val="20"/>
          <w:szCs w:val="20"/>
          <w:lang w:val="en-US"/>
        </w:rPr>
        <w:t>2007. C. 680.</w:t>
      </w:r>
    </w:p>
  </w:footnote>
  <w:footnote w:id="34">
    <w:p w14:paraId="7FA15590" w14:textId="77777777" w:rsidR="00434D18" w:rsidRPr="00774DF1" w:rsidRDefault="00434D18" w:rsidP="009C080C">
      <w:pPr>
        <w:pStyle w:val="FootnoteText"/>
        <w:rPr>
          <w:rFonts w:ascii="Times New Roman" w:hAnsi="Times New Roman" w:cs="Times New Roman"/>
          <w:sz w:val="20"/>
          <w:szCs w:val="20"/>
          <w:lang w:val="en-US"/>
        </w:rPr>
      </w:pPr>
      <w:r w:rsidRPr="00774DF1">
        <w:rPr>
          <w:rStyle w:val="FootnoteReference"/>
          <w:rFonts w:ascii="Times New Roman" w:hAnsi="Times New Roman" w:cs="Times New Roman"/>
          <w:sz w:val="20"/>
          <w:szCs w:val="20"/>
        </w:rPr>
        <w:footnoteRef/>
      </w:r>
      <w:r w:rsidRPr="00774DF1">
        <w:rPr>
          <w:rFonts w:ascii="Times New Roman" w:hAnsi="Times New Roman" w:cs="Times New Roman"/>
          <w:sz w:val="20"/>
          <w:szCs w:val="20"/>
          <w:lang w:val="en-US"/>
        </w:rPr>
        <w:t xml:space="preserve"> China Financial Stability Report. 2007 – </w:t>
      </w:r>
      <w:hyperlink r:id="rId4" w:history="1">
        <w:r w:rsidRPr="00774DF1">
          <w:rPr>
            <w:rStyle w:val="Hyperlink"/>
            <w:rFonts w:ascii="Times New Roman" w:hAnsi="Times New Roman" w:cs="Times New Roman"/>
            <w:sz w:val="20"/>
            <w:szCs w:val="20"/>
            <w:lang w:val="en-US"/>
          </w:rPr>
          <w:t>www.pbc.gov.cn</w:t>
        </w:r>
      </w:hyperlink>
      <w:r w:rsidRPr="00774DF1">
        <w:rPr>
          <w:rFonts w:ascii="Times New Roman" w:hAnsi="Times New Roman" w:cs="Times New Roman"/>
          <w:sz w:val="20"/>
          <w:szCs w:val="20"/>
          <w:lang w:val="en-US"/>
        </w:rPr>
        <w:t>, P. 37.</w:t>
      </w:r>
    </w:p>
  </w:footnote>
  <w:footnote w:id="35">
    <w:p w14:paraId="6B5C8480" w14:textId="77777777" w:rsidR="00434D18" w:rsidRPr="002313D7" w:rsidRDefault="00434D18" w:rsidP="009C080C">
      <w:pPr>
        <w:pStyle w:val="FootnoteText"/>
        <w:rPr>
          <w:rFonts w:ascii="Times New Roman" w:hAnsi="Times New Roman" w:cs="Times New Roman"/>
          <w:sz w:val="20"/>
          <w:szCs w:val="20"/>
        </w:rPr>
      </w:pPr>
      <w:r w:rsidRPr="00774DF1">
        <w:rPr>
          <w:rStyle w:val="FootnoteReference"/>
          <w:rFonts w:ascii="Times New Roman" w:hAnsi="Times New Roman" w:cs="Times New Roman"/>
          <w:sz w:val="20"/>
          <w:szCs w:val="20"/>
        </w:rPr>
        <w:footnoteRef/>
      </w:r>
      <w:r w:rsidRPr="002313D7">
        <w:rPr>
          <w:rFonts w:ascii="Times New Roman" w:hAnsi="Times New Roman" w:cs="Times New Roman"/>
          <w:sz w:val="20"/>
          <w:szCs w:val="20"/>
        </w:rPr>
        <w:t xml:space="preserve"> </w:t>
      </w:r>
      <w:r w:rsidRPr="009769B6">
        <w:rPr>
          <w:rFonts w:ascii="Times New Roman" w:hAnsi="Times New Roman" w:cs="Times New Roman"/>
          <w:sz w:val="20"/>
          <w:szCs w:val="20"/>
          <w:lang w:val="en-US"/>
        </w:rPr>
        <w:t>Ibid</w:t>
      </w:r>
      <w:r w:rsidRPr="002313D7">
        <w:rPr>
          <w:rFonts w:ascii="Times New Roman" w:hAnsi="Times New Roman" w:cs="Times New Roman"/>
          <w:sz w:val="20"/>
          <w:szCs w:val="20"/>
        </w:rPr>
        <w:t xml:space="preserve">., </w:t>
      </w:r>
      <w:r w:rsidRPr="009769B6">
        <w:rPr>
          <w:rFonts w:ascii="Times New Roman" w:hAnsi="Times New Roman" w:cs="Times New Roman"/>
          <w:sz w:val="20"/>
          <w:szCs w:val="20"/>
          <w:lang w:val="en-US"/>
        </w:rPr>
        <w:t>P</w:t>
      </w:r>
      <w:r w:rsidRPr="002313D7">
        <w:rPr>
          <w:rFonts w:ascii="Times New Roman" w:hAnsi="Times New Roman" w:cs="Times New Roman"/>
          <w:sz w:val="20"/>
          <w:szCs w:val="20"/>
        </w:rPr>
        <w:t>. 40.</w:t>
      </w:r>
    </w:p>
  </w:footnote>
  <w:footnote w:id="36">
    <w:p w14:paraId="575400D5" w14:textId="77777777" w:rsidR="00434D18" w:rsidRPr="009769B6" w:rsidRDefault="00434D18" w:rsidP="009C080C">
      <w:pPr>
        <w:widowControl w:val="0"/>
        <w:tabs>
          <w:tab w:val="left" w:pos="220"/>
          <w:tab w:val="left" w:pos="720"/>
        </w:tabs>
        <w:autoSpaceDE w:val="0"/>
        <w:autoSpaceDN w:val="0"/>
        <w:adjustRightInd w:val="0"/>
        <w:rPr>
          <w:rFonts w:ascii="Times New Roman" w:hAnsi="Times New Roman" w:cs="Times New Roman"/>
          <w:sz w:val="20"/>
          <w:szCs w:val="20"/>
          <w:lang w:val="en-US"/>
        </w:rPr>
      </w:pPr>
      <w:r w:rsidRPr="00774DF1">
        <w:rPr>
          <w:rStyle w:val="FootnoteReference"/>
          <w:rFonts w:ascii="Times New Roman" w:hAnsi="Times New Roman" w:cs="Times New Roman"/>
          <w:sz w:val="20"/>
          <w:szCs w:val="20"/>
        </w:rPr>
        <w:footnoteRef/>
      </w:r>
      <w:r w:rsidRPr="002313D7">
        <w:rPr>
          <w:rFonts w:ascii="Times New Roman" w:hAnsi="Times New Roman" w:cs="Times New Roman"/>
          <w:sz w:val="20"/>
          <w:szCs w:val="20"/>
        </w:rPr>
        <w:t xml:space="preserve"> </w:t>
      </w:r>
      <w:r>
        <w:rPr>
          <w:rFonts w:ascii="Times New Roman" w:hAnsi="Times New Roman" w:cs="Times New Roman"/>
          <w:sz w:val="20"/>
          <w:szCs w:val="20"/>
        </w:rPr>
        <w:t>Новоселова Л. Фондовый</w:t>
      </w:r>
      <w:r w:rsidRPr="00774DF1">
        <w:rPr>
          <w:rFonts w:ascii="Times New Roman" w:hAnsi="Times New Roman" w:cs="Times New Roman"/>
          <w:sz w:val="20"/>
          <w:szCs w:val="20"/>
        </w:rPr>
        <w:t xml:space="preserve"> рынок КНР в эпицентре экономических преобразовании. – Российский экономический журнал. </w:t>
      </w:r>
      <w:r w:rsidRPr="001708AF">
        <w:rPr>
          <w:rFonts w:ascii="Times New Roman" w:hAnsi="Times New Roman" w:cs="Times New Roman"/>
          <w:sz w:val="20"/>
          <w:szCs w:val="20"/>
          <w:lang w:val="en-US"/>
        </w:rPr>
        <w:t xml:space="preserve">2007, № 1-2. </w:t>
      </w:r>
      <w:r>
        <w:rPr>
          <w:rFonts w:ascii="Times New Roman" w:hAnsi="Times New Roman" w:cs="Times New Roman"/>
          <w:sz w:val="20"/>
          <w:szCs w:val="20"/>
          <w:lang w:val="en-US"/>
        </w:rPr>
        <w:t>C. 27.</w:t>
      </w:r>
    </w:p>
    <w:p w14:paraId="4CB0DF98" w14:textId="77777777" w:rsidR="00434D18" w:rsidRPr="009769B6" w:rsidRDefault="00434D18" w:rsidP="009C080C">
      <w:pPr>
        <w:pStyle w:val="FootnoteText"/>
        <w:rPr>
          <w:sz w:val="18"/>
          <w:szCs w:val="18"/>
          <w:lang w:val="en-US"/>
        </w:rPr>
      </w:pPr>
    </w:p>
  </w:footnote>
  <w:footnote w:id="37">
    <w:p w14:paraId="387E997E" w14:textId="77777777" w:rsidR="00434D18" w:rsidRPr="008221E6" w:rsidRDefault="00434D18" w:rsidP="009C080C">
      <w:pPr>
        <w:widowControl w:val="0"/>
        <w:tabs>
          <w:tab w:val="left" w:pos="220"/>
          <w:tab w:val="left" w:pos="720"/>
        </w:tabs>
        <w:autoSpaceDE w:val="0"/>
        <w:autoSpaceDN w:val="0"/>
        <w:adjustRightInd w:val="0"/>
        <w:rPr>
          <w:rFonts w:ascii="Times New Roman" w:eastAsia="Arial Unicode MS" w:hAnsi="Times New Roman" w:cs="Times New Roman"/>
          <w:sz w:val="20"/>
          <w:szCs w:val="20"/>
          <w:lang w:val="en-US"/>
        </w:rPr>
      </w:pPr>
      <w:r w:rsidRPr="008221E6">
        <w:rPr>
          <w:rStyle w:val="FootnoteReference"/>
          <w:rFonts w:ascii="Times New Roman" w:hAnsi="Times New Roman" w:cs="Times New Roman"/>
          <w:sz w:val="20"/>
          <w:szCs w:val="20"/>
        </w:rPr>
        <w:footnoteRef/>
      </w:r>
      <w:r w:rsidRPr="008221E6">
        <w:rPr>
          <w:rFonts w:ascii="Times New Roman" w:eastAsia="Arial Unicode MS" w:hAnsi="Times New Roman" w:cs="Times New Roman"/>
          <w:sz w:val="20"/>
          <w:szCs w:val="20"/>
          <w:lang w:val="en-US"/>
        </w:rPr>
        <w:t xml:space="preserve"> Wang Guogang, He X</w:t>
      </w:r>
      <w:r>
        <w:rPr>
          <w:rFonts w:ascii="Times New Roman" w:eastAsia="Arial Unicode MS" w:hAnsi="Times New Roman" w:cs="Times New Roman"/>
          <w:sz w:val="20"/>
          <w:szCs w:val="20"/>
          <w:lang w:val="en-US"/>
        </w:rPr>
        <w:t xml:space="preserve">uqiang. Opportunities in a New </w:t>
      </w:r>
      <w:r w:rsidRPr="008221E6">
        <w:rPr>
          <w:rFonts w:ascii="Times New Roman" w:eastAsia="Arial Unicode MS" w:hAnsi="Times New Roman" w:cs="Times New Roman"/>
          <w:sz w:val="20"/>
          <w:szCs w:val="20"/>
          <w:lang w:val="en-US"/>
        </w:rPr>
        <w:t>Perspective: A Review of 2005 and an Outl</w:t>
      </w:r>
      <w:r>
        <w:rPr>
          <w:rFonts w:ascii="Times New Roman" w:eastAsia="Arial Unicode MS" w:hAnsi="Times New Roman" w:cs="Times New Roman"/>
          <w:sz w:val="20"/>
          <w:szCs w:val="20"/>
          <w:lang w:val="en-US"/>
        </w:rPr>
        <w:t xml:space="preserve">ook of Chinese Stock Market in </w:t>
      </w:r>
      <w:r w:rsidRPr="008221E6">
        <w:rPr>
          <w:rFonts w:ascii="Times New Roman" w:eastAsia="Arial Unicode MS" w:hAnsi="Times New Roman" w:cs="Times New Roman"/>
          <w:sz w:val="20"/>
          <w:szCs w:val="20"/>
          <w:lang w:val="en-US"/>
        </w:rPr>
        <w:t xml:space="preserve">2006. </w:t>
      </w:r>
      <w:r w:rsidRPr="008221E6">
        <w:rPr>
          <w:rFonts w:ascii="Times New Roman" w:hAnsi="Times New Roman" w:cs="Times New Roman"/>
          <w:sz w:val="20"/>
          <w:szCs w:val="20"/>
          <w:lang w:val="en-US"/>
        </w:rPr>
        <w:t xml:space="preserve">– </w:t>
      </w:r>
      <w:r w:rsidRPr="008221E6">
        <w:rPr>
          <w:rFonts w:ascii="Times New Roman" w:eastAsia="Arial Unicode MS" w:hAnsi="Times New Roman" w:cs="Times New Roman"/>
          <w:sz w:val="20"/>
          <w:szCs w:val="20"/>
          <w:lang w:val="en-US"/>
        </w:rPr>
        <w:t xml:space="preserve">Finance and Trade Economics. 2006, </w:t>
      </w:r>
      <w:r w:rsidRPr="00DF0932">
        <w:rPr>
          <w:rFonts w:ascii="Times New Roman" w:eastAsia="Arial Unicode MS" w:hAnsi="Times New Roman" w:cs="Times New Roman"/>
          <w:sz w:val="20"/>
          <w:szCs w:val="20"/>
          <w:lang w:val="en-US"/>
        </w:rPr>
        <w:t xml:space="preserve">№4. </w:t>
      </w:r>
      <w:r w:rsidRPr="008221E6">
        <w:rPr>
          <w:rFonts w:ascii="Times New Roman" w:eastAsia="Arial Unicode MS" w:hAnsi="Times New Roman" w:cs="Times New Roman"/>
          <w:sz w:val="20"/>
          <w:szCs w:val="20"/>
          <w:lang w:val="en-US"/>
        </w:rPr>
        <w:t>P. 55-63</w:t>
      </w:r>
      <w:r>
        <w:rPr>
          <w:rFonts w:ascii="Times New Roman" w:eastAsia="Arial Unicode MS" w:hAnsi="Times New Roman" w:cs="Times New Roman"/>
          <w:sz w:val="20"/>
          <w:szCs w:val="20"/>
          <w:lang w:val="en-US"/>
        </w:rPr>
        <w:t>.</w:t>
      </w:r>
    </w:p>
  </w:footnote>
  <w:footnote w:id="38">
    <w:p w14:paraId="6BD3575B" w14:textId="77777777" w:rsidR="00434D18" w:rsidRPr="00307057" w:rsidRDefault="00434D18" w:rsidP="009C080C">
      <w:pPr>
        <w:widowControl w:val="0"/>
        <w:tabs>
          <w:tab w:val="left" w:pos="220"/>
          <w:tab w:val="left" w:pos="720"/>
        </w:tabs>
        <w:autoSpaceDE w:val="0"/>
        <w:autoSpaceDN w:val="0"/>
        <w:adjustRightInd w:val="0"/>
        <w:spacing w:after="360"/>
        <w:rPr>
          <w:rFonts w:ascii="Times New Roman" w:hAnsi="Times New Roman" w:cs="Times New Roman"/>
          <w:sz w:val="38"/>
          <w:szCs w:val="38"/>
          <w:lang w:val="en-US"/>
        </w:rPr>
      </w:pPr>
      <w:r w:rsidRPr="008221E6">
        <w:rPr>
          <w:rStyle w:val="FootnoteReference"/>
          <w:sz w:val="20"/>
          <w:szCs w:val="20"/>
        </w:rPr>
        <w:footnoteRef/>
      </w:r>
      <w:r w:rsidRPr="008221E6">
        <w:rPr>
          <w:sz w:val="20"/>
          <w:szCs w:val="20"/>
          <w:lang w:val="en-US"/>
        </w:rPr>
        <w:t xml:space="preserve"> </w:t>
      </w:r>
      <w:r w:rsidRPr="008221E6">
        <w:rPr>
          <w:rFonts w:ascii="Times New Roman" w:hAnsi="Times New Roman" w:cs="Times New Roman"/>
          <w:sz w:val="20"/>
          <w:szCs w:val="20"/>
          <w:lang w:val="en-US"/>
        </w:rPr>
        <w:t>China Securities Regulatory Com</w:t>
      </w:r>
      <w:r>
        <w:rPr>
          <w:rFonts w:ascii="Times New Roman" w:hAnsi="Times New Roman" w:cs="Times New Roman"/>
          <w:sz w:val="20"/>
          <w:szCs w:val="20"/>
          <w:lang w:val="en-US"/>
        </w:rPr>
        <w:t xml:space="preserve">mission Annual Report. 2007. - </w:t>
      </w:r>
      <w:r w:rsidRPr="008221E6">
        <w:rPr>
          <w:rFonts w:ascii="Times New Roman" w:hAnsi="Times New Roman" w:cs="Times New Roman"/>
          <w:sz w:val="20"/>
          <w:szCs w:val="20"/>
          <w:lang w:val="en-US"/>
        </w:rPr>
        <w:t>www.csrc.gov.cn</w:t>
      </w:r>
      <w:r>
        <w:rPr>
          <w:rFonts w:ascii="Times New Roman" w:hAnsi="Times New Roman" w:cs="Times New Roman"/>
          <w:sz w:val="38"/>
          <w:szCs w:val="38"/>
          <w:lang w:val="en-US"/>
        </w:rPr>
        <w:t xml:space="preserve"> </w:t>
      </w:r>
    </w:p>
  </w:footnote>
  <w:footnote w:id="39">
    <w:p w14:paraId="25CB1D12" w14:textId="77777777" w:rsidR="00434D18" w:rsidRPr="00774DF1" w:rsidRDefault="00434D18" w:rsidP="009C080C">
      <w:pPr>
        <w:widowControl w:val="0"/>
        <w:tabs>
          <w:tab w:val="left" w:pos="220"/>
          <w:tab w:val="left" w:pos="720"/>
        </w:tabs>
        <w:autoSpaceDE w:val="0"/>
        <w:autoSpaceDN w:val="0"/>
        <w:adjustRightInd w:val="0"/>
        <w:rPr>
          <w:rFonts w:ascii="Times New Roman" w:eastAsia="Arial Unicode MS" w:hAnsi="Times New Roman" w:cs="Times New Roman"/>
          <w:sz w:val="20"/>
          <w:szCs w:val="20"/>
          <w:lang w:val="en-US"/>
        </w:rPr>
      </w:pPr>
      <w:r w:rsidRPr="00774DF1">
        <w:rPr>
          <w:rStyle w:val="FootnoteReference"/>
          <w:rFonts w:ascii="Times New Roman" w:hAnsi="Times New Roman" w:cs="Times New Roman"/>
          <w:sz w:val="20"/>
          <w:szCs w:val="20"/>
        </w:rPr>
        <w:footnoteRef/>
      </w:r>
      <w:r w:rsidRPr="00774DF1">
        <w:rPr>
          <w:rFonts w:ascii="Times New Roman" w:eastAsia="Arial Unicode MS" w:hAnsi="Times New Roman" w:cs="Times New Roman"/>
          <w:sz w:val="20"/>
          <w:szCs w:val="20"/>
          <w:lang w:val="en-US"/>
        </w:rPr>
        <w:t xml:space="preserve"> Xu P. </w:t>
      </w:r>
      <w:r>
        <w:rPr>
          <w:rFonts w:ascii="Times New Roman" w:eastAsia="Arial Unicode MS" w:hAnsi="Times New Roman" w:cs="Times New Roman"/>
          <w:sz w:val="20"/>
          <w:szCs w:val="20"/>
          <w:lang w:val="en-US"/>
        </w:rPr>
        <w:t>Op.cit. P. 108-116.</w:t>
      </w:r>
    </w:p>
  </w:footnote>
  <w:footnote w:id="40">
    <w:p w14:paraId="7C26FB4D" w14:textId="77777777" w:rsidR="00434D18" w:rsidRPr="009C080C" w:rsidRDefault="00434D18" w:rsidP="009C080C">
      <w:pPr>
        <w:widowControl w:val="0"/>
        <w:tabs>
          <w:tab w:val="left" w:pos="220"/>
          <w:tab w:val="left" w:pos="720"/>
        </w:tabs>
        <w:autoSpaceDE w:val="0"/>
        <w:autoSpaceDN w:val="0"/>
        <w:adjustRightInd w:val="0"/>
        <w:spacing w:after="360"/>
        <w:rPr>
          <w:rFonts w:ascii="Times New Roman" w:hAnsi="Times New Roman" w:cs="Times New Roman"/>
          <w:sz w:val="20"/>
          <w:szCs w:val="20"/>
        </w:rPr>
      </w:pPr>
      <w:r w:rsidRPr="00774DF1">
        <w:rPr>
          <w:rStyle w:val="FootnoteReference"/>
          <w:rFonts w:ascii="Times New Roman" w:hAnsi="Times New Roman" w:cs="Times New Roman"/>
          <w:sz w:val="20"/>
          <w:szCs w:val="20"/>
        </w:rPr>
        <w:footnoteRef/>
      </w:r>
      <w:r w:rsidRPr="00774DF1">
        <w:rPr>
          <w:rFonts w:ascii="Times New Roman" w:hAnsi="Times New Roman" w:cs="Times New Roman"/>
          <w:sz w:val="20"/>
          <w:szCs w:val="20"/>
          <w:lang w:val="en-US"/>
        </w:rPr>
        <w:t xml:space="preserve"> China Securities Regulatory Com</w:t>
      </w:r>
      <w:r>
        <w:rPr>
          <w:rFonts w:ascii="Times New Roman" w:hAnsi="Times New Roman" w:cs="Times New Roman"/>
          <w:sz w:val="20"/>
          <w:szCs w:val="20"/>
          <w:lang w:val="en-US"/>
        </w:rPr>
        <w:t xml:space="preserve">mission Annual Report. </w:t>
      </w:r>
      <w:r w:rsidRPr="009C080C">
        <w:rPr>
          <w:rFonts w:ascii="Times New Roman" w:hAnsi="Times New Roman" w:cs="Times New Roman"/>
          <w:sz w:val="20"/>
          <w:szCs w:val="20"/>
        </w:rPr>
        <w:t xml:space="preserve">2007. - </w:t>
      </w:r>
      <w:r w:rsidRPr="00774DF1">
        <w:rPr>
          <w:rFonts w:ascii="Times New Roman" w:hAnsi="Times New Roman" w:cs="Times New Roman"/>
          <w:sz w:val="20"/>
          <w:szCs w:val="20"/>
          <w:lang w:val="en-US"/>
        </w:rPr>
        <w:t>www</w:t>
      </w:r>
      <w:r w:rsidRPr="009C080C">
        <w:rPr>
          <w:rFonts w:ascii="Times New Roman" w:hAnsi="Times New Roman" w:cs="Times New Roman"/>
          <w:sz w:val="20"/>
          <w:szCs w:val="20"/>
        </w:rPr>
        <w:t>.</w:t>
      </w:r>
      <w:r w:rsidRPr="00774DF1">
        <w:rPr>
          <w:rFonts w:ascii="Times New Roman" w:hAnsi="Times New Roman" w:cs="Times New Roman"/>
          <w:sz w:val="20"/>
          <w:szCs w:val="20"/>
          <w:lang w:val="en-US"/>
        </w:rPr>
        <w:t>csrc</w:t>
      </w:r>
      <w:r w:rsidRPr="009C080C">
        <w:rPr>
          <w:rFonts w:ascii="Times New Roman" w:hAnsi="Times New Roman" w:cs="Times New Roman"/>
          <w:sz w:val="20"/>
          <w:szCs w:val="20"/>
        </w:rPr>
        <w:t>.</w:t>
      </w:r>
      <w:r w:rsidRPr="00774DF1">
        <w:rPr>
          <w:rFonts w:ascii="Times New Roman" w:hAnsi="Times New Roman" w:cs="Times New Roman"/>
          <w:sz w:val="20"/>
          <w:szCs w:val="20"/>
          <w:lang w:val="en-US"/>
        </w:rPr>
        <w:t>gov</w:t>
      </w:r>
      <w:r w:rsidRPr="009C080C">
        <w:rPr>
          <w:rFonts w:ascii="Times New Roman" w:hAnsi="Times New Roman" w:cs="Times New Roman"/>
          <w:sz w:val="20"/>
          <w:szCs w:val="20"/>
        </w:rPr>
        <w:t>.</w:t>
      </w:r>
      <w:r w:rsidRPr="00774DF1">
        <w:rPr>
          <w:rFonts w:ascii="Times New Roman" w:hAnsi="Times New Roman" w:cs="Times New Roman"/>
          <w:sz w:val="20"/>
          <w:szCs w:val="20"/>
          <w:lang w:val="en-US"/>
        </w:rPr>
        <w:t>cn</w:t>
      </w:r>
      <w:r w:rsidRPr="009C080C">
        <w:rPr>
          <w:rFonts w:ascii="Times New Roman" w:hAnsi="Times New Roman" w:cs="Times New Roman"/>
          <w:sz w:val="20"/>
          <w:szCs w:val="20"/>
        </w:rPr>
        <w:t xml:space="preserve"> </w:t>
      </w:r>
    </w:p>
    <w:p w14:paraId="7E83A8E9" w14:textId="77777777" w:rsidR="00434D18" w:rsidRPr="009C080C" w:rsidRDefault="00434D18" w:rsidP="009C080C">
      <w:pPr>
        <w:pStyle w:val="FootnoteText"/>
      </w:pPr>
    </w:p>
  </w:footnote>
  <w:footnote w:id="41">
    <w:p w14:paraId="1BF4013C" w14:textId="77777777" w:rsidR="00434D18" w:rsidRPr="006D5E67" w:rsidRDefault="00434D18" w:rsidP="009C080C">
      <w:pPr>
        <w:widowControl w:val="0"/>
        <w:tabs>
          <w:tab w:val="left" w:pos="220"/>
          <w:tab w:val="left" w:pos="720"/>
        </w:tabs>
        <w:autoSpaceDE w:val="0"/>
        <w:autoSpaceDN w:val="0"/>
        <w:adjustRightInd w:val="0"/>
        <w:rPr>
          <w:rFonts w:ascii="Times New Roman" w:hAnsi="Times New Roman" w:cs="Times New Roman"/>
          <w:sz w:val="20"/>
          <w:szCs w:val="20"/>
          <w:lang w:val="en-US"/>
        </w:rPr>
      </w:pPr>
      <w:r w:rsidRPr="008221E6">
        <w:rPr>
          <w:rStyle w:val="FootnoteReference"/>
          <w:sz w:val="20"/>
          <w:szCs w:val="20"/>
        </w:rPr>
        <w:footnoteRef/>
      </w:r>
      <w:r w:rsidRPr="008221E6">
        <w:rPr>
          <w:sz w:val="20"/>
          <w:szCs w:val="20"/>
        </w:rPr>
        <w:t xml:space="preserve"> </w:t>
      </w:r>
      <w:r w:rsidRPr="008221E6">
        <w:rPr>
          <w:rFonts w:ascii="Times New Roman" w:hAnsi="Times New Roman" w:cs="Times New Roman"/>
          <w:sz w:val="20"/>
          <w:szCs w:val="20"/>
        </w:rPr>
        <w:t>Шаринов Д.Н. Формирование и регулирование фондового ры</w:t>
      </w:r>
      <w:r>
        <w:rPr>
          <w:rFonts w:ascii="Times New Roman" w:hAnsi="Times New Roman" w:cs="Times New Roman"/>
          <w:sz w:val="20"/>
          <w:szCs w:val="20"/>
        </w:rPr>
        <w:t>нка КНР (на примере рынка акций</w:t>
      </w:r>
      <w:r w:rsidRPr="008221E6">
        <w:rPr>
          <w:rFonts w:ascii="Times New Roman" w:hAnsi="Times New Roman" w:cs="Times New Roman"/>
          <w:sz w:val="20"/>
          <w:szCs w:val="20"/>
        </w:rPr>
        <w:t xml:space="preserve">). –  </w:t>
      </w:r>
      <w:r>
        <w:rPr>
          <w:rFonts w:ascii="Times New Roman" w:hAnsi="Times New Roman" w:cs="Times New Roman"/>
          <w:sz w:val="20"/>
          <w:szCs w:val="20"/>
        </w:rPr>
        <w:t>Диссертация на соискание ученой</w:t>
      </w:r>
      <w:r w:rsidRPr="008221E6">
        <w:rPr>
          <w:rFonts w:ascii="Times New Roman" w:hAnsi="Times New Roman" w:cs="Times New Roman"/>
          <w:sz w:val="20"/>
          <w:szCs w:val="20"/>
        </w:rPr>
        <w:t xml:space="preserve"> степени кандидата экономических наук. </w:t>
      </w:r>
      <w:r>
        <w:rPr>
          <w:rFonts w:ascii="Times New Roman" w:hAnsi="Times New Roman" w:cs="Times New Roman"/>
          <w:sz w:val="20"/>
          <w:szCs w:val="20"/>
        </w:rPr>
        <w:t>М</w:t>
      </w:r>
      <w:r w:rsidRPr="006D5E67">
        <w:rPr>
          <w:rFonts w:ascii="Times New Roman" w:hAnsi="Times New Roman" w:cs="Times New Roman"/>
          <w:sz w:val="20"/>
          <w:szCs w:val="20"/>
          <w:lang w:val="en-US"/>
        </w:rPr>
        <w:t>. 2001. C. 46.</w:t>
      </w:r>
    </w:p>
  </w:footnote>
  <w:footnote w:id="42">
    <w:p w14:paraId="7AE027BF" w14:textId="77777777" w:rsidR="00434D18" w:rsidRPr="006D5E67" w:rsidRDefault="00434D18" w:rsidP="009C080C">
      <w:pPr>
        <w:pStyle w:val="FootnoteText"/>
        <w:rPr>
          <w:lang w:val="en-US"/>
        </w:rPr>
      </w:pPr>
      <w:r w:rsidRPr="008221E6">
        <w:rPr>
          <w:rStyle w:val="FootnoteReference"/>
          <w:sz w:val="20"/>
          <w:szCs w:val="20"/>
        </w:rPr>
        <w:footnoteRef/>
      </w:r>
      <w:r w:rsidRPr="006D5E67">
        <w:rPr>
          <w:sz w:val="20"/>
          <w:szCs w:val="20"/>
          <w:lang w:val="en-US"/>
        </w:rPr>
        <w:t xml:space="preserve"> </w:t>
      </w:r>
      <w:r w:rsidRPr="008221E6">
        <w:rPr>
          <w:rFonts w:ascii="Times New Roman" w:hAnsi="Times New Roman" w:cs="Times New Roman"/>
          <w:sz w:val="20"/>
          <w:szCs w:val="20"/>
          <w:lang w:val="en-US"/>
        </w:rPr>
        <w:t>China</w:t>
      </w:r>
      <w:r w:rsidRPr="006D5E67">
        <w:rPr>
          <w:rFonts w:ascii="Times New Roman" w:hAnsi="Times New Roman" w:cs="Times New Roman"/>
          <w:sz w:val="20"/>
          <w:szCs w:val="20"/>
          <w:lang w:val="en-US"/>
        </w:rPr>
        <w:t xml:space="preserve"> </w:t>
      </w:r>
      <w:r w:rsidRPr="008221E6">
        <w:rPr>
          <w:rFonts w:ascii="Times New Roman" w:hAnsi="Times New Roman" w:cs="Times New Roman"/>
          <w:sz w:val="20"/>
          <w:szCs w:val="20"/>
          <w:lang w:val="en-US"/>
        </w:rPr>
        <w:t>Financial</w:t>
      </w:r>
      <w:r w:rsidRPr="006D5E67">
        <w:rPr>
          <w:rFonts w:ascii="Times New Roman" w:hAnsi="Times New Roman" w:cs="Times New Roman"/>
          <w:sz w:val="20"/>
          <w:szCs w:val="20"/>
          <w:lang w:val="en-US"/>
        </w:rPr>
        <w:t xml:space="preserve"> </w:t>
      </w:r>
      <w:r w:rsidRPr="008221E6">
        <w:rPr>
          <w:rFonts w:ascii="Times New Roman" w:hAnsi="Times New Roman" w:cs="Times New Roman"/>
          <w:sz w:val="20"/>
          <w:szCs w:val="20"/>
          <w:lang w:val="en-US"/>
        </w:rPr>
        <w:t>Stability</w:t>
      </w:r>
      <w:r w:rsidRPr="006D5E67">
        <w:rPr>
          <w:rFonts w:ascii="Times New Roman" w:hAnsi="Times New Roman" w:cs="Times New Roman"/>
          <w:sz w:val="20"/>
          <w:szCs w:val="20"/>
          <w:lang w:val="en-US"/>
        </w:rPr>
        <w:t xml:space="preserve"> </w:t>
      </w:r>
      <w:r w:rsidRPr="008221E6">
        <w:rPr>
          <w:rFonts w:ascii="Times New Roman" w:hAnsi="Times New Roman" w:cs="Times New Roman"/>
          <w:sz w:val="20"/>
          <w:szCs w:val="20"/>
          <w:lang w:val="en-US"/>
        </w:rPr>
        <w:t>Report.</w:t>
      </w:r>
      <w:r w:rsidRPr="006D5E67">
        <w:rPr>
          <w:rFonts w:ascii="Times New Roman" w:hAnsi="Times New Roman" w:cs="Times New Roman"/>
          <w:sz w:val="20"/>
          <w:szCs w:val="20"/>
          <w:lang w:val="en-US"/>
        </w:rPr>
        <w:t xml:space="preserve"> 2008. – </w:t>
      </w:r>
      <w:r w:rsidRPr="008221E6">
        <w:rPr>
          <w:rFonts w:ascii="Times New Roman" w:hAnsi="Times New Roman" w:cs="Times New Roman"/>
          <w:sz w:val="20"/>
          <w:szCs w:val="20"/>
          <w:lang w:val="en-US"/>
        </w:rPr>
        <w:t>www</w:t>
      </w:r>
      <w:r w:rsidRPr="006D5E67">
        <w:rPr>
          <w:rFonts w:ascii="Times New Roman" w:hAnsi="Times New Roman" w:cs="Times New Roman"/>
          <w:sz w:val="20"/>
          <w:szCs w:val="20"/>
          <w:lang w:val="en-US"/>
        </w:rPr>
        <w:t>.</w:t>
      </w:r>
      <w:r w:rsidRPr="008221E6">
        <w:rPr>
          <w:rFonts w:ascii="Times New Roman" w:hAnsi="Times New Roman" w:cs="Times New Roman"/>
          <w:sz w:val="20"/>
          <w:szCs w:val="20"/>
          <w:lang w:val="en-US"/>
        </w:rPr>
        <w:t>pbc</w:t>
      </w:r>
      <w:r w:rsidRPr="006D5E67">
        <w:rPr>
          <w:rFonts w:ascii="Times New Roman" w:hAnsi="Times New Roman" w:cs="Times New Roman"/>
          <w:sz w:val="20"/>
          <w:szCs w:val="20"/>
          <w:lang w:val="en-US"/>
        </w:rPr>
        <w:t>.</w:t>
      </w:r>
      <w:r w:rsidRPr="008221E6">
        <w:rPr>
          <w:rFonts w:ascii="Times New Roman" w:hAnsi="Times New Roman" w:cs="Times New Roman"/>
          <w:sz w:val="20"/>
          <w:szCs w:val="20"/>
          <w:lang w:val="en-US"/>
        </w:rPr>
        <w:t>gov</w:t>
      </w:r>
      <w:r w:rsidRPr="006D5E67">
        <w:rPr>
          <w:rFonts w:ascii="Times New Roman" w:hAnsi="Times New Roman" w:cs="Times New Roman"/>
          <w:sz w:val="20"/>
          <w:szCs w:val="20"/>
          <w:lang w:val="en-US"/>
        </w:rPr>
        <w:t>.</w:t>
      </w:r>
      <w:r w:rsidRPr="008221E6">
        <w:rPr>
          <w:rFonts w:ascii="Times New Roman" w:hAnsi="Times New Roman" w:cs="Times New Roman"/>
          <w:sz w:val="20"/>
          <w:szCs w:val="20"/>
          <w:lang w:val="en-US"/>
        </w:rPr>
        <w:t>cn</w:t>
      </w:r>
    </w:p>
  </w:footnote>
  <w:footnote w:id="43">
    <w:p w14:paraId="0461B922" w14:textId="77777777" w:rsidR="00434D18" w:rsidRPr="008221E6" w:rsidRDefault="00434D18" w:rsidP="009C080C">
      <w:pPr>
        <w:widowControl w:val="0"/>
        <w:tabs>
          <w:tab w:val="left" w:pos="220"/>
          <w:tab w:val="left" w:pos="720"/>
        </w:tabs>
        <w:autoSpaceDE w:val="0"/>
        <w:autoSpaceDN w:val="0"/>
        <w:adjustRightInd w:val="0"/>
        <w:rPr>
          <w:rFonts w:ascii="Times New Roman" w:hAnsi="Times New Roman" w:cs="Times New Roman"/>
          <w:sz w:val="20"/>
          <w:szCs w:val="20"/>
          <w:lang w:val="en-US"/>
        </w:rPr>
      </w:pPr>
      <w:r w:rsidRPr="008221E6">
        <w:rPr>
          <w:rStyle w:val="FootnoteReference"/>
          <w:rFonts w:ascii="Times New Roman" w:hAnsi="Times New Roman" w:cs="Times New Roman"/>
          <w:sz w:val="20"/>
          <w:szCs w:val="20"/>
        </w:rPr>
        <w:footnoteRef/>
      </w:r>
      <w:r w:rsidRPr="008221E6">
        <w:rPr>
          <w:rFonts w:ascii="Times New Roman" w:hAnsi="Times New Roman" w:cs="Times New Roman"/>
          <w:sz w:val="20"/>
          <w:szCs w:val="20"/>
          <w:lang w:val="en-US"/>
        </w:rPr>
        <w:t xml:space="preserve"> Kjaer N. The Chinese Stock Market: Possibilities and Pitfalls. – Trade Council of Denmark. 2006. P. 40.</w:t>
      </w:r>
    </w:p>
  </w:footnote>
  <w:footnote w:id="44">
    <w:p w14:paraId="340812D0" w14:textId="77777777" w:rsidR="00434D18" w:rsidRPr="009A019B" w:rsidRDefault="00434D18" w:rsidP="009C080C">
      <w:pPr>
        <w:pStyle w:val="FootnoteText"/>
        <w:rPr>
          <w:lang w:val="en-US"/>
        </w:rPr>
      </w:pPr>
      <w:r w:rsidRPr="008221E6">
        <w:rPr>
          <w:rStyle w:val="FootnoteReference"/>
          <w:rFonts w:ascii="Times New Roman" w:hAnsi="Times New Roman" w:cs="Times New Roman"/>
          <w:sz w:val="20"/>
          <w:szCs w:val="20"/>
        </w:rPr>
        <w:footnoteRef/>
      </w:r>
      <w:r w:rsidRPr="008221E6">
        <w:rPr>
          <w:rFonts w:ascii="Times New Roman" w:hAnsi="Times New Roman" w:cs="Times New Roman"/>
          <w:sz w:val="20"/>
          <w:szCs w:val="20"/>
          <w:lang w:val="en-US"/>
        </w:rPr>
        <w:t xml:space="preserve">  </w:t>
      </w:r>
      <w:r w:rsidRPr="002313D7">
        <w:rPr>
          <w:rFonts w:ascii="Times New Roman" w:hAnsi="Times New Roman" w:cs="Times New Roman"/>
          <w:sz w:val="20"/>
          <w:szCs w:val="20"/>
          <w:lang w:val="en-US"/>
        </w:rPr>
        <w:t>Ibid</w:t>
      </w:r>
      <w:r w:rsidRPr="008221E6">
        <w:rPr>
          <w:rFonts w:ascii="Times New Roman" w:hAnsi="Times New Roman" w:cs="Times New Roman"/>
          <w:sz w:val="20"/>
          <w:szCs w:val="20"/>
          <w:lang w:val="en-US"/>
        </w:rPr>
        <w:t>.</w:t>
      </w:r>
    </w:p>
  </w:footnote>
  <w:footnote w:id="45">
    <w:p w14:paraId="34C677A6" w14:textId="77777777" w:rsidR="00434D18" w:rsidRPr="002313D7" w:rsidRDefault="00434D18" w:rsidP="009C080C">
      <w:pPr>
        <w:widowControl w:val="0"/>
        <w:tabs>
          <w:tab w:val="left" w:pos="220"/>
          <w:tab w:val="left" w:pos="720"/>
        </w:tabs>
        <w:autoSpaceDE w:val="0"/>
        <w:autoSpaceDN w:val="0"/>
        <w:adjustRightInd w:val="0"/>
        <w:rPr>
          <w:rFonts w:ascii="Times New Roman" w:hAnsi="Times New Roman" w:cs="Times New Roman"/>
          <w:sz w:val="20"/>
          <w:szCs w:val="20"/>
        </w:rPr>
      </w:pPr>
      <w:r w:rsidRPr="008221E6">
        <w:rPr>
          <w:rStyle w:val="FootnoteReference"/>
          <w:rFonts w:ascii="Times New Roman" w:hAnsi="Times New Roman" w:cs="Times New Roman"/>
          <w:sz w:val="20"/>
          <w:szCs w:val="20"/>
        </w:rPr>
        <w:footnoteRef/>
      </w:r>
      <w:r w:rsidRPr="008221E6">
        <w:rPr>
          <w:rFonts w:ascii="Times New Roman" w:hAnsi="Times New Roman" w:cs="Times New Roman"/>
          <w:sz w:val="20"/>
          <w:szCs w:val="20"/>
          <w:lang w:val="en-US"/>
        </w:rPr>
        <w:t xml:space="preserve"> Green S., Ming H. China’s Stock Market: Out of the Valley in 2004? – The Royal Institute of International Affairs. </w:t>
      </w:r>
      <w:r w:rsidRPr="002313D7">
        <w:rPr>
          <w:rFonts w:ascii="Times New Roman" w:hAnsi="Times New Roman" w:cs="Times New Roman"/>
          <w:sz w:val="20"/>
          <w:szCs w:val="20"/>
        </w:rPr>
        <w:t xml:space="preserve">2004, №1. </w:t>
      </w:r>
      <w:r w:rsidRPr="008221E6">
        <w:rPr>
          <w:rFonts w:ascii="Times New Roman" w:hAnsi="Times New Roman" w:cs="Times New Roman"/>
          <w:sz w:val="20"/>
          <w:szCs w:val="20"/>
          <w:lang w:val="en-US"/>
        </w:rPr>
        <w:t>P</w:t>
      </w:r>
      <w:r w:rsidRPr="002313D7">
        <w:rPr>
          <w:rFonts w:ascii="Times New Roman" w:hAnsi="Times New Roman" w:cs="Times New Roman"/>
          <w:sz w:val="20"/>
          <w:szCs w:val="20"/>
        </w:rPr>
        <w:t>. 31.</w:t>
      </w:r>
    </w:p>
  </w:footnote>
  <w:footnote w:id="46">
    <w:p w14:paraId="3CE8FD16" w14:textId="77777777" w:rsidR="00434D18" w:rsidRPr="009C080C" w:rsidRDefault="00434D18" w:rsidP="009C080C">
      <w:pPr>
        <w:pStyle w:val="FootnoteText"/>
        <w:rPr>
          <w:rFonts w:ascii="Times New Roman" w:hAnsi="Times New Roman" w:cs="Times New Roman"/>
          <w:sz w:val="20"/>
          <w:szCs w:val="20"/>
        </w:rPr>
      </w:pPr>
      <w:r w:rsidRPr="008221E6">
        <w:rPr>
          <w:rStyle w:val="FootnoteReference"/>
          <w:rFonts w:ascii="Times New Roman" w:hAnsi="Times New Roman" w:cs="Times New Roman"/>
          <w:sz w:val="20"/>
          <w:szCs w:val="20"/>
        </w:rPr>
        <w:footnoteRef/>
      </w:r>
      <w:r w:rsidRPr="009C080C">
        <w:rPr>
          <w:rFonts w:ascii="Times New Roman" w:hAnsi="Times New Roman" w:cs="Times New Roman"/>
          <w:sz w:val="20"/>
          <w:szCs w:val="20"/>
        </w:rPr>
        <w:t xml:space="preserve"> </w:t>
      </w:r>
      <w:r w:rsidRPr="008221E6">
        <w:rPr>
          <w:rFonts w:ascii="Times New Roman" w:hAnsi="Times New Roman" w:cs="Times New Roman"/>
          <w:sz w:val="20"/>
          <w:szCs w:val="20"/>
          <w:lang w:val="en-US"/>
        </w:rPr>
        <w:t>Shanghai</w:t>
      </w:r>
      <w:r w:rsidRPr="009C080C">
        <w:rPr>
          <w:rFonts w:ascii="Times New Roman" w:hAnsi="Times New Roman" w:cs="Times New Roman"/>
          <w:sz w:val="20"/>
          <w:szCs w:val="20"/>
        </w:rPr>
        <w:t xml:space="preserve"> </w:t>
      </w:r>
      <w:r w:rsidRPr="008221E6">
        <w:rPr>
          <w:rFonts w:ascii="Times New Roman" w:hAnsi="Times New Roman" w:cs="Times New Roman"/>
          <w:sz w:val="20"/>
          <w:szCs w:val="20"/>
          <w:lang w:val="en-US"/>
        </w:rPr>
        <w:t>Stock</w:t>
      </w:r>
      <w:r w:rsidRPr="009C080C">
        <w:rPr>
          <w:rFonts w:ascii="Times New Roman" w:hAnsi="Times New Roman" w:cs="Times New Roman"/>
          <w:sz w:val="20"/>
          <w:szCs w:val="20"/>
        </w:rPr>
        <w:t xml:space="preserve"> </w:t>
      </w:r>
      <w:r w:rsidRPr="008221E6">
        <w:rPr>
          <w:rFonts w:ascii="Times New Roman" w:hAnsi="Times New Roman" w:cs="Times New Roman"/>
          <w:sz w:val="20"/>
          <w:szCs w:val="20"/>
          <w:lang w:val="en-US"/>
        </w:rPr>
        <w:t>Exchange</w:t>
      </w:r>
      <w:r w:rsidRPr="009C080C">
        <w:rPr>
          <w:rFonts w:ascii="Times New Roman" w:hAnsi="Times New Roman" w:cs="Times New Roman"/>
          <w:sz w:val="20"/>
          <w:szCs w:val="20"/>
        </w:rPr>
        <w:t xml:space="preserve"> </w:t>
      </w:r>
      <w:r w:rsidRPr="008221E6">
        <w:rPr>
          <w:rFonts w:ascii="Times New Roman" w:hAnsi="Times New Roman" w:cs="Times New Roman"/>
          <w:sz w:val="20"/>
          <w:szCs w:val="20"/>
          <w:lang w:val="en-US"/>
        </w:rPr>
        <w:t>Fact</w:t>
      </w:r>
      <w:r w:rsidRPr="009C080C">
        <w:rPr>
          <w:rFonts w:ascii="Times New Roman" w:hAnsi="Times New Roman" w:cs="Times New Roman"/>
          <w:sz w:val="20"/>
          <w:szCs w:val="20"/>
        </w:rPr>
        <w:t xml:space="preserve"> </w:t>
      </w:r>
      <w:r w:rsidRPr="008221E6">
        <w:rPr>
          <w:rFonts w:ascii="Times New Roman" w:hAnsi="Times New Roman" w:cs="Times New Roman"/>
          <w:sz w:val="20"/>
          <w:szCs w:val="20"/>
          <w:lang w:val="en-US"/>
        </w:rPr>
        <w:t>Book</w:t>
      </w:r>
      <w:r w:rsidRPr="009C080C">
        <w:rPr>
          <w:rFonts w:ascii="Times New Roman" w:hAnsi="Times New Roman" w:cs="Times New Roman"/>
          <w:sz w:val="20"/>
          <w:szCs w:val="20"/>
        </w:rPr>
        <w:t xml:space="preserve">. 2007. – </w:t>
      </w:r>
      <w:r w:rsidRPr="008221E6">
        <w:rPr>
          <w:rFonts w:ascii="Times New Roman" w:hAnsi="Times New Roman" w:cs="Times New Roman"/>
          <w:sz w:val="20"/>
          <w:szCs w:val="20"/>
          <w:lang w:val="en-US"/>
        </w:rPr>
        <w:t>www</w:t>
      </w:r>
      <w:r w:rsidRPr="009C080C">
        <w:rPr>
          <w:rFonts w:ascii="Times New Roman" w:hAnsi="Times New Roman" w:cs="Times New Roman"/>
          <w:sz w:val="20"/>
          <w:szCs w:val="20"/>
        </w:rPr>
        <w:t>.</w:t>
      </w:r>
      <w:r w:rsidRPr="008221E6">
        <w:rPr>
          <w:rFonts w:ascii="Times New Roman" w:hAnsi="Times New Roman" w:cs="Times New Roman"/>
          <w:sz w:val="20"/>
          <w:szCs w:val="20"/>
          <w:lang w:val="en-US"/>
        </w:rPr>
        <w:t>sse</w:t>
      </w:r>
      <w:r w:rsidRPr="009C080C">
        <w:rPr>
          <w:rFonts w:ascii="Times New Roman" w:hAnsi="Times New Roman" w:cs="Times New Roman"/>
          <w:sz w:val="20"/>
          <w:szCs w:val="20"/>
        </w:rPr>
        <w:t>.</w:t>
      </w:r>
      <w:r w:rsidRPr="008221E6">
        <w:rPr>
          <w:rFonts w:ascii="Times New Roman" w:hAnsi="Times New Roman" w:cs="Times New Roman"/>
          <w:sz w:val="20"/>
          <w:szCs w:val="20"/>
          <w:lang w:val="en-US"/>
        </w:rPr>
        <w:t>com</w:t>
      </w:r>
      <w:r w:rsidRPr="009C080C">
        <w:rPr>
          <w:rFonts w:ascii="Times New Roman" w:hAnsi="Times New Roman" w:cs="Times New Roman"/>
          <w:sz w:val="20"/>
          <w:szCs w:val="20"/>
        </w:rPr>
        <w:t>.</w:t>
      </w:r>
      <w:r w:rsidRPr="008221E6">
        <w:rPr>
          <w:rFonts w:ascii="Times New Roman" w:hAnsi="Times New Roman" w:cs="Times New Roman"/>
          <w:sz w:val="20"/>
          <w:szCs w:val="20"/>
          <w:lang w:val="en-US"/>
        </w:rPr>
        <w:t>cn</w:t>
      </w:r>
    </w:p>
  </w:footnote>
  <w:footnote w:id="47">
    <w:p w14:paraId="51421067" w14:textId="77777777" w:rsidR="00434D18" w:rsidRPr="001708AF" w:rsidRDefault="00434D18" w:rsidP="009C080C">
      <w:pPr>
        <w:widowControl w:val="0"/>
        <w:tabs>
          <w:tab w:val="left" w:pos="220"/>
          <w:tab w:val="left" w:pos="720"/>
        </w:tabs>
        <w:autoSpaceDE w:val="0"/>
        <w:autoSpaceDN w:val="0"/>
        <w:adjustRightInd w:val="0"/>
        <w:rPr>
          <w:rFonts w:ascii="Times New Roman" w:hAnsi="Times New Roman" w:cs="Times New Roman"/>
          <w:sz w:val="20"/>
          <w:szCs w:val="20"/>
          <w:lang w:val="en-US"/>
        </w:rPr>
      </w:pPr>
      <w:r w:rsidRPr="008221E6">
        <w:rPr>
          <w:rStyle w:val="FootnoteReference"/>
          <w:rFonts w:ascii="Times New Roman" w:hAnsi="Times New Roman" w:cs="Times New Roman"/>
          <w:sz w:val="20"/>
          <w:szCs w:val="20"/>
        </w:rPr>
        <w:footnoteRef/>
      </w:r>
      <w:r w:rsidRPr="009769B6">
        <w:rPr>
          <w:rFonts w:ascii="Times New Roman" w:hAnsi="Times New Roman" w:cs="Times New Roman"/>
          <w:sz w:val="20"/>
          <w:szCs w:val="20"/>
        </w:rPr>
        <w:t xml:space="preserve"> </w:t>
      </w:r>
      <w:r w:rsidRPr="008221E6">
        <w:rPr>
          <w:rFonts w:ascii="Times New Roman" w:hAnsi="Times New Roman" w:cs="Times New Roman"/>
          <w:sz w:val="20"/>
          <w:szCs w:val="20"/>
        </w:rPr>
        <w:t>Новоселова</w:t>
      </w:r>
      <w:r w:rsidRPr="009769B6">
        <w:rPr>
          <w:rFonts w:ascii="Times New Roman" w:hAnsi="Times New Roman" w:cs="Times New Roman"/>
          <w:sz w:val="20"/>
          <w:szCs w:val="20"/>
        </w:rPr>
        <w:t xml:space="preserve"> </w:t>
      </w:r>
      <w:r w:rsidRPr="008221E6">
        <w:rPr>
          <w:rFonts w:ascii="Times New Roman" w:hAnsi="Times New Roman" w:cs="Times New Roman"/>
          <w:sz w:val="20"/>
          <w:szCs w:val="20"/>
        </w:rPr>
        <w:t>Л</w:t>
      </w:r>
      <w:r w:rsidRPr="009769B6">
        <w:rPr>
          <w:rFonts w:ascii="Times New Roman" w:hAnsi="Times New Roman" w:cs="Times New Roman"/>
          <w:sz w:val="20"/>
          <w:szCs w:val="20"/>
        </w:rPr>
        <w:t xml:space="preserve">. </w:t>
      </w:r>
      <w:r>
        <w:rPr>
          <w:rFonts w:ascii="Times New Roman" w:hAnsi="Times New Roman" w:cs="Times New Roman"/>
          <w:sz w:val="20"/>
          <w:szCs w:val="20"/>
        </w:rPr>
        <w:t>Фондовый</w:t>
      </w:r>
      <w:r w:rsidRPr="009769B6">
        <w:rPr>
          <w:rFonts w:ascii="Times New Roman" w:hAnsi="Times New Roman" w:cs="Times New Roman"/>
          <w:sz w:val="20"/>
          <w:szCs w:val="20"/>
        </w:rPr>
        <w:t xml:space="preserve"> </w:t>
      </w:r>
      <w:r w:rsidRPr="008221E6">
        <w:rPr>
          <w:rFonts w:ascii="Times New Roman" w:hAnsi="Times New Roman" w:cs="Times New Roman"/>
          <w:sz w:val="20"/>
          <w:szCs w:val="20"/>
        </w:rPr>
        <w:t>рынок</w:t>
      </w:r>
      <w:r w:rsidRPr="009769B6">
        <w:rPr>
          <w:rFonts w:ascii="Times New Roman" w:hAnsi="Times New Roman" w:cs="Times New Roman"/>
          <w:sz w:val="20"/>
          <w:szCs w:val="20"/>
        </w:rPr>
        <w:t xml:space="preserve"> </w:t>
      </w:r>
      <w:r w:rsidRPr="008221E6">
        <w:rPr>
          <w:rFonts w:ascii="Times New Roman" w:hAnsi="Times New Roman" w:cs="Times New Roman"/>
          <w:sz w:val="20"/>
          <w:szCs w:val="20"/>
        </w:rPr>
        <w:t>КНР</w:t>
      </w:r>
      <w:r w:rsidRPr="009769B6">
        <w:rPr>
          <w:rFonts w:ascii="Times New Roman" w:hAnsi="Times New Roman" w:cs="Times New Roman"/>
          <w:sz w:val="20"/>
          <w:szCs w:val="20"/>
        </w:rPr>
        <w:t xml:space="preserve"> </w:t>
      </w:r>
      <w:r w:rsidRPr="008221E6">
        <w:rPr>
          <w:rFonts w:ascii="Times New Roman" w:hAnsi="Times New Roman" w:cs="Times New Roman"/>
          <w:sz w:val="20"/>
          <w:szCs w:val="20"/>
        </w:rPr>
        <w:t>в</w:t>
      </w:r>
      <w:r w:rsidRPr="009769B6">
        <w:rPr>
          <w:rFonts w:ascii="Times New Roman" w:hAnsi="Times New Roman" w:cs="Times New Roman"/>
          <w:sz w:val="20"/>
          <w:szCs w:val="20"/>
        </w:rPr>
        <w:t xml:space="preserve"> </w:t>
      </w:r>
      <w:r w:rsidRPr="008221E6">
        <w:rPr>
          <w:rFonts w:ascii="Times New Roman" w:hAnsi="Times New Roman" w:cs="Times New Roman"/>
          <w:sz w:val="20"/>
          <w:szCs w:val="20"/>
        </w:rPr>
        <w:t>эпицентре</w:t>
      </w:r>
      <w:r w:rsidRPr="009769B6">
        <w:rPr>
          <w:rFonts w:ascii="Times New Roman" w:hAnsi="Times New Roman" w:cs="Times New Roman"/>
          <w:sz w:val="20"/>
          <w:szCs w:val="20"/>
        </w:rPr>
        <w:t xml:space="preserve"> </w:t>
      </w:r>
      <w:r w:rsidRPr="008221E6">
        <w:rPr>
          <w:rFonts w:ascii="Times New Roman" w:hAnsi="Times New Roman" w:cs="Times New Roman"/>
          <w:sz w:val="20"/>
          <w:szCs w:val="20"/>
        </w:rPr>
        <w:t>экономических</w:t>
      </w:r>
      <w:r w:rsidRPr="009769B6">
        <w:rPr>
          <w:rFonts w:ascii="Times New Roman" w:hAnsi="Times New Roman" w:cs="Times New Roman"/>
          <w:sz w:val="20"/>
          <w:szCs w:val="20"/>
        </w:rPr>
        <w:t xml:space="preserve"> </w:t>
      </w:r>
      <w:r>
        <w:rPr>
          <w:rFonts w:ascii="Times New Roman" w:hAnsi="Times New Roman" w:cs="Times New Roman"/>
          <w:sz w:val="20"/>
          <w:szCs w:val="20"/>
        </w:rPr>
        <w:t>преобразований</w:t>
      </w:r>
      <w:r w:rsidRPr="009769B6">
        <w:rPr>
          <w:rFonts w:ascii="Times New Roman" w:hAnsi="Times New Roman" w:cs="Times New Roman"/>
          <w:sz w:val="20"/>
          <w:szCs w:val="20"/>
        </w:rPr>
        <w:t xml:space="preserve">. – </w:t>
      </w:r>
      <w:r>
        <w:rPr>
          <w:rFonts w:ascii="Times New Roman" w:hAnsi="Times New Roman" w:cs="Times New Roman"/>
          <w:sz w:val="20"/>
          <w:szCs w:val="20"/>
        </w:rPr>
        <w:t>Российский</w:t>
      </w:r>
      <w:r w:rsidRPr="009769B6">
        <w:rPr>
          <w:rFonts w:ascii="Times New Roman" w:hAnsi="Times New Roman" w:cs="Times New Roman"/>
          <w:sz w:val="20"/>
          <w:szCs w:val="20"/>
        </w:rPr>
        <w:t xml:space="preserve"> </w:t>
      </w:r>
      <w:r>
        <w:rPr>
          <w:rFonts w:ascii="Times New Roman" w:hAnsi="Times New Roman" w:cs="Times New Roman"/>
          <w:sz w:val="20"/>
          <w:szCs w:val="20"/>
        </w:rPr>
        <w:t>экономический</w:t>
      </w:r>
      <w:r w:rsidRPr="009769B6">
        <w:rPr>
          <w:rFonts w:ascii="Times New Roman" w:hAnsi="Times New Roman" w:cs="Times New Roman"/>
          <w:sz w:val="20"/>
          <w:szCs w:val="20"/>
        </w:rPr>
        <w:t xml:space="preserve"> </w:t>
      </w:r>
      <w:r w:rsidRPr="008221E6">
        <w:rPr>
          <w:rFonts w:ascii="Times New Roman" w:hAnsi="Times New Roman" w:cs="Times New Roman"/>
          <w:sz w:val="20"/>
          <w:szCs w:val="20"/>
        </w:rPr>
        <w:t>журнал</w:t>
      </w:r>
      <w:r w:rsidRPr="009769B6">
        <w:rPr>
          <w:rFonts w:ascii="Times New Roman" w:hAnsi="Times New Roman" w:cs="Times New Roman"/>
          <w:sz w:val="20"/>
          <w:szCs w:val="20"/>
        </w:rPr>
        <w:t xml:space="preserve">. </w:t>
      </w:r>
      <w:r w:rsidRPr="001708AF">
        <w:rPr>
          <w:rFonts w:ascii="Times New Roman" w:hAnsi="Times New Roman" w:cs="Times New Roman"/>
          <w:sz w:val="20"/>
          <w:szCs w:val="20"/>
          <w:lang w:val="en-US"/>
        </w:rPr>
        <w:t xml:space="preserve">2007, №1-2. </w:t>
      </w:r>
    </w:p>
  </w:footnote>
  <w:footnote w:id="48">
    <w:p w14:paraId="6E7C3055" w14:textId="77777777" w:rsidR="00434D18" w:rsidRPr="00BD588D" w:rsidRDefault="00434D18" w:rsidP="009C080C">
      <w:pPr>
        <w:pStyle w:val="FootnoteText"/>
        <w:rPr>
          <w:rFonts w:ascii="Times New Roman" w:hAnsi="Times New Roman" w:cs="Times New Roman"/>
          <w:sz w:val="20"/>
          <w:szCs w:val="20"/>
          <w:lang w:val="en-US"/>
        </w:rPr>
      </w:pPr>
      <w:r w:rsidRPr="00BD588D">
        <w:rPr>
          <w:rStyle w:val="FootnoteReference"/>
          <w:rFonts w:ascii="Times New Roman" w:hAnsi="Times New Roman" w:cs="Times New Roman"/>
          <w:sz w:val="20"/>
          <w:szCs w:val="20"/>
        </w:rPr>
        <w:footnoteRef/>
      </w:r>
      <w:r w:rsidRPr="00BD588D">
        <w:rPr>
          <w:rFonts w:ascii="Times New Roman" w:hAnsi="Times New Roman" w:cs="Times New Roman"/>
          <w:sz w:val="20"/>
          <w:szCs w:val="20"/>
          <w:lang w:val="en-US"/>
        </w:rPr>
        <w:t xml:space="preserve"> Kendall M. The analysis of economic time series. – Journal of the Royal Statistical Society.1953, </w:t>
      </w:r>
      <w:r w:rsidRPr="006D5E67">
        <w:rPr>
          <w:rFonts w:ascii="Times New Roman" w:hAnsi="Times New Roman" w:cs="Times New Roman"/>
          <w:sz w:val="20"/>
          <w:szCs w:val="20"/>
          <w:lang w:val="en-US"/>
        </w:rPr>
        <w:t>№</w:t>
      </w:r>
      <w:r w:rsidRPr="00BD588D">
        <w:rPr>
          <w:rFonts w:ascii="Times New Roman" w:hAnsi="Times New Roman" w:cs="Times New Roman"/>
          <w:sz w:val="20"/>
          <w:szCs w:val="20"/>
          <w:lang w:val="en-US"/>
        </w:rPr>
        <w:t>96. P.13.</w:t>
      </w:r>
    </w:p>
  </w:footnote>
  <w:footnote w:id="49">
    <w:p w14:paraId="2D5722D1" w14:textId="77777777" w:rsidR="00434D18" w:rsidRPr="00681DA4" w:rsidRDefault="00434D18" w:rsidP="009C080C">
      <w:pPr>
        <w:pStyle w:val="FootnoteText"/>
        <w:rPr>
          <w:lang w:val="en-US"/>
        </w:rPr>
      </w:pPr>
      <w:r w:rsidRPr="00BD588D">
        <w:rPr>
          <w:rStyle w:val="FootnoteReference"/>
          <w:rFonts w:ascii="Times New Roman" w:hAnsi="Times New Roman" w:cs="Times New Roman"/>
          <w:sz w:val="20"/>
          <w:szCs w:val="20"/>
        </w:rPr>
        <w:footnoteRef/>
      </w:r>
      <w:r w:rsidRPr="00BD588D">
        <w:rPr>
          <w:rFonts w:ascii="Times New Roman" w:hAnsi="Times New Roman" w:cs="Times New Roman"/>
          <w:sz w:val="20"/>
          <w:szCs w:val="20"/>
          <w:lang w:val="en-US"/>
        </w:rPr>
        <w:t xml:space="preserve"> Osborne M. Brownian Motion in the Stock Market. – </w:t>
      </w:r>
      <w:r>
        <w:rPr>
          <w:rFonts w:ascii="Times New Roman" w:hAnsi="Times New Roman" w:cs="Times New Roman"/>
          <w:sz w:val="20"/>
          <w:szCs w:val="20"/>
          <w:lang w:val="en-US"/>
        </w:rPr>
        <w:t xml:space="preserve">Boston: </w:t>
      </w:r>
      <w:r w:rsidRPr="00BD588D">
        <w:rPr>
          <w:rFonts w:ascii="Times New Roman" w:hAnsi="Times New Roman" w:cs="Times New Roman"/>
          <w:sz w:val="20"/>
          <w:szCs w:val="20"/>
          <w:lang w:val="en-US"/>
        </w:rPr>
        <w:t>MIT Press. 1964. P. 52.</w:t>
      </w:r>
    </w:p>
  </w:footnote>
  <w:footnote w:id="50">
    <w:p w14:paraId="02DF822C" w14:textId="77777777" w:rsidR="00434D18" w:rsidRPr="002E640A" w:rsidRDefault="00434D18" w:rsidP="009C080C">
      <w:pPr>
        <w:pStyle w:val="FootnoteText"/>
        <w:rPr>
          <w:sz w:val="20"/>
          <w:szCs w:val="20"/>
          <w:lang w:val="en-US"/>
        </w:rPr>
      </w:pPr>
      <w:r w:rsidRPr="00BD588D">
        <w:rPr>
          <w:rStyle w:val="FootnoteReference"/>
          <w:sz w:val="20"/>
          <w:szCs w:val="20"/>
        </w:rPr>
        <w:footnoteRef/>
      </w:r>
      <w:r w:rsidRPr="00BD588D">
        <w:rPr>
          <w:sz w:val="20"/>
          <w:szCs w:val="20"/>
          <w:lang w:val="en-US"/>
        </w:rPr>
        <w:t xml:space="preserve"> Markowitz H.M. (1952). Portfolio Selection. </w:t>
      </w:r>
      <w:r w:rsidRPr="00BD588D">
        <w:rPr>
          <w:rFonts w:ascii="Times New Roman" w:hAnsi="Times New Roman" w:cs="Times New Roman"/>
          <w:sz w:val="20"/>
          <w:szCs w:val="20"/>
          <w:lang w:val="en-US"/>
        </w:rPr>
        <w:t xml:space="preserve">– </w:t>
      </w:r>
      <w:r w:rsidRPr="00BD588D">
        <w:rPr>
          <w:sz w:val="20"/>
          <w:szCs w:val="20"/>
          <w:lang w:val="en-US"/>
        </w:rPr>
        <w:t>Journal of Finance. 1952, Vol. 7, Iss. 1. P.77-91</w:t>
      </w:r>
      <w:r w:rsidRPr="002E640A">
        <w:rPr>
          <w:sz w:val="20"/>
          <w:szCs w:val="20"/>
          <w:lang w:val="en-US"/>
        </w:rPr>
        <w:t>.</w:t>
      </w:r>
    </w:p>
  </w:footnote>
  <w:footnote w:id="51">
    <w:p w14:paraId="53918815" w14:textId="77777777" w:rsidR="00434D18" w:rsidRPr="0095086B" w:rsidRDefault="00434D18" w:rsidP="009C080C">
      <w:pPr>
        <w:pStyle w:val="FootnoteText"/>
        <w:rPr>
          <w:rFonts w:ascii="Times New Roman" w:hAnsi="Times New Roman" w:cs="Times New Roman"/>
          <w:sz w:val="20"/>
          <w:szCs w:val="20"/>
          <w:lang w:val="en-US"/>
        </w:rPr>
      </w:pPr>
      <w:r w:rsidRPr="0095086B">
        <w:rPr>
          <w:rStyle w:val="FootnoteReference"/>
          <w:rFonts w:ascii="Times New Roman" w:hAnsi="Times New Roman" w:cs="Times New Roman"/>
          <w:sz w:val="20"/>
          <w:szCs w:val="20"/>
        </w:rPr>
        <w:footnoteRef/>
      </w:r>
      <w:r w:rsidRPr="0095086B">
        <w:rPr>
          <w:rFonts w:ascii="Times New Roman" w:hAnsi="Times New Roman" w:cs="Times New Roman"/>
          <w:sz w:val="20"/>
          <w:szCs w:val="20"/>
          <w:lang w:val="en-US"/>
        </w:rPr>
        <w:t xml:space="preserve"> Bekaert</w:t>
      </w:r>
      <w:r w:rsidRPr="00362D9F">
        <w:rPr>
          <w:rFonts w:ascii="Times New Roman" w:hAnsi="Times New Roman" w:cs="Times New Roman"/>
          <w:sz w:val="20"/>
          <w:szCs w:val="20"/>
          <w:lang w:val="en-US"/>
        </w:rPr>
        <w:t xml:space="preserve"> </w:t>
      </w:r>
      <w:r w:rsidRPr="0095086B">
        <w:rPr>
          <w:rFonts w:ascii="Times New Roman" w:hAnsi="Times New Roman" w:cs="Times New Roman"/>
          <w:sz w:val="20"/>
          <w:szCs w:val="20"/>
          <w:lang w:val="en-US"/>
        </w:rPr>
        <w:t>G., Harvey</w:t>
      </w:r>
      <w:r w:rsidRPr="00362D9F">
        <w:rPr>
          <w:rFonts w:ascii="Times New Roman" w:hAnsi="Times New Roman" w:cs="Times New Roman"/>
          <w:sz w:val="20"/>
          <w:szCs w:val="20"/>
          <w:lang w:val="en-US"/>
        </w:rPr>
        <w:t xml:space="preserve"> </w:t>
      </w:r>
      <w:r w:rsidRPr="0095086B">
        <w:rPr>
          <w:rFonts w:ascii="Times New Roman" w:hAnsi="Times New Roman" w:cs="Times New Roman"/>
          <w:sz w:val="20"/>
          <w:szCs w:val="20"/>
          <w:lang w:val="en-US"/>
        </w:rPr>
        <w:t xml:space="preserve">C. Research in Emerging Markets Finance. </w:t>
      </w:r>
      <w:r>
        <w:rPr>
          <w:rFonts w:ascii="Times New Roman" w:hAnsi="Times New Roman" w:cs="Times New Roman"/>
          <w:sz w:val="20"/>
          <w:szCs w:val="20"/>
          <w:lang w:val="en-US"/>
        </w:rPr>
        <w:t xml:space="preserve">- Cambridge: </w:t>
      </w:r>
      <w:r w:rsidRPr="0095086B">
        <w:rPr>
          <w:rFonts w:ascii="Times New Roman" w:hAnsi="Times New Roman" w:cs="Times New Roman"/>
          <w:sz w:val="20"/>
          <w:szCs w:val="20"/>
          <w:lang w:val="en-US"/>
        </w:rPr>
        <w:t>National Bureau of Economic Research</w:t>
      </w:r>
      <w:r>
        <w:rPr>
          <w:rFonts w:ascii="Times New Roman" w:hAnsi="Times New Roman" w:cs="Times New Roman"/>
          <w:sz w:val="20"/>
          <w:szCs w:val="20"/>
          <w:lang w:val="en-US"/>
        </w:rPr>
        <w:t>.</w:t>
      </w:r>
      <w:r w:rsidRPr="0095086B">
        <w:rPr>
          <w:rFonts w:ascii="Times New Roman" w:hAnsi="Times New Roman" w:cs="Times New Roman"/>
          <w:sz w:val="20"/>
          <w:szCs w:val="20"/>
          <w:lang w:val="en-US"/>
        </w:rPr>
        <w:t xml:space="preserve"> 2002</w:t>
      </w:r>
      <w:r>
        <w:rPr>
          <w:rFonts w:ascii="Times New Roman" w:hAnsi="Times New Roman" w:cs="Times New Roman"/>
          <w:sz w:val="20"/>
          <w:szCs w:val="20"/>
          <w:lang w:val="en-US"/>
        </w:rPr>
        <w:t>. P. 89-90.</w:t>
      </w:r>
    </w:p>
  </w:footnote>
  <w:footnote w:id="52">
    <w:p w14:paraId="111E6D05" w14:textId="77777777" w:rsidR="00434D18" w:rsidRPr="009769B6" w:rsidRDefault="00434D18" w:rsidP="009C080C">
      <w:pPr>
        <w:pStyle w:val="FootnoteText"/>
        <w:rPr>
          <w:lang w:val="en-US"/>
        </w:rPr>
      </w:pPr>
      <w:r w:rsidRPr="0095086B">
        <w:rPr>
          <w:rStyle w:val="FootnoteReference"/>
          <w:rFonts w:ascii="Times New Roman" w:hAnsi="Times New Roman" w:cs="Times New Roman"/>
          <w:sz w:val="20"/>
          <w:szCs w:val="20"/>
        </w:rPr>
        <w:footnoteRef/>
      </w:r>
      <w:r w:rsidRPr="0095086B">
        <w:rPr>
          <w:rFonts w:ascii="Times New Roman" w:hAnsi="Times New Roman" w:cs="Times New Roman"/>
          <w:sz w:val="20"/>
          <w:szCs w:val="20"/>
          <w:lang w:val="en-US"/>
        </w:rPr>
        <w:t xml:space="preserve"> Lundblad</w:t>
      </w:r>
      <w:r w:rsidRPr="00362D9F">
        <w:rPr>
          <w:rFonts w:ascii="Times New Roman" w:hAnsi="Times New Roman" w:cs="Times New Roman"/>
          <w:sz w:val="20"/>
          <w:szCs w:val="20"/>
          <w:lang w:val="en-US"/>
        </w:rPr>
        <w:t xml:space="preserve"> </w:t>
      </w:r>
      <w:r w:rsidRPr="0095086B">
        <w:rPr>
          <w:rFonts w:ascii="Times New Roman" w:hAnsi="Times New Roman" w:cs="Times New Roman"/>
          <w:sz w:val="20"/>
          <w:szCs w:val="20"/>
          <w:lang w:val="en-US"/>
        </w:rPr>
        <w:t xml:space="preserve">C., Liquidity and Expected Returns: Lessons from Emerging Markets. </w:t>
      </w:r>
      <w:r>
        <w:rPr>
          <w:rFonts w:ascii="Times New Roman" w:hAnsi="Times New Roman" w:cs="Times New Roman"/>
          <w:sz w:val="20"/>
          <w:szCs w:val="20"/>
          <w:lang w:val="en-US"/>
        </w:rPr>
        <w:t xml:space="preserve">Cambridge: </w:t>
      </w:r>
      <w:r w:rsidRPr="0095086B">
        <w:rPr>
          <w:rFonts w:ascii="Times New Roman" w:hAnsi="Times New Roman" w:cs="Times New Roman"/>
          <w:sz w:val="20"/>
          <w:szCs w:val="20"/>
          <w:lang w:val="en-US"/>
        </w:rPr>
        <w:t>National Bureau of Economic Research</w:t>
      </w:r>
      <w:r>
        <w:rPr>
          <w:rFonts w:ascii="Times New Roman" w:hAnsi="Times New Roman" w:cs="Times New Roman"/>
          <w:sz w:val="20"/>
          <w:szCs w:val="20"/>
          <w:lang w:val="en-US"/>
        </w:rPr>
        <w:t>.</w:t>
      </w:r>
      <w:r w:rsidRPr="0095086B">
        <w:rPr>
          <w:rFonts w:ascii="Times New Roman" w:hAnsi="Times New Roman" w:cs="Times New Roman"/>
          <w:sz w:val="20"/>
          <w:szCs w:val="20"/>
          <w:lang w:val="en-US"/>
        </w:rPr>
        <w:t xml:space="preserve"> 2006</w:t>
      </w:r>
      <w:r w:rsidRPr="009769B6">
        <w:rPr>
          <w:rFonts w:ascii="Times New Roman" w:hAnsi="Times New Roman" w:cs="Times New Roman"/>
          <w:sz w:val="20"/>
          <w:szCs w:val="20"/>
          <w:lang w:val="en-US"/>
        </w:rPr>
        <w:t xml:space="preserve">. </w:t>
      </w:r>
      <w:r>
        <w:rPr>
          <w:rFonts w:ascii="Times New Roman" w:hAnsi="Times New Roman" w:cs="Times New Roman"/>
          <w:sz w:val="20"/>
          <w:szCs w:val="20"/>
          <w:lang w:val="en-US"/>
        </w:rPr>
        <w:t>P. 48-50.</w:t>
      </w:r>
    </w:p>
  </w:footnote>
  <w:footnote w:id="53">
    <w:p w14:paraId="276C764D" w14:textId="5BC5D702" w:rsidR="00434D18" w:rsidRPr="00065487" w:rsidRDefault="00434D18" w:rsidP="00065487">
      <w:pPr>
        <w:rPr>
          <w:rFonts w:ascii="Times New Roman" w:eastAsia="宋体" w:hAnsi="Times New Roman" w:cs="Times New Roman"/>
          <w:sz w:val="20"/>
          <w:szCs w:val="20"/>
          <w:lang w:val="en-US"/>
        </w:rPr>
      </w:pPr>
      <w:r w:rsidRPr="005F4869">
        <w:rPr>
          <w:rStyle w:val="FootnoteReference"/>
          <w:rFonts w:ascii="Times New Roman" w:hAnsi="Times New Roman" w:cs="Times New Roman"/>
          <w:sz w:val="20"/>
          <w:szCs w:val="20"/>
        </w:rPr>
        <w:footnoteRef/>
      </w:r>
      <w:r w:rsidRPr="002313D7">
        <w:rPr>
          <w:rFonts w:ascii="Times New Roman" w:hAnsi="Times New Roman" w:cs="Times New Roman"/>
          <w:sz w:val="20"/>
          <w:szCs w:val="20"/>
          <w:lang w:val="en-US"/>
        </w:rPr>
        <w:t xml:space="preserve"> </w:t>
      </w:r>
      <w:r w:rsidRPr="005F4869">
        <w:rPr>
          <w:rFonts w:ascii="Times New Roman" w:eastAsia="宋体" w:hAnsi="Times New Roman" w:cs="Times New Roman"/>
          <w:sz w:val="20"/>
          <w:szCs w:val="20"/>
          <w:lang w:val="en-US"/>
        </w:rPr>
        <w:t>Dumas B</w:t>
      </w:r>
      <w:r>
        <w:rPr>
          <w:rFonts w:ascii="宋体" w:eastAsia="宋体" w:hAnsi="宋体" w:cs="宋体"/>
          <w:sz w:val="20"/>
          <w:szCs w:val="20"/>
          <w:lang w:val="en-US" w:eastAsia="zh-CN"/>
        </w:rPr>
        <w:t>.</w:t>
      </w:r>
      <w:r w:rsidRPr="005F4869">
        <w:rPr>
          <w:rFonts w:ascii="Times New Roman" w:eastAsia="宋体" w:hAnsi="Times New Roman" w:cs="Times New Roman"/>
          <w:sz w:val="20"/>
          <w:szCs w:val="20"/>
          <w:lang w:val="en-US"/>
        </w:rPr>
        <w:t>, Solnik B</w:t>
      </w:r>
      <w:r>
        <w:rPr>
          <w:rFonts w:ascii="Times New Roman" w:eastAsia="宋体" w:hAnsi="Times New Roman" w:cs="Times New Roman"/>
          <w:sz w:val="20"/>
          <w:szCs w:val="20"/>
          <w:lang w:val="en-US"/>
        </w:rPr>
        <w:t>.</w:t>
      </w:r>
      <w:r w:rsidRPr="005F4869">
        <w:rPr>
          <w:rFonts w:ascii="Times New Roman" w:eastAsia="宋体" w:hAnsi="Times New Roman" w:cs="Times New Roman"/>
          <w:sz w:val="20"/>
          <w:szCs w:val="20"/>
          <w:lang w:val="en-US"/>
        </w:rPr>
        <w:t xml:space="preserve"> The World Price of Foreign Exchange Risk. </w:t>
      </w:r>
      <w:r>
        <w:rPr>
          <w:rFonts w:ascii="Times New Roman" w:eastAsia="宋体" w:hAnsi="Times New Roman" w:cs="Times New Roman"/>
          <w:sz w:val="20"/>
          <w:szCs w:val="20"/>
          <w:lang w:val="en-US"/>
        </w:rPr>
        <w:t>Cambr. 200</w:t>
      </w:r>
      <w:r w:rsidRPr="005F4869">
        <w:rPr>
          <w:rFonts w:ascii="Times New Roman" w:eastAsia="宋体" w:hAnsi="Times New Roman" w:cs="Times New Roman"/>
          <w:sz w:val="20"/>
          <w:szCs w:val="20"/>
          <w:lang w:val="en-US"/>
        </w:rPr>
        <w:t>3.</w:t>
      </w:r>
      <w:r>
        <w:rPr>
          <w:rFonts w:ascii="Times New Roman" w:eastAsia="宋体" w:hAnsi="Times New Roman" w:cs="Times New Roman"/>
          <w:sz w:val="20"/>
          <w:szCs w:val="20"/>
          <w:lang w:val="en-US"/>
        </w:rPr>
        <w:t xml:space="preserve"> P. 157.</w:t>
      </w:r>
    </w:p>
  </w:footnote>
  <w:footnote w:id="54">
    <w:p w14:paraId="1FCA7F39" w14:textId="77777777" w:rsidR="00434D18" w:rsidRPr="009769B6" w:rsidRDefault="00434D18" w:rsidP="000811E4">
      <w:pPr>
        <w:pStyle w:val="FootnoteText"/>
        <w:rPr>
          <w:rFonts w:ascii="Times New Roman" w:hAnsi="Times New Roman" w:cs="Times New Roman"/>
          <w:sz w:val="20"/>
          <w:szCs w:val="20"/>
        </w:rPr>
      </w:pPr>
      <w:r w:rsidRPr="009769B6">
        <w:rPr>
          <w:rStyle w:val="FootnoteReference"/>
          <w:rFonts w:ascii="Times New Roman" w:hAnsi="Times New Roman" w:cs="Times New Roman"/>
          <w:sz w:val="20"/>
          <w:szCs w:val="20"/>
        </w:rPr>
        <w:footnoteRef/>
      </w:r>
      <w:r w:rsidRPr="009769B6">
        <w:rPr>
          <w:rFonts w:ascii="Times New Roman" w:hAnsi="Times New Roman" w:cs="Times New Roman"/>
          <w:sz w:val="20"/>
          <w:szCs w:val="20"/>
        </w:rPr>
        <w:t xml:space="preserve"> Рубцов Б. Б. </w:t>
      </w:r>
      <w:r>
        <w:rPr>
          <w:rFonts w:ascii="Times New Roman" w:hAnsi="Times New Roman" w:cs="Times New Roman"/>
          <w:sz w:val="20"/>
          <w:szCs w:val="20"/>
        </w:rPr>
        <w:t>Указ. Соч.</w:t>
      </w:r>
      <w:r w:rsidRPr="009769B6">
        <w:rPr>
          <w:rFonts w:ascii="Times New Roman" w:hAnsi="Times New Roman" w:cs="Times New Roman"/>
          <w:sz w:val="20"/>
          <w:szCs w:val="20"/>
        </w:rPr>
        <w:t xml:space="preserve"> С. 687.</w:t>
      </w:r>
    </w:p>
  </w:footnote>
  <w:footnote w:id="55">
    <w:p w14:paraId="367F7C75" w14:textId="77777777" w:rsidR="00434D18" w:rsidRPr="002313D7" w:rsidRDefault="00434D18" w:rsidP="000811E4">
      <w:pPr>
        <w:pStyle w:val="FootnoteText"/>
      </w:pPr>
      <w:r w:rsidRPr="00A96C60">
        <w:rPr>
          <w:rStyle w:val="FootnoteReference"/>
          <w:rFonts w:ascii="Times New Roman" w:hAnsi="Times New Roman" w:cs="Times New Roman"/>
          <w:sz w:val="20"/>
          <w:szCs w:val="20"/>
        </w:rPr>
        <w:footnoteRef/>
      </w:r>
      <w:r w:rsidRPr="00A96C60">
        <w:rPr>
          <w:rFonts w:ascii="Times New Roman" w:hAnsi="Times New Roman" w:cs="Times New Roman"/>
          <w:sz w:val="20"/>
          <w:szCs w:val="20"/>
        </w:rPr>
        <w:t xml:space="preserve"> </w:t>
      </w:r>
      <w:r>
        <w:rPr>
          <w:rFonts w:ascii="Times New Roman" w:hAnsi="Times New Roman" w:cs="Times New Roman"/>
          <w:sz w:val="20"/>
          <w:szCs w:val="20"/>
        </w:rPr>
        <w:t xml:space="preserve">Федеральный закон «О рынке ценных бумаг». 1996. - </w:t>
      </w:r>
      <w:r w:rsidRPr="00A96C60">
        <w:rPr>
          <w:rFonts w:ascii="Times New Roman" w:hAnsi="Times New Roman" w:cs="Times New Roman"/>
          <w:sz w:val="20"/>
          <w:szCs w:val="20"/>
        </w:rPr>
        <w:t>http://www.consultant.ru/popular/cenbum/</w:t>
      </w:r>
    </w:p>
  </w:footnote>
  <w:footnote w:id="56">
    <w:p w14:paraId="53D66AAC" w14:textId="77777777" w:rsidR="00434D18" w:rsidRPr="009C080C" w:rsidRDefault="00434D18" w:rsidP="00DF0932">
      <w:pPr>
        <w:autoSpaceDE w:val="0"/>
        <w:autoSpaceDN w:val="0"/>
        <w:adjustRightInd w:val="0"/>
        <w:rPr>
          <w:rFonts w:ascii="Times New Roman" w:hAnsi="Times New Roman" w:cs="Times New Roman"/>
          <w:sz w:val="20"/>
          <w:szCs w:val="20"/>
        </w:rPr>
      </w:pPr>
      <w:r w:rsidRPr="009769B6">
        <w:rPr>
          <w:rStyle w:val="FootnoteReference"/>
          <w:rFonts w:ascii="Times New Roman" w:hAnsi="Times New Roman" w:cs="Times New Roman"/>
          <w:sz w:val="20"/>
          <w:szCs w:val="20"/>
        </w:rPr>
        <w:footnoteRef/>
      </w:r>
      <w:r w:rsidRPr="009769B6">
        <w:rPr>
          <w:rFonts w:ascii="Times New Roman" w:hAnsi="Times New Roman" w:cs="Times New Roman"/>
          <w:sz w:val="20"/>
          <w:szCs w:val="20"/>
          <w:lang w:val="en-US"/>
        </w:rPr>
        <w:t xml:space="preserve"> China Securities Regul</w:t>
      </w:r>
      <w:r>
        <w:rPr>
          <w:rFonts w:ascii="Times New Roman" w:hAnsi="Times New Roman" w:cs="Times New Roman"/>
          <w:sz w:val="20"/>
          <w:szCs w:val="20"/>
          <w:lang w:val="en-US"/>
        </w:rPr>
        <w:t>atory Commission Annual Report</w:t>
      </w:r>
      <w:r w:rsidRPr="009769B6">
        <w:rPr>
          <w:rFonts w:ascii="Times New Roman" w:hAnsi="Times New Roman" w:cs="Times New Roman"/>
          <w:sz w:val="20"/>
          <w:szCs w:val="20"/>
          <w:lang w:val="en-US"/>
        </w:rPr>
        <w:t xml:space="preserve">. </w:t>
      </w:r>
      <w:r w:rsidRPr="009C080C">
        <w:rPr>
          <w:rFonts w:ascii="Times New Roman" w:hAnsi="Times New Roman" w:cs="Times New Roman"/>
          <w:sz w:val="20"/>
          <w:szCs w:val="20"/>
        </w:rPr>
        <w:t>2007</w:t>
      </w:r>
      <w:r>
        <w:rPr>
          <w:rFonts w:ascii="Times New Roman" w:hAnsi="Times New Roman" w:cs="Times New Roman"/>
          <w:sz w:val="20"/>
          <w:szCs w:val="20"/>
        </w:rPr>
        <w:t xml:space="preserve">. </w:t>
      </w:r>
      <w:r w:rsidRPr="009C080C">
        <w:rPr>
          <w:rFonts w:ascii="Times New Roman" w:hAnsi="Times New Roman" w:cs="Times New Roman"/>
          <w:sz w:val="20"/>
          <w:szCs w:val="20"/>
        </w:rPr>
        <w:t xml:space="preserve"> -</w:t>
      </w:r>
    </w:p>
    <w:p w14:paraId="63C71DFA" w14:textId="77777777" w:rsidR="00434D18" w:rsidRPr="00A96C60" w:rsidRDefault="00434D18" w:rsidP="00DF0932">
      <w:pPr>
        <w:pStyle w:val="FootnoteText"/>
      </w:pPr>
      <w:hyperlink r:id="rId5" w:history="1">
        <w:r w:rsidRPr="00A96C60">
          <w:rPr>
            <w:rStyle w:val="Hyperlink"/>
            <w:rFonts w:ascii="Times New Roman" w:hAnsi="Times New Roman" w:cs="Times New Roman"/>
            <w:color w:val="auto"/>
            <w:sz w:val="20"/>
            <w:szCs w:val="20"/>
            <w:u w:val="none"/>
          </w:rPr>
          <w:t>www.csrc.gov.cn</w:t>
        </w:r>
      </w:hyperlink>
    </w:p>
  </w:footnote>
  <w:footnote w:id="57">
    <w:p w14:paraId="68D5E353" w14:textId="77777777" w:rsidR="00434D18" w:rsidRPr="009769B6" w:rsidRDefault="00434D18" w:rsidP="0008244F">
      <w:pPr>
        <w:pStyle w:val="FootnoteText"/>
        <w:rPr>
          <w:rFonts w:ascii="Times New Roman" w:hAnsi="Times New Roman" w:cs="Times New Roman"/>
          <w:sz w:val="20"/>
          <w:szCs w:val="20"/>
        </w:rPr>
      </w:pPr>
      <w:r w:rsidRPr="009769B6">
        <w:rPr>
          <w:rStyle w:val="FootnoteReference"/>
          <w:rFonts w:ascii="Times New Roman" w:hAnsi="Times New Roman" w:cs="Times New Roman"/>
          <w:sz w:val="20"/>
          <w:szCs w:val="20"/>
        </w:rPr>
        <w:footnoteRef/>
      </w:r>
      <w:r w:rsidRPr="009769B6">
        <w:rPr>
          <w:rFonts w:ascii="Times New Roman" w:hAnsi="Times New Roman" w:cs="Times New Roman"/>
          <w:sz w:val="20"/>
          <w:szCs w:val="20"/>
        </w:rPr>
        <w:t xml:space="preserve"> Там же</w:t>
      </w:r>
    </w:p>
  </w:footnote>
  <w:footnote w:id="58">
    <w:p w14:paraId="6712A588" w14:textId="77777777" w:rsidR="00434D18" w:rsidRPr="00771F06" w:rsidRDefault="00434D18" w:rsidP="00AF6CAD">
      <w:pPr>
        <w:pStyle w:val="FootnoteText"/>
        <w:rPr>
          <w:rFonts w:ascii="Times New Roman" w:hAnsi="Times New Roman" w:cs="Times New Roman"/>
          <w:sz w:val="20"/>
          <w:szCs w:val="20"/>
        </w:rPr>
      </w:pPr>
      <w:r w:rsidRPr="00B9015F">
        <w:rPr>
          <w:rStyle w:val="FootnoteReference"/>
        </w:rPr>
        <w:footnoteRef/>
      </w:r>
      <w:r w:rsidRPr="0041598A">
        <w:t xml:space="preserve"> </w:t>
      </w:r>
      <w:r w:rsidRPr="00771F06">
        <w:rPr>
          <w:rFonts w:ascii="Times New Roman" w:hAnsi="Times New Roman" w:cs="Times New Roman"/>
          <w:sz w:val="20"/>
          <w:szCs w:val="20"/>
        </w:rPr>
        <w:t>Герасимов Н. Применение модель Ольсона в оценке стоимости компании –</w:t>
      </w:r>
      <w:r>
        <w:rPr>
          <w:rFonts w:ascii="Times New Roman" w:hAnsi="Times New Roman" w:cs="Times New Roman"/>
          <w:sz w:val="20"/>
          <w:szCs w:val="20"/>
        </w:rPr>
        <w:t xml:space="preserve"> Корпоративный менеджмент. 2001, № 11.</w:t>
      </w:r>
      <w:r w:rsidRPr="00771F06">
        <w:rPr>
          <w:rFonts w:ascii="Times New Roman" w:hAnsi="Times New Roman" w:cs="Times New Roman"/>
          <w:sz w:val="20"/>
          <w:szCs w:val="20"/>
        </w:rPr>
        <w:t xml:space="preserve"> C. 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62B"/>
    <w:multiLevelType w:val="hybridMultilevel"/>
    <w:tmpl w:val="C1FEC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A31BF"/>
    <w:multiLevelType w:val="hybridMultilevel"/>
    <w:tmpl w:val="B5E6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8732BE"/>
    <w:multiLevelType w:val="hybridMultilevel"/>
    <w:tmpl w:val="D5AEE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1E36EC"/>
    <w:multiLevelType w:val="hybridMultilevel"/>
    <w:tmpl w:val="3BB6F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5F018E"/>
    <w:multiLevelType w:val="multilevel"/>
    <w:tmpl w:val="C116DEF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383412F"/>
    <w:multiLevelType w:val="hybridMultilevel"/>
    <w:tmpl w:val="AB80C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6232A9"/>
    <w:multiLevelType w:val="hybridMultilevel"/>
    <w:tmpl w:val="40B6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873E28"/>
    <w:multiLevelType w:val="hybridMultilevel"/>
    <w:tmpl w:val="A3D0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E3261E"/>
    <w:multiLevelType w:val="hybridMultilevel"/>
    <w:tmpl w:val="08561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8F22E2"/>
    <w:multiLevelType w:val="hybridMultilevel"/>
    <w:tmpl w:val="E08E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233AC4"/>
    <w:multiLevelType w:val="hybridMultilevel"/>
    <w:tmpl w:val="70A02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9B5761"/>
    <w:multiLevelType w:val="multilevel"/>
    <w:tmpl w:val="C116DEF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9B31A9D"/>
    <w:multiLevelType w:val="hybridMultilevel"/>
    <w:tmpl w:val="7D6C2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0"/>
  </w:num>
  <w:num w:numId="5">
    <w:abstractNumId w:val="5"/>
  </w:num>
  <w:num w:numId="6">
    <w:abstractNumId w:val="3"/>
  </w:num>
  <w:num w:numId="7">
    <w:abstractNumId w:val="2"/>
  </w:num>
  <w:num w:numId="8">
    <w:abstractNumId w:val="6"/>
  </w:num>
  <w:num w:numId="9">
    <w:abstractNumId w:val="7"/>
  </w:num>
  <w:num w:numId="10">
    <w:abstractNumId w:val="8"/>
  </w:num>
  <w:num w:numId="11">
    <w:abstractNumId w:val="1"/>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05"/>
    <w:rsid w:val="00001CC3"/>
    <w:rsid w:val="000271C2"/>
    <w:rsid w:val="00030F7D"/>
    <w:rsid w:val="0003738B"/>
    <w:rsid w:val="00060831"/>
    <w:rsid w:val="00065487"/>
    <w:rsid w:val="000811E4"/>
    <w:rsid w:val="0008244F"/>
    <w:rsid w:val="0009139B"/>
    <w:rsid w:val="000B3B95"/>
    <w:rsid w:val="000B644C"/>
    <w:rsid w:val="000C4909"/>
    <w:rsid w:val="000C5D20"/>
    <w:rsid w:val="000D129E"/>
    <w:rsid w:val="000D2A2E"/>
    <w:rsid w:val="000D3393"/>
    <w:rsid w:val="001152A4"/>
    <w:rsid w:val="00131EB3"/>
    <w:rsid w:val="0014292F"/>
    <w:rsid w:val="00194DCC"/>
    <w:rsid w:val="00195C4B"/>
    <w:rsid w:val="001A74D4"/>
    <w:rsid w:val="001C0A14"/>
    <w:rsid w:val="001C37DD"/>
    <w:rsid w:val="001E427C"/>
    <w:rsid w:val="001E43DF"/>
    <w:rsid w:val="001F1DE5"/>
    <w:rsid w:val="00202F5B"/>
    <w:rsid w:val="002128F6"/>
    <w:rsid w:val="00221408"/>
    <w:rsid w:val="002313D7"/>
    <w:rsid w:val="002515BF"/>
    <w:rsid w:val="00271E72"/>
    <w:rsid w:val="00282726"/>
    <w:rsid w:val="00284E61"/>
    <w:rsid w:val="002C1E87"/>
    <w:rsid w:val="0032635B"/>
    <w:rsid w:val="00361978"/>
    <w:rsid w:val="00362D9F"/>
    <w:rsid w:val="003A721B"/>
    <w:rsid w:val="003F7644"/>
    <w:rsid w:val="00422033"/>
    <w:rsid w:val="0043110B"/>
    <w:rsid w:val="00434D18"/>
    <w:rsid w:val="00453C4A"/>
    <w:rsid w:val="004A6615"/>
    <w:rsid w:val="004D08E2"/>
    <w:rsid w:val="004F7A52"/>
    <w:rsid w:val="0051472E"/>
    <w:rsid w:val="00525402"/>
    <w:rsid w:val="00534F02"/>
    <w:rsid w:val="00536DE0"/>
    <w:rsid w:val="00557F62"/>
    <w:rsid w:val="0057163E"/>
    <w:rsid w:val="00576870"/>
    <w:rsid w:val="00581893"/>
    <w:rsid w:val="00592F1B"/>
    <w:rsid w:val="005B297F"/>
    <w:rsid w:val="005B4AB8"/>
    <w:rsid w:val="005E0381"/>
    <w:rsid w:val="005E6264"/>
    <w:rsid w:val="005F02A0"/>
    <w:rsid w:val="005F2985"/>
    <w:rsid w:val="005F2CC0"/>
    <w:rsid w:val="005F4869"/>
    <w:rsid w:val="00616104"/>
    <w:rsid w:val="006271AE"/>
    <w:rsid w:val="0063146F"/>
    <w:rsid w:val="0064225B"/>
    <w:rsid w:val="00655A0F"/>
    <w:rsid w:val="0066498E"/>
    <w:rsid w:val="006825DF"/>
    <w:rsid w:val="006945DD"/>
    <w:rsid w:val="006D4DAF"/>
    <w:rsid w:val="006D5E67"/>
    <w:rsid w:val="006E5A8E"/>
    <w:rsid w:val="006F4826"/>
    <w:rsid w:val="00702B0A"/>
    <w:rsid w:val="00705957"/>
    <w:rsid w:val="00706867"/>
    <w:rsid w:val="00771F06"/>
    <w:rsid w:val="00785B9F"/>
    <w:rsid w:val="00796DE4"/>
    <w:rsid w:val="00814954"/>
    <w:rsid w:val="00817879"/>
    <w:rsid w:val="00820380"/>
    <w:rsid w:val="00845E1D"/>
    <w:rsid w:val="00872D3E"/>
    <w:rsid w:val="00892C3E"/>
    <w:rsid w:val="008A6AC6"/>
    <w:rsid w:val="008A78D7"/>
    <w:rsid w:val="008C4005"/>
    <w:rsid w:val="008C7960"/>
    <w:rsid w:val="008D2934"/>
    <w:rsid w:val="008F172C"/>
    <w:rsid w:val="008F2664"/>
    <w:rsid w:val="008F653E"/>
    <w:rsid w:val="00936860"/>
    <w:rsid w:val="0097158B"/>
    <w:rsid w:val="00975828"/>
    <w:rsid w:val="00975BA5"/>
    <w:rsid w:val="009769B6"/>
    <w:rsid w:val="009C080C"/>
    <w:rsid w:val="009F325E"/>
    <w:rsid w:val="009F39AE"/>
    <w:rsid w:val="00A049E3"/>
    <w:rsid w:val="00A106E6"/>
    <w:rsid w:val="00A35E2D"/>
    <w:rsid w:val="00A41E17"/>
    <w:rsid w:val="00A56561"/>
    <w:rsid w:val="00A74B3E"/>
    <w:rsid w:val="00A96C60"/>
    <w:rsid w:val="00AB31BA"/>
    <w:rsid w:val="00AC0E73"/>
    <w:rsid w:val="00AC43BB"/>
    <w:rsid w:val="00AD63F0"/>
    <w:rsid w:val="00AE5720"/>
    <w:rsid w:val="00AF6CAD"/>
    <w:rsid w:val="00B256C8"/>
    <w:rsid w:val="00B3167A"/>
    <w:rsid w:val="00B3584B"/>
    <w:rsid w:val="00B42235"/>
    <w:rsid w:val="00B66B0D"/>
    <w:rsid w:val="00B730C7"/>
    <w:rsid w:val="00B9015F"/>
    <w:rsid w:val="00BB1F24"/>
    <w:rsid w:val="00BB2B53"/>
    <w:rsid w:val="00C04FBC"/>
    <w:rsid w:val="00C51E5C"/>
    <w:rsid w:val="00C56AD7"/>
    <w:rsid w:val="00C60F41"/>
    <w:rsid w:val="00C70C91"/>
    <w:rsid w:val="00C7241F"/>
    <w:rsid w:val="00C75020"/>
    <w:rsid w:val="00C96E0C"/>
    <w:rsid w:val="00CB070A"/>
    <w:rsid w:val="00CE1C1C"/>
    <w:rsid w:val="00D03E84"/>
    <w:rsid w:val="00D11A67"/>
    <w:rsid w:val="00D16DC5"/>
    <w:rsid w:val="00D54B5A"/>
    <w:rsid w:val="00D6796E"/>
    <w:rsid w:val="00DD0782"/>
    <w:rsid w:val="00DF0932"/>
    <w:rsid w:val="00DF7F50"/>
    <w:rsid w:val="00E200E0"/>
    <w:rsid w:val="00E317E6"/>
    <w:rsid w:val="00E8533F"/>
    <w:rsid w:val="00EB43B1"/>
    <w:rsid w:val="00ED4859"/>
    <w:rsid w:val="00EE55D4"/>
    <w:rsid w:val="00EF354C"/>
    <w:rsid w:val="00EF4F44"/>
    <w:rsid w:val="00F1404C"/>
    <w:rsid w:val="00F67220"/>
    <w:rsid w:val="00F95522"/>
    <w:rsid w:val="00F95B75"/>
    <w:rsid w:val="00FA1B08"/>
    <w:rsid w:val="00FF72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14:docId w14:val="42451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F2CC0"/>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CC0"/>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131EB3"/>
    <w:pPr>
      <w:ind w:left="720"/>
      <w:contextualSpacing/>
    </w:pPr>
  </w:style>
  <w:style w:type="paragraph" w:styleId="NormalWeb">
    <w:name w:val="Normal (Web)"/>
    <w:basedOn w:val="Normal"/>
    <w:uiPriority w:val="99"/>
    <w:unhideWhenUsed/>
    <w:rsid w:val="005F2CC0"/>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5F2CC0"/>
  </w:style>
  <w:style w:type="character" w:customStyle="1" w:styleId="FootnoteTextChar">
    <w:name w:val="Footnote Text Char"/>
    <w:basedOn w:val="DefaultParagraphFont"/>
    <w:link w:val="FootnoteText"/>
    <w:uiPriority w:val="99"/>
    <w:rsid w:val="005F2CC0"/>
  </w:style>
  <w:style w:type="character" w:styleId="FootnoteReference">
    <w:name w:val="footnote reference"/>
    <w:basedOn w:val="DefaultParagraphFont"/>
    <w:uiPriority w:val="99"/>
    <w:unhideWhenUsed/>
    <w:rsid w:val="005F2CC0"/>
    <w:rPr>
      <w:vertAlign w:val="superscript"/>
    </w:rPr>
  </w:style>
  <w:style w:type="table" w:styleId="TableGrid">
    <w:name w:val="Table Grid"/>
    <w:basedOn w:val="TableNormal"/>
    <w:uiPriority w:val="59"/>
    <w:rsid w:val="005F2CC0"/>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Основной текст (10)"/>
    <w:link w:val="101"/>
    <w:uiPriority w:val="99"/>
    <w:rsid w:val="005F2CC0"/>
    <w:rPr>
      <w:rFonts w:ascii="Times New Roman" w:hAnsi="Times New Roman" w:cs="Times New Roman"/>
      <w:shd w:val="clear" w:color="auto" w:fill="FFFFFF"/>
    </w:rPr>
  </w:style>
  <w:style w:type="paragraph" w:customStyle="1" w:styleId="101">
    <w:name w:val="Основной текст (10)1"/>
    <w:basedOn w:val="Normal"/>
    <w:link w:val="10"/>
    <w:uiPriority w:val="99"/>
    <w:rsid w:val="005F2CC0"/>
    <w:pPr>
      <w:shd w:val="clear" w:color="auto" w:fill="FFFFFF"/>
      <w:spacing w:line="302" w:lineRule="exact"/>
      <w:jc w:val="both"/>
    </w:pPr>
    <w:rPr>
      <w:rFonts w:ascii="Times New Roman" w:hAnsi="Times New Roman" w:cs="Times New Roman"/>
    </w:rPr>
  </w:style>
  <w:style w:type="character" w:customStyle="1" w:styleId="apple-converted-space">
    <w:name w:val="apple-converted-space"/>
    <w:basedOn w:val="DefaultParagraphFont"/>
    <w:rsid w:val="005F2CC0"/>
  </w:style>
  <w:style w:type="character" w:styleId="Emphasis">
    <w:name w:val="Emphasis"/>
    <w:basedOn w:val="DefaultParagraphFont"/>
    <w:uiPriority w:val="20"/>
    <w:qFormat/>
    <w:rsid w:val="005F2CC0"/>
    <w:rPr>
      <w:i/>
      <w:iCs/>
    </w:rPr>
  </w:style>
  <w:style w:type="character" w:styleId="Strong">
    <w:name w:val="Strong"/>
    <w:basedOn w:val="DefaultParagraphFont"/>
    <w:uiPriority w:val="22"/>
    <w:qFormat/>
    <w:rsid w:val="005F2CC0"/>
    <w:rPr>
      <w:b/>
      <w:bCs/>
    </w:rPr>
  </w:style>
  <w:style w:type="paragraph" w:styleId="BalloonText">
    <w:name w:val="Balloon Text"/>
    <w:basedOn w:val="Normal"/>
    <w:link w:val="BalloonTextChar"/>
    <w:uiPriority w:val="99"/>
    <w:semiHidden/>
    <w:unhideWhenUsed/>
    <w:rsid w:val="005F2CC0"/>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5F2CC0"/>
    <w:rPr>
      <w:rFonts w:ascii="Lucida Grande CY" w:hAnsi="Lucida Grande CY" w:cs="Lucida Grande CY"/>
      <w:sz w:val="18"/>
      <w:szCs w:val="18"/>
    </w:rPr>
  </w:style>
  <w:style w:type="character" w:styleId="Hyperlink">
    <w:name w:val="Hyperlink"/>
    <w:basedOn w:val="DefaultParagraphFont"/>
    <w:uiPriority w:val="99"/>
    <w:unhideWhenUsed/>
    <w:rsid w:val="005F2CC0"/>
    <w:rPr>
      <w:color w:val="0000FF"/>
      <w:u w:val="single"/>
    </w:rPr>
  </w:style>
  <w:style w:type="character" w:styleId="FollowedHyperlink">
    <w:name w:val="FollowedHyperlink"/>
    <w:basedOn w:val="DefaultParagraphFont"/>
    <w:uiPriority w:val="99"/>
    <w:semiHidden/>
    <w:unhideWhenUsed/>
    <w:rsid w:val="005F2CC0"/>
    <w:rPr>
      <w:color w:val="800080" w:themeColor="followedHyperlink"/>
      <w:u w:val="single"/>
    </w:rPr>
  </w:style>
  <w:style w:type="paragraph" w:styleId="Footer">
    <w:name w:val="footer"/>
    <w:basedOn w:val="Normal"/>
    <w:link w:val="FooterChar"/>
    <w:uiPriority w:val="99"/>
    <w:unhideWhenUsed/>
    <w:rsid w:val="005F2CC0"/>
    <w:pPr>
      <w:tabs>
        <w:tab w:val="center" w:pos="4153"/>
        <w:tab w:val="right" w:pos="8306"/>
      </w:tabs>
    </w:pPr>
  </w:style>
  <w:style w:type="character" w:customStyle="1" w:styleId="FooterChar">
    <w:name w:val="Footer Char"/>
    <w:basedOn w:val="DefaultParagraphFont"/>
    <w:link w:val="Footer"/>
    <w:uiPriority w:val="99"/>
    <w:rsid w:val="005F2CC0"/>
  </w:style>
  <w:style w:type="character" w:styleId="HTMLCite">
    <w:name w:val="HTML Cite"/>
    <w:basedOn w:val="DefaultParagraphFont"/>
    <w:uiPriority w:val="99"/>
    <w:semiHidden/>
    <w:unhideWhenUsed/>
    <w:rsid w:val="00362D9F"/>
    <w:rPr>
      <w:i/>
      <w:iCs/>
    </w:rPr>
  </w:style>
  <w:style w:type="paragraph" w:styleId="Header">
    <w:name w:val="header"/>
    <w:basedOn w:val="Normal"/>
    <w:link w:val="HeaderChar"/>
    <w:uiPriority w:val="99"/>
    <w:unhideWhenUsed/>
    <w:rsid w:val="00AE5720"/>
    <w:pPr>
      <w:tabs>
        <w:tab w:val="center" w:pos="4153"/>
        <w:tab w:val="right" w:pos="8306"/>
      </w:tabs>
    </w:pPr>
  </w:style>
  <w:style w:type="character" w:customStyle="1" w:styleId="HeaderChar">
    <w:name w:val="Header Char"/>
    <w:basedOn w:val="DefaultParagraphFont"/>
    <w:link w:val="Header"/>
    <w:uiPriority w:val="99"/>
    <w:rsid w:val="00AE5720"/>
  </w:style>
  <w:style w:type="character" w:customStyle="1" w:styleId="apple-style-span">
    <w:name w:val="apple-style-span"/>
    <w:basedOn w:val="DefaultParagraphFont"/>
    <w:uiPriority w:val="99"/>
    <w:rsid w:val="00845E1D"/>
    <w:rPr>
      <w:rFonts w:cs="Times New Roman"/>
    </w:rPr>
  </w:style>
  <w:style w:type="paragraph" w:customStyle="1" w:styleId="FR1">
    <w:name w:val="FR1"/>
    <w:rsid w:val="00845E1D"/>
    <w:pPr>
      <w:widowControl w:val="0"/>
      <w:autoSpaceDE w:val="0"/>
      <w:autoSpaceDN w:val="0"/>
      <w:adjustRightInd w:val="0"/>
    </w:pPr>
    <w:rPr>
      <w:rFonts w:ascii="Times New Roman" w:eastAsia="Times New Roman" w:hAnsi="Times New Roman" w:cs="Times New Roman"/>
      <w:sz w:val="28"/>
      <w:szCs w:val="28"/>
      <w:lang w:eastAsia="ru-RU"/>
    </w:rPr>
  </w:style>
  <w:style w:type="paragraph" w:styleId="TOCHeading">
    <w:name w:val="TOC Heading"/>
    <w:basedOn w:val="Heading1"/>
    <w:next w:val="Normal"/>
    <w:uiPriority w:val="39"/>
    <w:unhideWhenUsed/>
    <w:qFormat/>
    <w:rsid w:val="00845E1D"/>
    <w:pPr>
      <w:keepNext/>
      <w:keepLines/>
      <w:spacing w:before="480" w:beforeAutospacing="0" w:after="0" w:afterAutospacing="0" w:line="276" w:lineRule="auto"/>
      <w:jc w:val="center"/>
      <w:outlineLvl w:val="9"/>
    </w:pPr>
    <w:rPr>
      <w:rFonts w:eastAsiaTheme="majorEastAsia"/>
      <w:kern w:val="0"/>
      <w:sz w:val="32"/>
      <w:szCs w:val="32"/>
    </w:rPr>
  </w:style>
  <w:style w:type="paragraph" w:styleId="TOC1">
    <w:name w:val="toc 1"/>
    <w:basedOn w:val="Normal"/>
    <w:next w:val="Normal"/>
    <w:autoRedefine/>
    <w:uiPriority w:val="39"/>
    <w:unhideWhenUsed/>
    <w:rsid w:val="00845E1D"/>
    <w:pPr>
      <w:spacing w:before="120" w:line="276" w:lineRule="auto"/>
    </w:pPr>
    <w:rPr>
      <w:rFonts w:eastAsia="SimSun" w:cs="Times New Roman"/>
      <w:b/>
      <w:lang w:eastAsia="zh-CN"/>
    </w:rPr>
  </w:style>
  <w:style w:type="paragraph" w:styleId="TOC2">
    <w:name w:val="toc 2"/>
    <w:basedOn w:val="Normal"/>
    <w:next w:val="Normal"/>
    <w:autoRedefine/>
    <w:uiPriority w:val="39"/>
    <w:unhideWhenUsed/>
    <w:rsid w:val="00845E1D"/>
    <w:pPr>
      <w:spacing w:line="276" w:lineRule="auto"/>
      <w:ind w:left="220"/>
    </w:pPr>
    <w:rPr>
      <w:rFonts w:eastAsia="SimSun" w:cs="Times New Roman"/>
      <w:b/>
      <w:sz w:val="22"/>
      <w:szCs w:val="22"/>
      <w:lang w:eastAsia="zh-CN"/>
    </w:rPr>
  </w:style>
  <w:style w:type="character" w:styleId="PageNumber">
    <w:name w:val="page number"/>
    <w:basedOn w:val="DefaultParagraphFont"/>
    <w:uiPriority w:val="99"/>
    <w:semiHidden/>
    <w:unhideWhenUsed/>
    <w:rsid w:val="005F2985"/>
  </w:style>
  <w:style w:type="character" w:customStyle="1" w:styleId="noncited4">
    <w:name w:val="noncited4"/>
    <w:basedOn w:val="DefaultParagraphFont"/>
    <w:rsid w:val="009C08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F2CC0"/>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CC0"/>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131EB3"/>
    <w:pPr>
      <w:ind w:left="720"/>
      <w:contextualSpacing/>
    </w:pPr>
  </w:style>
  <w:style w:type="paragraph" w:styleId="NormalWeb">
    <w:name w:val="Normal (Web)"/>
    <w:basedOn w:val="Normal"/>
    <w:uiPriority w:val="99"/>
    <w:unhideWhenUsed/>
    <w:rsid w:val="005F2CC0"/>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5F2CC0"/>
  </w:style>
  <w:style w:type="character" w:customStyle="1" w:styleId="FootnoteTextChar">
    <w:name w:val="Footnote Text Char"/>
    <w:basedOn w:val="DefaultParagraphFont"/>
    <w:link w:val="FootnoteText"/>
    <w:uiPriority w:val="99"/>
    <w:rsid w:val="005F2CC0"/>
  </w:style>
  <w:style w:type="character" w:styleId="FootnoteReference">
    <w:name w:val="footnote reference"/>
    <w:basedOn w:val="DefaultParagraphFont"/>
    <w:uiPriority w:val="99"/>
    <w:unhideWhenUsed/>
    <w:rsid w:val="005F2CC0"/>
    <w:rPr>
      <w:vertAlign w:val="superscript"/>
    </w:rPr>
  </w:style>
  <w:style w:type="table" w:styleId="TableGrid">
    <w:name w:val="Table Grid"/>
    <w:basedOn w:val="TableNormal"/>
    <w:uiPriority w:val="59"/>
    <w:rsid w:val="005F2CC0"/>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Основной текст (10)"/>
    <w:link w:val="101"/>
    <w:uiPriority w:val="99"/>
    <w:rsid w:val="005F2CC0"/>
    <w:rPr>
      <w:rFonts w:ascii="Times New Roman" w:hAnsi="Times New Roman" w:cs="Times New Roman"/>
      <w:shd w:val="clear" w:color="auto" w:fill="FFFFFF"/>
    </w:rPr>
  </w:style>
  <w:style w:type="paragraph" w:customStyle="1" w:styleId="101">
    <w:name w:val="Основной текст (10)1"/>
    <w:basedOn w:val="Normal"/>
    <w:link w:val="10"/>
    <w:uiPriority w:val="99"/>
    <w:rsid w:val="005F2CC0"/>
    <w:pPr>
      <w:shd w:val="clear" w:color="auto" w:fill="FFFFFF"/>
      <w:spacing w:line="302" w:lineRule="exact"/>
      <w:jc w:val="both"/>
    </w:pPr>
    <w:rPr>
      <w:rFonts w:ascii="Times New Roman" w:hAnsi="Times New Roman" w:cs="Times New Roman"/>
    </w:rPr>
  </w:style>
  <w:style w:type="character" w:customStyle="1" w:styleId="apple-converted-space">
    <w:name w:val="apple-converted-space"/>
    <w:basedOn w:val="DefaultParagraphFont"/>
    <w:rsid w:val="005F2CC0"/>
  </w:style>
  <w:style w:type="character" w:styleId="Emphasis">
    <w:name w:val="Emphasis"/>
    <w:basedOn w:val="DefaultParagraphFont"/>
    <w:uiPriority w:val="20"/>
    <w:qFormat/>
    <w:rsid w:val="005F2CC0"/>
    <w:rPr>
      <w:i/>
      <w:iCs/>
    </w:rPr>
  </w:style>
  <w:style w:type="character" w:styleId="Strong">
    <w:name w:val="Strong"/>
    <w:basedOn w:val="DefaultParagraphFont"/>
    <w:uiPriority w:val="22"/>
    <w:qFormat/>
    <w:rsid w:val="005F2CC0"/>
    <w:rPr>
      <w:b/>
      <w:bCs/>
    </w:rPr>
  </w:style>
  <w:style w:type="paragraph" w:styleId="BalloonText">
    <w:name w:val="Balloon Text"/>
    <w:basedOn w:val="Normal"/>
    <w:link w:val="BalloonTextChar"/>
    <w:uiPriority w:val="99"/>
    <w:semiHidden/>
    <w:unhideWhenUsed/>
    <w:rsid w:val="005F2CC0"/>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5F2CC0"/>
    <w:rPr>
      <w:rFonts w:ascii="Lucida Grande CY" w:hAnsi="Lucida Grande CY" w:cs="Lucida Grande CY"/>
      <w:sz w:val="18"/>
      <w:szCs w:val="18"/>
    </w:rPr>
  </w:style>
  <w:style w:type="character" w:styleId="Hyperlink">
    <w:name w:val="Hyperlink"/>
    <w:basedOn w:val="DefaultParagraphFont"/>
    <w:uiPriority w:val="99"/>
    <w:unhideWhenUsed/>
    <w:rsid w:val="005F2CC0"/>
    <w:rPr>
      <w:color w:val="0000FF"/>
      <w:u w:val="single"/>
    </w:rPr>
  </w:style>
  <w:style w:type="character" w:styleId="FollowedHyperlink">
    <w:name w:val="FollowedHyperlink"/>
    <w:basedOn w:val="DefaultParagraphFont"/>
    <w:uiPriority w:val="99"/>
    <w:semiHidden/>
    <w:unhideWhenUsed/>
    <w:rsid w:val="005F2CC0"/>
    <w:rPr>
      <w:color w:val="800080" w:themeColor="followedHyperlink"/>
      <w:u w:val="single"/>
    </w:rPr>
  </w:style>
  <w:style w:type="paragraph" w:styleId="Footer">
    <w:name w:val="footer"/>
    <w:basedOn w:val="Normal"/>
    <w:link w:val="FooterChar"/>
    <w:uiPriority w:val="99"/>
    <w:unhideWhenUsed/>
    <w:rsid w:val="005F2CC0"/>
    <w:pPr>
      <w:tabs>
        <w:tab w:val="center" w:pos="4153"/>
        <w:tab w:val="right" w:pos="8306"/>
      </w:tabs>
    </w:pPr>
  </w:style>
  <w:style w:type="character" w:customStyle="1" w:styleId="FooterChar">
    <w:name w:val="Footer Char"/>
    <w:basedOn w:val="DefaultParagraphFont"/>
    <w:link w:val="Footer"/>
    <w:uiPriority w:val="99"/>
    <w:rsid w:val="005F2CC0"/>
  </w:style>
  <w:style w:type="character" w:styleId="HTMLCite">
    <w:name w:val="HTML Cite"/>
    <w:basedOn w:val="DefaultParagraphFont"/>
    <w:uiPriority w:val="99"/>
    <w:semiHidden/>
    <w:unhideWhenUsed/>
    <w:rsid w:val="00362D9F"/>
    <w:rPr>
      <w:i/>
      <w:iCs/>
    </w:rPr>
  </w:style>
  <w:style w:type="paragraph" w:styleId="Header">
    <w:name w:val="header"/>
    <w:basedOn w:val="Normal"/>
    <w:link w:val="HeaderChar"/>
    <w:uiPriority w:val="99"/>
    <w:unhideWhenUsed/>
    <w:rsid w:val="00AE5720"/>
    <w:pPr>
      <w:tabs>
        <w:tab w:val="center" w:pos="4153"/>
        <w:tab w:val="right" w:pos="8306"/>
      </w:tabs>
    </w:pPr>
  </w:style>
  <w:style w:type="character" w:customStyle="1" w:styleId="HeaderChar">
    <w:name w:val="Header Char"/>
    <w:basedOn w:val="DefaultParagraphFont"/>
    <w:link w:val="Header"/>
    <w:uiPriority w:val="99"/>
    <w:rsid w:val="00AE5720"/>
  </w:style>
  <w:style w:type="character" w:customStyle="1" w:styleId="apple-style-span">
    <w:name w:val="apple-style-span"/>
    <w:basedOn w:val="DefaultParagraphFont"/>
    <w:uiPriority w:val="99"/>
    <w:rsid w:val="00845E1D"/>
    <w:rPr>
      <w:rFonts w:cs="Times New Roman"/>
    </w:rPr>
  </w:style>
  <w:style w:type="paragraph" w:customStyle="1" w:styleId="FR1">
    <w:name w:val="FR1"/>
    <w:rsid w:val="00845E1D"/>
    <w:pPr>
      <w:widowControl w:val="0"/>
      <w:autoSpaceDE w:val="0"/>
      <w:autoSpaceDN w:val="0"/>
      <w:adjustRightInd w:val="0"/>
    </w:pPr>
    <w:rPr>
      <w:rFonts w:ascii="Times New Roman" w:eastAsia="Times New Roman" w:hAnsi="Times New Roman" w:cs="Times New Roman"/>
      <w:sz w:val="28"/>
      <w:szCs w:val="28"/>
      <w:lang w:eastAsia="ru-RU"/>
    </w:rPr>
  </w:style>
  <w:style w:type="paragraph" w:styleId="TOCHeading">
    <w:name w:val="TOC Heading"/>
    <w:basedOn w:val="Heading1"/>
    <w:next w:val="Normal"/>
    <w:uiPriority w:val="39"/>
    <w:unhideWhenUsed/>
    <w:qFormat/>
    <w:rsid w:val="00845E1D"/>
    <w:pPr>
      <w:keepNext/>
      <w:keepLines/>
      <w:spacing w:before="480" w:beforeAutospacing="0" w:after="0" w:afterAutospacing="0" w:line="276" w:lineRule="auto"/>
      <w:jc w:val="center"/>
      <w:outlineLvl w:val="9"/>
    </w:pPr>
    <w:rPr>
      <w:rFonts w:eastAsiaTheme="majorEastAsia"/>
      <w:kern w:val="0"/>
      <w:sz w:val="32"/>
      <w:szCs w:val="32"/>
    </w:rPr>
  </w:style>
  <w:style w:type="paragraph" w:styleId="TOC1">
    <w:name w:val="toc 1"/>
    <w:basedOn w:val="Normal"/>
    <w:next w:val="Normal"/>
    <w:autoRedefine/>
    <w:uiPriority w:val="39"/>
    <w:unhideWhenUsed/>
    <w:rsid w:val="00845E1D"/>
    <w:pPr>
      <w:spacing w:before="120" w:line="276" w:lineRule="auto"/>
    </w:pPr>
    <w:rPr>
      <w:rFonts w:eastAsia="SimSun" w:cs="Times New Roman"/>
      <w:b/>
      <w:lang w:eastAsia="zh-CN"/>
    </w:rPr>
  </w:style>
  <w:style w:type="paragraph" w:styleId="TOC2">
    <w:name w:val="toc 2"/>
    <w:basedOn w:val="Normal"/>
    <w:next w:val="Normal"/>
    <w:autoRedefine/>
    <w:uiPriority w:val="39"/>
    <w:unhideWhenUsed/>
    <w:rsid w:val="00845E1D"/>
    <w:pPr>
      <w:spacing w:line="276" w:lineRule="auto"/>
      <w:ind w:left="220"/>
    </w:pPr>
    <w:rPr>
      <w:rFonts w:eastAsia="SimSun" w:cs="Times New Roman"/>
      <w:b/>
      <w:sz w:val="22"/>
      <w:szCs w:val="22"/>
      <w:lang w:eastAsia="zh-CN"/>
    </w:rPr>
  </w:style>
  <w:style w:type="character" w:styleId="PageNumber">
    <w:name w:val="page number"/>
    <w:basedOn w:val="DefaultParagraphFont"/>
    <w:uiPriority w:val="99"/>
    <w:semiHidden/>
    <w:unhideWhenUsed/>
    <w:rsid w:val="005F2985"/>
  </w:style>
  <w:style w:type="character" w:customStyle="1" w:styleId="noncited4">
    <w:name w:val="noncited4"/>
    <w:basedOn w:val="DefaultParagraphFont"/>
    <w:rsid w:val="009C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561830">
      <w:bodyDiv w:val="1"/>
      <w:marLeft w:val="0"/>
      <w:marRight w:val="0"/>
      <w:marTop w:val="0"/>
      <w:marBottom w:val="0"/>
      <w:divBdr>
        <w:top w:val="none" w:sz="0" w:space="0" w:color="auto"/>
        <w:left w:val="none" w:sz="0" w:space="0" w:color="auto"/>
        <w:bottom w:val="none" w:sz="0" w:space="0" w:color="auto"/>
        <w:right w:val="none" w:sz="0" w:space="0" w:color="auto"/>
      </w:divBdr>
    </w:div>
    <w:div w:id="630283129">
      <w:bodyDiv w:val="1"/>
      <w:marLeft w:val="0"/>
      <w:marRight w:val="0"/>
      <w:marTop w:val="0"/>
      <w:marBottom w:val="0"/>
      <w:divBdr>
        <w:top w:val="none" w:sz="0" w:space="0" w:color="auto"/>
        <w:left w:val="none" w:sz="0" w:space="0" w:color="auto"/>
        <w:bottom w:val="none" w:sz="0" w:space="0" w:color="auto"/>
        <w:right w:val="none" w:sz="0" w:space="0" w:color="auto"/>
      </w:divBdr>
    </w:div>
    <w:div w:id="811943396">
      <w:bodyDiv w:val="1"/>
      <w:marLeft w:val="0"/>
      <w:marRight w:val="0"/>
      <w:marTop w:val="0"/>
      <w:marBottom w:val="0"/>
      <w:divBdr>
        <w:top w:val="none" w:sz="0" w:space="0" w:color="auto"/>
        <w:left w:val="none" w:sz="0" w:space="0" w:color="auto"/>
        <w:bottom w:val="none" w:sz="0" w:space="0" w:color="auto"/>
        <w:right w:val="none" w:sz="0" w:space="0" w:color="auto"/>
      </w:divBdr>
    </w:div>
    <w:div w:id="1062288019">
      <w:bodyDiv w:val="1"/>
      <w:marLeft w:val="0"/>
      <w:marRight w:val="0"/>
      <w:marTop w:val="0"/>
      <w:marBottom w:val="0"/>
      <w:divBdr>
        <w:top w:val="none" w:sz="0" w:space="0" w:color="auto"/>
        <w:left w:val="none" w:sz="0" w:space="0" w:color="auto"/>
        <w:bottom w:val="none" w:sz="0" w:space="0" w:color="auto"/>
        <w:right w:val="none" w:sz="0" w:space="0" w:color="auto"/>
      </w:divBdr>
    </w:div>
    <w:div w:id="1304847416">
      <w:bodyDiv w:val="1"/>
      <w:marLeft w:val="0"/>
      <w:marRight w:val="0"/>
      <w:marTop w:val="0"/>
      <w:marBottom w:val="0"/>
      <w:divBdr>
        <w:top w:val="none" w:sz="0" w:space="0" w:color="auto"/>
        <w:left w:val="none" w:sz="0" w:space="0" w:color="auto"/>
        <w:bottom w:val="none" w:sz="0" w:space="0" w:color="auto"/>
        <w:right w:val="none" w:sz="0" w:space="0" w:color="auto"/>
      </w:divBdr>
    </w:div>
    <w:div w:id="1497720141">
      <w:bodyDiv w:val="1"/>
      <w:marLeft w:val="0"/>
      <w:marRight w:val="0"/>
      <w:marTop w:val="0"/>
      <w:marBottom w:val="0"/>
      <w:divBdr>
        <w:top w:val="none" w:sz="0" w:space="0" w:color="auto"/>
        <w:left w:val="none" w:sz="0" w:space="0" w:color="auto"/>
        <w:bottom w:val="none" w:sz="0" w:space="0" w:color="auto"/>
        <w:right w:val="none" w:sz="0" w:space="0" w:color="auto"/>
      </w:divBdr>
    </w:div>
    <w:div w:id="18000333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quote.rbc.ru/topnews/2012/09/17/33768375.html" TargetMode="External"/><Relationship Id="rId4" Type="http://schemas.openxmlformats.org/officeDocument/2006/relationships/hyperlink" Target="http://www.pbc.gov.cn" TargetMode="External"/><Relationship Id="rId5" Type="http://schemas.openxmlformats.org/officeDocument/2006/relationships/hyperlink" Target="http://www.csrc.gov.cn" TargetMode="External"/><Relationship Id="rId1" Type="http://schemas.openxmlformats.org/officeDocument/2006/relationships/hyperlink" Target="http://web.worldbank.org/WBSITE/EXTERNAL/EXTABOUTUS/ORGANIZATION/BODEXT/0,,contentMDK:20122863~menuPK:64020025~pagePK:64020054~piPK:64020408~theSitePK:278036,00.html" TargetMode="External"/><Relationship Id="rId2" Type="http://schemas.openxmlformats.org/officeDocument/2006/relationships/hyperlink" Target="http://www1.ifc.org/wps/wcm/connect/region__ext_content/regions/regions/regions+landing+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12A3FE-9040-6A48-849C-62099070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94</Pages>
  <Words>21587</Words>
  <Characters>123051</Characters>
  <Application>Microsoft Macintosh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ГУ-ВШЭ</Company>
  <LinksUpToDate>false</LinksUpToDate>
  <CharactersWithSpaces>144350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Попова</dc:creator>
  <cp:keywords/>
  <dc:description/>
  <cp:lastModifiedBy>Елизавета Попова</cp:lastModifiedBy>
  <cp:revision>8</cp:revision>
  <dcterms:created xsi:type="dcterms:W3CDTF">2013-05-20T14:51:00Z</dcterms:created>
  <dcterms:modified xsi:type="dcterms:W3CDTF">2013-05-20T19:46:00Z</dcterms:modified>
</cp:coreProperties>
</file>