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5E8F3" w14:textId="77777777" w:rsidR="005E5745" w:rsidRPr="00BA5023" w:rsidRDefault="005E5745" w:rsidP="009D2592">
      <w:pPr>
        <w:pStyle w:val="FR1"/>
        <w:tabs>
          <w:tab w:val="left" w:pos="5420"/>
        </w:tabs>
        <w:spacing w:before="0"/>
        <w:ind w:left="0" w:right="0"/>
        <w:jc w:val="right"/>
        <w:rPr>
          <w:b w:val="0"/>
          <w:sz w:val="26"/>
          <w:szCs w:val="26"/>
          <w:lang w:val="en-US"/>
        </w:rPr>
      </w:pPr>
    </w:p>
    <w:p w14:paraId="11367FE8" w14:textId="77777777" w:rsidR="00B76D3C" w:rsidRPr="008B0B0A" w:rsidRDefault="00B76D3C" w:rsidP="00B76D3C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  <w:r w:rsidRPr="008B0B0A">
        <w:rPr>
          <w:sz w:val="26"/>
          <w:szCs w:val="26"/>
        </w:rPr>
        <w:t>Правительство Российской Федерации</w:t>
      </w:r>
    </w:p>
    <w:p w14:paraId="72D5A1A6" w14:textId="77777777" w:rsidR="00B76D3C" w:rsidRPr="008B0B0A" w:rsidRDefault="00B76D3C" w:rsidP="00B76D3C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  <w:bookmarkStart w:id="0" w:name="_GoBack"/>
      <w:bookmarkEnd w:id="0"/>
    </w:p>
    <w:p w14:paraId="08A74A41" w14:textId="77777777" w:rsidR="00B76D3C" w:rsidRPr="008B0B0A" w:rsidRDefault="00DC2C24" w:rsidP="00B76D3C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 w:rsidRPr="008B0B0A">
        <w:rPr>
          <w:color w:val="000000"/>
          <w:sz w:val="26"/>
          <w:szCs w:val="26"/>
        </w:rPr>
        <w:t>Федеральное г</w:t>
      </w:r>
      <w:r w:rsidR="00B76D3C" w:rsidRPr="008B0B0A">
        <w:rPr>
          <w:color w:val="000000"/>
          <w:sz w:val="26"/>
          <w:szCs w:val="26"/>
        </w:rPr>
        <w:t xml:space="preserve">осударственное </w:t>
      </w:r>
      <w:r w:rsidRPr="008B0B0A">
        <w:rPr>
          <w:color w:val="000000"/>
          <w:sz w:val="26"/>
          <w:szCs w:val="26"/>
        </w:rPr>
        <w:t xml:space="preserve">автономное </w:t>
      </w:r>
      <w:r w:rsidR="00B76D3C" w:rsidRPr="008B0B0A">
        <w:rPr>
          <w:color w:val="000000"/>
          <w:sz w:val="26"/>
          <w:szCs w:val="26"/>
        </w:rPr>
        <w:t xml:space="preserve">образовательное учреждение </w:t>
      </w:r>
    </w:p>
    <w:p w14:paraId="14D8574A" w14:textId="77777777" w:rsidR="00B76D3C" w:rsidRPr="008B0B0A" w:rsidRDefault="00B76D3C" w:rsidP="00B76D3C">
      <w:pPr>
        <w:pStyle w:val="FR1"/>
        <w:tabs>
          <w:tab w:val="left" w:pos="5420"/>
        </w:tabs>
        <w:spacing w:before="0"/>
        <w:ind w:left="0" w:right="0"/>
        <w:rPr>
          <w:color w:val="000000"/>
          <w:sz w:val="26"/>
          <w:szCs w:val="26"/>
        </w:rPr>
      </w:pPr>
      <w:r w:rsidRPr="008B0B0A">
        <w:rPr>
          <w:color w:val="000000"/>
          <w:sz w:val="26"/>
          <w:szCs w:val="26"/>
        </w:rPr>
        <w:t>высшего профессионального образования</w:t>
      </w:r>
    </w:p>
    <w:p w14:paraId="4A9963C9" w14:textId="77777777" w:rsidR="00B76D3C" w:rsidRPr="008B0B0A" w:rsidRDefault="00B76D3C" w:rsidP="00B76D3C">
      <w:pPr>
        <w:pStyle w:val="FR1"/>
        <w:tabs>
          <w:tab w:val="left" w:pos="5420"/>
        </w:tabs>
        <w:spacing w:before="0"/>
        <w:ind w:left="0" w:right="0"/>
        <w:rPr>
          <w:sz w:val="26"/>
          <w:szCs w:val="26"/>
        </w:rPr>
      </w:pPr>
    </w:p>
    <w:p w14:paraId="7995EECE" w14:textId="77777777" w:rsidR="00B76D3C" w:rsidRPr="008B0B0A" w:rsidRDefault="00B76D3C" w:rsidP="00B76D3C">
      <w:pPr>
        <w:pStyle w:val="FR1"/>
        <w:spacing w:before="0"/>
        <w:ind w:left="0" w:right="-6"/>
        <w:rPr>
          <w:sz w:val="26"/>
          <w:szCs w:val="26"/>
        </w:rPr>
      </w:pPr>
      <w:r w:rsidRPr="008B0B0A">
        <w:rPr>
          <w:sz w:val="26"/>
          <w:szCs w:val="26"/>
        </w:rPr>
        <w:t>«</w:t>
      </w:r>
      <w:r w:rsidR="0062105A" w:rsidRPr="008B0B0A">
        <w:rPr>
          <w:sz w:val="26"/>
          <w:szCs w:val="26"/>
        </w:rPr>
        <w:t xml:space="preserve">Национальный исследовательский </w:t>
      </w:r>
      <w:r w:rsidRPr="008B0B0A">
        <w:rPr>
          <w:sz w:val="26"/>
          <w:szCs w:val="26"/>
        </w:rPr>
        <w:t xml:space="preserve">университет </w:t>
      </w:r>
      <w:r w:rsidR="00BE0BA6" w:rsidRPr="008B0B0A">
        <w:rPr>
          <w:sz w:val="26"/>
          <w:szCs w:val="26"/>
        </w:rPr>
        <w:br/>
      </w:r>
      <w:r w:rsidR="002718D6" w:rsidRPr="008B0B0A">
        <w:rPr>
          <w:sz w:val="26"/>
          <w:szCs w:val="26"/>
        </w:rPr>
        <w:t>«</w:t>
      </w:r>
      <w:r w:rsidRPr="008B0B0A">
        <w:rPr>
          <w:sz w:val="26"/>
          <w:szCs w:val="26"/>
        </w:rPr>
        <w:t>Высшая</w:t>
      </w:r>
      <w:r w:rsidR="004D6EAA" w:rsidRPr="008B0B0A">
        <w:rPr>
          <w:sz w:val="26"/>
          <w:szCs w:val="26"/>
        </w:rPr>
        <w:t xml:space="preserve"> </w:t>
      </w:r>
      <w:r w:rsidRPr="008B0B0A">
        <w:rPr>
          <w:sz w:val="26"/>
          <w:szCs w:val="26"/>
        </w:rPr>
        <w:t>школа экономики»</w:t>
      </w:r>
    </w:p>
    <w:p w14:paraId="07F75E68" w14:textId="77777777" w:rsidR="00B76D3C" w:rsidRPr="008B0B0A" w:rsidRDefault="00B76D3C" w:rsidP="00B76D3C">
      <w:pPr>
        <w:rPr>
          <w:sz w:val="26"/>
          <w:szCs w:val="26"/>
        </w:rPr>
      </w:pPr>
    </w:p>
    <w:p w14:paraId="37ED8224" w14:textId="77777777" w:rsidR="00B76D3C" w:rsidRPr="008B0B0A" w:rsidRDefault="00B76D3C" w:rsidP="00B76D3C">
      <w:pPr>
        <w:pStyle w:val="Heading6"/>
        <w:rPr>
          <w:sz w:val="26"/>
          <w:szCs w:val="26"/>
        </w:rPr>
      </w:pPr>
      <w:r w:rsidRPr="008B0B0A">
        <w:rPr>
          <w:sz w:val="26"/>
          <w:szCs w:val="26"/>
        </w:rPr>
        <w:t>Факультет</w:t>
      </w:r>
      <w:r w:rsidR="009D2592" w:rsidRPr="008B0B0A">
        <w:rPr>
          <w:sz w:val="26"/>
          <w:szCs w:val="26"/>
        </w:rPr>
        <w:t>/</w:t>
      </w:r>
      <w:r w:rsidR="002718D6" w:rsidRPr="008B0B0A">
        <w:rPr>
          <w:sz w:val="26"/>
          <w:szCs w:val="26"/>
        </w:rPr>
        <w:t>отделение факультета/</w:t>
      </w:r>
      <w:r w:rsidR="009D2592" w:rsidRPr="008B0B0A">
        <w:rPr>
          <w:sz w:val="26"/>
          <w:szCs w:val="26"/>
        </w:rPr>
        <w:t>Подразделение</w:t>
      </w:r>
      <w:r w:rsidR="0025561D">
        <w:rPr>
          <w:sz w:val="26"/>
          <w:szCs w:val="26"/>
        </w:rPr>
        <w:t>: Мировой экономики и мировой политики</w:t>
      </w:r>
    </w:p>
    <w:p w14:paraId="2DA6680F" w14:textId="77777777" w:rsidR="00B76D3C" w:rsidRPr="008B0B0A" w:rsidRDefault="00B76D3C" w:rsidP="00B76D3C">
      <w:pPr>
        <w:pStyle w:val="Heading6"/>
        <w:rPr>
          <w:sz w:val="26"/>
          <w:szCs w:val="26"/>
        </w:rPr>
      </w:pPr>
      <w:r w:rsidRPr="008B0B0A">
        <w:rPr>
          <w:sz w:val="26"/>
          <w:szCs w:val="26"/>
        </w:rPr>
        <w:t xml:space="preserve">Кафедра </w:t>
      </w:r>
      <w:r w:rsidR="0025561D">
        <w:rPr>
          <w:sz w:val="26"/>
          <w:szCs w:val="26"/>
        </w:rPr>
        <w:t>Мировой экономики</w:t>
      </w:r>
    </w:p>
    <w:p w14:paraId="63F2DE24" w14:textId="77777777" w:rsidR="00B76D3C" w:rsidRPr="008B0B0A" w:rsidRDefault="00B76D3C" w:rsidP="00B76D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740EAFC" w14:textId="77777777" w:rsidR="00B76D3C" w:rsidRPr="008B0B0A" w:rsidRDefault="00B76D3C" w:rsidP="00B76D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083B292" w14:textId="77777777" w:rsidR="00B76D3C" w:rsidRPr="008B0B0A" w:rsidRDefault="00B76D3C" w:rsidP="00B76D3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766499B" w14:textId="77777777" w:rsidR="00B76D3C" w:rsidRPr="008B0B0A" w:rsidRDefault="00B76D3C" w:rsidP="004D6EAA">
      <w:pPr>
        <w:pStyle w:val="Heading6"/>
        <w:jc w:val="center"/>
        <w:rPr>
          <w:b w:val="0"/>
          <w:bCs w:val="0"/>
          <w:sz w:val="26"/>
          <w:szCs w:val="26"/>
        </w:rPr>
      </w:pPr>
      <w:r w:rsidRPr="008B0B0A">
        <w:rPr>
          <w:sz w:val="26"/>
          <w:szCs w:val="26"/>
        </w:rPr>
        <w:t>ВЫПУСКНАЯ</w:t>
      </w:r>
      <w:r w:rsidRPr="008B0B0A">
        <w:rPr>
          <w:b w:val="0"/>
          <w:bCs w:val="0"/>
          <w:sz w:val="26"/>
          <w:szCs w:val="26"/>
        </w:rPr>
        <w:t xml:space="preserve"> </w:t>
      </w:r>
      <w:r w:rsidRPr="008B0B0A">
        <w:rPr>
          <w:bCs w:val="0"/>
          <w:sz w:val="26"/>
          <w:szCs w:val="26"/>
        </w:rPr>
        <w:t>КВАЛИФИКАЦИОННАЯ РАБОТА</w:t>
      </w:r>
    </w:p>
    <w:p w14:paraId="1A228C7D" w14:textId="77777777" w:rsidR="00B76D3C" w:rsidRPr="008B0B0A" w:rsidRDefault="00B76D3C" w:rsidP="00B76D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A744E55" w14:textId="77777777" w:rsidR="00B76D3C" w:rsidRPr="008B0B0A" w:rsidRDefault="00B76D3C" w:rsidP="00B76D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AEDF231" w14:textId="77777777" w:rsidR="0025561D" w:rsidRDefault="00B76D3C" w:rsidP="0025561D">
      <w:pPr>
        <w:pStyle w:val="BodyText2"/>
        <w:jc w:val="center"/>
        <w:rPr>
          <w:sz w:val="26"/>
          <w:szCs w:val="26"/>
        </w:rPr>
      </w:pPr>
      <w:r w:rsidRPr="008B0B0A">
        <w:rPr>
          <w:sz w:val="26"/>
          <w:szCs w:val="26"/>
        </w:rPr>
        <w:t>На тему</w:t>
      </w:r>
      <w:r w:rsidR="0025561D">
        <w:rPr>
          <w:sz w:val="26"/>
          <w:szCs w:val="26"/>
        </w:rPr>
        <w:t>:</w:t>
      </w:r>
    </w:p>
    <w:p w14:paraId="3570F713" w14:textId="77777777" w:rsidR="00B76D3C" w:rsidRPr="0025561D" w:rsidRDefault="0025561D" w:rsidP="0025561D">
      <w:pPr>
        <w:pStyle w:val="BodyText2"/>
        <w:jc w:val="center"/>
        <w:rPr>
          <w:sz w:val="26"/>
          <w:szCs w:val="26"/>
        </w:rPr>
      </w:pPr>
      <w:r w:rsidRPr="0025561D">
        <w:rPr>
          <w:sz w:val="28"/>
          <w:szCs w:val="28"/>
          <w:lang w:eastAsia="zh-TW"/>
        </w:rPr>
        <w:t>Структура энергетического потребления в китайской экономике и ценовая конкуренция видов топлива</w:t>
      </w:r>
    </w:p>
    <w:p w14:paraId="49C3735C" w14:textId="77777777" w:rsidR="0025561D" w:rsidRDefault="0025561D" w:rsidP="0025561D">
      <w:pPr>
        <w:tabs>
          <w:tab w:val="left" w:pos="8820"/>
        </w:tabs>
        <w:ind w:right="818"/>
        <w:rPr>
          <w:sz w:val="26"/>
          <w:szCs w:val="26"/>
        </w:rPr>
      </w:pPr>
    </w:p>
    <w:p w14:paraId="6A2D79FE" w14:textId="77777777" w:rsidR="0025561D" w:rsidRDefault="0025561D" w:rsidP="00457649">
      <w:pPr>
        <w:tabs>
          <w:tab w:val="left" w:pos="8820"/>
        </w:tabs>
        <w:ind w:left="4956" w:right="818"/>
        <w:rPr>
          <w:sz w:val="26"/>
          <w:szCs w:val="26"/>
        </w:rPr>
      </w:pPr>
    </w:p>
    <w:p w14:paraId="6DAE02DA" w14:textId="77777777" w:rsidR="0025561D" w:rsidRDefault="0025561D" w:rsidP="00457649">
      <w:pPr>
        <w:tabs>
          <w:tab w:val="left" w:pos="8820"/>
        </w:tabs>
        <w:ind w:left="4956" w:right="818"/>
        <w:rPr>
          <w:sz w:val="26"/>
          <w:szCs w:val="26"/>
        </w:rPr>
      </w:pPr>
    </w:p>
    <w:p w14:paraId="47B04F85" w14:textId="77777777" w:rsidR="0025561D" w:rsidRPr="0025561D" w:rsidRDefault="0025561D" w:rsidP="00C73A5B">
      <w:pPr>
        <w:tabs>
          <w:tab w:val="left" w:pos="8505"/>
          <w:tab w:val="left" w:pos="8820"/>
        </w:tabs>
        <w:spacing w:line="360" w:lineRule="auto"/>
        <w:ind w:left="4956" w:right="816"/>
        <w:rPr>
          <w:b/>
          <w:sz w:val="26"/>
          <w:szCs w:val="26"/>
        </w:rPr>
      </w:pPr>
      <w:r w:rsidRPr="0025561D">
        <w:rPr>
          <w:b/>
          <w:sz w:val="26"/>
          <w:szCs w:val="26"/>
        </w:rPr>
        <w:t>Студентка:</w:t>
      </w:r>
    </w:p>
    <w:p w14:paraId="51E77190" w14:textId="77777777" w:rsidR="00B76D3C" w:rsidRPr="008B0B0A" w:rsidRDefault="0025561D" w:rsidP="00C73A5B">
      <w:pPr>
        <w:tabs>
          <w:tab w:val="left" w:pos="8505"/>
          <w:tab w:val="left" w:pos="9214"/>
        </w:tabs>
        <w:spacing w:line="360" w:lineRule="auto"/>
        <w:ind w:left="4956" w:right="565"/>
        <w:rPr>
          <w:sz w:val="26"/>
          <w:szCs w:val="26"/>
        </w:rPr>
      </w:pPr>
      <w:r>
        <w:rPr>
          <w:sz w:val="26"/>
          <w:szCs w:val="26"/>
        </w:rPr>
        <w:t>группы № 466</w:t>
      </w:r>
    </w:p>
    <w:p w14:paraId="36FC8FC2" w14:textId="77777777" w:rsidR="00B76D3C" w:rsidRPr="008B0B0A" w:rsidRDefault="0025561D" w:rsidP="00C73A5B">
      <w:pPr>
        <w:tabs>
          <w:tab w:val="left" w:pos="8505"/>
          <w:tab w:val="left" w:pos="8820"/>
        </w:tabs>
        <w:spacing w:line="360" w:lineRule="auto"/>
        <w:ind w:left="4956" w:right="816"/>
        <w:rPr>
          <w:sz w:val="26"/>
          <w:szCs w:val="26"/>
        </w:rPr>
      </w:pPr>
      <w:proofErr w:type="spellStart"/>
      <w:r>
        <w:rPr>
          <w:sz w:val="26"/>
          <w:szCs w:val="26"/>
        </w:rPr>
        <w:t>Кульпина</w:t>
      </w:r>
      <w:proofErr w:type="spellEnd"/>
      <w:r>
        <w:rPr>
          <w:sz w:val="26"/>
          <w:szCs w:val="26"/>
        </w:rPr>
        <w:t xml:space="preserve"> Вера Петровна</w:t>
      </w:r>
    </w:p>
    <w:p w14:paraId="1223D547" w14:textId="77777777" w:rsidR="00B76D3C" w:rsidRPr="008B0B0A" w:rsidRDefault="00B76D3C" w:rsidP="00C73A5B">
      <w:pPr>
        <w:tabs>
          <w:tab w:val="left" w:pos="8505"/>
          <w:tab w:val="left" w:pos="8820"/>
        </w:tabs>
        <w:spacing w:line="360" w:lineRule="auto"/>
        <w:ind w:left="4956" w:right="816"/>
        <w:rPr>
          <w:sz w:val="26"/>
          <w:szCs w:val="26"/>
        </w:rPr>
      </w:pPr>
      <w:r w:rsidRPr="008B0B0A">
        <w:rPr>
          <w:sz w:val="26"/>
          <w:szCs w:val="26"/>
        </w:rPr>
        <w:t xml:space="preserve">                       </w:t>
      </w:r>
    </w:p>
    <w:p w14:paraId="03B9C96E" w14:textId="77777777" w:rsidR="00B76D3C" w:rsidRPr="0025561D" w:rsidRDefault="00C618A6" w:rsidP="00C73A5B">
      <w:pPr>
        <w:tabs>
          <w:tab w:val="left" w:pos="8505"/>
          <w:tab w:val="left" w:pos="8820"/>
        </w:tabs>
        <w:spacing w:line="360" w:lineRule="auto"/>
        <w:ind w:left="4956" w:right="816"/>
        <w:rPr>
          <w:b/>
          <w:sz w:val="26"/>
          <w:szCs w:val="26"/>
        </w:rPr>
      </w:pPr>
      <w:r w:rsidRPr="0025561D">
        <w:rPr>
          <w:b/>
          <w:sz w:val="26"/>
          <w:szCs w:val="26"/>
        </w:rPr>
        <w:t>Р</w:t>
      </w:r>
      <w:r w:rsidR="00B76D3C" w:rsidRPr="0025561D">
        <w:rPr>
          <w:b/>
          <w:sz w:val="26"/>
          <w:szCs w:val="26"/>
        </w:rPr>
        <w:t>уководитель</w:t>
      </w:r>
      <w:r w:rsidRPr="0025561D">
        <w:rPr>
          <w:b/>
          <w:sz w:val="26"/>
          <w:szCs w:val="26"/>
        </w:rPr>
        <w:t xml:space="preserve"> ВКР</w:t>
      </w:r>
      <w:r w:rsidR="0025561D" w:rsidRPr="0025561D">
        <w:rPr>
          <w:b/>
          <w:sz w:val="26"/>
          <w:szCs w:val="26"/>
        </w:rPr>
        <w:t>:</w:t>
      </w:r>
    </w:p>
    <w:p w14:paraId="09714320" w14:textId="77777777" w:rsidR="0025561D" w:rsidRDefault="0025561D" w:rsidP="00C73A5B">
      <w:pPr>
        <w:tabs>
          <w:tab w:val="left" w:pos="8505"/>
          <w:tab w:val="left" w:pos="8820"/>
        </w:tabs>
        <w:spacing w:line="360" w:lineRule="auto"/>
        <w:ind w:left="4956" w:right="816"/>
        <w:rPr>
          <w:sz w:val="26"/>
          <w:szCs w:val="26"/>
        </w:rPr>
      </w:pPr>
      <w:r>
        <w:rPr>
          <w:sz w:val="26"/>
          <w:szCs w:val="26"/>
        </w:rPr>
        <w:t xml:space="preserve">заведующий кафедрой, профессор, кандидат экономических наук </w:t>
      </w:r>
    </w:p>
    <w:p w14:paraId="5928E503" w14:textId="77777777" w:rsidR="0025561D" w:rsidRPr="008B0B0A" w:rsidRDefault="0025561D" w:rsidP="00C73A5B">
      <w:pPr>
        <w:tabs>
          <w:tab w:val="left" w:pos="8505"/>
          <w:tab w:val="left" w:pos="8820"/>
        </w:tabs>
        <w:spacing w:line="360" w:lineRule="auto"/>
        <w:ind w:left="4956" w:right="816"/>
        <w:rPr>
          <w:sz w:val="26"/>
          <w:szCs w:val="26"/>
        </w:rPr>
      </w:pPr>
      <w:r>
        <w:rPr>
          <w:sz w:val="26"/>
          <w:szCs w:val="26"/>
        </w:rPr>
        <w:t>Григорьев Леонид Маркович</w:t>
      </w:r>
    </w:p>
    <w:p w14:paraId="10E67B62" w14:textId="77777777" w:rsidR="00B76D3C" w:rsidRPr="008B0B0A" w:rsidRDefault="00B76D3C" w:rsidP="00457649">
      <w:pPr>
        <w:ind w:left="4956"/>
        <w:jc w:val="both"/>
        <w:rPr>
          <w:sz w:val="26"/>
          <w:szCs w:val="26"/>
        </w:rPr>
      </w:pPr>
    </w:p>
    <w:p w14:paraId="75182987" w14:textId="77777777" w:rsidR="0025561D" w:rsidRDefault="0025561D" w:rsidP="00BA07BC">
      <w:pPr>
        <w:autoSpaceDE w:val="0"/>
        <w:autoSpaceDN w:val="0"/>
        <w:adjustRightInd w:val="0"/>
        <w:rPr>
          <w:sz w:val="26"/>
          <w:szCs w:val="26"/>
        </w:rPr>
      </w:pPr>
    </w:p>
    <w:p w14:paraId="3AFE1276" w14:textId="77777777" w:rsidR="0025561D" w:rsidRDefault="0025561D" w:rsidP="0009610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016FA6E" w14:textId="77777777" w:rsidR="0025561D" w:rsidRDefault="0025561D" w:rsidP="0025561D">
      <w:pPr>
        <w:autoSpaceDE w:val="0"/>
        <w:autoSpaceDN w:val="0"/>
        <w:adjustRightInd w:val="0"/>
        <w:rPr>
          <w:sz w:val="26"/>
          <w:szCs w:val="26"/>
        </w:rPr>
      </w:pPr>
    </w:p>
    <w:p w14:paraId="4C922554" w14:textId="77777777" w:rsidR="0025561D" w:rsidRDefault="0025561D" w:rsidP="0009610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DAED96A" w14:textId="77777777" w:rsidR="0025561D" w:rsidRDefault="0025561D" w:rsidP="0009610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7D77F70" w14:textId="77777777" w:rsidR="00BA07BC" w:rsidRPr="006C51A4" w:rsidRDefault="00B76D3C" w:rsidP="0009610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B0B0A">
        <w:rPr>
          <w:sz w:val="26"/>
          <w:szCs w:val="26"/>
        </w:rPr>
        <w:t>Москва</w:t>
      </w:r>
      <w:r w:rsidR="0062105A" w:rsidRPr="008B0B0A">
        <w:rPr>
          <w:sz w:val="26"/>
          <w:szCs w:val="26"/>
        </w:rPr>
        <w:t>,</w:t>
      </w:r>
      <w:r w:rsidRPr="008B0B0A">
        <w:rPr>
          <w:sz w:val="26"/>
          <w:szCs w:val="26"/>
        </w:rPr>
        <w:t xml:space="preserve"> 20</w:t>
      </w:r>
      <w:r w:rsidR="0025561D" w:rsidRPr="006C51A4">
        <w:rPr>
          <w:sz w:val="26"/>
          <w:szCs w:val="26"/>
        </w:rPr>
        <w:t>13</w:t>
      </w:r>
    </w:p>
    <w:p w14:paraId="0140D3EB" w14:textId="77777777" w:rsidR="00EA5FB6" w:rsidRDefault="00BA07BC" w:rsidP="00EA5FB6">
      <w:pPr>
        <w:spacing w:line="360" w:lineRule="auto"/>
        <w:rPr>
          <w:b/>
          <w:noProof/>
          <w:sz w:val="28"/>
          <w:szCs w:val="28"/>
          <w:lang w:eastAsia="zh-TW"/>
        </w:rPr>
      </w:pPr>
      <w:r w:rsidRPr="006C51A4">
        <w:rPr>
          <w:sz w:val="26"/>
          <w:szCs w:val="26"/>
        </w:rPr>
        <w:br w:type="page"/>
      </w:r>
      <w:r w:rsidRPr="00BA07BC">
        <w:rPr>
          <w:b/>
          <w:sz w:val="28"/>
          <w:szCs w:val="28"/>
          <w:lang w:eastAsia="zh-TW"/>
        </w:rPr>
        <w:lastRenderedPageBreak/>
        <w:t>План выпускной квалификационной работы</w:t>
      </w:r>
      <w:r w:rsidR="00C73A5B">
        <w:rPr>
          <w:b/>
          <w:sz w:val="28"/>
          <w:szCs w:val="28"/>
          <w:lang w:eastAsia="zh-TW"/>
        </w:rPr>
        <w:t>:</w:t>
      </w:r>
      <w:r w:rsidR="001D2A26" w:rsidRPr="00153CB3">
        <w:rPr>
          <w:b/>
          <w:sz w:val="28"/>
          <w:szCs w:val="28"/>
        </w:rPr>
        <w:fldChar w:fldCharType="begin"/>
      </w:r>
      <w:r w:rsidR="00723F9E" w:rsidRPr="00153CB3">
        <w:rPr>
          <w:b/>
          <w:sz w:val="28"/>
          <w:szCs w:val="28"/>
        </w:rPr>
        <w:instrText xml:space="preserve"> TOC \o "1-3" \h \z \u </w:instrText>
      </w:r>
      <w:r w:rsidR="001D2A26" w:rsidRPr="00153CB3">
        <w:rPr>
          <w:b/>
          <w:sz w:val="28"/>
          <w:szCs w:val="28"/>
        </w:rPr>
        <w:fldChar w:fldCharType="separate"/>
      </w:r>
    </w:p>
    <w:p w14:paraId="2F0E84E3" w14:textId="77777777" w:rsidR="00EA5FB6" w:rsidRPr="00EA5FB6" w:rsidRDefault="00EA5FB6" w:rsidP="00EA5FB6">
      <w:pPr>
        <w:pStyle w:val="TOC1"/>
        <w:spacing w:before="0" w:after="120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  <w:lang w:eastAsia="zh-TW"/>
        </w:rPr>
        <w:t>Введение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_Toc229737120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3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5B0CB9E1" w14:textId="31F0FC19" w:rsidR="00EA5FB6" w:rsidRPr="00EA5FB6" w:rsidRDefault="00EA5FB6" w:rsidP="00EA5FB6">
      <w:pPr>
        <w:pStyle w:val="TOC1"/>
        <w:spacing w:before="0" w:after="120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>
        <w:rPr>
          <w:rFonts w:ascii="Times New Roman" w:hAnsi="Times New Roman"/>
          <w:b w:val="0"/>
          <w:noProof/>
          <w:sz w:val="28"/>
          <w:szCs w:val="28"/>
          <w:lang w:eastAsia="zh-TW"/>
        </w:rPr>
        <w:t xml:space="preserve">Глава </w:t>
      </w:r>
      <w:r w:rsidRPr="00EA5FB6">
        <w:rPr>
          <w:rFonts w:ascii="Times New Roman" w:hAnsi="Times New Roman"/>
          <w:b w:val="0"/>
          <w:noProof/>
          <w:sz w:val="28"/>
          <w:szCs w:val="28"/>
          <w:lang w:eastAsia="zh-TW"/>
        </w:rPr>
        <w:t>1. Теоретические аспекты проблемы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_Toc229737121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6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1243C1AC" w14:textId="7B6EEBDD" w:rsidR="00EA5FB6" w:rsidRPr="00EA5FB6" w:rsidRDefault="00EA5FB6" w:rsidP="00EA5FB6">
      <w:pPr>
        <w:pStyle w:val="TOC2"/>
        <w:tabs>
          <w:tab w:val="right" w:leader="dot" w:pos="9344"/>
        </w:tabs>
        <w:spacing w:after="120" w:line="360" w:lineRule="auto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</w:rPr>
        <w:t xml:space="preserve">1.1. </w:t>
      </w:r>
      <w:r w:rsidR="00905C0D" w:rsidRPr="00905C0D">
        <w:rPr>
          <w:rFonts w:ascii="Times New Roman" w:hAnsi="Times New Roman"/>
          <w:b w:val="0"/>
          <w:noProof/>
          <w:sz w:val="28"/>
          <w:szCs w:val="28"/>
        </w:rPr>
        <w:t>Понятие межтопливной конкуренции и особенности основных видов топлива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_Toc229737122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6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4C69A5DF" w14:textId="0723D049" w:rsidR="00EA5FB6" w:rsidRPr="00EA5FB6" w:rsidRDefault="00EA5FB6" w:rsidP="00EA5FB6">
      <w:pPr>
        <w:pStyle w:val="TOC2"/>
        <w:tabs>
          <w:tab w:val="right" w:leader="dot" w:pos="9344"/>
        </w:tabs>
        <w:spacing w:after="120" w:line="360" w:lineRule="auto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</w:rPr>
        <w:t>1.2. Положение КНР на мировом энергетическом рынке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_Toc229737123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13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0C0D334F" w14:textId="03FA3E1D" w:rsidR="00EA5FB6" w:rsidRPr="00EA5FB6" w:rsidRDefault="00EA5FB6" w:rsidP="00EA5FB6">
      <w:pPr>
        <w:pStyle w:val="TOC1"/>
        <w:spacing w:before="0" w:after="120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>
        <w:rPr>
          <w:rFonts w:ascii="Times New Roman" w:hAnsi="Times New Roman"/>
          <w:b w:val="0"/>
          <w:noProof/>
          <w:sz w:val="28"/>
          <w:szCs w:val="28"/>
          <w:lang w:eastAsia="zh-TW"/>
        </w:rPr>
        <w:t xml:space="preserve">Глава </w:t>
      </w:r>
      <w:r w:rsidRPr="00EA5FB6">
        <w:rPr>
          <w:rFonts w:ascii="Times New Roman" w:hAnsi="Times New Roman"/>
          <w:b w:val="0"/>
          <w:noProof/>
          <w:sz w:val="28"/>
          <w:szCs w:val="28"/>
          <w:lang w:eastAsia="zh-TW"/>
        </w:rPr>
        <w:t>2. Структура энергетического потребления Китая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_Toc229737124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21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71760243" w14:textId="322D9DDA" w:rsidR="00EA5FB6" w:rsidRPr="00EA5FB6" w:rsidRDefault="00EA5FB6" w:rsidP="00EA5FB6">
      <w:pPr>
        <w:pStyle w:val="TOC2"/>
        <w:tabs>
          <w:tab w:val="right" w:leader="dot" w:pos="9344"/>
        </w:tabs>
        <w:spacing w:after="120" w:line="360" w:lineRule="auto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</w:rPr>
        <w:t>2.1. Связь экономического роста и энергетической политики Китая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_Toc229737125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21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5741B6C1" w14:textId="1B0D7A55" w:rsidR="00EA5FB6" w:rsidRPr="00EA5FB6" w:rsidRDefault="00EA5FB6" w:rsidP="00EA5FB6">
      <w:pPr>
        <w:pStyle w:val="TOC2"/>
        <w:tabs>
          <w:tab w:val="right" w:leader="dot" w:pos="9344"/>
        </w:tabs>
        <w:spacing w:after="120" w:line="360" w:lineRule="auto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</w:rPr>
        <w:t>2.2. Структура энергетического потребления по регионам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_Toc229737126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26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0F0CF20B" w14:textId="6F1AC2F4" w:rsidR="00EA5FB6" w:rsidRPr="00EA5FB6" w:rsidRDefault="00EA5FB6" w:rsidP="00EA5FB6">
      <w:pPr>
        <w:pStyle w:val="TOC2"/>
        <w:tabs>
          <w:tab w:val="right" w:leader="dot" w:pos="9344"/>
        </w:tabs>
        <w:spacing w:after="120" w:line="360" w:lineRule="auto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</w:rPr>
        <w:t>2.3. Структура энергетического потребления  по отраслям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_Toc229737127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32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7EAE40FF" w14:textId="70B5EDB1" w:rsidR="00EA5FB6" w:rsidRPr="00EA5FB6" w:rsidRDefault="00EA5FB6" w:rsidP="00EA5FB6">
      <w:pPr>
        <w:pStyle w:val="TOC1"/>
        <w:spacing w:before="0" w:after="120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>
        <w:rPr>
          <w:rFonts w:ascii="Times New Roman" w:hAnsi="Times New Roman"/>
          <w:b w:val="0"/>
          <w:noProof/>
          <w:sz w:val="28"/>
          <w:szCs w:val="28"/>
          <w:lang w:eastAsia="zh-TW"/>
        </w:rPr>
        <w:t xml:space="preserve">Глава </w:t>
      </w:r>
      <w:r w:rsidRPr="00EA5FB6">
        <w:rPr>
          <w:rFonts w:ascii="Times New Roman" w:hAnsi="Times New Roman"/>
          <w:b w:val="0"/>
          <w:noProof/>
          <w:sz w:val="28"/>
          <w:szCs w:val="28"/>
          <w:lang w:eastAsia="zh-TW"/>
        </w:rPr>
        <w:t>3. Ценовая конкуренция видов топлива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_Toc229737128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37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7E006EE5" w14:textId="0E6CA49A" w:rsidR="00EA5FB6" w:rsidRPr="00EA5FB6" w:rsidRDefault="00EA5FB6" w:rsidP="00EA5FB6">
      <w:pPr>
        <w:pStyle w:val="TOC2"/>
        <w:tabs>
          <w:tab w:val="right" w:leader="dot" w:pos="9344"/>
        </w:tabs>
        <w:spacing w:after="120" w:line="360" w:lineRule="auto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</w:rPr>
        <w:t>3.1. Конкуренция на китайском рынке угля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_Toc229737129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37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71AB358F" w14:textId="597DE1C0" w:rsidR="00EA5FB6" w:rsidRPr="00EA5FB6" w:rsidRDefault="00EA5FB6" w:rsidP="00EA5FB6">
      <w:pPr>
        <w:pStyle w:val="TOC2"/>
        <w:tabs>
          <w:tab w:val="right" w:leader="dot" w:pos="9344"/>
        </w:tabs>
        <w:spacing w:after="120" w:line="360" w:lineRule="auto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</w:rPr>
        <w:t>3.2. Конкуренция на китайском рынке газа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_Toc229737130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41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50329E38" w14:textId="4D4A691A" w:rsidR="00EA5FB6" w:rsidRPr="00EA5FB6" w:rsidRDefault="00EA5FB6" w:rsidP="00EA5FB6">
      <w:pPr>
        <w:pStyle w:val="TOC2"/>
        <w:tabs>
          <w:tab w:val="right" w:leader="dot" w:pos="9344"/>
        </w:tabs>
        <w:spacing w:after="120" w:line="360" w:lineRule="auto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</w:rPr>
        <w:t>3.3 Энергетическое сотрудничество России и Китая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_Toc229737131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48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40EC9A25" w14:textId="3AAEE8EE" w:rsidR="00EA5FB6" w:rsidRPr="00EA5FB6" w:rsidRDefault="00EA5FB6" w:rsidP="00EA5FB6">
      <w:pPr>
        <w:pStyle w:val="TOC1"/>
        <w:spacing w:before="0" w:after="120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  <w:lang w:eastAsia="zh-TW"/>
        </w:rPr>
        <w:t>Заключение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_Toc229737132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49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4FE24213" w14:textId="632ACE2C" w:rsidR="00EA5FB6" w:rsidRPr="00EA5FB6" w:rsidRDefault="00EA5FB6" w:rsidP="00EA5FB6">
      <w:pPr>
        <w:pStyle w:val="TOC1"/>
        <w:spacing w:before="0" w:after="120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</w:rPr>
        <w:t>Список использованной литературы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_Toc229737133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54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360DBB6E" w14:textId="7C345468" w:rsidR="00EA5FB6" w:rsidRPr="00EA5FB6" w:rsidRDefault="00EA5FB6" w:rsidP="00EA5FB6">
      <w:pPr>
        <w:pStyle w:val="TOC1"/>
        <w:spacing w:before="0" w:after="120"/>
        <w:rPr>
          <w:rFonts w:ascii="Times New Roman" w:eastAsiaTheme="minorEastAsia" w:hAnsi="Times New Roman"/>
          <w:b w:val="0"/>
          <w:noProof/>
          <w:sz w:val="28"/>
          <w:szCs w:val="28"/>
          <w:lang w:eastAsia="ja-JP"/>
        </w:rPr>
      </w:pPr>
      <w:r w:rsidRPr="00EA5FB6">
        <w:rPr>
          <w:rFonts w:ascii="Times New Roman" w:hAnsi="Times New Roman"/>
          <w:b w:val="0"/>
          <w:noProof/>
          <w:sz w:val="28"/>
          <w:szCs w:val="28"/>
        </w:rPr>
        <w:t>Приложения</w:t>
      </w:r>
      <w:r w:rsidRPr="00EA5FB6">
        <w:rPr>
          <w:rFonts w:ascii="Times New Roman" w:hAnsi="Times New Roman"/>
          <w:b w:val="0"/>
          <w:noProof/>
          <w:sz w:val="28"/>
          <w:szCs w:val="28"/>
        </w:rPr>
        <w:tab/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begin"/>
      </w:r>
      <w:r w:rsidRPr="00EA5FB6">
        <w:rPr>
          <w:rFonts w:ascii="Times New Roman" w:hAnsi="Times New Roman"/>
          <w:b w:val="0"/>
          <w:noProof/>
          <w:sz w:val="28"/>
          <w:szCs w:val="28"/>
        </w:rPr>
        <w:instrText xml:space="preserve"> PAGEREF _Toc229737134 \h </w:instrTex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separate"/>
      </w:r>
      <w:r w:rsidR="004347CA">
        <w:rPr>
          <w:rFonts w:ascii="Times New Roman" w:hAnsi="Times New Roman"/>
          <w:b w:val="0"/>
          <w:noProof/>
          <w:sz w:val="28"/>
          <w:szCs w:val="28"/>
        </w:rPr>
        <w:t>60</w:t>
      </w:r>
      <w:r w:rsidR="001D2A26" w:rsidRPr="00EA5FB6">
        <w:rPr>
          <w:rFonts w:ascii="Times New Roman" w:hAnsi="Times New Roman"/>
          <w:b w:val="0"/>
          <w:noProof/>
          <w:sz w:val="28"/>
          <w:szCs w:val="28"/>
        </w:rPr>
        <w:fldChar w:fldCharType="end"/>
      </w:r>
    </w:p>
    <w:p w14:paraId="47DC2D59" w14:textId="77777777" w:rsidR="00723F9E" w:rsidRPr="00A362BA" w:rsidRDefault="001D2A26" w:rsidP="00153CB3">
      <w:pPr>
        <w:spacing w:after="120" w:line="360" w:lineRule="auto"/>
        <w:rPr>
          <w:sz w:val="28"/>
          <w:szCs w:val="28"/>
        </w:rPr>
      </w:pPr>
      <w:r w:rsidRPr="00153CB3">
        <w:rPr>
          <w:bCs/>
          <w:noProof/>
          <w:sz w:val="28"/>
          <w:szCs w:val="28"/>
        </w:rPr>
        <w:fldChar w:fldCharType="end"/>
      </w:r>
    </w:p>
    <w:p w14:paraId="64C4869F" w14:textId="77777777" w:rsidR="00723F9E" w:rsidRPr="00723F9E" w:rsidRDefault="00723F9E" w:rsidP="00723F9E">
      <w:pPr>
        <w:spacing w:after="120" w:line="360" w:lineRule="auto"/>
        <w:rPr>
          <w:sz w:val="28"/>
          <w:szCs w:val="28"/>
          <w:lang w:eastAsia="zh-TW"/>
        </w:rPr>
      </w:pPr>
    </w:p>
    <w:p w14:paraId="626D730D" w14:textId="77777777" w:rsidR="00BA07BC" w:rsidRPr="00723F9E" w:rsidRDefault="00BA07BC" w:rsidP="00723F9E">
      <w:pPr>
        <w:pStyle w:val="Heading1"/>
        <w:spacing w:before="0" w:after="120" w:line="360" w:lineRule="auto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723F9E">
        <w:rPr>
          <w:rFonts w:ascii="Times New Roman" w:hAnsi="Times New Roman"/>
          <w:b w:val="0"/>
          <w:sz w:val="28"/>
          <w:szCs w:val="28"/>
          <w:lang w:eastAsia="zh-TW"/>
        </w:rPr>
        <w:br w:type="page"/>
      </w:r>
      <w:bookmarkStart w:id="1" w:name="_Toc229737120"/>
      <w:r w:rsidRPr="00723F9E">
        <w:rPr>
          <w:rFonts w:ascii="Times New Roman" w:hAnsi="Times New Roman"/>
          <w:sz w:val="28"/>
          <w:szCs w:val="28"/>
          <w:lang w:eastAsia="zh-TW"/>
        </w:rPr>
        <w:lastRenderedPageBreak/>
        <w:t>Введение</w:t>
      </w:r>
      <w:bookmarkEnd w:id="1"/>
    </w:p>
    <w:p w14:paraId="1BE3AC24" w14:textId="0BC78527" w:rsidR="00C73A5B" w:rsidRPr="00C73A5B" w:rsidRDefault="00C73A5B" w:rsidP="00723F9E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Китай</w:t>
      </w:r>
      <w:r w:rsidR="000036E1">
        <w:rPr>
          <w:sz w:val="28"/>
          <w:szCs w:val="28"/>
          <w:lang w:eastAsia="zh-TW"/>
        </w:rPr>
        <w:t>,</w:t>
      </w:r>
      <w:r>
        <w:rPr>
          <w:sz w:val="28"/>
          <w:szCs w:val="28"/>
          <w:lang w:eastAsia="zh-TW"/>
        </w:rPr>
        <w:t xml:space="preserve"> бесспорно</w:t>
      </w:r>
      <w:r w:rsidR="000036E1">
        <w:rPr>
          <w:sz w:val="28"/>
          <w:szCs w:val="28"/>
          <w:lang w:eastAsia="zh-TW"/>
        </w:rPr>
        <w:t>,</w:t>
      </w:r>
      <w:r>
        <w:rPr>
          <w:sz w:val="28"/>
          <w:szCs w:val="28"/>
          <w:lang w:eastAsia="zh-TW"/>
        </w:rPr>
        <w:t xml:space="preserve"> является одним из лидеров современной мировой экономики. Благодаря своим конкурентным преимуществам и </w:t>
      </w:r>
      <w:r w:rsidR="000B4F22">
        <w:rPr>
          <w:sz w:val="28"/>
          <w:szCs w:val="28"/>
          <w:lang w:eastAsia="zh-TW"/>
        </w:rPr>
        <w:t>грамотной экономической политике</w:t>
      </w:r>
      <w:r>
        <w:rPr>
          <w:sz w:val="28"/>
          <w:szCs w:val="28"/>
          <w:lang w:eastAsia="zh-TW"/>
        </w:rPr>
        <w:t xml:space="preserve">  последних десятилетий</w:t>
      </w:r>
      <w:r w:rsidR="00EF71A2">
        <w:rPr>
          <w:sz w:val="28"/>
          <w:szCs w:val="28"/>
          <w:lang w:eastAsia="zh-TW"/>
        </w:rPr>
        <w:t>,</w:t>
      </w:r>
      <w:r>
        <w:rPr>
          <w:sz w:val="28"/>
          <w:szCs w:val="28"/>
          <w:lang w:eastAsia="zh-TW"/>
        </w:rPr>
        <w:t xml:space="preserve"> ему удалось превратиться из отсталой аграрной страны в одну из наиболее динамично развивающихся и имеющих </w:t>
      </w:r>
      <w:r w:rsidR="000B4F22">
        <w:rPr>
          <w:sz w:val="28"/>
          <w:szCs w:val="28"/>
          <w:lang w:eastAsia="zh-TW"/>
        </w:rPr>
        <w:t>огромное</w:t>
      </w:r>
      <w:r>
        <w:rPr>
          <w:sz w:val="28"/>
          <w:szCs w:val="28"/>
          <w:lang w:eastAsia="zh-TW"/>
        </w:rPr>
        <w:t xml:space="preserve"> влияние экономик мира</w:t>
      </w:r>
      <w:r w:rsidR="000B4F22">
        <w:rPr>
          <w:sz w:val="28"/>
          <w:szCs w:val="28"/>
          <w:lang w:eastAsia="zh-TW"/>
        </w:rPr>
        <w:t xml:space="preserve">. </w:t>
      </w:r>
    </w:p>
    <w:p w14:paraId="084FA292" w14:textId="77777777" w:rsidR="00C73A5B" w:rsidRPr="00EF71A2" w:rsidRDefault="00EF71A2" w:rsidP="00723F9E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Наличие большого числа низкооплачиваемых работников, обеспечение льготных условий иностранным инвесторам и создание районов экспортной ориентации позволило Китаю начать масштабную индустриализаци</w:t>
      </w:r>
      <w:r w:rsidR="00AD5A1D">
        <w:rPr>
          <w:sz w:val="28"/>
          <w:szCs w:val="28"/>
          <w:lang w:eastAsia="zh-TW"/>
        </w:rPr>
        <w:t>ю, которая продолжается и в настоящее время</w:t>
      </w:r>
      <w:r>
        <w:rPr>
          <w:sz w:val="28"/>
          <w:szCs w:val="28"/>
          <w:lang w:eastAsia="zh-TW"/>
        </w:rPr>
        <w:t xml:space="preserve">. Помимо людских, в этом процессе задействованы значительные объемы природных ресурсов. Являясь страной с самым </w:t>
      </w:r>
      <w:r w:rsidR="00C907D6">
        <w:rPr>
          <w:sz w:val="28"/>
          <w:szCs w:val="28"/>
          <w:lang w:eastAsia="zh-TW"/>
        </w:rPr>
        <w:t xml:space="preserve">большим населением, Китай также является крупнейшим потребителем </w:t>
      </w:r>
      <w:r w:rsidR="00AD5A1D">
        <w:rPr>
          <w:sz w:val="28"/>
          <w:szCs w:val="28"/>
          <w:lang w:eastAsia="zh-TW"/>
        </w:rPr>
        <w:t>первичной энергии и лидером по выбросам загрязняющих веществ в атмосферу</w:t>
      </w:r>
      <w:r w:rsidR="00C907D6">
        <w:rPr>
          <w:sz w:val="28"/>
          <w:szCs w:val="28"/>
          <w:lang w:eastAsia="zh-TW"/>
        </w:rPr>
        <w:t>.</w:t>
      </w:r>
    </w:p>
    <w:p w14:paraId="721C6512" w14:textId="01BC276A" w:rsidR="00BA07BC" w:rsidRDefault="000E4905" w:rsidP="00723F9E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Необходимость превращения</w:t>
      </w:r>
      <w:r w:rsidR="004B7892">
        <w:rPr>
          <w:sz w:val="28"/>
          <w:szCs w:val="28"/>
          <w:lang w:eastAsia="zh-TW"/>
        </w:rPr>
        <w:t xml:space="preserve"> китайской экономики в экологически и энергически </w:t>
      </w:r>
      <w:r w:rsidR="00AD5A1D">
        <w:rPr>
          <w:sz w:val="28"/>
          <w:szCs w:val="28"/>
          <w:lang w:eastAsia="zh-TW"/>
        </w:rPr>
        <w:t>эффективную признается как независимыми экспертами, так и на правительственном уровне. Пункт об «</w:t>
      </w:r>
      <w:proofErr w:type="spellStart"/>
      <w:r w:rsidR="00AD5A1D">
        <w:rPr>
          <w:sz w:val="28"/>
          <w:szCs w:val="28"/>
          <w:lang w:eastAsia="zh-TW"/>
        </w:rPr>
        <w:t>экоцивилизованном</w:t>
      </w:r>
      <w:proofErr w:type="spellEnd"/>
      <w:r w:rsidR="00AD5A1D">
        <w:rPr>
          <w:sz w:val="28"/>
          <w:szCs w:val="28"/>
          <w:lang w:eastAsia="zh-TW"/>
        </w:rPr>
        <w:t xml:space="preserve"> строительстве» включен в обновленный Устав Коммунистической Партии Китая (КПК) на 18-м съезде </w:t>
      </w:r>
      <w:r w:rsidR="004B7892">
        <w:rPr>
          <w:sz w:val="28"/>
          <w:szCs w:val="28"/>
          <w:lang w:eastAsia="zh-TW"/>
        </w:rPr>
        <w:t xml:space="preserve">КПК </w:t>
      </w:r>
      <w:r w:rsidR="00AD5A1D">
        <w:rPr>
          <w:sz w:val="28"/>
          <w:szCs w:val="28"/>
          <w:lang w:eastAsia="zh-TW"/>
        </w:rPr>
        <w:t>в 2012 году.</w:t>
      </w:r>
    </w:p>
    <w:p w14:paraId="465E5FEC" w14:textId="3B306191" w:rsidR="008E405C" w:rsidRDefault="008E405C" w:rsidP="00723F9E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Будучи относительно бедной ресурсами страной, Китай является чистым импортером природных ресурсов. Кроме того, собственные ресурсы распределены по территории неравномерно, что создает необходимость в дополнительной инфраструктуре и ценовом регулировании потребительского рынка энергии. </w:t>
      </w:r>
      <w:r w:rsidR="00053ED0">
        <w:rPr>
          <w:sz w:val="28"/>
          <w:szCs w:val="28"/>
          <w:lang w:eastAsia="zh-TW"/>
        </w:rPr>
        <w:t>Абсолютное преобл</w:t>
      </w:r>
      <w:r w:rsidR="00684A58">
        <w:rPr>
          <w:sz w:val="28"/>
          <w:szCs w:val="28"/>
          <w:lang w:eastAsia="zh-TW"/>
        </w:rPr>
        <w:t>адание в энергетическом балансе</w:t>
      </w:r>
      <w:r w:rsidR="00053ED0">
        <w:rPr>
          <w:sz w:val="28"/>
          <w:szCs w:val="28"/>
          <w:lang w:eastAsia="zh-TW"/>
        </w:rPr>
        <w:t xml:space="preserve"> угля – наиболее опасного с точки зрения экологии вида топлива – побуждает Китай развивать альтернативные источники энергии.</w:t>
      </w:r>
    </w:p>
    <w:p w14:paraId="2D92A84B" w14:textId="648D6B78" w:rsidR="008E405C" w:rsidRDefault="00053ED0" w:rsidP="00723F9E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Китай является одним из наиболее перспективных энергетических партнеров России. Он активн</w:t>
      </w:r>
      <w:r w:rsidR="00B0671A">
        <w:rPr>
          <w:sz w:val="28"/>
          <w:szCs w:val="28"/>
          <w:lang w:eastAsia="zh-TW"/>
        </w:rPr>
        <w:t>о экспортирует российскую нефть,</w:t>
      </w:r>
      <w:r>
        <w:rPr>
          <w:sz w:val="28"/>
          <w:szCs w:val="28"/>
          <w:lang w:eastAsia="zh-TW"/>
        </w:rPr>
        <w:t xml:space="preserve"> и уже долгое время ведется разговор о начале </w:t>
      </w:r>
      <w:r w:rsidR="005C7B43">
        <w:rPr>
          <w:sz w:val="28"/>
          <w:szCs w:val="28"/>
          <w:lang w:eastAsia="zh-TW"/>
        </w:rPr>
        <w:t xml:space="preserve">крупномасштабных </w:t>
      </w:r>
      <w:r>
        <w:rPr>
          <w:sz w:val="28"/>
          <w:szCs w:val="28"/>
          <w:lang w:eastAsia="zh-TW"/>
        </w:rPr>
        <w:t xml:space="preserve">поставок российского </w:t>
      </w:r>
      <w:r>
        <w:rPr>
          <w:sz w:val="28"/>
          <w:szCs w:val="28"/>
          <w:lang w:eastAsia="zh-TW"/>
        </w:rPr>
        <w:lastRenderedPageBreak/>
        <w:t xml:space="preserve">природного газа в Китай. </w:t>
      </w:r>
      <w:r w:rsidR="00511307">
        <w:rPr>
          <w:sz w:val="28"/>
          <w:szCs w:val="28"/>
          <w:lang w:eastAsia="zh-TW"/>
        </w:rPr>
        <w:t xml:space="preserve">Несмотря на подписание различных соглашений о взаимопонимании и сотрудничестве и обсуждение проблемы на правительственном уровне, стороны по настоящий момент не смогли договориться о цене газа. </w:t>
      </w:r>
    </w:p>
    <w:p w14:paraId="6E4F0AA1" w14:textId="0242CAF5" w:rsidR="008E405C" w:rsidRPr="008E405C" w:rsidRDefault="008E405C" w:rsidP="00723F9E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 w:rsidRPr="008E405C">
        <w:rPr>
          <w:i/>
          <w:sz w:val="28"/>
          <w:szCs w:val="28"/>
          <w:lang w:eastAsia="zh-TW"/>
        </w:rPr>
        <w:t>Цель</w:t>
      </w:r>
      <w:r>
        <w:rPr>
          <w:i/>
          <w:sz w:val="28"/>
          <w:szCs w:val="28"/>
          <w:lang w:eastAsia="zh-TW"/>
        </w:rPr>
        <w:t xml:space="preserve">ю </w:t>
      </w:r>
      <w:r>
        <w:rPr>
          <w:sz w:val="28"/>
          <w:szCs w:val="28"/>
          <w:lang w:eastAsia="zh-TW"/>
        </w:rPr>
        <w:t>данной работы является</w:t>
      </w:r>
      <w:r w:rsidR="00511307">
        <w:rPr>
          <w:sz w:val="28"/>
          <w:szCs w:val="28"/>
          <w:lang w:eastAsia="zh-TW"/>
        </w:rPr>
        <w:t xml:space="preserve"> освещение структуры</w:t>
      </w:r>
      <w:r w:rsidR="004B7892">
        <w:rPr>
          <w:sz w:val="28"/>
          <w:szCs w:val="28"/>
          <w:lang w:eastAsia="zh-TW"/>
        </w:rPr>
        <w:t xml:space="preserve">, ценообразования </w:t>
      </w:r>
      <w:r w:rsidR="000672E1">
        <w:rPr>
          <w:sz w:val="28"/>
          <w:szCs w:val="28"/>
          <w:lang w:eastAsia="zh-TW"/>
        </w:rPr>
        <w:t xml:space="preserve"> и последних тенденций энергетического рынка Китая,</w:t>
      </w:r>
      <w:r w:rsidR="00511307">
        <w:rPr>
          <w:sz w:val="28"/>
          <w:szCs w:val="28"/>
          <w:lang w:eastAsia="zh-TW"/>
        </w:rPr>
        <w:t xml:space="preserve"> </w:t>
      </w:r>
      <w:r w:rsidR="00905C0D">
        <w:rPr>
          <w:sz w:val="28"/>
          <w:szCs w:val="28"/>
          <w:lang w:eastAsia="zh-TW"/>
        </w:rPr>
        <w:t>в особенности</w:t>
      </w:r>
      <w:r w:rsidR="004B7892">
        <w:rPr>
          <w:sz w:val="28"/>
          <w:szCs w:val="28"/>
          <w:lang w:eastAsia="zh-TW"/>
        </w:rPr>
        <w:t xml:space="preserve"> </w:t>
      </w:r>
      <w:proofErr w:type="spellStart"/>
      <w:r w:rsidR="004B7892">
        <w:rPr>
          <w:sz w:val="28"/>
          <w:szCs w:val="28"/>
          <w:lang w:eastAsia="zh-TW"/>
        </w:rPr>
        <w:t>межтопливной</w:t>
      </w:r>
      <w:proofErr w:type="spellEnd"/>
      <w:r w:rsidR="004B7892">
        <w:rPr>
          <w:sz w:val="28"/>
          <w:szCs w:val="28"/>
          <w:lang w:eastAsia="zh-TW"/>
        </w:rPr>
        <w:t xml:space="preserve"> конкуренции </w:t>
      </w:r>
      <w:r w:rsidR="00905C0D">
        <w:rPr>
          <w:sz w:val="28"/>
          <w:szCs w:val="28"/>
          <w:lang w:eastAsia="zh-TW"/>
        </w:rPr>
        <w:t>между углем и газом, а также</w:t>
      </w:r>
      <w:r w:rsidR="004B7892">
        <w:rPr>
          <w:sz w:val="28"/>
          <w:szCs w:val="28"/>
          <w:lang w:eastAsia="zh-TW"/>
        </w:rPr>
        <w:t xml:space="preserve"> </w:t>
      </w:r>
      <w:r w:rsidR="00511307">
        <w:rPr>
          <w:sz w:val="28"/>
          <w:szCs w:val="28"/>
          <w:lang w:eastAsia="zh-TW"/>
        </w:rPr>
        <w:t>понимание возможных перспектив сотрудничества России и Китая в области энергетики.</w:t>
      </w:r>
    </w:p>
    <w:p w14:paraId="6957A3F8" w14:textId="77777777" w:rsidR="008E405C" w:rsidRDefault="008E405C" w:rsidP="00E6106F">
      <w:pPr>
        <w:spacing w:after="120" w:line="360" w:lineRule="auto"/>
        <w:ind w:firstLine="709"/>
        <w:jc w:val="both"/>
        <w:rPr>
          <w:i/>
          <w:sz w:val="28"/>
          <w:szCs w:val="28"/>
          <w:lang w:eastAsia="zh-TW"/>
        </w:rPr>
      </w:pPr>
      <w:r w:rsidRPr="008E405C">
        <w:rPr>
          <w:sz w:val="28"/>
          <w:szCs w:val="28"/>
          <w:lang w:eastAsia="zh-TW"/>
        </w:rPr>
        <w:t>Для достижения цели поставлены следующие</w:t>
      </w:r>
      <w:r>
        <w:rPr>
          <w:i/>
          <w:sz w:val="28"/>
          <w:szCs w:val="28"/>
          <w:lang w:eastAsia="zh-TW"/>
        </w:rPr>
        <w:t xml:space="preserve"> з</w:t>
      </w:r>
      <w:r w:rsidRPr="008E405C">
        <w:rPr>
          <w:i/>
          <w:sz w:val="28"/>
          <w:szCs w:val="28"/>
          <w:lang w:eastAsia="zh-TW"/>
        </w:rPr>
        <w:t>адачи</w:t>
      </w:r>
      <w:r>
        <w:rPr>
          <w:i/>
          <w:sz w:val="28"/>
          <w:szCs w:val="28"/>
          <w:lang w:eastAsia="zh-TW"/>
        </w:rPr>
        <w:t>:</w:t>
      </w:r>
    </w:p>
    <w:p w14:paraId="623A4712" w14:textId="77777777" w:rsidR="00511307" w:rsidRPr="00511307" w:rsidRDefault="002D69C0" w:rsidP="00E6106F">
      <w:pPr>
        <w:numPr>
          <w:ilvl w:val="0"/>
          <w:numId w:val="1"/>
        </w:numPr>
        <w:spacing w:after="120" w:line="360" w:lineRule="auto"/>
        <w:jc w:val="both"/>
        <w:rPr>
          <w:i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П</w:t>
      </w:r>
      <w:r w:rsidR="00511307">
        <w:rPr>
          <w:sz w:val="28"/>
          <w:szCs w:val="28"/>
          <w:lang w:eastAsia="zh-TW"/>
        </w:rPr>
        <w:t>оняти</w:t>
      </w:r>
      <w:r>
        <w:rPr>
          <w:sz w:val="28"/>
          <w:szCs w:val="28"/>
          <w:lang w:eastAsia="zh-TW"/>
        </w:rPr>
        <w:t>е</w:t>
      </w:r>
      <w:r w:rsidR="00511307">
        <w:rPr>
          <w:sz w:val="28"/>
          <w:szCs w:val="28"/>
          <w:lang w:eastAsia="zh-TW"/>
        </w:rPr>
        <w:t xml:space="preserve"> </w:t>
      </w:r>
      <w:proofErr w:type="spellStart"/>
      <w:r w:rsidR="00511307">
        <w:rPr>
          <w:sz w:val="28"/>
          <w:szCs w:val="28"/>
          <w:lang w:eastAsia="zh-TW"/>
        </w:rPr>
        <w:t>межтопливной</w:t>
      </w:r>
      <w:proofErr w:type="spellEnd"/>
      <w:r w:rsidR="00511307">
        <w:rPr>
          <w:sz w:val="28"/>
          <w:szCs w:val="28"/>
          <w:lang w:eastAsia="zh-TW"/>
        </w:rPr>
        <w:t xml:space="preserve"> конкуренции;</w:t>
      </w:r>
    </w:p>
    <w:p w14:paraId="70C55F8B" w14:textId="77777777" w:rsidR="00511307" w:rsidRPr="00511307" w:rsidRDefault="00511307" w:rsidP="00E6106F">
      <w:pPr>
        <w:numPr>
          <w:ilvl w:val="0"/>
          <w:numId w:val="1"/>
        </w:numPr>
        <w:spacing w:after="120" w:line="360" w:lineRule="auto"/>
        <w:jc w:val="both"/>
        <w:rPr>
          <w:i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Определение места Китая на мировом рынке энергети</w:t>
      </w:r>
      <w:r w:rsidR="00B36F21">
        <w:rPr>
          <w:sz w:val="28"/>
          <w:szCs w:val="28"/>
          <w:lang w:eastAsia="zh-TW"/>
        </w:rPr>
        <w:t>чес</w:t>
      </w:r>
      <w:r>
        <w:rPr>
          <w:sz w:val="28"/>
          <w:szCs w:val="28"/>
          <w:lang w:eastAsia="zh-TW"/>
        </w:rPr>
        <w:t>ки</w:t>
      </w:r>
      <w:r w:rsidR="00B36F21">
        <w:rPr>
          <w:sz w:val="28"/>
          <w:szCs w:val="28"/>
          <w:lang w:eastAsia="zh-TW"/>
        </w:rPr>
        <w:t>х продуктов</w:t>
      </w:r>
      <w:r>
        <w:rPr>
          <w:sz w:val="28"/>
          <w:szCs w:val="28"/>
          <w:lang w:eastAsia="zh-TW"/>
        </w:rPr>
        <w:t>;</w:t>
      </w:r>
    </w:p>
    <w:p w14:paraId="5EEF47D0" w14:textId="77777777" w:rsidR="00511307" w:rsidRPr="00511307" w:rsidRDefault="00511307" w:rsidP="00E6106F">
      <w:pPr>
        <w:numPr>
          <w:ilvl w:val="0"/>
          <w:numId w:val="1"/>
        </w:numPr>
        <w:spacing w:after="120" w:line="360" w:lineRule="auto"/>
        <w:jc w:val="both"/>
        <w:rPr>
          <w:i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Изучение структуры потребления энергии по отраслям и регионам Китая;</w:t>
      </w:r>
    </w:p>
    <w:p w14:paraId="1CA2DB32" w14:textId="77777777" w:rsidR="00511307" w:rsidRPr="00511307" w:rsidRDefault="00511307" w:rsidP="00E6106F">
      <w:pPr>
        <w:numPr>
          <w:ilvl w:val="0"/>
          <w:numId w:val="1"/>
        </w:numPr>
        <w:spacing w:after="120" w:line="360" w:lineRule="auto"/>
        <w:jc w:val="both"/>
        <w:rPr>
          <w:i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Анализ </w:t>
      </w:r>
      <w:proofErr w:type="spellStart"/>
      <w:r>
        <w:rPr>
          <w:sz w:val="28"/>
          <w:szCs w:val="28"/>
          <w:lang w:eastAsia="zh-TW"/>
        </w:rPr>
        <w:t>межтопливной</w:t>
      </w:r>
      <w:proofErr w:type="spellEnd"/>
      <w:r>
        <w:rPr>
          <w:sz w:val="28"/>
          <w:szCs w:val="28"/>
          <w:lang w:eastAsia="zh-TW"/>
        </w:rPr>
        <w:t xml:space="preserve"> конкуренции на рынках угля и газа Китая;</w:t>
      </w:r>
    </w:p>
    <w:p w14:paraId="2EBFBE78" w14:textId="5E211F6A" w:rsidR="008E405C" w:rsidRPr="009D7DC5" w:rsidRDefault="002D69C0" w:rsidP="00E6106F">
      <w:pPr>
        <w:numPr>
          <w:ilvl w:val="0"/>
          <w:numId w:val="1"/>
        </w:numPr>
        <w:spacing w:after="120" w:line="360" w:lineRule="auto"/>
        <w:jc w:val="both"/>
        <w:rPr>
          <w:i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В</w:t>
      </w:r>
      <w:r w:rsidR="001F2C93">
        <w:rPr>
          <w:sz w:val="28"/>
          <w:szCs w:val="28"/>
          <w:lang w:eastAsia="zh-TW"/>
        </w:rPr>
        <w:t xml:space="preserve">лияние </w:t>
      </w:r>
      <w:r>
        <w:rPr>
          <w:sz w:val="28"/>
          <w:szCs w:val="28"/>
          <w:lang w:eastAsia="zh-TW"/>
        </w:rPr>
        <w:t xml:space="preserve">данного контекста </w:t>
      </w:r>
      <w:r w:rsidR="001F2C93">
        <w:rPr>
          <w:sz w:val="28"/>
          <w:szCs w:val="28"/>
          <w:lang w:eastAsia="zh-TW"/>
        </w:rPr>
        <w:t>на</w:t>
      </w:r>
      <w:r>
        <w:rPr>
          <w:sz w:val="28"/>
          <w:szCs w:val="28"/>
          <w:lang w:eastAsia="zh-TW"/>
        </w:rPr>
        <w:t xml:space="preserve"> </w:t>
      </w:r>
      <w:r w:rsidR="00511307">
        <w:rPr>
          <w:sz w:val="28"/>
          <w:szCs w:val="28"/>
          <w:lang w:eastAsia="zh-TW"/>
        </w:rPr>
        <w:t>перспектив</w:t>
      </w:r>
      <w:r w:rsidR="001F2C93">
        <w:rPr>
          <w:sz w:val="28"/>
          <w:szCs w:val="28"/>
          <w:lang w:eastAsia="zh-TW"/>
        </w:rPr>
        <w:t>ы</w:t>
      </w:r>
      <w:r w:rsidR="00511307">
        <w:rPr>
          <w:sz w:val="28"/>
          <w:szCs w:val="28"/>
          <w:lang w:eastAsia="zh-TW"/>
        </w:rPr>
        <w:t xml:space="preserve"> энер</w:t>
      </w:r>
      <w:r w:rsidR="00905C0D">
        <w:rPr>
          <w:sz w:val="28"/>
          <w:szCs w:val="28"/>
          <w:lang w:eastAsia="zh-TW"/>
        </w:rPr>
        <w:t>гетического сотрудничества Китая</w:t>
      </w:r>
      <w:r w:rsidR="00511307">
        <w:rPr>
          <w:sz w:val="28"/>
          <w:szCs w:val="28"/>
          <w:lang w:eastAsia="zh-TW"/>
        </w:rPr>
        <w:t xml:space="preserve"> и Р</w:t>
      </w:r>
      <w:r w:rsidR="00905C0D">
        <w:rPr>
          <w:sz w:val="28"/>
          <w:szCs w:val="28"/>
          <w:lang w:eastAsia="zh-TW"/>
        </w:rPr>
        <w:t>оссии</w:t>
      </w:r>
      <w:r w:rsidR="00511307">
        <w:rPr>
          <w:sz w:val="28"/>
          <w:szCs w:val="28"/>
          <w:lang w:eastAsia="zh-TW"/>
        </w:rPr>
        <w:t>.</w:t>
      </w:r>
    </w:p>
    <w:p w14:paraId="0CFAC901" w14:textId="77777777" w:rsidR="001F2C93" w:rsidRDefault="008E405C" w:rsidP="00E6106F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 w:rsidRPr="008E405C">
        <w:rPr>
          <w:i/>
          <w:sz w:val="28"/>
          <w:szCs w:val="28"/>
          <w:lang w:eastAsia="zh-TW"/>
        </w:rPr>
        <w:t>Гипотеза</w:t>
      </w:r>
      <w:r>
        <w:rPr>
          <w:i/>
          <w:sz w:val="28"/>
          <w:szCs w:val="28"/>
          <w:lang w:eastAsia="zh-TW"/>
        </w:rPr>
        <w:t xml:space="preserve"> </w:t>
      </w:r>
      <w:r w:rsidRPr="008E405C">
        <w:rPr>
          <w:sz w:val="28"/>
          <w:szCs w:val="28"/>
          <w:lang w:eastAsia="zh-TW"/>
        </w:rPr>
        <w:t>данного исследования может быть обозначена как:</w:t>
      </w:r>
      <w:r w:rsidR="009D7DC5">
        <w:rPr>
          <w:sz w:val="28"/>
          <w:szCs w:val="28"/>
          <w:lang w:eastAsia="zh-TW"/>
        </w:rPr>
        <w:t xml:space="preserve"> </w:t>
      </w:r>
    </w:p>
    <w:p w14:paraId="0BFDE2D0" w14:textId="1310F440" w:rsidR="008E405C" w:rsidRPr="008E405C" w:rsidRDefault="00EE2AEB" w:rsidP="00E6106F">
      <w:pPr>
        <w:spacing w:after="120" w:line="360" w:lineRule="auto"/>
        <w:ind w:firstLine="709"/>
        <w:jc w:val="both"/>
        <w:rPr>
          <w:i/>
          <w:sz w:val="28"/>
          <w:szCs w:val="28"/>
          <w:lang w:eastAsia="zh-TW"/>
        </w:rPr>
      </w:pPr>
      <w:r w:rsidRPr="000672E1">
        <w:rPr>
          <w:sz w:val="28"/>
          <w:szCs w:val="28"/>
          <w:lang w:eastAsia="zh-TW"/>
        </w:rPr>
        <w:t xml:space="preserve">При сохранении политического курса на </w:t>
      </w:r>
      <w:r w:rsidR="000672E1" w:rsidRPr="000672E1">
        <w:rPr>
          <w:sz w:val="28"/>
          <w:szCs w:val="28"/>
          <w:lang w:eastAsia="zh-TW"/>
        </w:rPr>
        <w:t>повышение экологической эффективности экономики,</w:t>
      </w:r>
      <w:r w:rsidRPr="000672E1">
        <w:rPr>
          <w:sz w:val="28"/>
          <w:szCs w:val="28"/>
          <w:lang w:eastAsia="zh-TW"/>
        </w:rPr>
        <w:t xml:space="preserve"> </w:t>
      </w:r>
      <w:proofErr w:type="spellStart"/>
      <w:r w:rsidRPr="000672E1">
        <w:rPr>
          <w:sz w:val="28"/>
          <w:szCs w:val="28"/>
          <w:lang w:eastAsia="zh-TW"/>
        </w:rPr>
        <w:t>м</w:t>
      </w:r>
      <w:r w:rsidR="001F2C93" w:rsidRPr="000672E1">
        <w:rPr>
          <w:sz w:val="28"/>
          <w:szCs w:val="28"/>
          <w:lang w:eastAsia="zh-TW"/>
        </w:rPr>
        <w:t>ежтопливная</w:t>
      </w:r>
      <w:proofErr w:type="spellEnd"/>
      <w:r w:rsidR="001F2C93" w:rsidRPr="000672E1">
        <w:rPr>
          <w:sz w:val="28"/>
          <w:szCs w:val="28"/>
          <w:lang w:eastAsia="zh-TW"/>
        </w:rPr>
        <w:t xml:space="preserve"> конкуренция </w:t>
      </w:r>
      <w:r w:rsidRPr="000672E1">
        <w:rPr>
          <w:sz w:val="28"/>
          <w:szCs w:val="28"/>
          <w:lang w:eastAsia="zh-TW"/>
        </w:rPr>
        <w:t>на энергетическом рынке КНР при</w:t>
      </w:r>
      <w:r w:rsidR="001F2C93" w:rsidRPr="000672E1">
        <w:rPr>
          <w:sz w:val="28"/>
          <w:szCs w:val="28"/>
          <w:lang w:eastAsia="zh-TW"/>
        </w:rPr>
        <w:t>в</w:t>
      </w:r>
      <w:r w:rsidRPr="000672E1">
        <w:rPr>
          <w:sz w:val="28"/>
          <w:szCs w:val="28"/>
          <w:lang w:eastAsia="zh-TW"/>
        </w:rPr>
        <w:t>е</w:t>
      </w:r>
      <w:r w:rsidR="001F2C93" w:rsidRPr="000672E1">
        <w:rPr>
          <w:sz w:val="28"/>
          <w:szCs w:val="28"/>
          <w:lang w:eastAsia="zh-TW"/>
        </w:rPr>
        <w:t xml:space="preserve">дет к постепенному </w:t>
      </w:r>
      <w:r w:rsidRPr="000672E1">
        <w:rPr>
          <w:sz w:val="28"/>
          <w:szCs w:val="28"/>
          <w:lang w:eastAsia="zh-TW"/>
        </w:rPr>
        <w:t>переключению</w:t>
      </w:r>
      <w:r w:rsidR="001F2C93" w:rsidRPr="000672E1">
        <w:rPr>
          <w:sz w:val="28"/>
          <w:szCs w:val="28"/>
          <w:lang w:eastAsia="zh-TW"/>
        </w:rPr>
        <w:t xml:space="preserve"> спроса </w:t>
      </w:r>
      <w:r w:rsidRPr="000672E1">
        <w:rPr>
          <w:sz w:val="28"/>
          <w:szCs w:val="28"/>
          <w:lang w:eastAsia="zh-TW"/>
        </w:rPr>
        <w:t>с угля на</w:t>
      </w:r>
      <w:r w:rsidR="001F2C93" w:rsidRPr="000672E1">
        <w:rPr>
          <w:sz w:val="28"/>
          <w:szCs w:val="28"/>
          <w:lang w:eastAsia="zh-TW"/>
        </w:rPr>
        <w:t xml:space="preserve"> более чистое и эффективное топливо</w:t>
      </w:r>
      <w:r w:rsidR="00905C0D">
        <w:rPr>
          <w:sz w:val="28"/>
          <w:szCs w:val="28"/>
          <w:lang w:eastAsia="zh-TW"/>
        </w:rPr>
        <w:t>, прежде всего, природный газ</w:t>
      </w:r>
      <w:r w:rsidRPr="000672E1">
        <w:rPr>
          <w:sz w:val="28"/>
          <w:szCs w:val="28"/>
          <w:lang w:eastAsia="zh-TW"/>
        </w:rPr>
        <w:t>.</w:t>
      </w:r>
      <w:r w:rsidR="001F2C93" w:rsidRPr="000672E1">
        <w:rPr>
          <w:sz w:val="28"/>
          <w:szCs w:val="28"/>
          <w:lang w:eastAsia="zh-TW"/>
        </w:rPr>
        <w:t xml:space="preserve"> </w:t>
      </w:r>
      <w:r w:rsidR="00A40372">
        <w:rPr>
          <w:sz w:val="28"/>
          <w:szCs w:val="28"/>
          <w:lang w:eastAsia="zh-TW"/>
        </w:rPr>
        <w:t>Приложение: Как следствие, подобные</w:t>
      </w:r>
      <w:r w:rsidRPr="000672E1">
        <w:rPr>
          <w:sz w:val="28"/>
          <w:szCs w:val="28"/>
          <w:lang w:eastAsia="zh-TW"/>
        </w:rPr>
        <w:t xml:space="preserve"> </w:t>
      </w:r>
      <w:r w:rsidR="00A40372">
        <w:rPr>
          <w:sz w:val="28"/>
          <w:szCs w:val="28"/>
          <w:lang w:eastAsia="zh-TW"/>
        </w:rPr>
        <w:t>тенденции</w:t>
      </w:r>
      <w:r w:rsidRPr="000672E1">
        <w:rPr>
          <w:sz w:val="28"/>
          <w:szCs w:val="28"/>
          <w:lang w:eastAsia="zh-TW"/>
        </w:rPr>
        <w:t xml:space="preserve"> </w:t>
      </w:r>
      <w:r w:rsidR="00A40372">
        <w:rPr>
          <w:sz w:val="28"/>
          <w:szCs w:val="28"/>
          <w:lang w:eastAsia="zh-TW"/>
        </w:rPr>
        <w:t>теоритически позволяю</w:t>
      </w:r>
      <w:r w:rsidRPr="000672E1">
        <w:rPr>
          <w:sz w:val="28"/>
          <w:szCs w:val="28"/>
          <w:lang w:eastAsia="zh-TW"/>
        </w:rPr>
        <w:t>т России</w:t>
      </w:r>
      <w:r w:rsidR="005F51F1" w:rsidRPr="000672E1">
        <w:rPr>
          <w:sz w:val="28"/>
          <w:szCs w:val="28"/>
          <w:lang w:eastAsia="zh-TW"/>
        </w:rPr>
        <w:t xml:space="preserve"> начать </w:t>
      </w:r>
      <w:r w:rsidR="005C7B43" w:rsidRPr="000672E1">
        <w:rPr>
          <w:sz w:val="28"/>
          <w:szCs w:val="28"/>
          <w:lang w:eastAsia="zh-TW"/>
        </w:rPr>
        <w:t>крупно</w:t>
      </w:r>
      <w:r w:rsidR="00A46076" w:rsidRPr="000672E1">
        <w:rPr>
          <w:sz w:val="28"/>
          <w:szCs w:val="28"/>
          <w:lang w:eastAsia="zh-TW"/>
        </w:rPr>
        <w:t xml:space="preserve">масштабный </w:t>
      </w:r>
      <w:r w:rsidR="001F2C93" w:rsidRPr="000672E1">
        <w:rPr>
          <w:sz w:val="28"/>
          <w:szCs w:val="28"/>
          <w:lang w:eastAsia="zh-TW"/>
        </w:rPr>
        <w:t xml:space="preserve">экспорт </w:t>
      </w:r>
      <w:r w:rsidR="005F51F1" w:rsidRPr="000672E1">
        <w:rPr>
          <w:sz w:val="28"/>
          <w:szCs w:val="28"/>
          <w:lang w:eastAsia="zh-TW"/>
        </w:rPr>
        <w:t>природного газа в данную страну.</w:t>
      </w:r>
    </w:p>
    <w:p w14:paraId="25F308ED" w14:textId="252C6CD4" w:rsidR="008E405C" w:rsidRDefault="008E405C" w:rsidP="00E6106F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 w:rsidRPr="008E405C">
        <w:rPr>
          <w:i/>
          <w:sz w:val="28"/>
          <w:szCs w:val="28"/>
          <w:lang w:eastAsia="zh-TW"/>
        </w:rPr>
        <w:t>Объект</w:t>
      </w:r>
      <w:r>
        <w:rPr>
          <w:i/>
          <w:sz w:val="28"/>
          <w:szCs w:val="28"/>
          <w:lang w:eastAsia="zh-TW"/>
        </w:rPr>
        <w:t xml:space="preserve">ом </w:t>
      </w:r>
      <w:r>
        <w:rPr>
          <w:sz w:val="28"/>
          <w:szCs w:val="28"/>
          <w:lang w:eastAsia="zh-TW"/>
        </w:rPr>
        <w:t xml:space="preserve">исследования является энергетический рынок Китая, </w:t>
      </w:r>
      <w:r>
        <w:rPr>
          <w:i/>
          <w:sz w:val="28"/>
          <w:szCs w:val="28"/>
          <w:lang w:eastAsia="zh-TW"/>
        </w:rPr>
        <w:t>п</w:t>
      </w:r>
      <w:r w:rsidRPr="008E405C">
        <w:rPr>
          <w:i/>
          <w:sz w:val="28"/>
          <w:szCs w:val="28"/>
          <w:lang w:eastAsia="zh-TW"/>
        </w:rPr>
        <w:t>редмет</w:t>
      </w:r>
      <w:r>
        <w:rPr>
          <w:i/>
          <w:sz w:val="28"/>
          <w:szCs w:val="28"/>
          <w:lang w:eastAsia="zh-TW"/>
        </w:rPr>
        <w:t xml:space="preserve">ом – </w:t>
      </w:r>
      <w:r>
        <w:rPr>
          <w:sz w:val="28"/>
          <w:szCs w:val="28"/>
          <w:lang w:eastAsia="zh-TW"/>
        </w:rPr>
        <w:t xml:space="preserve">структура потребления и </w:t>
      </w:r>
      <w:r w:rsidRPr="008E405C">
        <w:rPr>
          <w:sz w:val="28"/>
          <w:szCs w:val="28"/>
          <w:lang w:eastAsia="zh-TW"/>
        </w:rPr>
        <w:t>конку</w:t>
      </w:r>
      <w:r>
        <w:rPr>
          <w:sz w:val="28"/>
          <w:szCs w:val="28"/>
          <w:lang w:eastAsia="zh-TW"/>
        </w:rPr>
        <w:t>р</w:t>
      </w:r>
      <w:r w:rsidR="00FC72DE">
        <w:rPr>
          <w:sz w:val="28"/>
          <w:szCs w:val="28"/>
          <w:lang w:eastAsia="zh-TW"/>
        </w:rPr>
        <w:t>енция различных видов топлива в</w:t>
      </w:r>
      <w:r w:rsidRPr="008E405C">
        <w:rPr>
          <w:sz w:val="28"/>
          <w:szCs w:val="28"/>
          <w:lang w:eastAsia="zh-TW"/>
        </w:rPr>
        <w:t xml:space="preserve"> нем.</w:t>
      </w:r>
    </w:p>
    <w:p w14:paraId="77AA2AE2" w14:textId="77777777" w:rsidR="00D95AE1" w:rsidRDefault="000E4905" w:rsidP="00E6106F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lastRenderedPageBreak/>
        <w:t xml:space="preserve">Данная работа опирается на ряд российских и зарубежных исследований в области экономического и энергетического развития КНР, а также статистическую информацию международных организаций и официальных китайских институтов. </w:t>
      </w:r>
    </w:p>
    <w:p w14:paraId="563C288C" w14:textId="77777777" w:rsidR="006C659F" w:rsidRPr="00723F9E" w:rsidRDefault="00D95AE1" w:rsidP="00EE7C2B">
      <w:pPr>
        <w:pStyle w:val="Heading1"/>
        <w:spacing w:before="0" w:after="120" w:line="360" w:lineRule="auto"/>
        <w:rPr>
          <w:rFonts w:ascii="Times New Roman" w:hAnsi="Times New Roman"/>
          <w:sz w:val="28"/>
          <w:szCs w:val="28"/>
          <w:lang w:eastAsia="zh-TW"/>
        </w:rPr>
      </w:pPr>
      <w:r>
        <w:rPr>
          <w:lang w:eastAsia="zh-TW"/>
        </w:rPr>
        <w:br w:type="page"/>
      </w:r>
      <w:bookmarkStart w:id="2" w:name="_Toc229737121"/>
      <w:r w:rsidR="006C659F" w:rsidRPr="00723F9E">
        <w:rPr>
          <w:rFonts w:ascii="Times New Roman" w:hAnsi="Times New Roman"/>
          <w:sz w:val="28"/>
          <w:szCs w:val="28"/>
          <w:lang w:eastAsia="zh-TW"/>
        </w:rPr>
        <w:lastRenderedPageBreak/>
        <w:t>1. Теоретические аспекты проблемы</w:t>
      </w:r>
      <w:bookmarkEnd w:id="2"/>
    </w:p>
    <w:p w14:paraId="5CEC53DB" w14:textId="77777777" w:rsidR="006C659F" w:rsidRDefault="006C659F" w:rsidP="00723F9E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 w:rsidRPr="006C659F">
        <w:rPr>
          <w:sz w:val="28"/>
          <w:szCs w:val="28"/>
          <w:lang w:eastAsia="zh-TW"/>
        </w:rPr>
        <w:t>Для понимания</w:t>
      </w:r>
      <w:r>
        <w:rPr>
          <w:sz w:val="28"/>
          <w:szCs w:val="28"/>
          <w:lang w:eastAsia="zh-TW"/>
        </w:rPr>
        <w:t xml:space="preserve"> </w:t>
      </w:r>
      <w:proofErr w:type="spellStart"/>
      <w:r>
        <w:rPr>
          <w:sz w:val="28"/>
          <w:szCs w:val="28"/>
          <w:lang w:eastAsia="zh-TW"/>
        </w:rPr>
        <w:t>межтопливной</w:t>
      </w:r>
      <w:proofErr w:type="spellEnd"/>
      <w:r>
        <w:rPr>
          <w:sz w:val="28"/>
          <w:szCs w:val="28"/>
          <w:lang w:eastAsia="zh-TW"/>
        </w:rPr>
        <w:t xml:space="preserve"> конкуренции на энергетическом рынке Китая необходимо дать определение самой </w:t>
      </w:r>
      <w:proofErr w:type="spellStart"/>
      <w:r>
        <w:rPr>
          <w:sz w:val="28"/>
          <w:szCs w:val="28"/>
          <w:lang w:eastAsia="zh-TW"/>
        </w:rPr>
        <w:t>межтопливной</w:t>
      </w:r>
      <w:proofErr w:type="spellEnd"/>
      <w:r>
        <w:rPr>
          <w:sz w:val="28"/>
          <w:szCs w:val="28"/>
          <w:lang w:eastAsia="zh-TW"/>
        </w:rPr>
        <w:t xml:space="preserve"> конкуренции, а также рассмотреть особенности основных видов топлива и сферы их применения.</w:t>
      </w:r>
    </w:p>
    <w:p w14:paraId="7159DFF5" w14:textId="77777777" w:rsidR="00E6106F" w:rsidRDefault="00E6106F" w:rsidP="00723F9E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Более того, важно обозначить место Китая на мировом рынке энергетики, как в ретроспективе, так и с учетом последних тенденций современности.</w:t>
      </w:r>
    </w:p>
    <w:p w14:paraId="1FF1AD52" w14:textId="3FE5ABDA" w:rsidR="006C659F" w:rsidRPr="00EA5FB6" w:rsidRDefault="006C659F" w:rsidP="007D2D78">
      <w:pPr>
        <w:pStyle w:val="Heading2"/>
        <w:jc w:val="both"/>
      </w:pPr>
      <w:bookmarkStart w:id="3" w:name="_Toc229737122"/>
      <w:r w:rsidRPr="00EA5FB6">
        <w:t xml:space="preserve">1.1. </w:t>
      </w:r>
      <w:r w:rsidR="00905C0D">
        <w:t>П</w:t>
      </w:r>
      <w:r w:rsidR="00E6106F" w:rsidRPr="00EA5FB6">
        <w:t xml:space="preserve">онятие </w:t>
      </w:r>
      <w:proofErr w:type="spellStart"/>
      <w:r w:rsidR="00E6106F" w:rsidRPr="00EA5FB6">
        <w:t>межтопливной</w:t>
      </w:r>
      <w:proofErr w:type="spellEnd"/>
      <w:r w:rsidR="00E6106F" w:rsidRPr="00EA5FB6">
        <w:t xml:space="preserve"> </w:t>
      </w:r>
      <w:r w:rsidRPr="00EA5FB6">
        <w:t>конкуренции</w:t>
      </w:r>
      <w:bookmarkEnd w:id="3"/>
      <w:r w:rsidR="00905C0D">
        <w:t xml:space="preserve"> и особенности основных видов топлива</w:t>
      </w:r>
    </w:p>
    <w:p w14:paraId="603BCA56" w14:textId="67BF7D9B" w:rsidR="00B0671A" w:rsidRPr="00B0671A" w:rsidRDefault="00B0671A" w:rsidP="00B0671A">
      <w:pPr>
        <w:spacing w:after="12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Pr="00A95F4F">
        <w:rPr>
          <w:sz w:val="28"/>
          <w:szCs w:val="28"/>
        </w:rPr>
        <w:t xml:space="preserve">од </w:t>
      </w:r>
      <w:proofErr w:type="spellStart"/>
      <w:r w:rsidRPr="00B0671A">
        <w:rPr>
          <w:i/>
          <w:sz w:val="28"/>
          <w:szCs w:val="28"/>
        </w:rPr>
        <w:t>межтопливной</w:t>
      </w:r>
      <w:proofErr w:type="spellEnd"/>
      <w:r w:rsidRPr="00B0671A">
        <w:rPr>
          <w:i/>
          <w:sz w:val="28"/>
          <w:szCs w:val="28"/>
        </w:rPr>
        <w:t xml:space="preserve"> конкуренцией</w:t>
      </w:r>
      <w:r w:rsidRPr="00A95F4F">
        <w:rPr>
          <w:sz w:val="28"/>
          <w:szCs w:val="28"/>
        </w:rPr>
        <w:t xml:space="preserve"> в современной науке понимается выбор между теми или иными видами энергетических ресурсов в качестве источников энергии для определенных секторов экономики с учетом их эффективности, цены, доступности, воздействия на окружающую среду и конечной максимизации выгоды агентов. Для анализа возможностей этого выбора проводят как простую сравнительную характеристику с учетом бюджетных ограничений, так и строят сложные математические модели. </w:t>
      </w:r>
    </w:p>
    <w:p w14:paraId="45CF797D" w14:textId="77777777" w:rsidR="00905C0D" w:rsidRDefault="00905C0D" w:rsidP="00905C0D">
      <w:pPr>
        <w:spacing w:line="360" w:lineRule="auto"/>
        <w:ind w:firstLine="720"/>
        <w:jc w:val="both"/>
        <w:rPr>
          <w:sz w:val="28"/>
          <w:szCs w:val="28"/>
        </w:rPr>
      </w:pPr>
      <w:r w:rsidRPr="00CB06A3">
        <w:rPr>
          <w:sz w:val="28"/>
          <w:szCs w:val="28"/>
        </w:rPr>
        <w:t xml:space="preserve">Традиционно в экономических исследованиях в области энергетики оценивалось замещение энергии трудом и капиталом, то есть </w:t>
      </w:r>
      <w:proofErr w:type="spellStart"/>
      <w:r w:rsidRPr="00CB06A3">
        <w:rPr>
          <w:i/>
          <w:sz w:val="28"/>
          <w:szCs w:val="28"/>
        </w:rPr>
        <w:t>межфакторная</w:t>
      </w:r>
      <w:proofErr w:type="spellEnd"/>
      <w:r w:rsidRPr="00CB06A3">
        <w:rPr>
          <w:i/>
          <w:sz w:val="28"/>
          <w:szCs w:val="28"/>
        </w:rPr>
        <w:t xml:space="preserve"> конкуренция</w:t>
      </w:r>
      <w:r w:rsidRPr="00CB06A3">
        <w:rPr>
          <w:rStyle w:val="FootnoteReference"/>
          <w:sz w:val="28"/>
          <w:szCs w:val="28"/>
        </w:rPr>
        <w:footnoteReference w:id="1"/>
      </w:r>
      <w:r w:rsidRPr="00CB06A3">
        <w:rPr>
          <w:sz w:val="28"/>
          <w:szCs w:val="28"/>
        </w:rPr>
        <w:t xml:space="preserve">. Однако в период нефтяных шоков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дерегулирования</w:t>
      </w:r>
      <w:proofErr w:type="spellEnd"/>
      <w:r>
        <w:rPr>
          <w:sz w:val="28"/>
          <w:szCs w:val="28"/>
        </w:rPr>
        <w:t xml:space="preserve"> цен на газ </w:t>
      </w:r>
      <w:r w:rsidRPr="00CB06A3">
        <w:rPr>
          <w:sz w:val="28"/>
          <w:szCs w:val="28"/>
        </w:rPr>
        <w:t xml:space="preserve">1970-х начали появляться первые работы в области </w:t>
      </w:r>
      <w:proofErr w:type="spellStart"/>
      <w:r w:rsidRPr="00CB06A3">
        <w:rPr>
          <w:i/>
          <w:sz w:val="28"/>
          <w:szCs w:val="28"/>
        </w:rPr>
        <w:t>межтопливной</w:t>
      </w:r>
      <w:proofErr w:type="spellEnd"/>
      <w:r w:rsidRPr="00CB06A3">
        <w:rPr>
          <w:i/>
          <w:sz w:val="28"/>
          <w:szCs w:val="28"/>
        </w:rPr>
        <w:t xml:space="preserve"> конкуренции</w:t>
      </w:r>
      <w:r w:rsidRPr="00CB06A3">
        <w:rPr>
          <w:sz w:val="28"/>
          <w:szCs w:val="28"/>
        </w:rPr>
        <w:t xml:space="preserve">, например, работа </w:t>
      </w:r>
      <w:r w:rsidRPr="00CB06A3">
        <w:rPr>
          <w:sz w:val="28"/>
          <w:szCs w:val="28"/>
          <w:lang w:val="en-US"/>
        </w:rPr>
        <w:t>Noel</w:t>
      </w:r>
      <w:r w:rsidRPr="00CB06A3">
        <w:rPr>
          <w:sz w:val="28"/>
          <w:szCs w:val="28"/>
        </w:rPr>
        <w:t xml:space="preserve"> </w:t>
      </w:r>
      <w:r w:rsidRPr="00CB06A3">
        <w:rPr>
          <w:sz w:val="28"/>
          <w:szCs w:val="28"/>
          <w:lang w:val="en-US"/>
        </w:rPr>
        <w:t>D</w:t>
      </w:r>
      <w:r w:rsidRPr="00CB06A3">
        <w:rPr>
          <w:sz w:val="28"/>
          <w:szCs w:val="28"/>
        </w:rPr>
        <w:t xml:space="preserve">. </w:t>
      </w:r>
      <w:r w:rsidRPr="00CB06A3">
        <w:rPr>
          <w:sz w:val="28"/>
          <w:szCs w:val="28"/>
          <w:lang w:val="en-US"/>
        </w:rPr>
        <w:t>Uri</w:t>
      </w:r>
      <w:r w:rsidRPr="00CB06A3">
        <w:rPr>
          <w:sz w:val="28"/>
          <w:szCs w:val="28"/>
        </w:rPr>
        <w:t xml:space="preserve"> по оценке эластичностей замещения с помощью </w:t>
      </w:r>
      <w:proofErr w:type="spellStart"/>
      <w:r w:rsidRPr="00CB06A3">
        <w:rPr>
          <w:sz w:val="28"/>
          <w:szCs w:val="28"/>
        </w:rPr>
        <w:t>транслоговой</w:t>
      </w:r>
      <w:proofErr w:type="spellEnd"/>
      <w:r w:rsidRPr="00CB06A3">
        <w:rPr>
          <w:sz w:val="28"/>
          <w:szCs w:val="28"/>
        </w:rPr>
        <w:t xml:space="preserve"> функции</w:t>
      </w:r>
      <w:r w:rsidRPr="00CB06A3">
        <w:rPr>
          <w:rStyle w:val="FootnoteReference"/>
          <w:sz w:val="28"/>
          <w:szCs w:val="28"/>
        </w:rPr>
        <w:footnoteReference w:id="2"/>
      </w:r>
      <w:r w:rsidRPr="00CB06A3">
        <w:rPr>
          <w:sz w:val="28"/>
          <w:szCs w:val="28"/>
        </w:rPr>
        <w:t xml:space="preserve">. </w:t>
      </w:r>
    </w:p>
    <w:p w14:paraId="4374999C" w14:textId="77777777" w:rsidR="00905C0D" w:rsidRDefault="00905C0D" w:rsidP="00905C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ценовых эластичностей широко используется аналитиками для прогнозирования спроса на топливо. Например, при помощи анализа негативных шоков на изменение собственной цены и позитивных – на </w:t>
      </w:r>
      <w:r>
        <w:rPr>
          <w:sz w:val="28"/>
          <w:szCs w:val="28"/>
        </w:rPr>
        <w:lastRenderedPageBreak/>
        <w:t xml:space="preserve">изменение цены альтернативных источников, в работе </w:t>
      </w:r>
      <w:proofErr w:type="spellStart"/>
      <w:r>
        <w:rPr>
          <w:sz w:val="28"/>
          <w:szCs w:val="28"/>
        </w:rPr>
        <w:t>John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  <w:lang w:val="en-US"/>
        </w:rPr>
        <w:t>Weyant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доказана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зависимость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спроса на нефть от доходов, собственных цен и цен на альтернативные источники в долгосрочном периоде</w:t>
      </w:r>
      <w:r>
        <w:rPr>
          <w:rStyle w:val="FootnoteReference"/>
          <w:sz w:val="28"/>
          <w:szCs w:val="28"/>
          <w:lang w:val="en-US"/>
        </w:rPr>
        <w:footnoteReference w:id="3"/>
      </w:r>
      <w:r>
        <w:rPr>
          <w:sz w:val="28"/>
          <w:szCs w:val="28"/>
        </w:rPr>
        <w:t>.</w:t>
      </w:r>
    </w:p>
    <w:p w14:paraId="6B35D068" w14:textId="2060D46E" w:rsidR="00905C0D" w:rsidRPr="0099108D" w:rsidRDefault="00905C0D" w:rsidP="00905C0D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научных исследований</w:t>
      </w:r>
      <w:r w:rsidRPr="00A95F4F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>энергетики посвящен</w:t>
      </w:r>
      <w:r w:rsidRPr="00A95F4F">
        <w:rPr>
          <w:sz w:val="28"/>
          <w:szCs w:val="28"/>
        </w:rPr>
        <w:t xml:space="preserve"> определению </w:t>
      </w:r>
      <w:r w:rsidRPr="00A95F4F">
        <w:rPr>
          <w:i/>
          <w:sz w:val="28"/>
          <w:szCs w:val="28"/>
        </w:rPr>
        <w:t xml:space="preserve">цены </w:t>
      </w:r>
      <w:proofErr w:type="spellStart"/>
      <w:r w:rsidRPr="00A95F4F">
        <w:rPr>
          <w:i/>
          <w:sz w:val="28"/>
          <w:szCs w:val="28"/>
        </w:rPr>
        <w:t>межтопливной</w:t>
      </w:r>
      <w:proofErr w:type="spellEnd"/>
      <w:r w:rsidRPr="00A95F4F">
        <w:rPr>
          <w:i/>
          <w:sz w:val="28"/>
          <w:szCs w:val="28"/>
        </w:rPr>
        <w:t xml:space="preserve"> конкуренции</w:t>
      </w:r>
      <w:r w:rsidRPr="00A95F4F">
        <w:rPr>
          <w:sz w:val="28"/>
          <w:szCs w:val="28"/>
        </w:rPr>
        <w:t xml:space="preserve"> определенного вида топлива, т.е. цены, обеспечивающей его </w:t>
      </w:r>
      <w:r>
        <w:rPr>
          <w:sz w:val="28"/>
          <w:szCs w:val="28"/>
        </w:rPr>
        <w:t xml:space="preserve">максимально </w:t>
      </w:r>
      <w:r w:rsidRPr="00A95F4F">
        <w:rPr>
          <w:sz w:val="28"/>
          <w:szCs w:val="28"/>
        </w:rPr>
        <w:t xml:space="preserve">эффективное использование и конкурентоспособность с </w:t>
      </w:r>
      <w:r>
        <w:rPr>
          <w:sz w:val="28"/>
          <w:szCs w:val="28"/>
        </w:rPr>
        <w:t>остальными</w:t>
      </w:r>
      <w:r w:rsidRPr="00A95F4F">
        <w:rPr>
          <w:sz w:val="28"/>
          <w:szCs w:val="28"/>
        </w:rPr>
        <w:t xml:space="preserve"> видами.</w:t>
      </w:r>
      <w:r>
        <w:rPr>
          <w:sz w:val="28"/>
          <w:szCs w:val="28"/>
        </w:rPr>
        <w:t xml:space="preserve"> Именно этим обусловлено формирование цен некоторых видов топлива путем</w:t>
      </w:r>
      <w:r w:rsidR="00B0671A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привязки к ценам на другие источники. </w:t>
      </w:r>
    </w:p>
    <w:p w14:paraId="0A8924B7" w14:textId="77777777" w:rsidR="00905C0D" w:rsidRDefault="00905C0D" w:rsidP="00905C0D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подобные</w:t>
      </w:r>
      <w:r w:rsidRPr="00CB06A3">
        <w:rPr>
          <w:sz w:val="28"/>
          <w:szCs w:val="28"/>
        </w:rPr>
        <w:t xml:space="preserve"> метод</w:t>
      </w:r>
      <w:r>
        <w:rPr>
          <w:sz w:val="28"/>
          <w:szCs w:val="28"/>
        </w:rPr>
        <w:t>ы использую</w:t>
      </w:r>
      <w:r w:rsidRPr="00CB06A3">
        <w:rPr>
          <w:sz w:val="28"/>
          <w:szCs w:val="28"/>
        </w:rPr>
        <w:t xml:space="preserve">тся как учеными, так и правительственными аналитиками для составления цельной картины возможностей диверсификации и оптимизации энергетической корзины с учетом финансовых, ресурсных и экологических ограничений. </w:t>
      </w:r>
      <w:r w:rsidRPr="002C2B99">
        <w:rPr>
          <w:sz w:val="28"/>
          <w:szCs w:val="28"/>
        </w:rPr>
        <w:t xml:space="preserve">Последние оценки в области </w:t>
      </w:r>
      <w:proofErr w:type="spellStart"/>
      <w:r w:rsidRPr="002C2B99">
        <w:rPr>
          <w:sz w:val="28"/>
          <w:szCs w:val="28"/>
        </w:rPr>
        <w:t>межтопливной</w:t>
      </w:r>
      <w:proofErr w:type="spellEnd"/>
      <w:r w:rsidRPr="002C2B99">
        <w:rPr>
          <w:sz w:val="28"/>
          <w:szCs w:val="28"/>
        </w:rPr>
        <w:t xml:space="preserve"> конкуренции показывают, что нефть ограничена к замещению, а уголь, газ и </w:t>
      </w:r>
      <w:proofErr w:type="spellStart"/>
      <w:r w:rsidRPr="002C2B99">
        <w:rPr>
          <w:sz w:val="28"/>
          <w:szCs w:val="28"/>
        </w:rPr>
        <w:t>нетопливные</w:t>
      </w:r>
      <w:proofErr w:type="spellEnd"/>
      <w:r w:rsidRPr="002C2B99">
        <w:rPr>
          <w:sz w:val="28"/>
          <w:szCs w:val="28"/>
        </w:rPr>
        <w:t xml:space="preserve"> источники сильно конкурируют между собой. Самыми чувствительными к изменению цен на замещающие топлива секторами называют промышленность и транспорт, а слабо чувствительными – энергетику и домохозяйства. </w:t>
      </w:r>
    </w:p>
    <w:p w14:paraId="4A522891" w14:textId="71766F6A" w:rsidR="00905C0D" w:rsidRDefault="00905C0D" w:rsidP="00905C0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Межтопливная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конкуреция</w:t>
      </w:r>
      <w:proofErr w:type="spellEnd"/>
      <w:r>
        <w:rPr>
          <w:sz w:val="28"/>
          <w:szCs w:val="28"/>
        </w:rPr>
        <w:t xml:space="preserve"> и ее научный анализ</w:t>
      </w:r>
      <w:r w:rsidR="00684A58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</w:t>
      </w:r>
      <w:r w:rsidR="00684A58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место в странах США и Европы. В основном исследования посвящены</w:t>
      </w:r>
      <w:r w:rsidRPr="00CB06A3">
        <w:rPr>
          <w:sz w:val="28"/>
          <w:szCs w:val="28"/>
        </w:rPr>
        <w:t xml:space="preserve"> природному газу и его заменителям – углю, возобновляемым энергетическим источникам (ВЭИ) и др.</w:t>
      </w:r>
      <w:r>
        <w:rPr>
          <w:sz w:val="28"/>
          <w:szCs w:val="28"/>
        </w:rPr>
        <w:t xml:space="preserve"> Большое внимание уделяется исследованию «сланцевой революции» в США, результатом которой стало переключение Америки на газ, а Европы – на уголь. Например, в Германии в 2011-2012 гг. разница между чистым </w:t>
      </w:r>
      <w:proofErr w:type="spellStart"/>
      <w:r>
        <w:rPr>
          <w:sz w:val="28"/>
          <w:szCs w:val="28"/>
        </w:rPr>
        <w:t>дарк</w:t>
      </w:r>
      <w:proofErr w:type="spellEnd"/>
      <w:r>
        <w:rPr>
          <w:sz w:val="28"/>
          <w:szCs w:val="28"/>
        </w:rPr>
        <w:t xml:space="preserve">-спредом и чистым </w:t>
      </w:r>
      <w:proofErr w:type="spellStart"/>
      <w:r>
        <w:rPr>
          <w:sz w:val="28"/>
          <w:szCs w:val="28"/>
        </w:rPr>
        <w:t>спарк</w:t>
      </w:r>
      <w:proofErr w:type="spellEnd"/>
      <w:r>
        <w:rPr>
          <w:sz w:val="28"/>
          <w:szCs w:val="28"/>
        </w:rPr>
        <w:t>-спредом</w:t>
      </w:r>
      <w:r>
        <w:rPr>
          <w:rStyle w:val="FootnoteReference"/>
          <w:sz w:val="28"/>
          <w:szCs w:val="28"/>
        </w:rPr>
        <w:footnoteReference w:id="4"/>
      </w:r>
      <w:r>
        <w:rPr>
          <w:sz w:val="28"/>
          <w:szCs w:val="28"/>
        </w:rPr>
        <w:t xml:space="preserve"> составила 15 </w:t>
      </w:r>
      <w:r>
        <w:rPr>
          <w:sz w:val="28"/>
          <w:szCs w:val="28"/>
        </w:rPr>
        <w:lastRenderedPageBreak/>
        <w:t>евро/</w:t>
      </w:r>
      <w:proofErr w:type="spellStart"/>
      <w:r>
        <w:rPr>
          <w:sz w:val="28"/>
          <w:szCs w:val="28"/>
        </w:rPr>
        <w:t>МВтч</w:t>
      </w:r>
      <w:proofErr w:type="spellEnd"/>
      <w:r>
        <w:rPr>
          <w:sz w:val="28"/>
          <w:szCs w:val="28"/>
        </w:rPr>
        <w:t>, что привело к уровню загрузки газовых электростанций – всего 30% (в 2 раза ниже исторического)</w:t>
      </w:r>
      <w:r>
        <w:rPr>
          <w:rStyle w:val="FootnoteReference"/>
          <w:sz w:val="28"/>
          <w:szCs w:val="28"/>
        </w:rPr>
        <w:footnoteReference w:id="5"/>
      </w:r>
      <w:r>
        <w:rPr>
          <w:sz w:val="28"/>
          <w:szCs w:val="28"/>
        </w:rPr>
        <w:t xml:space="preserve">. </w:t>
      </w:r>
    </w:p>
    <w:p w14:paraId="4CEB2355" w14:textId="7DD66B5A" w:rsidR="00905C0D" w:rsidRPr="0099108D" w:rsidRDefault="00905C0D" w:rsidP="00905C0D">
      <w:pPr>
        <w:spacing w:after="120" w:line="360" w:lineRule="auto"/>
        <w:ind w:firstLine="709"/>
        <w:jc w:val="both"/>
        <w:rPr>
          <w:sz w:val="28"/>
          <w:szCs w:val="28"/>
        </w:rPr>
      </w:pPr>
      <w:proofErr w:type="spellStart"/>
      <w:r w:rsidRPr="0099108D">
        <w:rPr>
          <w:sz w:val="28"/>
          <w:szCs w:val="28"/>
        </w:rPr>
        <w:t>Межтопливная</w:t>
      </w:r>
      <w:proofErr w:type="spellEnd"/>
      <w:r w:rsidRPr="0099108D">
        <w:rPr>
          <w:sz w:val="28"/>
          <w:szCs w:val="28"/>
        </w:rPr>
        <w:t xml:space="preserve"> конкуренция имеет определенную специфичность по сравнению с обычной конкуренцией на рынках товаров и услуг. Во-первых, она зависит от принятия инвестиционных решений на долгосрочный период, таких как выбор типа оборудования под переработку и использование определенного топлива. </w:t>
      </w:r>
      <w:r w:rsidRPr="00CB06A3">
        <w:rPr>
          <w:sz w:val="28"/>
          <w:szCs w:val="28"/>
        </w:rPr>
        <w:t xml:space="preserve">По мнению </w:t>
      </w:r>
      <w:proofErr w:type="spellStart"/>
      <w:r w:rsidRPr="00CB06A3">
        <w:rPr>
          <w:sz w:val="28"/>
          <w:szCs w:val="28"/>
        </w:rPr>
        <w:t>Kenneth</w:t>
      </w:r>
      <w:proofErr w:type="spellEnd"/>
      <w:r w:rsidRPr="00CB06A3">
        <w:rPr>
          <w:sz w:val="28"/>
          <w:szCs w:val="28"/>
        </w:rPr>
        <w:t xml:space="preserve"> E. </w:t>
      </w:r>
      <w:proofErr w:type="spellStart"/>
      <w:r w:rsidRPr="00CB06A3">
        <w:rPr>
          <w:sz w:val="28"/>
          <w:szCs w:val="28"/>
        </w:rPr>
        <w:t>Carlson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межтопливная</w:t>
      </w:r>
      <w:proofErr w:type="spellEnd"/>
      <w:r>
        <w:rPr>
          <w:sz w:val="28"/>
          <w:szCs w:val="28"/>
        </w:rPr>
        <w:t xml:space="preserve"> конкуренция может существовать только при наличии дополнительных производственных мощностей для всех конкурирующих видов топлива и отсутствии необходимости развивать новые источники по мере увеличения спроса</w:t>
      </w:r>
      <w:r w:rsidRPr="00CB06A3">
        <w:rPr>
          <w:rStyle w:val="FootnoteReference"/>
          <w:sz w:val="28"/>
          <w:szCs w:val="28"/>
        </w:rPr>
        <w:footnoteReference w:id="6"/>
      </w:r>
      <w:r>
        <w:rPr>
          <w:sz w:val="28"/>
          <w:szCs w:val="28"/>
        </w:rPr>
        <w:t xml:space="preserve">. </w:t>
      </w:r>
      <w:r w:rsidRPr="0099108D">
        <w:rPr>
          <w:sz w:val="28"/>
          <w:szCs w:val="28"/>
        </w:rPr>
        <w:t xml:space="preserve">Во-вторых, возможности </w:t>
      </w:r>
      <w:proofErr w:type="spellStart"/>
      <w:r w:rsidRPr="0099108D">
        <w:rPr>
          <w:sz w:val="28"/>
          <w:szCs w:val="28"/>
        </w:rPr>
        <w:t>межтопливной</w:t>
      </w:r>
      <w:proofErr w:type="spellEnd"/>
      <w:r w:rsidRPr="0099108D">
        <w:rPr>
          <w:sz w:val="28"/>
          <w:szCs w:val="28"/>
        </w:rPr>
        <w:t xml:space="preserve"> конкуренции сильно зависят от сектора, использующего энергетические ресурсы: в некоторых случаях вид топлива является практически незаменимым.</w:t>
      </w:r>
      <w:r>
        <w:rPr>
          <w:sz w:val="28"/>
          <w:szCs w:val="28"/>
        </w:rPr>
        <w:t xml:space="preserve"> В-третьих, в</w:t>
      </w:r>
      <w:r w:rsidRPr="0099108D">
        <w:rPr>
          <w:sz w:val="28"/>
          <w:szCs w:val="28"/>
        </w:rPr>
        <w:t xml:space="preserve">виду большого влияния госсектора в сфере энергетики многих стран, </w:t>
      </w:r>
      <w:proofErr w:type="spellStart"/>
      <w:r w:rsidRPr="0099108D">
        <w:rPr>
          <w:sz w:val="28"/>
          <w:szCs w:val="28"/>
        </w:rPr>
        <w:t>межтопливная</w:t>
      </w:r>
      <w:proofErr w:type="spellEnd"/>
      <w:r w:rsidRPr="0099108D">
        <w:rPr>
          <w:sz w:val="28"/>
          <w:szCs w:val="28"/>
        </w:rPr>
        <w:t xml:space="preserve"> конкуренция не всегда является эффективной с точки зрения максимизации прибыли компаний. Подобным примером явля</w:t>
      </w:r>
      <w:r w:rsidR="00426CE9">
        <w:rPr>
          <w:sz w:val="28"/>
          <w:szCs w:val="28"/>
        </w:rPr>
        <w:t xml:space="preserve">ется </w:t>
      </w:r>
      <w:r w:rsidR="00426CE9" w:rsidRPr="00426CE9">
        <w:rPr>
          <w:i/>
          <w:sz w:val="28"/>
          <w:szCs w:val="28"/>
        </w:rPr>
        <w:t>энергетический рынок Китая</w:t>
      </w:r>
      <w:r w:rsidR="00426CE9">
        <w:rPr>
          <w:sz w:val="28"/>
          <w:szCs w:val="28"/>
        </w:rPr>
        <w:t>, где выбор топлива определяется не прост</w:t>
      </w:r>
      <w:r w:rsidR="00C47F55">
        <w:rPr>
          <w:sz w:val="28"/>
          <w:szCs w:val="28"/>
        </w:rPr>
        <w:t xml:space="preserve">ыми </w:t>
      </w:r>
      <w:r w:rsidR="00426CE9">
        <w:rPr>
          <w:sz w:val="28"/>
          <w:szCs w:val="28"/>
        </w:rPr>
        <w:t>решениями агентов, стремящихся к коммерческой выгоде, а в рамках государственного планирования, принимающего во внимание ряд других вопросов.</w:t>
      </w:r>
    </w:p>
    <w:p w14:paraId="1592EB3F" w14:textId="31DFC463" w:rsidR="007D2D78" w:rsidRDefault="007D2D78" w:rsidP="007D2D78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конца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 качестве основного источника энергии в мире преобладает использование ископаемых видов топлива, а именно нефти, природного газа, каменного угля и других горючих материалов, добываемых из недр земли.</w:t>
      </w:r>
      <w:r w:rsidR="00A04715">
        <w:rPr>
          <w:sz w:val="28"/>
          <w:szCs w:val="28"/>
        </w:rPr>
        <w:t xml:space="preserve"> По данным Международного энергетического агентства</w:t>
      </w:r>
      <w:r w:rsidR="006468AE">
        <w:rPr>
          <w:sz w:val="28"/>
          <w:szCs w:val="28"/>
        </w:rPr>
        <w:t xml:space="preserve"> </w:t>
      </w:r>
      <w:r w:rsidR="006468AE">
        <w:rPr>
          <w:sz w:val="28"/>
          <w:szCs w:val="28"/>
        </w:rPr>
        <w:lastRenderedPageBreak/>
        <w:t>(МЭА)</w:t>
      </w:r>
      <w:r w:rsidR="00883328">
        <w:rPr>
          <w:sz w:val="28"/>
          <w:szCs w:val="28"/>
        </w:rPr>
        <w:t>,</w:t>
      </w:r>
      <w:r w:rsidR="00A04715">
        <w:rPr>
          <w:sz w:val="28"/>
          <w:szCs w:val="28"/>
        </w:rPr>
        <w:t xml:space="preserve"> нефть, газ и уголь </w:t>
      </w:r>
      <w:r w:rsidR="00DC2CD0">
        <w:rPr>
          <w:sz w:val="28"/>
          <w:szCs w:val="28"/>
        </w:rPr>
        <w:t xml:space="preserve">по состоянию на 2010 г. </w:t>
      </w:r>
      <w:r w:rsidR="00A04715">
        <w:rPr>
          <w:sz w:val="28"/>
          <w:szCs w:val="28"/>
        </w:rPr>
        <w:t>в</w:t>
      </w:r>
      <w:r w:rsidR="00A64FD3">
        <w:rPr>
          <w:sz w:val="28"/>
          <w:szCs w:val="28"/>
        </w:rPr>
        <w:t>месте</w:t>
      </w:r>
      <w:r w:rsidR="00A04715">
        <w:rPr>
          <w:sz w:val="28"/>
          <w:szCs w:val="28"/>
        </w:rPr>
        <w:t xml:space="preserve"> составляли более 80% </w:t>
      </w:r>
      <w:r w:rsidR="00A04715" w:rsidRPr="00A64FD3">
        <w:rPr>
          <w:sz w:val="28"/>
          <w:szCs w:val="28"/>
        </w:rPr>
        <w:t xml:space="preserve">суммарного </w:t>
      </w:r>
      <w:r w:rsidR="00F84B78" w:rsidRPr="00A64FD3">
        <w:rPr>
          <w:sz w:val="28"/>
          <w:szCs w:val="28"/>
        </w:rPr>
        <w:t>потребления</w:t>
      </w:r>
      <w:r w:rsidR="00AF6651" w:rsidRPr="00A64FD3">
        <w:rPr>
          <w:sz w:val="28"/>
          <w:szCs w:val="28"/>
        </w:rPr>
        <w:t xml:space="preserve"> первичной энергии</w:t>
      </w:r>
      <w:r w:rsidR="00F84B78" w:rsidRPr="00A64FD3">
        <w:rPr>
          <w:rStyle w:val="FootnoteReference"/>
          <w:sz w:val="28"/>
          <w:szCs w:val="28"/>
        </w:rPr>
        <w:footnoteReference w:id="7"/>
      </w:r>
      <w:r w:rsidR="00AF6651" w:rsidRPr="00A64FD3">
        <w:rPr>
          <w:sz w:val="28"/>
          <w:szCs w:val="28"/>
        </w:rPr>
        <w:t>.</w:t>
      </w:r>
      <w:r w:rsidR="00A04715">
        <w:rPr>
          <w:sz w:val="28"/>
          <w:szCs w:val="28"/>
        </w:rPr>
        <w:t xml:space="preserve"> </w:t>
      </w:r>
    </w:p>
    <w:p w14:paraId="40579C2A" w14:textId="77777777" w:rsidR="00B51CEA" w:rsidRDefault="00B51CEA" w:rsidP="00B51CEA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силу ограниченности традиционных ис</w:t>
      </w:r>
      <w:r w:rsidR="00315D59">
        <w:rPr>
          <w:sz w:val="28"/>
          <w:szCs w:val="28"/>
        </w:rPr>
        <w:t>точников энергии и значительного урона</w:t>
      </w:r>
      <w:r>
        <w:rPr>
          <w:sz w:val="28"/>
          <w:szCs w:val="28"/>
        </w:rPr>
        <w:t>, который они наносят окружающей среде, человек обращается к первобытным временам, когда основными источниками энергии, помимо мускульной силы л</w:t>
      </w:r>
      <w:r w:rsidR="00315D59">
        <w:rPr>
          <w:sz w:val="28"/>
          <w:szCs w:val="28"/>
        </w:rPr>
        <w:t>юдей, были энергия солнца, воды и</w:t>
      </w:r>
      <w:r>
        <w:rPr>
          <w:sz w:val="28"/>
          <w:szCs w:val="28"/>
        </w:rPr>
        <w:t xml:space="preserve"> ветра. В наше время они называются альтернативными источниками энергии и, считаясь наиболее экологически безопасными, активно поддерживаются в своем развитии многими странами.</w:t>
      </w:r>
    </w:p>
    <w:p w14:paraId="162A9091" w14:textId="77777777" w:rsidR="005A726D" w:rsidRDefault="00315D59" w:rsidP="00412491">
      <w:pPr>
        <w:spacing w:after="12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2010 г.</w:t>
      </w:r>
      <w:r w:rsidR="00B93FB5">
        <w:rPr>
          <w:sz w:val="28"/>
          <w:szCs w:val="28"/>
        </w:rPr>
        <w:t xml:space="preserve"> первичное потребление энергии в мире выглядело следующим образом</w:t>
      </w:r>
      <w:r w:rsidR="00896CF0">
        <w:rPr>
          <w:sz w:val="28"/>
          <w:szCs w:val="28"/>
        </w:rPr>
        <w:t>: нефть – 36,</w:t>
      </w:r>
      <w:r w:rsidR="00896CF0" w:rsidRPr="00896CF0">
        <w:rPr>
          <w:sz w:val="28"/>
          <w:szCs w:val="28"/>
        </w:rPr>
        <w:t xml:space="preserve">3%, </w:t>
      </w:r>
      <w:r w:rsidR="00896CF0">
        <w:rPr>
          <w:sz w:val="28"/>
          <w:szCs w:val="28"/>
        </w:rPr>
        <w:t>природный газ</w:t>
      </w:r>
      <w:r w:rsidR="00896CF0" w:rsidRPr="00896CF0">
        <w:rPr>
          <w:sz w:val="28"/>
          <w:szCs w:val="28"/>
        </w:rPr>
        <w:t xml:space="preserve"> – 24,9%, </w:t>
      </w:r>
      <w:r w:rsidR="00896CF0">
        <w:rPr>
          <w:sz w:val="28"/>
          <w:szCs w:val="28"/>
        </w:rPr>
        <w:t>уголь</w:t>
      </w:r>
      <w:r w:rsidR="00896CF0" w:rsidRPr="00896CF0">
        <w:rPr>
          <w:sz w:val="28"/>
          <w:szCs w:val="28"/>
        </w:rPr>
        <w:t xml:space="preserve">– 20%, </w:t>
      </w:r>
      <w:r w:rsidR="00896CF0">
        <w:rPr>
          <w:sz w:val="28"/>
          <w:szCs w:val="28"/>
        </w:rPr>
        <w:t>атом</w:t>
      </w:r>
      <w:r w:rsidR="00896CF0" w:rsidRPr="00896CF0">
        <w:rPr>
          <w:sz w:val="28"/>
          <w:szCs w:val="28"/>
        </w:rPr>
        <w:t xml:space="preserve"> – 10,2%, </w:t>
      </w:r>
      <w:r w:rsidR="00896CF0">
        <w:rPr>
          <w:sz w:val="28"/>
          <w:szCs w:val="28"/>
        </w:rPr>
        <w:t>гидроэнергия</w:t>
      </w:r>
      <w:r w:rsidR="00896CF0" w:rsidRPr="00896CF0">
        <w:rPr>
          <w:sz w:val="28"/>
          <w:szCs w:val="28"/>
        </w:rPr>
        <w:t xml:space="preserve"> – 2,3%, </w:t>
      </w:r>
      <w:proofErr w:type="spellStart"/>
      <w:r w:rsidR="00896CF0">
        <w:rPr>
          <w:sz w:val="28"/>
          <w:szCs w:val="28"/>
        </w:rPr>
        <w:t>биотопливо</w:t>
      </w:r>
      <w:proofErr w:type="spellEnd"/>
      <w:r w:rsidR="00896CF0">
        <w:rPr>
          <w:sz w:val="28"/>
          <w:szCs w:val="28"/>
        </w:rPr>
        <w:t xml:space="preserve"> и побочные продукты</w:t>
      </w:r>
      <w:r w:rsidR="00896CF0" w:rsidRPr="00896CF0">
        <w:rPr>
          <w:sz w:val="28"/>
          <w:szCs w:val="28"/>
        </w:rPr>
        <w:t xml:space="preserve">– 4,9% </w:t>
      </w:r>
      <w:r w:rsidR="00896CF0">
        <w:rPr>
          <w:sz w:val="28"/>
          <w:szCs w:val="28"/>
        </w:rPr>
        <w:t xml:space="preserve">и остальное (включая солнечную и ветровую энергию) </w:t>
      </w:r>
      <w:r w:rsidR="002D395E">
        <w:rPr>
          <w:sz w:val="28"/>
          <w:szCs w:val="28"/>
        </w:rPr>
        <w:t>– 1,4%</w:t>
      </w:r>
      <w:r w:rsidR="00D63BDE">
        <w:rPr>
          <w:sz w:val="28"/>
          <w:szCs w:val="28"/>
        </w:rPr>
        <w:t xml:space="preserve"> (см. </w:t>
      </w:r>
      <w:proofErr w:type="spellStart"/>
      <w:r w:rsidR="00D63BDE">
        <w:rPr>
          <w:sz w:val="28"/>
          <w:szCs w:val="28"/>
        </w:rPr>
        <w:t>Диагр</w:t>
      </w:r>
      <w:proofErr w:type="spellEnd"/>
      <w:r w:rsidR="00D63BDE">
        <w:rPr>
          <w:sz w:val="28"/>
          <w:szCs w:val="28"/>
        </w:rPr>
        <w:t>.</w:t>
      </w:r>
      <w:r w:rsidR="00B11A36">
        <w:rPr>
          <w:sz w:val="28"/>
          <w:szCs w:val="28"/>
        </w:rPr>
        <w:t xml:space="preserve"> </w:t>
      </w:r>
      <w:r w:rsidR="00D63BDE">
        <w:rPr>
          <w:sz w:val="28"/>
          <w:szCs w:val="28"/>
        </w:rPr>
        <w:t>1)</w:t>
      </w:r>
      <w:r w:rsidR="002D395E">
        <w:rPr>
          <w:sz w:val="28"/>
          <w:szCs w:val="28"/>
        </w:rPr>
        <w:t>.</w:t>
      </w:r>
    </w:p>
    <w:p w14:paraId="7C0ECDA6" w14:textId="79F8C019" w:rsidR="00D63BDE" w:rsidRDefault="002D395E" w:rsidP="005A726D">
      <w:pPr>
        <w:spacing w:after="120" w:line="360" w:lineRule="auto"/>
        <w:jc w:val="both"/>
        <w:rPr>
          <w:b/>
          <w:sz w:val="28"/>
          <w:szCs w:val="28"/>
        </w:rPr>
      </w:pPr>
      <w:r w:rsidRPr="000F2683">
        <w:rPr>
          <w:b/>
          <w:sz w:val="28"/>
          <w:szCs w:val="28"/>
        </w:rPr>
        <w:t xml:space="preserve">Диаграмма 1. Первичное </w:t>
      </w:r>
      <w:r w:rsidR="004523AE">
        <w:rPr>
          <w:b/>
          <w:sz w:val="28"/>
          <w:szCs w:val="28"/>
        </w:rPr>
        <w:t>потребление энергии в мире, 2010</w:t>
      </w:r>
    </w:p>
    <w:p w14:paraId="5EF443B4" w14:textId="77777777" w:rsidR="00D63BDE" w:rsidRPr="000F2683" w:rsidRDefault="000A4307" w:rsidP="00D63BDE">
      <w:pPr>
        <w:spacing w:after="120" w:line="360" w:lineRule="auto"/>
        <w:jc w:val="both"/>
        <w:rPr>
          <w:i/>
          <w:sz w:val="28"/>
          <w:szCs w:val="28"/>
        </w:rPr>
      </w:pPr>
      <w:r w:rsidRPr="000A4307">
        <w:rPr>
          <w:noProof/>
          <w:sz w:val="28"/>
          <w:szCs w:val="28"/>
          <w:lang w:val="en-US" w:eastAsia="en-US"/>
        </w:rPr>
        <w:drawing>
          <wp:inline distT="0" distB="0" distL="0" distR="0" wp14:anchorId="6193FF70" wp14:editId="759F1D21">
            <wp:extent cx="5486400" cy="2345690"/>
            <wp:effectExtent l="0" t="0" r="25400" b="1651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D62788" w14:textId="77777777" w:rsidR="00C85FF0" w:rsidRPr="000F2683" w:rsidRDefault="000F2683" w:rsidP="00826A32">
      <w:pPr>
        <w:spacing w:after="120" w:line="360" w:lineRule="auto"/>
        <w:rPr>
          <w:i/>
          <w:sz w:val="28"/>
          <w:szCs w:val="28"/>
        </w:rPr>
      </w:pPr>
      <w:r w:rsidRPr="000F2683">
        <w:rPr>
          <w:i/>
          <w:sz w:val="28"/>
          <w:szCs w:val="28"/>
        </w:rPr>
        <w:t xml:space="preserve">Источник: </w:t>
      </w:r>
      <w:r w:rsidR="00826A32">
        <w:rPr>
          <w:i/>
          <w:sz w:val="28"/>
          <w:szCs w:val="28"/>
        </w:rPr>
        <w:t xml:space="preserve">2012 </w:t>
      </w:r>
      <w:r w:rsidRPr="000F2683">
        <w:rPr>
          <w:i/>
          <w:sz w:val="28"/>
          <w:szCs w:val="28"/>
          <w:lang w:val="en-US"/>
        </w:rPr>
        <w:t>Key</w:t>
      </w:r>
      <w:r w:rsidRPr="000F2683">
        <w:rPr>
          <w:i/>
          <w:sz w:val="28"/>
          <w:szCs w:val="28"/>
        </w:rPr>
        <w:t xml:space="preserve"> </w:t>
      </w:r>
      <w:r w:rsidRPr="000F2683">
        <w:rPr>
          <w:i/>
          <w:sz w:val="28"/>
          <w:szCs w:val="28"/>
          <w:lang w:val="en-US"/>
        </w:rPr>
        <w:t>World</w:t>
      </w:r>
      <w:r w:rsidRPr="000F2683">
        <w:rPr>
          <w:i/>
          <w:sz w:val="28"/>
          <w:szCs w:val="28"/>
        </w:rPr>
        <w:t xml:space="preserve"> </w:t>
      </w:r>
      <w:r w:rsidRPr="000F2683">
        <w:rPr>
          <w:i/>
          <w:sz w:val="28"/>
          <w:szCs w:val="28"/>
          <w:lang w:val="en-US"/>
        </w:rPr>
        <w:t>Energy</w:t>
      </w:r>
      <w:r w:rsidRPr="000F2683">
        <w:rPr>
          <w:i/>
          <w:sz w:val="28"/>
          <w:szCs w:val="28"/>
        </w:rPr>
        <w:t xml:space="preserve"> </w:t>
      </w:r>
      <w:r w:rsidRPr="000F2683">
        <w:rPr>
          <w:i/>
          <w:sz w:val="28"/>
          <w:szCs w:val="28"/>
          <w:lang w:val="en-US"/>
        </w:rPr>
        <w:t>Statistics</w:t>
      </w:r>
      <w:r w:rsidRPr="000F2683">
        <w:rPr>
          <w:i/>
          <w:sz w:val="28"/>
          <w:szCs w:val="28"/>
        </w:rPr>
        <w:t xml:space="preserve">// Международное Энергетическое Агентство (МЭА), </w:t>
      </w:r>
      <w:r w:rsidR="00826A32">
        <w:rPr>
          <w:i/>
          <w:sz w:val="28"/>
          <w:szCs w:val="28"/>
        </w:rPr>
        <w:t>2012</w:t>
      </w:r>
    </w:p>
    <w:p w14:paraId="4706192E" w14:textId="77777777" w:rsidR="006468AE" w:rsidRDefault="006468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1B76FC3" w14:textId="0AFDD5F7" w:rsidR="002D395E" w:rsidRDefault="002D395E" w:rsidP="004523AE">
      <w:pPr>
        <w:spacing w:after="120" w:line="360" w:lineRule="auto"/>
        <w:jc w:val="both"/>
        <w:rPr>
          <w:b/>
          <w:sz w:val="28"/>
          <w:szCs w:val="28"/>
        </w:rPr>
      </w:pPr>
      <w:r w:rsidRPr="004523AE">
        <w:rPr>
          <w:b/>
          <w:sz w:val="28"/>
          <w:szCs w:val="28"/>
        </w:rPr>
        <w:lastRenderedPageBreak/>
        <w:t>Диа</w:t>
      </w:r>
      <w:r w:rsidR="004523AE">
        <w:rPr>
          <w:b/>
          <w:sz w:val="28"/>
          <w:szCs w:val="28"/>
        </w:rPr>
        <w:t>грамма 2</w:t>
      </w:r>
      <w:r w:rsidRPr="004523AE">
        <w:rPr>
          <w:b/>
          <w:sz w:val="28"/>
          <w:szCs w:val="28"/>
        </w:rPr>
        <w:t xml:space="preserve">. Конечное </w:t>
      </w:r>
      <w:r w:rsidR="004523AE" w:rsidRPr="004523AE">
        <w:rPr>
          <w:b/>
          <w:sz w:val="28"/>
          <w:szCs w:val="28"/>
        </w:rPr>
        <w:t>потребление энергии в мире, 2010</w:t>
      </w:r>
    </w:p>
    <w:p w14:paraId="35476023" w14:textId="77777777" w:rsidR="002D395E" w:rsidRPr="00896CF0" w:rsidRDefault="000A4307" w:rsidP="004523AE">
      <w:pPr>
        <w:spacing w:after="120"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7FA2F877" wp14:editId="3498D18A">
            <wp:extent cx="5486400" cy="2493857"/>
            <wp:effectExtent l="0" t="0" r="25400" b="2095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E3FDF75" w14:textId="77777777" w:rsidR="004523AE" w:rsidRPr="00826A32" w:rsidRDefault="004523AE" w:rsidP="00826A32">
      <w:pPr>
        <w:spacing w:after="120" w:line="360" w:lineRule="auto"/>
        <w:rPr>
          <w:i/>
          <w:sz w:val="28"/>
          <w:szCs w:val="28"/>
          <w:lang w:val="en-US"/>
        </w:rPr>
      </w:pPr>
      <w:r w:rsidRPr="000F2683">
        <w:rPr>
          <w:i/>
          <w:sz w:val="28"/>
          <w:szCs w:val="28"/>
        </w:rPr>
        <w:t>Источник</w:t>
      </w:r>
      <w:r w:rsidRPr="00826A32">
        <w:rPr>
          <w:i/>
          <w:sz w:val="28"/>
          <w:szCs w:val="28"/>
          <w:lang w:val="en-US"/>
        </w:rPr>
        <w:t>:</w:t>
      </w:r>
      <w:r w:rsidR="00826A32" w:rsidRPr="00826A32">
        <w:rPr>
          <w:i/>
          <w:sz w:val="28"/>
          <w:szCs w:val="28"/>
          <w:lang w:val="en-US"/>
        </w:rPr>
        <w:t xml:space="preserve"> 2012</w:t>
      </w:r>
      <w:r w:rsidRPr="00826A32">
        <w:rPr>
          <w:i/>
          <w:sz w:val="28"/>
          <w:szCs w:val="28"/>
          <w:lang w:val="en-US"/>
        </w:rPr>
        <w:t xml:space="preserve"> </w:t>
      </w:r>
      <w:r w:rsidRPr="000F2683">
        <w:rPr>
          <w:i/>
          <w:sz w:val="28"/>
          <w:szCs w:val="28"/>
          <w:lang w:val="en-US"/>
        </w:rPr>
        <w:t>Key</w:t>
      </w:r>
      <w:r w:rsidRPr="00826A32">
        <w:rPr>
          <w:i/>
          <w:sz w:val="28"/>
          <w:szCs w:val="28"/>
          <w:lang w:val="en-US"/>
        </w:rPr>
        <w:t xml:space="preserve"> </w:t>
      </w:r>
      <w:r w:rsidRPr="000F2683">
        <w:rPr>
          <w:i/>
          <w:sz w:val="28"/>
          <w:szCs w:val="28"/>
          <w:lang w:val="en-US"/>
        </w:rPr>
        <w:t>World</w:t>
      </w:r>
      <w:r w:rsidRPr="00826A32">
        <w:rPr>
          <w:i/>
          <w:sz w:val="28"/>
          <w:szCs w:val="28"/>
          <w:lang w:val="en-US"/>
        </w:rPr>
        <w:t xml:space="preserve"> </w:t>
      </w:r>
      <w:r w:rsidRPr="000F2683">
        <w:rPr>
          <w:i/>
          <w:sz w:val="28"/>
          <w:szCs w:val="28"/>
          <w:lang w:val="en-US"/>
        </w:rPr>
        <w:t>Energy</w:t>
      </w:r>
      <w:r w:rsidRPr="00826A32">
        <w:rPr>
          <w:i/>
          <w:sz w:val="28"/>
          <w:szCs w:val="28"/>
          <w:lang w:val="en-US"/>
        </w:rPr>
        <w:t xml:space="preserve"> </w:t>
      </w:r>
      <w:r w:rsidRPr="000F2683">
        <w:rPr>
          <w:i/>
          <w:sz w:val="28"/>
          <w:szCs w:val="28"/>
          <w:lang w:val="en-US"/>
        </w:rPr>
        <w:t>Statistics</w:t>
      </w:r>
      <w:r w:rsidRPr="00826A32">
        <w:rPr>
          <w:i/>
          <w:sz w:val="28"/>
          <w:szCs w:val="28"/>
          <w:lang w:val="en-US"/>
        </w:rPr>
        <w:t xml:space="preserve">// </w:t>
      </w:r>
      <w:r w:rsidR="00826A32">
        <w:rPr>
          <w:i/>
          <w:sz w:val="28"/>
          <w:szCs w:val="28"/>
        </w:rPr>
        <w:t>МЭА</w:t>
      </w:r>
      <w:r w:rsidR="00826A32" w:rsidRPr="00826A32">
        <w:rPr>
          <w:i/>
          <w:sz w:val="28"/>
          <w:szCs w:val="28"/>
          <w:lang w:val="en-US"/>
        </w:rPr>
        <w:t>, 2012</w:t>
      </w:r>
    </w:p>
    <w:p w14:paraId="436C3C95" w14:textId="71EE816E" w:rsidR="0065048C" w:rsidRDefault="00A50CDB" w:rsidP="0065048C">
      <w:pPr>
        <w:spacing w:after="120" w:line="360" w:lineRule="auto"/>
        <w:ind w:firstLine="709"/>
        <w:jc w:val="both"/>
        <w:rPr>
          <w:sz w:val="28"/>
          <w:szCs w:val="28"/>
        </w:rPr>
      </w:pPr>
      <w:r w:rsidRPr="00A50CDB">
        <w:rPr>
          <w:sz w:val="28"/>
          <w:szCs w:val="28"/>
        </w:rPr>
        <w:t>Если первичное потребление показывает источники получения энергии для компаний, производящих электричество и тепло, нефтепродукты и других промышленных предприятий, то конечное потребление представляет собой</w:t>
      </w:r>
      <w:r>
        <w:rPr>
          <w:sz w:val="28"/>
          <w:szCs w:val="28"/>
        </w:rPr>
        <w:t xml:space="preserve"> использование энергии, как производителями, так и потребителями (см. </w:t>
      </w: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</w:t>
      </w:r>
      <w:r w:rsidR="00B11A36">
        <w:rPr>
          <w:sz w:val="28"/>
          <w:szCs w:val="28"/>
        </w:rPr>
        <w:t xml:space="preserve"> </w:t>
      </w:r>
      <w:r>
        <w:rPr>
          <w:sz w:val="28"/>
          <w:szCs w:val="28"/>
        </w:rPr>
        <w:t>2). Суммарная доля нефти, газа и угля в конечном потреблении ниже, чем в первичном, но также высока</w:t>
      </w:r>
      <w:r w:rsidR="00637D3C">
        <w:rPr>
          <w:sz w:val="28"/>
          <w:szCs w:val="28"/>
        </w:rPr>
        <w:t xml:space="preserve"> (65%). По сравнению с 1973</w:t>
      </w:r>
      <w:r w:rsidR="00D94178">
        <w:rPr>
          <w:sz w:val="28"/>
          <w:szCs w:val="28"/>
        </w:rPr>
        <w:t xml:space="preserve"> годом, первичное потребление </w:t>
      </w:r>
      <w:r w:rsidR="00315D59">
        <w:rPr>
          <w:sz w:val="28"/>
          <w:szCs w:val="28"/>
        </w:rPr>
        <w:t xml:space="preserve">энергии </w:t>
      </w:r>
      <w:r w:rsidR="00D94178">
        <w:rPr>
          <w:sz w:val="28"/>
          <w:szCs w:val="28"/>
        </w:rPr>
        <w:t xml:space="preserve">в мире возросло более чем в 2 раза, а конечное – в 1,8 раз. </w:t>
      </w:r>
    </w:p>
    <w:p w14:paraId="4BC91272" w14:textId="77777777" w:rsidR="00463416" w:rsidRDefault="0086659C" w:rsidP="005F3A7D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показателем вида топлива является теплотворность, выраженная в количестве тепла в Джоулях (Дж) или калориях, произведенном при полном сгорании килограмма (кг) или кубического метра (м</w:t>
      </w:r>
      <w:r w:rsidRPr="001C43E9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топливной массы.</w:t>
      </w:r>
      <w:r w:rsidR="006A3ACC">
        <w:rPr>
          <w:rStyle w:val="FootnoteReference"/>
          <w:sz w:val="28"/>
          <w:szCs w:val="28"/>
        </w:rPr>
        <w:footnoteReference w:id="8"/>
      </w:r>
      <w:r w:rsidR="00315D59">
        <w:rPr>
          <w:sz w:val="28"/>
          <w:szCs w:val="28"/>
        </w:rPr>
        <w:t xml:space="preserve"> Важной характеристикой</w:t>
      </w:r>
      <w:r w:rsidR="0053256F">
        <w:rPr>
          <w:sz w:val="28"/>
          <w:szCs w:val="28"/>
        </w:rPr>
        <w:t xml:space="preserve"> </w:t>
      </w:r>
      <w:r>
        <w:rPr>
          <w:sz w:val="28"/>
          <w:szCs w:val="28"/>
        </w:rPr>
        <w:t>с точки зрения экологии является количество выбросов угле</w:t>
      </w:r>
      <w:r w:rsidR="0053256F">
        <w:rPr>
          <w:sz w:val="28"/>
          <w:szCs w:val="28"/>
        </w:rPr>
        <w:t>кислого газа</w:t>
      </w:r>
      <w:r>
        <w:rPr>
          <w:sz w:val="28"/>
          <w:szCs w:val="28"/>
        </w:rPr>
        <w:t xml:space="preserve"> и других загрязняющих веществ на единицу сгораемого топлива.</w:t>
      </w:r>
      <w:r w:rsidR="00463416">
        <w:rPr>
          <w:sz w:val="28"/>
          <w:szCs w:val="28"/>
        </w:rPr>
        <w:t xml:space="preserve"> Этот показатель особенно актуален после принятия странами решения о снижении выбросов атмосферу в рамках Киотского протокола.</w:t>
      </w:r>
      <w:r w:rsidR="00463416" w:rsidRPr="00463416">
        <w:rPr>
          <w:sz w:val="28"/>
          <w:szCs w:val="28"/>
        </w:rPr>
        <w:t xml:space="preserve"> </w:t>
      </w:r>
    </w:p>
    <w:p w14:paraId="45971D5C" w14:textId="0DFEAE05" w:rsidR="00CB06A3" w:rsidRPr="005A726D" w:rsidRDefault="00463416" w:rsidP="005A726D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Очевидно, что выбор того или иного вида топлива определяется не только ценовым фактором, но и качественными характеристиками. Например, при сжигании </w:t>
      </w:r>
      <w:r w:rsidR="00672106">
        <w:rPr>
          <w:sz w:val="28"/>
          <w:szCs w:val="28"/>
        </w:rPr>
        <w:t>относительно недорогого</w:t>
      </w:r>
      <w:r w:rsidR="00695277">
        <w:rPr>
          <w:sz w:val="28"/>
          <w:szCs w:val="28"/>
        </w:rPr>
        <w:t xml:space="preserve"> </w:t>
      </w:r>
      <w:r>
        <w:rPr>
          <w:sz w:val="28"/>
          <w:szCs w:val="28"/>
        </w:rPr>
        <w:t>угля в среднем выделяется в 2 раза меньше энергии, чем при сжигании нефти или газа (см. Табл.</w:t>
      </w:r>
      <w:r w:rsidR="00B11A36">
        <w:rPr>
          <w:sz w:val="28"/>
          <w:szCs w:val="28"/>
        </w:rPr>
        <w:t xml:space="preserve"> </w:t>
      </w:r>
      <w:r>
        <w:rPr>
          <w:sz w:val="28"/>
          <w:szCs w:val="28"/>
        </w:rPr>
        <w:t>1), и при этом выделяется в 1,5 раза больше углекислого газа.</w:t>
      </w:r>
    </w:p>
    <w:p w14:paraId="49CFCACF" w14:textId="57F74ECE" w:rsidR="004B0C3C" w:rsidRPr="005F3A7D" w:rsidRDefault="00DE79C1" w:rsidP="006A3ACC">
      <w:pPr>
        <w:spacing w:after="120" w:line="360" w:lineRule="auto"/>
        <w:jc w:val="both"/>
        <w:rPr>
          <w:sz w:val="28"/>
          <w:szCs w:val="28"/>
        </w:rPr>
      </w:pPr>
      <w:r w:rsidRPr="00DE79C1">
        <w:rPr>
          <w:b/>
          <w:sz w:val="28"/>
          <w:szCs w:val="28"/>
        </w:rPr>
        <w:t xml:space="preserve">Таблица 1. Теплотворность различных видов топлива и выбросы </w:t>
      </w:r>
    </w:p>
    <w:tbl>
      <w:tblPr>
        <w:tblStyle w:val="TableGrid"/>
        <w:tblW w:w="9468" w:type="dxa"/>
        <w:tblLayout w:type="fixed"/>
        <w:tblLook w:val="01E0" w:firstRow="1" w:lastRow="1" w:firstColumn="1" w:lastColumn="1" w:noHBand="0" w:noVBand="0"/>
      </w:tblPr>
      <w:tblGrid>
        <w:gridCol w:w="2448"/>
        <w:gridCol w:w="1440"/>
        <w:gridCol w:w="1440"/>
        <w:gridCol w:w="1440"/>
        <w:gridCol w:w="1440"/>
        <w:gridCol w:w="1260"/>
      </w:tblGrid>
      <w:tr w:rsidR="00DE79C1" w:rsidRPr="00CE029C" w14:paraId="3E8E6564" w14:textId="77777777" w:rsidTr="00DE79C1">
        <w:tc>
          <w:tcPr>
            <w:tcW w:w="2448" w:type="dxa"/>
          </w:tcPr>
          <w:p w14:paraId="43A43A72" w14:textId="77777777" w:rsidR="00DE79C1" w:rsidRPr="00CE029C" w:rsidRDefault="00DE79C1" w:rsidP="00141A61">
            <w:pPr>
              <w:spacing w:after="120"/>
              <w:jc w:val="both"/>
            </w:pPr>
            <w:r w:rsidRPr="00CE029C">
              <w:t>Вид топлива</w:t>
            </w:r>
          </w:p>
        </w:tc>
        <w:tc>
          <w:tcPr>
            <w:tcW w:w="2880" w:type="dxa"/>
            <w:gridSpan w:val="2"/>
          </w:tcPr>
          <w:p w14:paraId="0E62F9B0" w14:textId="77777777" w:rsidR="00DE79C1" w:rsidRPr="00CE029C" w:rsidRDefault="00DE79C1" w:rsidP="00141A61">
            <w:pPr>
              <w:spacing w:after="120"/>
              <w:jc w:val="both"/>
            </w:pPr>
            <w:r w:rsidRPr="00CE029C">
              <w:t>Низшая</w:t>
            </w:r>
            <w:r w:rsidRPr="00CE029C">
              <w:rPr>
                <w:lang w:val="en-US"/>
              </w:rPr>
              <w:t xml:space="preserve"> </w:t>
            </w:r>
            <w:r w:rsidRPr="00CE029C">
              <w:t>теплотворность</w:t>
            </w:r>
          </w:p>
        </w:tc>
        <w:tc>
          <w:tcPr>
            <w:tcW w:w="2880" w:type="dxa"/>
            <w:gridSpan w:val="2"/>
          </w:tcPr>
          <w:p w14:paraId="0611995A" w14:textId="77777777" w:rsidR="00DE79C1" w:rsidRPr="00CE029C" w:rsidRDefault="00DE79C1" w:rsidP="00B822E5">
            <w:pPr>
              <w:spacing w:after="120"/>
              <w:jc w:val="both"/>
            </w:pPr>
            <w:r w:rsidRPr="00CE029C">
              <w:t>Высшая</w:t>
            </w:r>
            <w:r w:rsidRPr="00CE029C">
              <w:rPr>
                <w:lang w:val="en-US"/>
              </w:rPr>
              <w:t xml:space="preserve"> </w:t>
            </w:r>
            <w:r w:rsidRPr="00CE029C">
              <w:t>теплотворность</w:t>
            </w:r>
          </w:p>
        </w:tc>
        <w:tc>
          <w:tcPr>
            <w:tcW w:w="1260" w:type="dxa"/>
          </w:tcPr>
          <w:p w14:paraId="6C34BEF3" w14:textId="77777777" w:rsidR="00DE79C1" w:rsidRPr="00CE029C" w:rsidRDefault="00DE79C1" w:rsidP="00B822E5">
            <w:pPr>
              <w:spacing w:after="120"/>
              <w:jc w:val="both"/>
            </w:pPr>
            <w:r>
              <w:t>Выбросы</w:t>
            </w:r>
          </w:p>
        </w:tc>
      </w:tr>
      <w:tr w:rsidR="00DE79C1" w:rsidRPr="00CE029C" w14:paraId="041BD2C6" w14:textId="77777777" w:rsidTr="00DE79C1">
        <w:tc>
          <w:tcPr>
            <w:tcW w:w="2448" w:type="dxa"/>
          </w:tcPr>
          <w:p w14:paraId="77D48391" w14:textId="77777777" w:rsidR="00DE79C1" w:rsidRPr="00CE029C" w:rsidRDefault="00DE79C1" w:rsidP="00CE029C">
            <w:pPr>
              <w:spacing w:after="120"/>
            </w:pPr>
          </w:p>
        </w:tc>
        <w:tc>
          <w:tcPr>
            <w:tcW w:w="1440" w:type="dxa"/>
          </w:tcPr>
          <w:p w14:paraId="2EC85481" w14:textId="77777777" w:rsidR="00DE79C1" w:rsidRPr="00CE029C" w:rsidRDefault="00DE79C1" w:rsidP="00141A61">
            <w:pPr>
              <w:spacing w:after="120"/>
              <w:jc w:val="both"/>
            </w:pPr>
            <w:proofErr w:type="spellStart"/>
            <w:r w:rsidRPr="00CE029C">
              <w:t>бте</w:t>
            </w:r>
            <w:proofErr w:type="spellEnd"/>
            <w:r w:rsidRPr="00CE029C">
              <w:rPr>
                <w:lang w:val="en-US"/>
              </w:rPr>
              <w:t>/</w:t>
            </w:r>
            <w:r w:rsidRPr="00CE029C">
              <w:t>фунт</w:t>
            </w:r>
          </w:p>
        </w:tc>
        <w:tc>
          <w:tcPr>
            <w:tcW w:w="1440" w:type="dxa"/>
          </w:tcPr>
          <w:p w14:paraId="565E9208" w14:textId="77777777" w:rsidR="00DE79C1" w:rsidRPr="00CE029C" w:rsidRDefault="00DE79C1" w:rsidP="00141A61">
            <w:pPr>
              <w:spacing w:after="120"/>
              <w:jc w:val="both"/>
            </w:pPr>
            <w:r w:rsidRPr="00CE029C">
              <w:t>МДж</w:t>
            </w:r>
            <w:r w:rsidRPr="00CE029C">
              <w:rPr>
                <w:lang w:val="en-US"/>
              </w:rPr>
              <w:t>/</w:t>
            </w:r>
            <w:r w:rsidRPr="00CE029C">
              <w:t>кг</w:t>
            </w:r>
          </w:p>
        </w:tc>
        <w:tc>
          <w:tcPr>
            <w:tcW w:w="1440" w:type="dxa"/>
          </w:tcPr>
          <w:p w14:paraId="05152D74" w14:textId="77777777" w:rsidR="00DE79C1" w:rsidRPr="00CE029C" w:rsidRDefault="00DE79C1" w:rsidP="00B822E5">
            <w:pPr>
              <w:spacing w:after="120"/>
              <w:jc w:val="both"/>
            </w:pPr>
            <w:proofErr w:type="spellStart"/>
            <w:r w:rsidRPr="00CE029C">
              <w:t>бте</w:t>
            </w:r>
            <w:proofErr w:type="spellEnd"/>
            <w:r w:rsidRPr="00CE029C">
              <w:rPr>
                <w:lang w:val="en-US"/>
              </w:rPr>
              <w:t>/</w:t>
            </w:r>
            <w:r w:rsidRPr="00CE029C">
              <w:t>фунт</w:t>
            </w:r>
          </w:p>
        </w:tc>
        <w:tc>
          <w:tcPr>
            <w:tcW w:w="1440" w:type="dxa"/>
          </w:tcPr>
          <w:p w14:paraId="187D67E0" w14:textId="77777777" w:rsidR="00DE79C1" w:rsidRPr="00CE029C" w:rsidRDefault="00DE79C1" w:rsidP="00B822E5">
            <w:pPr>
              <w:spacing w:after="120"/>
              <w:jc w:val="both"/>
            </w:pPr>
            <w:r w:rsidRPr="00CE029C">
              <w:t>МДж</w:t>
            </w:r>
            <w:r w:rsidRPr="00CE029C">
              <w:rPr>
                <w:lang w:val="en-US"/>
              </w:rPr>
              <w:t>/</w:t>
            </w:r>
            <w:r w:rsidRPr="00CE029C">
              <w:t>кг</w:t>
            </w:r>
          </w:p>
        </w:tc>
        <w:tc>
          <w:tcPr>
            <w:tcW w:w="1260" w:type="dxa"/>
          </w:tcPr>
          <w:p w14:paraId="1E06C0B6" w14:textId="77777777" w:rsidR="00DE79C1" w:rsidRPr="00843670" w:rsidRDefault="00843670" w:rsidP="00B822E5">
            <w:pPr>
              <w:spacing w:after="120"/>
              <w:jc w:val="both"/>
            </w:pPr>
            <w:r>
              <w:t>кг</w:t>
            </w:r>
            <w:r>
              <w:rPr>
                <w:lang w:val="en-US"/>
              </w:rPr>
              <w:t>/</w:t>
            </w:r>
            <w:r>
              <w:t>ГДж</w:t>
            </w:r>
          </w:p>
        </w:tc>
      </w:tr>
      <w:tr w:rsidR="00DE79C1" w:rsidRPr="00CE029C" w14:paraId="69367441" w14:textId="77777777" w:rsidTr="00DE79C1">
        <w:tc>
          <w:tcPr>
            <w:tcW w:w="2448" w:type="dxa"/>
          </w:tcPr>
          <w:p w14:paraId="3A71A270" w14:textId="77777777" w:rsidR="00DE79C1" w:rsidRPr="00CE029C" w:rsidRDefault="00DE79C1" w:rsidP="00CE029C">
            <w:pPr>
              <w:spacing w:after="120"/>
            </w:pPr>
            <w:r w:rsidRPr="00CE029C">
              <w:t>Сырая нефть</w:t>
            </w:r>
          </w:p>
        </w:tc>
        <w:tc>
          <w:tcPr>
            <w:tcW w:w="1440" w:type="dxa"/>
          </w:tcPr>
          <w:p w14:paraId="3471787B" w14:textId="77777777" w:rsidR="00DE79C1" w:rsidRPr="00CE029C" w:rsidRDefault="00DE79C1" w:rsidP="00141A61">
            <w:pPr>
              <w:spacing w:after="120"/>
              <w:jc w:val="both"/>
            </w:pPr>
            <w:r w:rsidRPr="00CE029C">
              <w:t>18352</w:t>
            </w:r>
          </w:p>
        </w:tc>
        <w:tc>
          <w:tcPr>
            <w:tcW w:w="1440" w:type="dxa"/>
          </w:tcPr>
          <w:p w14:paraId="0027DFB4" w14:textId="77777777" w:rsidR="00DE79C1" w:rsidRPr="00D74EB6" w:rsidRDefault="00DE79C1" w:rsidP="00141A61">
            <w:pPr>
              <w:spacing w:after="120"/>
              <w:jc w:val="both"/>
              <w:rPr>
                <w:lang w:val="en-US"/>
              </w:rPr>
            </w:pPr>
            <w:r w:rsidRPr="00CE029C">
              <w:t>42,</w:t>
            </w:r>
            <w:r w:rsidR="00D74EB6">
              <w:rPr>
                <w:lang w:val="en-US"/>
              </w:rPr>
              <w:t>7</w:t>
            </w:r>
          </w:p>
        </w:tc>
        <w:tc>
          <w:tcPr>
            <w:tcW w:w="1440" w:type="dxa"/>
          </w:tcPr>
          <w:p w14:paraId="14BDA7C7" w14:textId="77777777" w:rsidR="00DE79C1" w:rsidRPr="00CE029C" w:rsidRDefault="00DE79C1" w:rsidP="00B822E5">
            <w:pPr>
              <w:spacing w:after="120"/>
              <w:jc w:val="both"/>
            </w:pPr>
            <w:r w:rsidRPr="00CE029C">
              <w:t xml:space="preserve">19580 </w:t>
            </w:r>
          </w:p>
        </w:tc>
        <w:tc>
          <w:tcPr>
            <w:tcW w:w="1440" w:type="dxa"/>
          </w:tcPr>
          <w:p w14:paraId="4ADA374A" w14:textId="77777777" w:rsidR="00DE79C1" w:rsidRPr="00CE029C" w:rsidRDefault="00DE79C1" w:rsidP="00B822E5">
            <w:pPr>
              <w:spacing w:after="120"/>
              <w:jc w:val="both"/>
            </w:pPr>
            <w:r w:rsidRPr="00CE029C">
              <w:t>45,5</w:t>
            </w:r>
          </w:p>
        </w:tc>
        <w:tc>
          <w:tcPr>
            <w:tcW w:w="1260" w:type="dxa"/>
          </w:tcPr>
          <w:p w14:paraId="3087EA5B" w14:textId="77777777" w:rsidR="00DE79C1" w:rsidRPr="00843670" w:rsidRDefault="00843670" w:rsidP="00141A6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</w:tr>
      <w:tr w:rsidR="00DE79C1" w:rsidRPr="00CE029C" w14:paraId="76521D7C" w14:textId="77777777" w:rsidTr="00DE79C1">
        <w:tc>
          <w:tcPr>
            <w:tcW w:w="2448" w:type="dxa"/>
          </w:tcPr>
          <w:p w14:paraId="6916E197" w14:textId="77777777" w:rsidR="00DE79C1" w:rsidRPr="00CE029C" w:rsidRDefault="00DE79C1" w:rsidP="00CE029C">
            <w:pPr>
              <w:spacing w:after="120"/>
            </w:pPr>
            <w:r w:rsidRPr="00CE029C">
              <w:t>Природный газ</w:t>
            </w:r>
          </w:p>
        </w:tc>
        <w:tc>
          <w:tcPr>
            <w:tcW w:w="1440" w:type="dxa"/>
          </w:tcPr>
          <w:p w14:paraId="2DD940FD" w14:textId="77777777" w:rsidR="00DE79C1" w:rsidRPr="00CE029C" w:rsidRDefault="00DE79C1" w:rsidP="00141A61">
            <w:pPr>
              <w:spacing w:after="120"/>
              <w:jc w:val="both"/>
            </w:pPr>
            <w:r w:rsidRPr="00CE029C">
              <w:t xml:space="preserve">20267 </w:t>
            </w:r>
          </w:p>
        </w:tc>
        <w:tc>
          <w:tcPr>
            <w:tcW w:w="1440" w:type="dxa"/>
          </w:tcPr>
          <w:p w14:paraId="029EE94E" w14:textId="77777777" w:rsidR="00DE79C1" w:rsidRPr="00CE029C" w:rsidRDefault="00DE79C1" w:rsidP="00141A61">
            <w:pPr>
              <w:spacing w:after="120"/>
              <w:jc w:val="both"/>
            </w:pPr>
            <w:r w:rsidRPr="00CE029C">
              <w:t>47,1</w:t>
            </w:r>
          </w:p>
        </w:tc>
        <w:tc>
          <w:tcPr>
            <w:tcW w:w="1440" w:type="dxa"/>
          </w:tcPr>
          <w:p w14:paraId="2568FC13" w14:textId="77777777" w:rsidR="00DE79C1" w:rsidRPr="00CE029C" w:rsidRDefault="00DE79C1" w:rsidP="00B822E5">
            <w:pPr>
              <w:spacing w:after="120"/>
              <w:jc w:val="both"/>
            </w:pPr>
            <w:r>
              <w:t>22</w:t>
            </w:r>
            <w:r w:rsidRPr="00CE029C">
              <w:t xml:space="preserve">453 </w:t>
            </w:r>
          </w:p>
        </w:tc>
        <w:tc>
          <w:tcPr>
            <w:tcW w:w="1440" w:type="dxa"/>
          </w:tcPr>
          <w:p w14:paraId="479B3B39" w14:textId="77777777" w:rsidR="00DE79C1" w:rsidRPr="00CE029C" w:rsidRDefault="00DE79C1" w:rsidP="00B822E5">
            <w:pPr>
              <w:spacing w:after="120"/>
              <w:jc w:val="both"/>
            </w:pPr>
            <w:r>
              <w:t>52,</w:t>
            </w:r>
            <w:r w:rsidRPr="00CE029C">
              <w:t>2</w:t>
            </w:r>
          </w:p>
        </w:tc>
        <w:tc>
          <w:tcPr>
            <w:tcW w:w="1260" w:type="dxa"/>
          </w:tcPr>
          <w:p w14:paraId="293BCDC7" w14:textId="77777777" w:rsidR="00DE79C1" w:rsidRPr="00843670" w:rsidRDefault="00843670" w:rsidP="00141A6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  <w:tr w:rsidR="00DE79C1" w:rsidRPr="00CE029C" w14:paraId="02E3D10B" w14:textId="77777777" w:rsidTr="00DE79C1">
        <w:tc>
          <w:tcPr>
            <w:tcW w:w="2448" w:type="dxa"/>
          </w:tcPr>
          <w:p w14:paraId="47422837" w14:textId="77777777" w:rsidR="00DE79C1" w:rsidRPr="00CE029C" w:rsidRDefault="00DE79C1" w:rsidP="00CE029C">
            <w:pPr>
              <w:spacing w:after="120"/>
              <w:rPr>
                <w:lang w:val="en-US"/>
              </w:rPr>
            </w:pPr>
            <w:r w:rsidRPr="00CE029C">
              <w:t>Сжиженный природный газ (</w:t>
            </w:r>
            <w:r w:rsidRPr="00CE029C">
              <w:rPr>
                <w:lang w:val="en-US"/>
              </w:rPr>
              <w:t>LNG)</w:t>
            </w:r>
          </w:p>
        </w:tc>
        <w:tc>
          <w:tcPr>
            <w:tcW w:w="1440" w:type="dxa"/>
          </w:tcPr>
          <w:p w14:paraId="500D9DB9" w14:textId="77777777" w:rsidR="00DE79C1" w:rsidRPr="00CE029C" w:rsidRDefault="00DE79C1" w:rsidP="00141A61">
            <w:pPr>
              <w:spacing w:after="120"/>
              <w:jc w:val="both"/>
            </w:pPr>
            <w:r>
              <w:t>20</w:t>
            </w:r>
            <w:r w:rsidRPr="00CE029C">
              <w:t xml:space="preserve">038 </w:t>
            </w:r>
          </w:p>
        </w:tc>
        <w:tc>
          <w:tcPr>
            <w:tcW w:w="1440" w:type="dxa"/>
          </w:tcPr>
          <w:p w14:paraId="35689095" w14:textId="77777777" w:rsidR="00DE79C1" w:rsidRPr="00CE029C" w:rsidRDefault="00DE79C1" w:rsidP="00141A61">
            <w:pPr>
              <w:spacing w:after="120"/>
              <w:jc w:val="both"/>
            </w:pPr>
            <w:r>
              <w:t>46,</w:t>
            </w:r>
            <w:r w:rsidRPr="00CE029C">
              <w:t>6</w:t>
            </w:r>
          </w:p>
        </w:tc>
        <w:tc>
          <w:tcPr>
            <w:tcW w:w="1440" w:type="dxa"/>
          </w:tcPr>
          <w:p w14:paraId="077F7DD2" w14:textId="77777777" w:rsidR="00DE79C1" w:rsidRPr="00CE029C" w:rsidRDefault="00DE79C1" w:rsidP="00B822E5">
            <w:pPr>
              <w:spacing w:after="120"/>
              <w:jc w:val="both"/>
            </w:pPr>
            <w:r>
              <w:t>21</w:t>
            </w:r>
            <w:r w:rsidRPr="00CE029C">
              <w:t xml:space="preserve">561 </w:t>
            </w:r>
          </w:p>
        </w:tc>
        <w:tc>
          <w:tcPr>
            <w:tcW w:w="1440" w:type="dxa"/>
          </w:tcPr>
          <w:p w14:paraId="410AA506" w14:textId="77777777" w:rsidR="00DE79C1" w:rsidRPr="00D74EB6" w:rsidRDefault="00DE79C1" w:rsidP="00B822E5">
            <w:pPr>
              <w:spacing w:after="120"/>
              <w:jc w:val="both"/>
              <w:rPr>
                <w:lang w:val="en-US"/>
              </w:rPr>
            </w:pPr>
            <w:r>
              <w:t>50,</w:t>
            </w:r>
            <w:r w:rsidR="00D74EB6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14:paraId="5069B8D0" w14:textId="77777777" w:rsidR="00DE79C1" w:rsidRPr="00CE029C" w:rsidRDefault="006805A7" w:rsidP="00141A61">
            <w:pPr>
              <w:spacing w:after="120"/>
              <w:jc w:val="both"/>
            </w:pPr>
            <w:r>
              <w:rPr>
                <w:lang w:val="en-US"/>
              </w:rPr>
              <w:t>75</w:t>
            </w:r>
          </w:p>
        </w:tc>
      </w:tr>
      <w:tr w:rsidR="00DE79C1" w:rsidRPr="00CE029C" w14:paraId="362ED924" w14:textId="77777777" w:rsidTr="00DE79C1">
        <w:tc>
          <w:tcPr>
            <w:tcW w:w="2448" w:type="dxa"/>
          </w:tcPr>
          <w:p w14:paraId="78D73F6D" w14:textId="77777777" w:rsidR="00DE79C1" w:rsidRPr="00CE029C" w:rsidRDefault="00DE79C1" w:rsidP="00CE029C">
            <w:pPr>
              <w:spacing w:after="120"/>
            </w:pPr>
            <w:r w:rsidRPr="00CE029C">
              <w:t>Сжиженный нефтяной газ (</w:t>
            </w:r>
            <w:r w:rsidRPr="00CE029C">
              <w:rPr>
                <w:lang w:val="en-US"/>
              </w:rPr>
              <w:t>LPG</w:t>
            </w:r>
            <w:r w:rsidRPr="00CE029C">
              <w:t>)</w:t>
            </w:r>
          </w:p>
        </w:tc>
        <w:tc>
          <w:tcPr>
            <w:tcW w:w="1440" w:type="dxa"/>
          </w:tcPr>
          <w:p w14:paraId="74A92DC9" w14:textId="77777777" w:rsidR="00DE79C1" w:rsidRPr="00CE029C" w:rsidRDefault="00DE79C1" w:rsidP="00141A61">
            <w:pPr>
              <w:spacing w:after="120"/>
              <w:jc w:val="both"/>
            </w:pPr>
            <w:r>
              <w:t>20</w:t>
            </w:r>
            <w:r w:rsidRPr="00CE029C">
              <w:t xml:space="preserve">908 </w:t>
            </w:r>
          </w:p>
        </w:tc>
        <w:tc>
          <w:tcPr>
            <w:tcW w:w="1440" w:type="dxa"/>
          </w:tcPr>
          <w:p w14:paraId="194E6C3C" w14:textId="77777777" w:rsidR="00DE79C1" w:rsidRPr="00CE029C" w:rsidRDefault="00DE79C1" w:rsidP="00141A61">
            <w:pPr>
              <w:spacing w:after="120"/>
              <w:jc w:val="both"/>
            </w:pPr>
            <w:r>
              <w:t>48,</w:t>
            </w:r>
            <w:r w:rsidRPr="00CE029C">
              <w:t>6</w:t>
            </w:r>
          </w:p>
        </w:tc>
        <w:tc>
          <w:tcPr>
            <w:tcW w:w="1440" w:type="dxa"/>
          </w:tcPr>
          <w:p w14:paraId="709B0925" w14:textId="77777777" w:rsidR="00DE79C1" w:rsidRPr="00CE029C" w:rsidRDefault="00DE79C1" w:rsidP="00B822E5">
            <w:pPr>
              <w:spacing w:after="120"/>
              <w:jc w:val="both"/>
            </w:pPr>
            <w:r>
              <w:t>23</w:t>
            </w:r>
            <w:r w:rsidRPr="00CE029C">
              <w:t xml:space="preserve">734 </w:t>
            </w:r>
          </w:p>
        </w:tc>
        <w:tc>
          <w:tcPr>
            <w:tcW w:w="1440" w:type="dxa"/>
          </w:tcPr>
          <w:p w14:paraId="06BAB7FF" w14:textId="77777777" w:rsidR="00DE79C1" w:rsidRPr="00CE029C" w:rsidRDefault="00DE79C1" w:rsidP="00B822E5">
            <w:pPr>
              <w:spacing w:after="120"/>
              <w:jc w:val="both"/>
            </w:pPr>
            <w:r>
              <w:t>55,</w:t>
            </w:r>
            <w:r w:rsidRPr="00CE029C">
              <w:t>2</w:t>
            </w:r>
          </w:p>
        </w:tc>
        <w:tc>
          <w:tcPr>
            <w:tcW w:w="1260" w:type="dxa"/>
          </w:tcPr>
          <w:p w14:paraId="44316650" w14:textId="77777777" w:rsidR="00DE79C1" w:rsidRPr="00CE029C" w:rsidRDefault="00274931" w:rsidP="00141A61">
            <w:pPr>
              <w:spacing w:after="120"/>
              <w:jc w:val="both"/>
            </w:pPr>
            <w:r>
              <w:t>90</w:t>
            </w:r>
          </w:p>
        </w:tc>
      </w:tr>
      <w:tr w:rsidR="00DE79C1" w:rsidRPr="00CE029C" w14:paraId="3006FCA4" w14:textId="77777777" w:rsidTr="00DE79C1">
        <w:tc>
          <w:tcPr>
            <w:tcW w:w="2448" w:type="dxa"/>
          </w:tcPr>
          <w:p w14:paraId="3E4CF7E5" w14:textId="77777777" w:rsidR="00DE79C1" w:rsidRPr="00CE029C" w:rsidRDefault="00DE79C1" w:rsidP="00CE029C">
            <w:pPr>
              <w:spacing w:after="120"/>
            </w:pPr>
            <w:r w:rsidRPr="00CE029C">
              <w:t>Уголь</w:t>
            </w:r>
          </w:p>
        </w:tc>
        <w:tc>
          <w:tcPr>
            <w:tcW w:w="1440" w:type="dxa"/>
          </w:tcPr>
          <w:p w14:paraId="29CEE06A" w14:textId="77777777" w:rsidR="00DE79C1" w:rsidRPr="00CE029C" w:rsidRDefault="00DE79C1" w:rsidP="00141A61">
            <w:pPr>
              <w:spacing w:after="120"/>
              <w:jc w:val="both"/>
            </w:pPr>
            <w:r>
              <w:t>9</w:t>
            </w:r>
            <w:r w:rsidRPr="00CE029C">
              <w:t xml:space="preserve">773 </w:t>
            </w:r>
          </w:p>
        </w:tc>
        <w:tc>
          <w:tcPr>
            <w:tcW w:w="1440" w:type="dxa"/>
          </w:tcPr>
          <w:p w14:paraId="0083FC48" w14:textId="77777777" w:rsidR="00DE79C1" w:rsidRPr="00CE029C" w:rsidRDefault="00DE79C1" w:rsidP="00141A61">
            <w:pPr>
              <w:spacing w:after="120"/>
              <w:jc w:val="both"/>
            </w:pPr>
            <w:r>
              <w:t>22,</w:t>
            </w:r>
            <w:r w:rsidRPr="00CE029C">
              <w:t>7</w:t>
            </w:r>
          </w:p>
        </w:tc>
        <w:tc>
          <w:tcPr>
            <w:tcW w:w="1440" w:type="dxa"/>
          </w:tcPr>
          <w:p w14:paraId="62720B5B" w14:textId="77777777" w:rsidR="00DE79C1" w:rsidRPr="00CE029C" w:rsidRDefault="00DE79C1" w:rsidP="00B822E5">
            <w:pPr>
              <w:spacing w:after="120"/>
              <w:jc w:val="both"/>
            </w:pPr>
            <w:r>
              <w:t>10</w:t>
            </w:r>
            <w:r w:rsidRPr="00CE029C">
              <w:t xml:space="preserve">304 </w:t>
            </w:r>
          </w:p>
        </w:tc>
        <w:tc>
          <w:tcPr>
            <w:tcW w:w="1440" w:type="dxa"/>
          </w:tcPr>
          <w:p w14:paraId="4C2A7A8D" w14:textId="77777777" w:rsidR="00DE79C1" w:rsidRPr="00D74EB6" w:rsidRDefault="00D74EB6" w:rsidP="00B822E5">
            <w:pPr>
              <w:spacing w:after="120"/>
              <w:jc w:val="both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  <w:r w:rsidR="00DE79C1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60" w:type="dxa"/>
          </w:tcPr>
          <w:p w14:paraId="14AC4605" w14:textId="77777777" w:rsidR="00DE79C1" w:rsidRPr="00CE029C" w:rsidRDefault="00274931" w:rsidP="00141A61">
            <w:pPr>
              <w:spacing w:after="120"/>
              <w:jc w:val="both"/>
            </w:pPr>
            <w:r>
              <w:t>134</w:t>
            </w:r>
          </w:p>
        </w:tc>
      </w:tr>
    </w:tbl>
    <w:p w14:paraId="1716FCB8" w14:textId="77777777" w:rsidR="004B0C3C" w:rsidRPr="005F3A7D" w:rsidRDefault="00DE79C1" w:rsidP="00206B34">
      <w:pPr>
        <w:spacing w:after="120" w:line="360" w:lineRule="auto"/>
        <w:rPr>
          <w:i/>
          <w:sz w:val="28"/>
          <w:szCs w:val="28"/>
        </w:rPr>
      </w:pPr>
      <w:r w:rsidRPr="00DE79C1">
        <w:rPr>
          <w:i/>
          <w:sz w:val="28"/>
          <w:szCs w:val="28"/>
        </w:rPr>
        <w:t>Источник</w:t>
      </w:r>
      <w:r w:rsidRPr="00C06D86">
        <w:rPr>
          <w:i/>
          <w:sz w:val="28"/>
          <w:szCs w:val="28"/>
        </w:rPr>
        <w:t>:</w:t>
      </w:r>
      <w:r w:rsidR="00B822E5" w:rsidRPr="00C06D86">
        <w:t xml:space="preserve"> </w:t>
      </w:r>
      <w:hyperlink r:id="rId10" w:history="1">
        <w:r w:rsidR="00B822E5" w:rsidRPr="00A96EF6">
          <w:rPr>
            <w:rStyle w:val="Hyperlink"/>
            <w:i/>
            <w:sz w:val="28"/>
            <w:szCs w:val="28"/>
            <w:lang w:val="en-US"/>
          </w:rPr>
          <w:t>http</w:t>
        </w:r>
        <w:r w:rsidR="00B822E5" w:rsidRPr="00C06D86">
          <w:rPr>
            <w:rStyle w:val="Hyperlink"/>
            <w:i/>
            <w:sz w:val="28"/>
            <w:szCs w:val="28"/>
          </w:rPr>
          <w:t>://</w:t>
        </w:r>
        <w:proofErr w:type="spellStart"/>
        <w:r w:rsidR="00B822E5" w:rsidRPr="00A96EF6">
          <w:rPr>
            <w:rStyle w:val="Hyperlink"/>
            <w:i/>
            <w:sz w:val="28"/>
            <w:szCs w:val="28"/>
            <w:lang w:val="en-US"/>
          </w:rPr>
          <w:t>cta</w:t>
        </w:r>
        <w:proofErr w:type="spellEnd"/>
        <w:r w:rsidR="00B822E5" w:rsidRPr="00C06D86">
          <w:rPr>
            <w:rStyle w:val="Hyperlink"/>
            <w:i/>
            <w:sz w:val="28"/>
            <w:szCs w:val="28"/>
          </w:rPr>
          <w:t>.</w:t>
        </w:r>
        <w:proofErr w:type="spellStart"/>
        <w:r w:rsidR="00B822E5" w:rsidRPr="00A96EF6">
          <w:rPr>
            <w:rStyle w:val="Hyperlink"/>
            <w:i/>
            <w:sz w:val="28"/>
            <w:szCs w:val="28"/>
            <w:lang w:val="en-US"/>
          </w:rPr>
          <w:t>ornl</w:t>
        </w:r>
        <w:proofErr w:type="spellEnd"/>
        <w:r w:rsidR="00B822E5" w:rsidRPr="00C06D86">
          <w:rPr>
            <w:rStyle w:val="Hyperlink"/>
            <w:i/>
            <w:sz w:val="28"/>
            <w:szCs w:val="28"/>
          </w:rPr>
          <w:t>.</w:t>
        </w:r>
        <w:proofErr w:type="spellStart"/>
        <w:r w:rsidR="00B822E5" w:rsidRPr="00A96EF6">
          <w:rPr>
            <w:rStyle w:val="Hyperlink"/>
            <w:i/>
            <w:sz w:val="28"/>
            <w:szCs w:val="28"/>
            <w:lang w:val="en-US"/>
          </w:rPr>
          <w:t>gov</w:t>
        </w:r>
        <w:proofErr w:type="spellEnd"/>
      </w:hyperlink>
      <w:r w:rsidR="00C06D86" w:rsidRPr="00C06D86">
        <w:rPr>
          <w:i/>
          <w:sz w:val="28"/>
          <w:szCs w:val="28"/>
        </w:rPr>
        <w:t>,</w:t>
      </w:r>
      <w:r w:rsidR="00B822E5" w:rsidRPr="00C06D86">
        <w:rPr>
          <w:i/>
          <w:sz w:val="28"/>
          <w:szCs w:val="28"/>
        </w:rPr>
        <w:t xml:space="preserve"> </w:t>
      </w:r>
      <w:hyperlink r:id="rId11" w:history="1">
        <w:r w:rsidR="00206B34" w:rsidRPr="00206B34">
          <w:rPr>
            <w:rStyle w:val="Hyperlink"/>
            <w:i/>
            <w:sz w:val="28"/>
            <w:szCs w:val="28"/>
            <w:lang w:val="en-US"/>
          </w:rPr>
          <w:t>http</w:t>
        </w:r>
        <w:r w:rsidR="00206B34" w:rsidRPr="00C06D86">
          <w:rPr>
            <w:rStyle w:val="Hyperlink"/>
            <w:i/>
            <w:sz w:val="28"/>
            <w:szCs w:val="28"/>
          </w:rPr>
          <w:t>://</w:t>
        </w:r>
        <w:r w:rsidR="00206B34" w:rsidRPr="00206B34">
          <w:rPr>
            <w:rStyle w:val="Hyperlink"/>
            <w:i/>
            <w:sz w:val="28"/>
            <w:szCs w:val="28"/>
            <w:lang w:val="en-US"/>
          </w:rPr>
          <w:t>www</w:t>
        </w:r>
        <w:r w:rsidR="00206B34" w:rsidRPr="00C06D86">
          <w:rPr>
            <w:rStyle w:val="Hyperlink"/>
            <w:i/>
            <w:sz w:val="28"/>
            <w:szCs w:val="28"/>
          </w:rPr>
          <w:t>.</w:t>
        </w:r>
        <w:proofErr w:type="spellStart"/>
        <w:r w:rsidR="00206B34" w:rsidRPr="00206B34">
          <w:rPr>
            <w:rStyle w:val="Hyperlink"/>
            <w:i/>
            <w:sz w:val="28"/>
            <w:szCs w:val="28"/>
            <w:lang w:val="en-US"/>
          </w:rPr>
          <w:t>biomassenergycentre</w:t>
        </w:r>
        <w:proofErr w:type="spellEnd"/>
        <w:r w:rsidR="00206B34" w:rsidRPr="00C06D86">
          <w:rPr>
            <w:rStyle w:val="Hyperlink"/>
            <w:i/>
            <w:sz w:val="28"/>
            <w:szCs w:val="28"/>
          </w:rPr>
          <w:t>.</w:t>
        </w:r>
        <w:r w:rsidR="00206B34" w:rsidRPr="00206B34">
          <w:rPr>
            <w:rStyle w:val="Hyperlink"/>
            <w:i/>
            <w:sz w:val="28"/>
            <w:szCs w:val="28"/>
            <w:lang w:val="en-US"/>
          </w:rPr>
          <w:t>org</w:t>
        </w:r>
        <w:r w:rsidR="00206B34" w:rsidRPr="00C06D86">
          <w:rPr>
            <w:rStyle w:val="Hyperlink"/>
            <w:i/>
            <w:sz w:val="28"/>
            <w:szCs w:val="28"/>
          </w:rPr>
          <w:t>.</w:t>
        </w:r>
        <w:proofErr w:type="spellStart"/>
        <w:r w:rsidR="00206B34" w:rsidRPr="00206B34">
          <w:rPr>
            <w:rStyle w:val="Hyperlink"/>
            <w:i/>
            <w:sz w:val="28"/>
            <w:szCs w:val="28"/>
            <w:lang w:val="en-US"/>
          </w:rPr>
          <w:t>uk</w:t>
        </w:r>
        <w:proofErr w:type="spellEnd"/>
      </w:hyperlink>
    </w:p>
    <w:p w14:paraId="67E9C9DA" w14:textId="77777777" w:rsidR="0096398E" w:rsidRDefault="0096398E" w:rsidP="0065048C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6398E">
        <w:rPr>
          <w:i/>
          <w:sz w:val="28"/>
          <w:szCs w:val="28"/>
        </w:rPr>
        <w:t>Нефть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86659C">
        <w:rPr>
          <w:sz w:val="28"/>
          <w:szCs w:val="28"/>
        </w:rPr>
        <w:t>самым расп</w:t>
      </w:r>
      <w:r w:rsidR="00693C9A">
        <w:rPr>
          <w:sz w:val="28"/>
          <w:szCs w:val="28"/>
        </w:rPr>
        <w:t xml:space="preserve">ространенным источником топлива, используемом в транспортном секторе (более 60%), строительстве и промышленности. </w:t>
      </w:r>
      <w:r w:rsidR="00383488">
        <w:rPr>
          <w:sz w:val="28"/>
          <w:szCs w:val="28"/>
        </w:rPr>
        <w:t>Крупнейшими производителями нефти являются Саудовская Аравия (12,9% мирового производства в 2011 году), Россия (12,7%), США (8,6%), Иран (5,4%) и Китай (5,1%)</w:t>
      </w:r>
      <w:r w:rsidR="00383488">
        <w:rPr>
          <w:rStyle w:val="FootnoteReference"/>
          <w:sz w:val="28"/>
          <w:szCs w:val="28"/>
        </w:rPr>
        <w:footnoteReference w:id="9"/>
      </w:r>
      <w:r w:rsidR="00383488">
        <w:rPr>
          <w:sz w:val="28"/>
          <w:szCs w:val="28"/>
        </w:rPr>
        <w:t xml:space="preserve">. Исторически цены на нефть существенно колебались, что оказывало огромное влияние на </w:t>
      </w:r>
      <w:proofErr w:type="spellStart"/>
      <w:r w:rsidR="00383488">
        <w:rPr>
          <w:sz w:val="28"/>
          <w:szCs w:val="28"/>
        </w:rPr>
        <w:t>внутристрановые</w:t>
      </w:r>
      <w:proofErr w:type="spellEnd"/>
      <w:r w:rsidR="00383488">
        <w:rPr>
          <w:sz w:val="28"/>
          <w:szCs w:val="28"/>
        </w:rPr>
        <w:t xml:space="preserve"> и международные экономические процессы.</w:t>
      </w:r>
    </w:p>
    <w:p w14:paraId="0EF19414" w14:textId="7946D3A6" w:rsidR="004E6C3B" w:rsidRPr="004E6C3B" w:rsidRDefault="0096398E" w:rsidP="007D2D7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6398E">
        <w:rPr>
          <w:i/>
          <w:sz w:val="28"/>
          <w:szCs w:val="28"/>
        </w:rPr>
        <w:t xml:space="preserve">Газ </w:t>
      </w:r>
      <w:r w:rsidR="006723E2">
        <w:rPr>
          <w:sz w:val="28"/>
          <w:szCs w:val="28"/>
        </w:rPr>
        <w:t xml:space="preserve">является менее дорогим и более эффективным источником топлива с точки зрения теплотворности и выбросов. </w:t>
      </w:r>
      <w:r w:rsidR="004E6C3B">
        <w:rPr>
          <w:sz w:val="28"/>
          <w:szCs w:val="28"/>
        </w:rPr>
        <w:t>В основном</w:t>
      </w:r>
      <w:r w:rsidR="008A62EA">
        <w:rPr>
          <w:sz w:val="28"/>
          <w:szCs w:val="28"/>
        </w:rPr>
        <w:t>, газ</w:t>
      </w:r>
      <w:r w:rsidR="004E6C3B">
        <w:rPr>
          <w:sz w:val="28"/>
          <w:szCs w:val="28"/>
        </w:rPr>
        <w:t xml:space="preserve"> используется в</w:t>
      </w:r>
      <w:r w:rsidR="008A62EA" w:rsidRPr="008A62EA">
        <w:rPr>
          <w:sz w:val="28"/>
          <w:szCs w:val="28"/>
        </w:rPr>
        <w:t xml:space="preserve"> </w:t>
      </w:r>
      <w:r w:rsidR="008A62EA">
        <w:rPr>
          <w:sz w:val="28"/>
          <w:szCs w:val="28"/>
        </w:rPr>
        <w:t>промышленном, коммерческом и потребительском секторах</w:t>
      </w:r>
      <w:r w:rsidR="004E6C3B">
        <w:rPr>
          <w:sz w:val="28"/>
          <w:szCs w:val="28"/>
        </w:rPr>
        <w:t xml:space="preserve">. Проблемой международного рынка газа является </w:t>
      </w:r>
      <w:r w:rsidR="00D565EB">
        <w:rPr>
          <w:sz w:val="28"/>
          <w:szCs w:val="28"/>
        </w:rPr>
        <w:t xml:space="preserve">его </w:t>
      </w:r>
      <w:r w:rsidR="004E6C3B">
        <w:rPr>
          <w:sz w:val="28"/>
          <w:szCs w:val="28"/>
        </w:rPr>
        <w:t xml:space="preserve">ценообразование. В зависимости от региона, цены на газ могут как привязываться к цене на нефть, так и устанавливаться отдельно. </w:t>
      </w:r>
      <w:r w:rsidR="00460235">
        <w:rPr>
          <w:sz w:val="28"/>
          <w:szCs w:val="28"/>
        </w:rPr>
        <w:t xml:space="preserve">Поэтому, несмотря на большие возможности использования природного газа, он не играет </w:t>
      </w:r>
      <w:r w:rsidR="008020B2">
        <w:rPr>
          <w:sz w:val="28"/>
          <w:szCs w:val="28"/>
        </w:rPr>
        <w:t>ведущей</w:t>
      </w:r>
      <w:r w:rsidR="00460235">
        <w:rPr>
          <w:sz w:val="28"/>
          <w:szCs w:val="28"/>
        </w:rPr>
        <w:t xml:space="preserve"> роли в современной </w:t>
      </w:r>
      <w:r w:rsidR="00460235">
        <w:rPr>
          <w:sz w:val="28"/>
          <w:szCs w:val="28"/>
        </w:rPr>
        <w:lastRenderedPageBreak/>
        <w:t>энергетике.</w:t>
      </w:r>
      <w:r w:rsidR="00460235">
        <w:rPr>
          <w:rStyle w:val="FootnoteReference"/>
          <w:sz w:val="28"/>
          <w:szCs w:val="28"/>
        </w:rPr>
        <w:footnoteReference w:id="10"/>
      </w:r>
      <w:r w:rsidR="00460235">
        <w:rPr>
          <w:sz w:val="28"/>
          <w:szCs w:val="28"/>
        </w:rPr>
        <w:t xml:space="preserve"> </w:t>
      </w:r>
      <w:r w:rsidR="004E6C3B">
        <w:rPr>
          <w:sz w:val="28"/>
          <w:szCs w:val="28"/>
        </w:rPr>
        <w:t xml:space="preserve">В начале 21 века активно началось производство сланцевого газа в </w:t>
      </w:r>
      <w:r w:rsidR="00D565EB">
        <w:rPr>
          <w:sz w:val="28"/>
          <w:szCs w:val="28"/>
        </w:rPr>
        <w:t>США, вызвав мировой ажиотаж и пониз</w:t>
      </w:r>
      <w:r w:rsidR="004E6C3B">
        <w:rPr>
          <w:sz w:val="28"/>
          <w:szCs w:val="28"/>
        </w:rPr>
        <w:t xml:space="preserve">ив цены на </w:t>
      </w:r>
      <w:r w:rsidR="008020B2">
        <w:rPr>
          <w:sz w:val="28"/>
          <w:szCs w:val="28"/>
        </w:rPr>
        <w:t>мировом</w:t>
      </w:r>
      <w:r w:rsidR="004E6C3B">
        <w:rPr>
          <w:sz w:val="28"/>
          <w:szCs w:val="28"/>
        </w:rPr>
        <w:t xml:space="preserve"> рынке.</w:t>
      </w:r>
      <w:r w:rsidR="004E6C3B" w:rsidRPr="0096398E">
        <w:rPr>
          <w:i/>
          <w:sz w:val="28"/>
          <w:szCs w:val="28"/>
        </w:rPr>
        <w:t xml:space="preserve"> </w:t>
      </w:r>
      <w:r w:rsidR="004E6C3B">
        <w:rPr>
          <w:sz w:val="28"/>
          <w:szCs w:val="28"/>
        </w:rPr>
        <w:t>Аналогичные п</w:t>
      </w:r>
      <w:r w:rsidR="004E6C3B" w:rsidRPr="004E6C3B">
        <w:rPr>
          <w:sz w:val="28"/>
          <w:szCs w:val="28"/>
        </w:rPr>
        <w:t>опытки</w:t>
      </w:r>
      <w:r w:rsidR="004E6C3B">
        <w:rPr>
          <w:i/>
          <w:sz w:val="28"/>
          <w:szCs w:val="28"/>
        </w:rPr>
        <w:t xml:space="preserve"> </w:t>
      </w:r>
      <w:r w:rsidR="004E6C3B">
        <w:rPr>
          <w:sz w:val="28"/>
          <w:szCs w:val="28"/>
        </w:rPr>
        <w:t>Китая – одной из немногих стран с возможностью добычи сланцевого газа – пока не принесли успеха.</w:t>
      </w:r>
    </w:p>
    <w:p w14:paraId="64CA7B9C" w14:textId="53479602" w:rsidR="00B51CEA" w:rsidRPr="0096398E" w:rsidRDefault="002C6CCA" w:rsidP="007D2D78">
      <w:pPr>
        <w:spacing w:after="120" w:line="360" w:lineRule="auto"/>
        <w:ind w:firstLine="709"/>
        <w:jc w:val="both"/>
        <w:rPr>
          <w:i/>
          <w:sz w:val="28"/>
          <w:szCs w:val="28"/>
        </w:rPr>
      </w:pPr>
      <w:r w:rsidRPr="002C6CCA">
        <w:rPr>
          <w:sz w:val="28"/>
          <w:szCs w:val="28"/>
        </w:rPr>
        <w:t>Еще одним видом топлива, используе</w:t>
      </w:r>
      <w:r w:rsidR="00870FE8">
        <w:rPr>
          <w:sz w:val="28"/>
          <w:szCs w:val="28"/>
        </w:rPr>
        <w:t>мом</w:t>
      </w:r>
      <w:r w:rsidRPr="002C6CCA">
        <w:rPr>
          <w:sz w:val="28"/>
          <w:szCs w:val="28"/>
        </w:rPr>
        <w:t xml:space="preserve"> в промышленности</w:t>
      </w:r>
      <w:r>
        <w:rPr>
          <w:sz w:val="28"/>
          <w:szCs w:val="28"/>
        </w:rPr>
        <w:t>,</w:t>
      </w:r>
      <w:r w:rsidRPr="002C6CCA">
        <w:rPr>
          <w:sz w:val="28"/>
          <w:szCs w:val="28"/>
        </w:rPr>
        <w:t xml:space="preserve"> является</w:t>
      </w:r>
      <w:r>
        <w:rPr>
          <w:i/>
          <w:sz w:val="28"/>
          <w:szCs w:val="28"/>
        </w:rPr>
        <w:t xml:space="preserve"> у</w:t>
      </w:r>
      <w:r w:rsidR="0096398E" w:rsidRPr="0096398E">
        <w:rPr>
          <w:i/>
          <w:sz w:val="28"/>
          <w:szCs w:val="28"/>
        </w:rPr>
        <w:t>голь</w:t>
      </w:r>
      <w:r>
        <w:rPr>
          <w:i/>
          <w:sz w:val="28"/>
          <w:szCs w:val="28"/>
        </w:rPr>
        <w:t xml:space="preserve">. </w:t>
      </w:r>
      <w:r w:rsidRPr="002C6CCA">
        <w:rPr>
          <w:sz w:val="28"/>
          <w:szCs w:val="28"/>
        </w:rPr>
        <w:t>Он</w:t>
      </w:r>
      <w:r>
        <w:rPr>
          <w:i/>
          <w:sz w:val="28"/>
          <w:szCs w:val="28"/>
        </w:rPr>
        <w:t xml:space="preserve"> </w:t>
      </w:r>
      <w:r w:rsidRPr="002C6CCA">
        <w:rPr>
          <w:sz w:val="28"/>
          <w:szCs w:val="28"/>
        </w:rPr>
        <w:t>также широко применяется для производства электричества и отопления.</w:t>
      </w:r>
      <w:r>
        <w:rPr>
          <w:sz w:val="28"/>
          <w:szCs w:val="28"/>
        </w:rPr>
        <w:t xml:space="preserve"> На мировом рынке торгуется лишь небольшой процент от общего потребления угля. Крупнейшим потребителем угля является Китай, вместе с Индией они отвечают за 80% мирового спрос</w:t>
      </w:r>
      <w:r w:rsidR="00315D59">
        <w:rPr>
          <w:sz w:val="28"/>
          <w:szCs w:val="28"/>
        </w:rPr>
        <w:t>а</w:t>
      </w:r>
      <w:r>
        <w:rPr>
          <w:sz w:val="28"/>
          <w:szCs w:val="28"/>
        </w:rPr>
        <w:t xml:space="preserve"> на уголь среди стран, не входящих в ОЭСР.</w:t>
      </w:r>
    </w:p>
    <w:p w14:paraId="46F5004A" w14:textId="77777777" w:rsidR="002C6CCA" w:rsidRPr="002C6CCA" w:rsidRDefault="002C6CCA" w:rsidP="002C6CCA">
      <w:pPr>
        <w:spacing w:after="120" w:line="360" w:lineRule="auto"/>
        <w:ind w:firstLine="709"/>
        <w:jc w:val="both"/>
        <w:rPr>
          <w:sz w:val="28"/>
          <w:szCs w:val="28"/>
        </w:rPr>
      </w:pPr>
      <w:r w:rsidRPr="002C6CCA">
        <w:rPr>
          <w:sz w:val="28"/>
          <w:szCs w:val="28"/>
        </w:rPr>
        <w:t>Для производства электричества также используется</w:t>
      </w:r>
      <w:r>
        <w:rPr>
          <w:i/>
          <w:sz w:val="28"/>
          <w:szCs w:val="28"/>
        </w:rPr>
        <w:t xml:space="preserve"> яде</w:t>
      </w:r>
      <w:r w:rsidRPr="0096398E">
        <w:rPr>
          <w:i/>
          <w:sz w:val="28"/>
          <w:szCs w:val="28"/>
        </w:rPr>
        <w:t>рная энергия</w:t>
      </w:r>
      <w:r>
        <w:rPr>
          <w:i/>
          <w:sz w:val="28"/>
          <w:szCs w:val="28"/>
        </w:rPr>
        <w:t xml:space="preserve">. </w:t>
      </w:r>
      <w:r w:rsidRPr="002C6CCA">
        <w:rPr>
          <w:sz w:val="28"/>
          <w:szCs w:val="28"/>
        </w:rPr>
        <w:t>Однако высокие издержк</w:t>
      </w:r>
      <w:r>
        <w:rPr>
          <w:sz w:val="28"/>
          <w:szCs w:val="28"/>
        </w:rPr>
        <w:t>и производства</w:t>
      </w:r>
      <w:r w:rsidRPr="002C6CCA">
        <w:rPr>
          <w:sz w:val="28"/>
          <w:szCs w:val="28"/>
        </w:rPr>
        <w:t xml:space="preserve">, риски повторения разрушительных катастроф на атомных станциях и </w:t>
      </w:r>
      <w:r>
        <w:rPr>
          <w:sz w:val="28"/>
          <w:szCs w:val="28"/>
        </w:rPr>
        <w:t>проблемы утилизации отходов делают ядерную энергию все менее популярной.</w:t>
      </w:r>
      <w:r>
        <w:rPr>
          <w:rStyle w:val="FootnoteReference"/>
          <w:sz w:val="28"/>
          <w:szCs w:val="28"/>
        </w:rPr>
        <w:footnoteReference w:id="11"/>
      </w:r>
    </w:p>
    <w:p w14:paraId="4018F0F2" w14:textId="77777777" w:rsidR="0096398E" w:rsidRPr="00176B60" w:rsidRDefault="0096398E" w:rsidP="007D2D78">
      <w:pPr>
        <w:spacing w:after="120" w:line="360" w:lineRule="auto"/>
        <w:ind w:firstLine="709"/>
        <w:jc w:val="both"/>
        <w:rPr>
          <w:sz w:val="28"/>
          <w:szCs w:val="28"/>
        </w:rPr>
      </w:pPr>
      <w:r w:rsidRPr="0096398E">
        <w:rPr>
          <w:i/>
          <w:sz w:val="28"/>
          <w:szCs w:val="28"/>
        </w:rPr>
        <w:t>Возобновляемые источники энергии</w:t>
      </w:r>
      <w:r w:rsidR="00176B60">
        <w:rPr>
          <w:sz w:val="28"/>
          <w:szCs w:val="28"/>
        </w:rPr>
        <w:t xml:space="preserve"> (древесина, вода, воздух, ветер</w:t>
      </w:r>
      <w:r>
        <w:rPr>
          <w:sz w:val="28"/>
          <w:szCs w:val="28"/>
        </w:rPr>
        <w:t>, солнце)</w:t>
      </w:r>
      <w:r w:rsidR="00176B60" w:rsidRPr="00176B60">
        <w:rPr>
          <w:sz w:val="28"/>
          <w:szCs w:val="28"/>
        </w:rPr>
        <w:t xml:space="preserve"> </w:t>
      </w:r>
      <w:r w:rsidR="00176B60">
        <w:rPr>
          <w:sz w:val="28"/>
          <w:szCs w:val="28"/>
        </w:rPr>
        <w:t xml:space="preserve">постепенно приобретают </w:t>
      </w:r>
      <w:r w:rsidR="006936FF">
        <w:rPr>
          <w:sz w:val="28"/>
          <w:szCs w:val="28"/>
        </w:rPr>
        <w:t>большое</w:t>
      </w:r>
      <w:r w:rsidR="00176B60">
        <w:rPr>
          <w:sz w:val="28"/>
          <w:szCs w:val="28"/>
        </w:rPr>
        <w:t xml:space="preserve"> значение для мировой экономики, особенно после недавнего кризиса 2008-2009 гг.</w:t>
      </w:r>
      <w:r w:rsidR="006936FF">
        <w:rPr>
          <w:sz w:val="28"/>
          <w:szCs w:val="28"/>
        </w:rPr>
        <w:t xml:space="preserve"> Активнее всего развивается гидроэнергетика, производство электричества на гидростанциях выросло более чем в 3 раза по сравнению с 1971</w:t>
      </w:r>
      <w:r w:rsidR="00315D59">
        <w:rPr>
          <w:sz w:val="28"/>
          <w:szCs w:val="28"/>
        </w:rPr>
        <w:t xml:space="preserve"> </w:t>
      </w:r>
      <w:r w:rsidR="006936FF">
        <w:rPr>
          <w:sz w:val="28"/>
          <w:szCs w:val="28"/>
        </w:rPr>
        <w:t>г. В топ стран по производству гидроэнергии входят Норвегия, Бразилия, Канада, Китай и Россия.</w:t>
      </w:r>
    </w:p>
    <w:p w14:paraId="17E05A7E" w14:textId="643C0DA8" w:rsidR="002222BE" w:rsidRDefault="00B30F66" w:rsidP="00693C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Состояние</w:t>
      </w:r>
      <w:r w:rsidRPr="00AD2575">
        <w:rPr>
          <w:sz w:val="28"/>
          <w:szCs w:val="28"/>
        </w:rPr>
        <w:t xml:space="preserve"> </w:t>
      </w:r>
      <w:r w:rsidR="00AD2575">
        <w:rPr>
          <w:sz w:val="28"/>
          <w:szCs w:val="28"/>
        </w:rPr>
        <w:t>энергетического</w:t>
      </w:r>
      <w:r w:rsidRPr="00AD2575">
        <w:rPr>
          <w:sz w:val="28"/>
          <w:szCs w:val="28"/>
        </w:rPr>
        <w:t xml:space="preserve"> </w:t>
      </w:r>
      <w:r w:rsidR="00AD2575">
        <w:rPr>
          <w:sz w:val="28"/>
          <w:szCs w:val="28"/>
        </w:rPr>
        <w:t>баланса</w:t>
      </w:r>
      <w:r w:rsidRPr="00AD2575">
        <w:rPr>
          <w:sz w:val="28"/>
          <w:szCs w:val="28"/>
        </w:rPr>
        <w:t xml:space="preserve"> </w:t>
      </w:r>
      <w:r>
        <w:rPr>
          <w:sz w:val="28"/>
          <w:szCs w:val="28"/>
        </w:rPr>
        <w:t>стран</w:t>
      </w:r>
      <w:r w:rsidR="00AD2575">
        <w:rPr>
          <w:sz w:val="28"/>
          <w:szCs w:val="28"/>
        </w:rPr>
        <w:t>ы</w:t>
      </w:r>
      <w:r w:rsidRPr="00AD2575">
        <w:rPr>
          <w:sz w:val="28"/>
          <w:szCs w:val="28"/>
        </w:rPr>
        <w:t xml:space="preserve"> </w:t>
      </w:r>
      <w:r w:rsidR="00AD2575">
        <w:rPr>
          <w:sz w:val="28"/>
          <w:szCs w:val="28"/>
        </w:rPr>
        <w:t xml:space="preserve">и показатели потребления энергии на единицу ВВП, душу населения и т.п. характеризуют энергетическую интенсивность и эффективность ее экономики. </w:t>
      </w:r>
      <w:r w:rsidR="0086659C" w:rsidRPr="00AD2575">
        <w:rPr>
          <w:sz w:val="28"/>
          <w:szCs w:val="28"/>
        </w:rPr>
        <w:t xml:space="preserve"> </w:t>
      </w:r>
      <w:r w:rsidR="00AD2575">
        <w:rPr>
          <w:sz w:val="28"/>
          <w:szCs w:val="28"/>
        </w:rPr>
        <w:t>Наиболее</w:t>
      </w:r>
      <w:r w:rsidR="00AD2575" w:rsidRPr="00AD2575">
        <w:rPr>
          <w:sz w:val="28"/>
          <w:szCs w:val="28"/>
        </w:rPr>
        <w:t xml:space="preserve"> </w:t>
      </w:r>
      <w:r w:rsidR="00AD2575">
        <w:rPr>
          <w:sz w:val="28"/>
          <w:szCs w:val="28"/>
        </w:rPr>
        <w:t>распространенная</w:t>
      </w:r>
      <w:r w:rsidR="00AD2575" w:rsidRPr="00AD2575">
        <w:rPr>
          <w:sz w:val="28"/>
          <w:szCs w:val="28"/>
        </w:rPr>
        <w:t xml:space="preserve"> </w:t>
      </w:r>
      <w:r w:rsidR="00AD2575">
        <w:rPr>
          <w:sz w:val="28"/>
          <w:szCs w:val="28"/>
        </w:rPr>
        <w:t>точка</w:t>
      </w:r>
      <w:r w:rsidR="00AD2575" w:rsidRPr="00AD2575">
        <w:rPr>
          <w:sz w:val="28"/>
          <w:szCs w:val="28"/>
        </w:rPr>
        <w:t xml:space="preserve"> </w:t>
      </w:r>
      <w:r w:rsidR="00AD2575">
        <w:rPr>
          <w:sz w:val="28"/>
          <w:szCs w:val="28"/>
        </w:rPr>
        <w:t>зрения</w:t>
      </w:r>
      <w:r w:rsidR="00AD2575" w:rsidRPr="00AD2575">
        <w:rPr>
          <w:sz w:val="28"/>
          <w:szCs w:val="28"/>
        </w:rPr>
        <w:t xml:space="preserve"> </w:t>
      </w:r>
      <w:r w:rsidR="00AD2575">
        <w:rPr>
          <w:sz w:val="28"/>
          <w:szCs w:val="28"/>
        </w:rPr>
        <w:t>предполагает</w:t>
      </w:r>
      <w:r w:rsidR="0086659C" w:rsidRPr="00AD2575">
        <w:rPr>
          <w:sz w:val="28"/>
          <w:szCs w:val="28"/>
        </w:rPr>
        <w:t xml:space="preserve"> </w:t>
      </w:r>
      <w:r w:rsidR="00AD2575">
        <w:rPr>
          <w:sz w:val="28"/>
          <w:szCs w:val="28"/>
        </w:rPr>
        <w:t xml:space="preserve">снижение </w:t>
      </w:r>
      <w:proofErr w:type="spellStart"/>
      <w:r w:rsidR="00AD2575">
        <w:rPr>
          <w:sz w:val="28"/>
          <w:szCs w:val="28"/>
        </w:rPr>
        <w:t>энергоинтенсивности</w:t>
      </w:r>
      <w:proofErr w:type="spellEnd"/>
      <w:r w:rsidR="00AD2575">
        <w:rPr>
          <w:sz w:val="28"/>
          <w:szCs w:val="28"/>
        </w:rPr>
        <w:t xml:space="preserve"> по мере экономического прогресса и переключения с вторичного на </w:t>
      </w:r>
      <w:r w:rsidR="00AD2575">
        <w:rPr>
          <w:sz w:val="28"/>
          <w:szCs w:val="28"/>
        </w:rPr>
        <w:lastRenderedPageBreak/>
        <w:t>третичный сектор</w:t>
      </w:r>
      <w:r w:rsidR="00AD2575">
        <w:rPr>
          <w:rStyle w:val="FootnoteReference"/>
          <w:sz w:val="28"/>
          <w:szCs w:val="28"/>
        </w:rPr>
        <w:footnoteReference w:id="12"/>
      </w:r>
      <w:r w:rsidR="00315D59">
        <w:rPr>
          <w:sz w:val="28"/>
          <w:szCs w:val="28"/>
        </w:rPr>
        <w:t>.</w:t>
      </w:r>
      <w:r w:rsidR="00AD2575">
        <w:rPr>
          <w:sz w:val="28"/>
          <w:szCs w:val="28"/>
        </w:rPr>
        <w:t xml:space="preserve"> </w:t>
      </w:r>
      <w:r w:rsidR="002222BE">
        <w:rPr>
          <w:sz w:val="28"/>
          <w:szCs w:val="28"/>
        </w:rPr>
        <w:t>Повышение энергетической эффективности может быть также обусловлено</w:t>
      </w:r>
      <w:r w:rsidR="00AD2575">
        <w:rPr>
          <w:sz w:val="28"/>
          <w:szCs w:val="28"/>
        </w:rPr>
        <w:t xml:space="preserve"> ограниченностью ресурсов и нестабильными мировыми ценами на топливо.</w:t>
      </w:r>
      <w:r w:rsidR="0086659C" w:rsidRPr="002523E7">
        <w:rPr>
          <w:sz w:val="28"/>
          <w:szCs w:val="28"/>
        </w:rPr>
        <w:t xml:space="preserve"> </w:t>
      </w:r>
      <w:r w:rsidR="002222BE">
        <w:rPr>
          <w:sz w:val="28"/>
          <w:szCs w:val="28"/>
        </w:rPr>
        <w:t>Страны внедряют специальные законы об энергосбережении, повышают технические стандарты для производственного</w:t>
      </w:r>
      <w:r w:rsidR="00CB06A3">
        <w:rPr>
          <w:sz w:val="28"/>
          <w:szCs w:val="28"/>
        </w:rPr>
        <w:t xml:space="preserve"> </w:t>
      </w:r>
      <w:r w:rsidR="002222BE">
        <w:rPr>
          <w:sz w:val="28"/>
          <w:szCs w:val="28"/>
        </w:rPr>
        <w:t xml:space="preserve">оборудования и транспорта, </w:t>
      </w:r>
      <w:r w:rsidR="008020B2">
        <w:rPr>
          <w:sz w:val="28"/>
          <w:szCs w:val="28"/>
        </w:rPr>
        <w:t>вводят торговлю квотами на выбросы СО</w:t>
      </w:r>
      <w:r w:rsidR="008020B2" w:rsidRPr="008020B2">
        <w:rPr>
          <w:sz w:val="28"/>
          <w:szCs w:val="28"/>
          <w:vertAlign w:val="subscript"/>
        </w:rPr>
        <w:t>2</w:t>
      </w:r>
      <w:r w:rsidR="008020B2">
        <w:rPr>
          <w:sz w:val="28"/>
          <w:szCs w:val="28"/>
        </w:rPr>
        <w:t xml:space="preserve">, </w:t>
      </w:r>
      <w:r w:rsidR="002222BE">
        <w:rPr>
          <w:sz w:val="28"/>
          <w:szCs w:val="28"/>
        </w:rPr>
        <w:t xml:space="preserve">субсидируют </w:t>
      </w:r>
      <w:proofErr w:type="spellStart"/>
      <w:r w:rsidR="002222BE">
        <w:rPr>
          <w:sz w:val="28"/>
          <w:szCs w:val="28"/>
        </w:rPr>
        <w:t>энергоэффективные</w:t>
      </w:r>
      <w:proofErr w:type="spellEnd"/>
      <w:r w:rsidR="002222BE">
        <w:rPr>
          <w:sz w:val="28"/>
          <w:szCs w:val="28"/>
        </w:rPr>
        <w:t xml:space="preserve"> компании.</w:t>
      </w:r>
      <w:r w:rsidR="002222BE">
        <w:rPr>
          <w:rStyle w:val="FootnoteReference"/>
          <w:sz w:val="28"/>
          <w:szCs w:val="28"/>
        </w:rPr>
        <w:footnoteReference w:id="13"/>
      </w:r>
    </w:p>
    <w:p w14:paraId="3DB7CB05" w14:textId="79DA8217" w:rsidR="00C47F55" w:rsidRDefault="00C47F55" w:rsidP="00C47F55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выше перечисленных видов топлива имеет свои технические особенности, предпочтительную сферу применения и порядок реализации на международном рынке сырья. Поэтому исходя из особенностей своего экономического развития, экологической политики  и бюджетных ограничений, страны развивают и субсидируют добычу, потребление, покупку и продажу того или иного вида топлива, и их топливно-энергетические балансы разнятся. </w:t>
      </w:r>
      <w:r w:rsidR="004C5689">
        <w:rPr>
          <w:sz w:val="28"/>
          <w:szCs w:val="28"/>
        </w:rPr>
        <w:t xml:space="preserve">В силу масштабов развития и особенностей экономического устройства, Китай представляет огромный интерес с точки зрения анализа </w:t>
      </w:r>
      <w:proofErr w:type="spellStart"/>
      <w:r w:rsidR="004C5689">
        <w:rPr>
          <w:sz w:val="28"/>
          <w:szCs w:val="28"/>
        </w:rPr>
        <w:t>межтопливной</w:t>
      </w:r>
      <w:proofErr w:type="spellEnd"/>
      <w:r w:rsidR="004C5689">
        <w:rPr>
          <w:sz w:val="28"/>
          <w:szCs w:val="28"/>
        </w:rPr>
        <w:t xml:space="preserve"> конкуренции</w:t>
      </w:r>
      <w:r w:rsidR="00D565EB">
        <w:rPr>
          <w:sz w:val="28"/>
          <w:szCs w:val="28"/>
        </w:rPr>
        <w:t xml:space="preserve"> на внутренних энергетических рынках</w:t>
      </w:r>
      <w:r>
        <w:rPr>
          <w:sz w:val="28"/>
          <w:szCs w:val="28"/>
        </w:rPr>
        <w:t xml:space="preserve">. </w:t>
      </w:r>
    </w:p>
    <w:p w14:paraId="1F341AC7" w14:textId="77777777" w:rsidR="006C659F" w:rsidRPr="00EA5FB6" w:rsidRDefault="006C659F" w:rsidP="00871F32">
      <w:pPr>
        <w:pStyle w:val="Heading2"/>
      </w:pPr>
      <w:bookmarkStart w:id="4" w:name="_Toc229737123"/>
      <w:r w:rsidRPr="00EA5FB6">
        <w:t>1.2. Положение КНР на мировом энергетическом рынке</w:t>
      </w:r>
      <w:bookmarkEnd w:id="4"/>
    </w:p>
    <w:p w14:paraId="2CF40A5A" w14:textId="3257807E" w:rsidR="00C41A67" w:rsidRDefault="00FD225C" w:rsidP="00C41A67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Трудно переоценить роль Китая на мировом энергетическом рынке – он является крупнейшим потребителем энергии, производителем и потребителем угля</w:t>
      </w:r>
      <w:r w:rsidR="001220C0">
        <w:rPr>
          <w:sz w:val="28"/>
          <w:szCs w:val="28"/>
        </w:rPr>
        <w:t>, создает половину</w:t>
      </w:r>
      <w:r>
        <w:rPr>
          <w:sz w:val="28"/>
          <w:szCs w:val="28"/>
        </w:rPr>
        <w:t xml:space="preserve"> прироста потребления </w:t>
      </w:r>
      <w:r w:rsidRPr="00107693">
        <w:rPr>
          <w:sz w:val="28"/>
          <w:szCs w:val="28"/>
        </w:rPr>
        <w:t>нефти.</w:t>
      </w:r>
      <w:r w:rsidR="00C41A67" w:rsidRPr="00107693">
        <w:rPr>
          <w:color w:val="000000"/>
          <w:sz w:val="28"/>
          <w:szCs w:val="28"/>
        </w:rPr>
        <w:t xml:space="preserve"> Китай потреб</w:t>
      </w:r>
      <w:r w:rsidR="00107693" w:rsidRPr="00107693">
        <w:rPr>
          <w:color w:val="000000"/>
          <w:sz w:val="28"/>
          <w:szCs w:val="28"/>
        </w:rPr>
        <w:t>ляет около 20</w:t>
      </w:r>
      <w:r w:rsidR="00C41A67" w:rsidRPr="00107693">
        <w:rPr>
          <w:color w:val="000000"/>
          <w:sz w:val="28"/>
          <w:szCs w:val="28"/>
        </w:rPr>
        <w:t xml:space="preserve">% мировой энергии, 60% мирового производства угля, </w:t>
      </w:r>
      <w:r w:rsidR="00107693" w:rsidRPr="00107693">
        <w:rPr>
          <w:color w:val="000000"/>
          <w:sz w:val="28"/>
          <w:szCs w:val="28"/>
        </w:rPr>
        <w:t xml:space="preserve">30% железа, </w:t>
      </w:r>
      <w:r w:rsidR="00C41A67" w:rsidRPr="00107693">
        <w:rPr>
          <w:color w:val="000000"/>
          <w:sz w:val="28"/>
          <w:szCs w:val="28"/>
        </w:rPr>
        <w:t>10% нефти</w:t>
      </w:r>
      <w:r w:rsidR="00107693" w:rsidRPr="00107693">
        <w:rPr>
          <w:color w:val="000000"/>
          <w:sz w:val="28"/>
          <w:szCs w:val="28"/>
        </w:rPr>
        <w:t xml:space="preserve"> и большой объем других видов сырья</w:t>
      </w:r>
      <w:r w:rsidR="00387ACA">
        <w:rPr>
          <w:rStyle w:val="FootnoteReference"/>
          <w:color w:val="000000"/>
          <w:sz w:val="28"/>
          <w:szCs w:val="28"/>
        </w:rPr>
        <w:footnoteReference w:id="14"/>
      </w:r>
      <w:r w:rsidR="00107693" w:rsidRPr="00107693">
        <w:rPr>
          <w:color w:val="000000"/>
          <w:sz w:val="28"/>
          <w:szCs w:val="28"/>
        </w:rPr>
        <w:t>.</w:t>
      </w:r>
    </w:p>
    <w:p w14:paraId="293DF22B" w14:textId="0676C5DA" w:rsidR="00547B23" w:rsidRDefault="004C5689" w:rsidP="00C41A67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</w:t>
      </w:r>
      <w:r w:rsidR="00547B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высокий уровень потребления энергии вызван</w:t>
      </w:r>
      <w:r w:rsidR="00547B23">
        <w:rPr>
          <w:color w:val="000000"/>
          <w:sz w:val="28"/>
          <w:szCs w:val="28"/>
        </w:rPr>
        <w:t xml:space="preserve"> стремительным экономическим развитием Китая. </w:t>
      </w:r>
      <w:r w:rsidR="00017E04">
        <w:rPr>
          <w:color w:val="000000"/>
          <w:sz w:val="28"/>
          <w:szCs w:val="28"/>
        </w:rPr>
        <w:t>Использование преимущества в лице  огромной</w:t>
      </w:r>
      <w:r w:rsidR="001220C0">
        <w:rPr>
          <w:color w:val="000000"/>
          <w:sz w:val="28"/>
          <w:szCs w:val="28"/>
        </w:rPr>
        <w:t xml:space="preserve"> </w:t>
      </w:r>
      <w:r w:rsidR="00017E04">
        <w:rPr>
          <w:color w:val="000000"/>
          <w:sz w:val="28"/>
          <w:szCs w:val="28"/>
        </w:rPr>
        <w:t xml:space="preserve">рабочей силы, безусловно, способствует росту совокупного выпуска, но промышленное развитие требует </w:t>
      </w:r>
      <w:r>
        <w:rPr>
          <w:color w:val="000000"/>
          <w:sz w:val="28"/>
          <w:szCs w:val="28"/>
        </w:rPr>
        <w:t xml:space="preserve">также </w:t>
      </w:r>
      <w:r w:rsidR="00017E04">
        <w:rPr>
          <w:color w:val="000000"/>
          <w:sz w:val="28"/>
          <w:szCs w:val="28"/>
        </w:rPr>
        <w:t xml:space="preserve">значительного вложения </w:t>
      </w:r>
      <w:r w:rsidR="00017E04">
        <w:rPr>
          <w:color w:val="000000"/>
          <w:sz w:val="28"/>
          <w:szCs w:val="28"/>
        </w:rPr>
        <w:lastRenderedPageBreak/>
        <w:t xml:space="preserve">сырьевых ресурсов. </w:t>
      </w:r>
      <w:r w:rsidR="001220C0">
        <w:rPr>
          <w:color w:val="000000"/>
          <w:sz w:val="28"/>
          <w:szCs w:val="28"/>
        </w:rPr>
        <w:t xml:space="preserve"> </w:t>
      </w:r>
      <w:r w:rsidR="00A91522">
        <w:rPr>
          <w:color w:val="000000"/>
          <w:sz w:val="28"/>
          <w:szCs w:val="28"/>
        </w:rPr>
        <w:t>Темпы прироста потребления энергии</w:t>
      </w:r>
      <w:r>
        <w:rPr>
          <w:color w:val="000000"/>
          <w:sz w:val="28"/>
          <w:szCs w:val="28"/>
        </w:rPr>
        <w:t>,</w:t>
      </w:r>
      <w:r w:rsidR="00920AC7">
        <w:rPr>
          <w:color w:val="000000"/>
          <w:sz w:val="28"/>
          <w:szCs w:val="28"/>
        </w:rPr>
        <w:t xml:space="preserve"> </w:t>
      </w:r>
      <w:r w:rsidR="00DF376D">
        <w:rPr>
          <w:color w:val="000000"/>
          <w:sz w:val="28"/>
          <w:szCs w:val="28"/>
        </w:rPr>
        <w:t>за исключением нескольких лет</w:t>
      </w:r>
      <w:r>
        <w:rPr>
          <w:color w:val="000000"/>
          <w:sz w:val="28"/>
          <w:szCs w:val="28"/>
        </w:rPr>
        <w:t>,</w:t>
      </w:r>
      <w:r w:rsidR="00DF376D">
        <w:rPr>
          <w:color w:val="000000"/>
          <w:sz w:val="28"/>
          <w:szCs w:val="28"/>
        </w:rPr>
        <w:t xml:space="preserve"> имеют схожую динамику с</w:t>
      </w:r>
      <w:r w:rsidR="00017E04">
        <w:rPr>
          <w:color w:val="000000"/>
          <w:sz w:val="28"/>
          <w:szCs w:val="28"/>
        </w:rPr>
        <w:t xml:space="preserve"> темпами прирост</w:t>
      </w:r>
      <w:r>
        <w:rPr>
          <w:color w:val="000000"/>
          <w:sz w:val="28"/>
          <w:szCs w:val="28"/>
        </w:rPr>
        <w:t xml:space="preserve">а ВВП </w:t>
      </w:r>
      <w:r w:rsidR="00017E04">
        <w:rPr>
          <w:color w:val="000000"/>
          <w:sz w:val="28"/>
          <w:szCs w:val="28"/>
        </w:rPr>
        <w:t>(см. Рис.</w:t>
      </w:r>
      <w:r w:rsidR="00B11A36">
        <w:rPr>
          <w:color w:val="000000"/>
          <w:sz w:val="28"/>
          <w:szCs w:val="28"/>
        </w:rPr>
        <w:t xml:space="preserve"> </w:t>
      </w:r>
      <w:r w:rsidR="00017E04">
        <w:rPr>
          <w:color w:val="000000"/>
          <w:sz w:val="28"/>
          <w:szCs w:val="28"/>
        </w:rPr>
        <w:t>1</w:t>
      </w:r>
      <w:r w:rsidR="00DF376D">
        <w:rPr>
          <w:color w:val="000000"/>
          <w:sz w:val="28"/>
          <w:szCs w:val="28"/>
        </w:rPr>
        <w:t>).</w:t>
      </w:r>
      <w:r w:rsidR="00920AC7">
        <w:rPr>
          <w:color w:val="000000"/>
          <w:sz w:val="28"/>
          <w:szCs w:val="28"/>
        </w:rPr>
        <w:t xml:space="preserve"> </w:t>
      </w:r>
    </w:p>
    <w:p w14:paraId="48801C6F" w14:textId="77777777" w:rsidR="00D078F6" w:rsidRDefault="009A5D77" w:rsidP="000B0FF0">
      <w:pPr>
        <w:spacing w:after="12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194649B6" wp14:editId="7242026F">
            <wp:extent cx="5940002" cy="3200823"/>
            <wp:effectExtent l="0" t="0" r="2921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CFACBB" w14:textId="77777777" w:rsidR="000B0FF0" w:rsidRDefault="00017E04" w:rsidP="000B0FF0">
      <w:pPr>
        <w:pStyle w:val="ListParagraph"/>
        <w:spacing w:after="100" w:afterAutospacing="1" w:line="360" w:lineRule="auto"/>
        <w:ind w:left="0" w:right="-99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Рисунок 1</w:t>
      </w:r>
      <w:r w:rsidR="000B0FF0" w:rsidRPr="000B0FF0">
        <w:rPr>
          <w:rFonts w:ascii="Times New Roman" w:hAnsi="Times New Roman"/>
          <w:b/>
          <w:color w:val="000000"/>
          <w:sz w:val="28"/>
          <w:szCs w:val="28"/>
        </w:rPr>
        <w:t>. Темпы прироста ВВП и потребления энергии 1980-2011 гг., %</w:t>
      </w:r>
    </w:p>
    <w:p w14:paraId="3B227D0B" w14:textId="77777777" w:rsidR="000B0FF0" w:rsidRDefault="000B0FF0" w:rsidP="000B0FF0">
      <w:pPr>
        <w:pStyle w:val="ListParagraph"/>
        <w:spacing w:after="100" w:afterAutospacing="1" w:line="360" w:lineRule="auto"/>
        <w:ind w:left="0" w:right="-99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B0FF0">
        <w:rPr>
          <w:rFonts w:ascii="Times New Roman" w:hAnsi="Times New Roman"/>
          <w:i/>
          <w:color w:val="000000"/>
          <w:sz w:val="28"/>
          <w:szCs w:val="28"/>
        </w:rPr>
        <w:t>Источник: Государственное статистическое управление КНР, Всемирный Банк</w:t>
      </w:r>
    </w:p>
    <w:p w14:paraId="3523D342" w14:textId="71C98A02" w:rsidR="002E74EC" w:rsidRDefault="002E74EC" w:rsidP="002E74EC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AA0629">
        <w:rPr>
          <w:color w:val="000000"/>
          <w:sz w:val="28"/>
          <w:szCs w:val="28"/>
        </w:rPr>
        <w:t>Энергетическая структура Китая в 2012 году выглядела следующим образом: 70% - уголь, 20% - нефть, 4% - газ, 6% - все остальное, включая ядерную энергию и альтернативные источники.</w:t>
      </w:r>
      <w:r>
        <w:rPr>
          <w:color w:val="000000"/>
          <w:sz w:val="28"/>
          <w:szCs w:val="28"/>
        </w:rPr>
        <w:t xml:space="preserve"> Такое соотношение видов топлива в первичном потреблении не меняется уже н</w:t>
      </w:r>
      <w:r w:rsidR="00017E04">
        <w:rPr>
          <w:color w:val="000000"/>
          <w:sz w:val="28"/>
          <w:szCs w:val="28"/>
        </w:rPr>
        <w:t>есколько десятилетий (см. Рис. 2</w:t>
      </w:r>
      <w:r>
        <w:rPr>
          <w:color w:val="000000"/>
          <w:sz w:val="28"/>
          <w:szCs w:val="28"/>
        </w:rPr>
        <w:t>)</w:t>
      </w:r>
      <w:r w:rsidR="00CD54E1">
        <w:rPr>
          <w:color w:val="000000"/>
          <w:sz w:val="28"/>
          <w:szCs w:val="28"/>
        </w:rPr>
        <w:t xml:space="preserve"> и вызывает опасения как самого Китая, так и </w:t>
      </w:r>
      <w:r w:rsidR="004C5689">
        <w:rPr>
          <w:color w:val="000000"/>
          <w:sz w:val="28"/>
          <w:szCs w:val="28"/>
        </w:rPr>
        <w:t>всего мирового сообщества</w:t>
      </w:r>
      <w:r>
        <w:rPr>
          <w:color w:val="000000"/>
          <w:sz w:val="28"/>
          <w:szCs w:val="28"/>
        </w:rPr>
        <w:t xml:space="preserve">. </w:t>
      </w:r>
    </w:p>
    <w:p w14:paraId="5C86593A" w14:textId="459D0547" w:rsidR="00D216C7" w:rsidRPr="00507ED0" w:rsidRDefault="00D216C7" w:rsidP="00507E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Подобное соотношение видов топлива не типично для большинства стран и мира в целом, где в первичном потреблении энергии преобладает нефть, а уголь в среднем составляет 27%</w:t>
      </w:r>
      <w:r>
        <w:rPr>
          <w:rStyle w:val="FootnoteReference"/>
          <w:color w:val="000000"/>
          <w:sz w:val="28"/>
          <w:szCs w:val="28"/>
        </w:rPr>
        <w:footnoteReference w:id="15"/>
      </w:r>
      <w:r>
        <w:rPr>
          <w:color w:val="000000"/>
          <w:sz w:val="28"/>
          <w:szCs w:val="28"/>
        </w:rPr>
        <w:t xml:space="preserve">, однако обусловлено </w:t>
      </w:r>
      <w:r>
        <w:rPr>
          <w:color w:val="000000"/>
          <w:sz w:val="28"/>
          <w:szCs w:val="28"/>
        </w:rPr>
        <w:lastRenderedPageBreak/>
        <w:t>экономическими и стратегическими причинами, что будет проанализировано в последующих пунктах.</w:t>
      </w:r>
    </w:p>
    <w:p w14:paraId="3A6C50A9" w14:textId="77777777" w:rsidR="002E74EC" w:rsidRDefault="002E74EC" w:rsidP="002E74EC">
      <w:pPr>
        <w:spacing w:after="12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1CDE25EF" wp14:editId="0E357536">
            <wp:extent cx="5940002" cy="3200823"/>
            <wp:effectExtent l="0" t="0" r="2921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85F3A62" w14:textId="77777777" w:rsidR="002E74EC" w:rsidRPr="0060258D" w:rsidRDefault="00017E04" w:rsidP="002E74EC">
      <w:pPr>
        <w:spacing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Рисунок 2</w:t>
      </w:r>
      <w:r w:rsidR="002E74EC" w:rsidRPr="0060258D">
        <w:rPr>
          <w:b/>
          <w:sz w:val="28"/>
          <w:szCs w:val="28"/>
        </w:rPr>
        <w:t>. Структура первичного потребления энергии 1978-2011 гг., %</w:t>
      </w:r>
    </w:p>
    <w:p w14:paraId="284FBD63" w14:textId="77777777" w:rsidR="002E74EC" w:rsidRDefault="002E74EC" w:rsidP="001F3C6B">
      <w:pPr>
        <w:spacing w:after="120" w:line="360" w:lineRule="auto"/>
        <w:rPr>
          <w:i/>
          <w:sz w:val="28"/>
          <w:szCs w:val="28"/>
        </w:rPr>
      </w:pPr>
      <w:r w:rsidRPr="0060258D">
        <w:rPr>
          <w:i/>
          <w:sz w:val="28"/>
          <w:szCs w:val="28"/>
        </w:rPr>
        <w:t>Источник: Государственное статистическое управление КНР</w:t>
      </w:r>
    </w:p>
    <w:p w14:paraId="13006612" w14:textId="0985E018" w:rsidR="00881671" w:rsidRDefault="00017E04" w:rsidP="004124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Говоря о динамике относительных показателей, стоит отметить, что </w:t>
      </w:r>
      <w:r w:rsidR="00881671" w:rsidRPr="001F3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1990-х потребление энергии на душу населения выросло, а на 1000 долл. США </w:t>
      </w:r>
      <w:r w:rsidR="00741E9D">
        <w:rPr>
          <w:color w:val="000000"/>
          <w:sz w:val="28"/>
          <w:szCs w:val="28"/>
        </w:rPr>
        <w:t xml:space="preserve">ВВП – </w:t>
      </w:r>
      <w:r>
        <w:rPr>
          <w:color w:val="000000"/>
          <w:sz w:val="28"/>
          <w:szCs w:val="28"/>
        </w:rPr>
        <w:t>упало (см. Рис.</w:t>
      </w:r>
      <w:r w:rsidR="00B11A36">
        <w:rPr>
          <w:color w:val="000000"/>
          <w:sz w:val="28"/>
          <w:szCs w:val="28"/>
        </w:rPr>
        <w:t xml:space="preserve"> </w:t>
      </w:r>
      <w:r w:rsidR="0031191A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>.</w:t>
      </w:r>
      <w:r w:rsidR="00507ED0">
        <w:rPr>
          <w:color w:val="000000"/>
          <w:sz w:val="28"/>
          <w:szCs w:val="28"/>
        </w:rPr>
        <w:t xml:space="preserve"> Степень снижения потребления на ВВП выше, чем степень повышения </w:t>
      </w:r>
      <w:proofErr w:type="spellStart"/>
      <w:r w:rsidR="00507ED0">
        <w:rPr>
          <w:color w:val="000000"/>
          <w:sz w:val="28"/>
          <w:szCs w:val="28"/>
        </w:rPr>
        <w:t>подушевого</w:t>
      </w:r>
      <w:proofErr w:type="spellEnd"/>
      <w:r w:rsidR="00507ED0">
        <w:rPr>
          <w:color w:val="000000"/>
          <w:sz w:val="28"/>
          <w:szCs w:val="28"/>
        </w:rPr>
        <w:t xml:space="preserve"> – в 5 и 2,5 раза соответственно. </w:t>
      </w:r>
      <w:r>
        <w:rPr>
          <w:color w:val="000000"/>
          <w:sz w:val="28"/>
          <w:szCs w:val="28"/>
        </w:rPr>
        <w:t>Это свидетельствует</w:t>
      </w:r>
      <w:r w:rsidR="0066474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одной стороны</w:t>
      </w:r>
      <w:r w:rsidR="0066474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</w:t>
      </w:r>
      <w:r w:rsidR="0031191A">
        <w:rPr>
          <w:color w:val="000000"/>
          <w:sz w:val="28"/>
          <w:szCs w:val="28"/>
        </w:rPr>
        <w:t xml:space="preserve"> повышении эффективности использования ресурсов в промышленности</w:t>
      </w:r>
      <w:r w:rsidR="00664745">
        <w:rPr>
          <w:color w:val="000000"/>
          <w:sz w:val="28"/>
          <w:szCs w:val="28"/>
        </w:rPr>
        <w:t xml:space="preserve">, а с другой, </w:t>
      </w:r>
      <w:r w:rsidR="00B41B33">
        <w:rPr>
          <w:color w:val="000000"/>
          <w:sz w:val="28"/>
          <w:szCs w:val="28"/>
        </w:rPr>
        <w:t xml:space="preserve">о </w:t>
      </w:r>
      <w:r w:rsidR="00664745">
        <w:rPr>
          <w:color w:val="000000"/>
          <w:sz w:val="28"/>
          <w:szCs w:val="28"/>
        </w:rPr>
        <w:t>росте благосостояния населения и</w:t>
      </w:r>
      <w:r w:rsidR="00870FE8">
        <w:rPr>
          <w:color w:val="000000"/>
          <w:sz w:val="28"/>
          <w:szCs w:val="28"/>
        </w:rPr>
        <w:t>,</w:t>
      </w:r>
      <w:r w:rsidR="00664745">
        <w:rPr>
          <w:color w:val="000000"/>
          <w:sz w:val="28"/>
          <w:szCs w:val="28"/>
        </w:rPr>
        <w:t xml:space="preserve"> как следствие</w:t>
      </w:r>
      <w:r w:rsidR="00870FE8">
        <w:rPr>
          <w:color w:val="000000"/>
          <w:sz w:val="28"/>
          <w:szCs w:val="28"/>
        </w:rPr>
        <w:t>,</w:t>
      </w:r>
      <w:r w:rsidR="00664745">
        <w:rPr>
          <w:color w:val="000000"/>
          <w:sz w:val="28"/>
          <w:szCs w:val="28"/>
        </w:rPr>
        <w:t xml:space="preserve"> </w:t>
      </w:r>
      <w:r w:rsidR="00741E9D">
        <w:rPr>
          <w:color w:val="000000"/>
          <w:sz w:val="28"/>
          <w:szCs w:val="28"/>
        </w:rPr>
        <w:t xml:space="preserve">большей </w:t>
      </w:r>
      <w:r w:rsidR="00664745">
        <w:rPr>
          <w:color w:val="000000"/>
          <w:sz w:val="28"/>
          <w:szCs w:val="28"/>
        </w:rPr>
        <w:t>возможности</w:t>
      </w:r>
      <w:r w:rsidR="00741E9D">
        <w:rPr>
          <w:color w:val="000000"/>
          <w:sz w:val="28"/>
          <w:szCs w:val="28"/>
        </w:rPr>
        <w:t xml:space="preserve"> пользования электричеством, отоплением и газом, покупки автотранспорта и другого </w:t>
      </w:r>
      <w:proofErr w:type="spellStart"/>
      <w:r w:rsidR="00741E9D">
        <w:rPr>
          <w:color w:val="000000"/>
          <w:sz w:val="28"/>
          <w:szCs w:val="28"/>
        </w:rPr>
        <w:t>энергозатратного</w:t>
      </w:r>
      <w:proofErr w:type="spellEnd"/>
      <w:r w:rsidR="00741E9D">
        <w:rPr>
          <w:color w:val="000000"/>
          <w:sz w:val="28"/>
          <w:szCs w:val="28"/>
        </w:rPr>
        <w:t xml:space="preserve"> оборудования.</w:t>
      </w:r>
      <w:r w:rsidR="00FB3E96" w:rsidRPr="00FB3E96">
        <w:rPr>
          <w:color w:val="000000"/>
          <w:sz w:val="28"/>
          <w:szCs w:val="28"/>
        </w:rPr>
        <w:t xml:space="preserve"> </w:t>
      </w:r>
      <w:r w:rsidR="00FB3E96" w:rsidRPr="001F3C6B">
        <w:rPr>
          <w:color w:val="000000"/>
          <w:sz w:val="28"/>
          <w:szCs w:val="28"/>
        </w:rPr>
        <w:t xml:space="preserve">Снижение энергетической интенсивности в дальнейшем планируется проводиться за счет </w:t>
      </w:r>
      <w:r w:rsidR="00FB3E96">
        <w:rPr>
          <w:color w:val="000000"/>
          <w:sz w:val="28"/>
          <w:szCs w:val="28"/>
        </w:rPr>
        <w:t xml:space="preserve">либерализации рынка электроэнергии </w:t>
      </w:r>
      <w:r w:rsidR="00FB3E96" w:rsidRPr="001F3C6B">
        <w:rPr>
          <w:color w:val="000000"/>
          <w:sz w:val="28"/>
          <w:szCs w:val="28"/>
        </w:rPr>
        <w:t xml:space="preserve">и введении новых стандартов на </w:t>
      </w:r>
      <w:r w:rsidR="00FB3E96">
        <w:rPr>
          <w:color w:val="000000"/>
          <w:sz w:val="28"/>
          <w:szCs w:val="28"/>
        </w:rPr>
        <w:t>технику</w:t>
      </w:r>
      <w:r w:rsidR="00FB3E96" w:rsidRPr="001F3C6B">
        <w:rPr>
          <w:color w:val="000000"/>
          <w:sz w:val="28"/>
          <w:szCs w:val="28"/>
        </w:rPr>
        <w:t>.</w:t>
      </w:r>
    </w:p>
    <w:p w14:paraId="0551B6A3" w14:textId="19C3C69A" w:rsidR="00507ED0" w:rsidRPr="00507ED0" w:rsidRDefault="00507ED0" w:rsidP="00507ED0">
      <w:pPr>
        <w:spacing w:after="120" w:line="360" w:lineRule="auto"/>
        <w:ind w:firstLine="709"/>
        <w:jc w:val="both"/>
        <w:rPr>
          <w:sz w:val="28"/>
          <w:szCs w:val="28"/>
        </w:rPr>
      </w:pPr>
      <w:r w:rsidRPr="00374476">
        <w:rPr>
          <w:color w:val="000000"/>
          <w:sz w:val="28"/>
          <w:szCs w:val="28"/>
        </w:rPr>
        <w:t xml:space="preserve">Исследователи отмечают, что </w:t>
      </w:r>
      <w:r>
        <w:rPr>
          <w:color w:val="000000"/>
          <w:sz w:val="28"/>
          <w:szCs w:val="28"/>
        </w:rPr>
        <w:t xml:space="preserve">потребление сырьевых товаров на душу населения в Китае сравнимо с уровнем Японии, </w:t>
      </w:r>
      <w:r w:rsidRPr="00374476">
        <w:rPr>
          <w:color w:val="000000"/>
          <w:sz w:val="28"/>
          <w:szCs w:val="28"/>
        </w:rPr>
        <w:t xml:space="preserve">Тайваня и Южной Кореи в </w:t>
      </w:r>
      <w:r w:rsidRPr="00374476">
        <w:rPr>
          <w:color w:val="000000"/>
          <w:sz w:val="28"/>
          <w:szCs w:val="28"/>
        </w:rPr>
        <w:lastRenderedPageBreak/>
        <w:t>19</w:t>
      </w:r>
      <w:r>
        <w:rPr>
          <w:color w:val="000000"/>
          <w:sz w:val="28"/>
          <w:szCs w:val="28"/>
        </w:rPr>
        <w:t>80-</w:t>
      </w:r>
      <w:r w:rsidRPr="00374476">
        <w:rPr>
          <w:color w:val="000000"/>
          <w:sz w:val="28"/>
          <w:szCs w:val="28"/>
        </w:rPr>
        <w:t xml:space="preserve">90 </w:t>
      </w:r>
      <w:r>
        <w:rPr>
          <w:color w:val="000000"/>
          <w:sz w:val="28"/>
          <w:szCs w:val="28"/>
        </w:rPr>
        <w:t>г</w:t>
      </w:r>
      <w:r w:rsidRPr="00374476">
        <w:rPr>
          <w:color w:val="000000"/>
          <w:sz w:val="28"/>
          <w:szCs w:val="28"/>
        </w:rPr>
        <w:t xml:space="preserve">г., причем по отдельным группам </w:t>
      </w:r>
      <w:r>
        <w:rPr>
          <w:color w:val="000000"/>
          <w:sz w:val="28"/>
          <w:szCs w:val="28"/>
        </w:rPr>
        <w:t xml:space="preserve">товаров </w:t>
      </w:r>
      <w:r w:rsidRPr="00374476">
        <w:rPr>
          <w:color w:val="000000"/>
          <w:sz w:val="28"/>
          <w:szCs w:val="28"/>
        </w:rPr>
        <w:t>эффективность использования выше</w:t>
      </w:r>
      <w:r>
        <w:rPr>
          <w:rStyle w:val="FootnoteReference"/>
          <w:color w:val="000000"/>
          <w:sz w:val="28"/>
          <w:szCs w:val="28"/>
        </w:rPr>
        <w:footnoteReference w:id="16"/>
      </w:r>
      <w:r w:rsidRPr="00374476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Уже сейчас п</w:t>
      </w:r>
      <w:r w:rsidRPr="001F3C6B">
        <w:rPr>
          <w:color w:val="000000"/>
          <w:sz w:val="28"/>
          <w:szCs w:val="28"/>
        </w:rPr>
        <w:t xml:space="preserve">отребление многих сырьевых товаров в Китае </w:t>
      </w:r>
      <w:r>
        <w:rPr>
          <w:color w:val="000000"/>
          <w:sz w:val="28"/>
          <w:szCs w:val="28"/>
        </w:rPr>
        <w:t>близко к пику, однако интенсивность растет, например, для алюминия</w:t>
      </w:r>
      <w:r w:rsidRPr="001F3C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стали, никеля</w:t>
      </w:r>
      <w:r w:rsidRPr="001F3C6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</w:t>
      </w:r>
      <w:r w:rsidRPr="001F3C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природного</w:t>
      </w:r>
      <w:r w:rsidRPr="001F3C6B">
        <w:rPr>
          <w:color w:val="000000"/>
          <w:sz w:val="28"/>
          <w:szCs w:val="28"/>
        </w:rPr>
        <w:t xml:space="preserve"> газ</w:t>
      </w:r>
      <w:r>
        <w:rPr>
          <w:color w:val="000000"/>
          <w:sz w:val="28"/>
          <w:szCs w:val="28"/>
        </w:rPr>
        <w:t>а.</w:t>
      </w:r>
    </w:p>
    <w:p w14:paraId="0A19C71C" w14:textId="77777777" w:rsidR="005A781C" w:rsidRPr="00AA0629" w:rsidRDefault="005A781C" w:rsidP="005A781C">
      <w:pPr>
        <w:pStyle w:val="ListParagraph"/>
        <w:spacing w:after="120" w:line="360" w:lineRule="auto"/>
        <w:ind w:left="0" w:right="-9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7784EBB3" wp14:editId="0FDB50EF">
            <wp:extent cx="5825702" cy="2480945"/>
            <wp:effectExtent l="0" t="0" r="16510" b="3365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9F83D3D" w14:textId="240D71F3" w:rsidR="005A781C" w:rsidRPr="007C001D" w:rsidRDefault="005A781C" w:rsidP="005A781C">
      <w:pPr>
        <w:spacing w:after="120" w:line="360" w:lineRule="auto"/>
        <w:rPr>
          <w:b/>
          <w:color w:val="000000"/>
          <w:sz w:val="28"/>
          <w:szCs w:val="28"/>
        </w:rPr>
      </w:pPr>
      <w:r w:rsidRPr="007C001D">
        <w:rPr>
          <w:b/>
          <w:color w:val="000000"/>
          <w:sz w:val="28"/>
          <w:szCs w:val="28"/>
        </w:rPr>
        <w:t xml:space="preserve">Рисунок 3. Потребление энергии </w:t>
      </w:r>
      <w:r w:rsidR="000A7E65">
        <w:rPr>
          <w:b/>
          <w:color w:val="000000"/>
          <w:sz w:val="28"/>
          <w:szCs w:val="28"/>
        </w:rPr>
        <w:t>в тоннах угольного эквивалента (</w:t>
      </w:r>
      <w:proofErr w:type="spellStart"/>
      <w:r w:rsidR="000A7E65">
        <w:rPr>
          <w:b/>
          <w:color w:val="000000"/>
          <w:sz w:val="28"/>
          <w:szCs w:val="28"/>
        </w:rPr>
        <w:t>туэ</w:t>
      </w:r>
      <w:proofErr w:type="spellEnd"/>
      <w:r w:rsidR="000A7E65">
        <w:rPr>
          <w:b/>
          <w:color w:val="000000"/>
          <w:sz w:val="28"/>
          <w:szCs w:val="28"/>
        </w:rPr>
        <w:t xml:space="preserve">) </w:t>
      </w:r>
      <w:r w:rsidRPr="007C001D">
        <w:rPr>
          <w:b/>
          <w:color w:val="000000"/>
          <w:sz w:val="28"/>
          <w:szCs w:val="28"/>
        </w:rPr>
        <w:t xml:space="preserve">на душу населения и на </w:t>
      </w:r>
      <w:r w:rsidRPr="003F0512">
        <w:rPr>
          <w:b/>
          <w:color w:val="000000"/>
          <w:sz w:val="28"/>
          <w:szCs w:val="28"/>
        </w:rPr>
        <w:t xml:space="preserve">$1000 </w:t>
      </w:r>
      <w:r w:rsidR="000A7E65">
        <w:rPr>
          <w:b/>
          <w:color w:val="000000"/>
          <w:sz w:val="28"/>
          <w:szCs w:val="28"/>
        </w:rPr>
        <w:t>ВВП</w:t>
      </w:r>
      <w:r w:rsidRPr="007C001D">
        <w:rPr>
          <w:b/>
          <w:color w:val="000000"/>
          <w:sz w:val="28"/>
          <w:szCs w:val="28"/>
        </w:rPr>
        <w:t xml:space="preserve"> </w:t>
      </w:r>
    </w:p>
    <w:p w14:paraId="63520C3F" w14:textId="617EF4E0" w:rsidR="005A781C" w:rsidRPr="00881CAA" w:rsidRDefault="005A781C" w:rsidP="005A781C">
      <w:pPr>
        <w:spacing w:after="120" w:line="360" w:lineRule="auto"/>
        <w:rPr>
          <w:i/>
          <w:color w:val="000000"/>
          <w:sz w:val="28"/>
          <w:szCs w:val="28"/>
        </w:rPr>
      </w:pPr>
      <w:r w:rsidRPr="007C001D">
        <w:rPr>
          <w:i/>
          <w:color w:val="000000"/>
          <w:sz w:val="28"/>
          <w:szCs w:val="28"/>
        </w:rPr>
        <w:t xml:space="preserve">Источник: </w:t>
      </w:r>
      <w:r w:rsidRPr="007C001D">
        <w:rPr>
          <w:i/>
          <w:color w:val="000000"/>
          <w:sz w:val="28"/>
          <w:szCs w:val="28"/>
          <w:lang w:val="en-US"/>
        </w:rPr>
        <w:t>UN</w:t>
      </w:r>
      <w:r w:rsidRPr="003F0512">
        <w:rPr>
          <w:i/>
          <w:color w:val="000000"/>
          <w:sz w:val="28"/>
          <w:szCs w:val="28"/>
        </w:rPr>
        <w:t xml:space="preserve"> </w:t>
      </w:r>
      <w:r w:rsidRPr="007C001D">
        <w:rPr>
          <w:i/>
          <w:color w:val="000000"/>
          <w:sz w:val="28"/>
          <w:szCs w:val="28"/>
          <w:lang w:val="en-US"/>
        </w:rPr>
        <w:t>Data</w:t>
      </w:r>
      <w:r w:rsidR="00881CAA">
        <w:rPr>
          <w:i/>
          <w:color w:val="000000"/>
          <w:sz w:val="28"/>
          <w:szCs w:val="28"/>
          <w:lang w:val="en-US"/>
        </w:rPr>
        <w:t xml:space="preserve">,  </w:t>
      </w:r>
      <w:r w:rsidR="00881CAA">
        <w:rPr>
          <w:i/>
          <w:color w:val="000000"/>
          <w:sz w:val="28"/>
          <w:szCs w:val="28"/>
        </w:rPr>
        <w:t>Государственное статистическое управление КНР, собственные расчеты</w:t>
      </w:r>
    </w:p>
    <w:p w14:paraId="48EE80E8" w14:textId="78580069" w:rsidR="00124186" w:rsidRPr="00412491" w:rsidRDefault="00D579C2" w:rsidP="00412491">
      <w:pPr>
        <w:spacing w:after="120" w:line="360" w:lineRule="auto"/>
        <w:ind w:firstLine="709"/>
        <w:jc w:val="both"/>
        <w:rPr>
          <w:color w:val="000000"/>
          <w:sz w:val="28"/>
          <w:szCs w:val="28"/>
          <w:lang w:eastAsia="zh-TW"/>
        </w:rPr>
      </w:pPr>
      <w:r>
        <w:rPr>
          <w:sz w:val="28"/>
          <w:szCs w:val="28"/>
        </w:rPr>
        <w:t>В период 2007-2011</w:t>
      </w:r>
      <w:r w:rsidR="00A94614">
        <w:rPr>
          <w:sz w:val="28"/>
          <w:szCs w:val="28"/>
        </w:rPr>
        <w:t xml:space="preserve"> гг. </w:t>
      </w:r>
      <w:r>
        <w:rPr>
          <w:sz w:val="28"/>
          <w:szCs w:val="28"/>
        </w:rPr>
        <w:t>импорт</w:t>
      </w:r>
      <w:r w:rsidR="00A94614">
        <w:rPr>
          <w:sz w:val="28"/>
          <w:szCs w:val="28"/>
        </w:rPr>
        <w:t xml:space="preserve"> полезных</w:t>
      </w:r>
      <w:r w:rsidR="00124186">
        <w:rPr>
          <w:sz w:val="28"/>
          <w:szCs w:val="28"/>
        </w:rPr>
        <w:t xml:space="preserve"> ископаемых</w:t>
      </w:r>
      <w:r>
        <w:rPr>
          <w:sz w:val="28"/>
          <w:szCs w:val="28"/>
        </w:rPr>
        <w:t xml:space="preserve"> (топливных источников, металлов и сопутствующих материалов)</w:t>
      </w:r>
      <w:r w:rsidR="00124186">
        <w:rPr>
          <w:sz w:val="28"/>
          <w:szCs w:val="28"/>
        </w:rPr>
        <w:t xml:space="preserve"> для Китая составл</w:t>
      </w:r>
      <w:r w:rsidR="00124186">
        <w:rPr>
          <w:sz w:val="28"/>
          <w:szCs w:val="28"/>
          <w:lang w:eastAsia="zh-TW"/>
        </w:rPr>
        <w:t>ял</w:t>
      </w:r>
      <w:r>
        <w:rPr>
          <w:sz w:val="28"/>
          <w:szCs w:val="28"/>
        </w:rPr>
        <w:t xml:space="preserve"> 11-1</w:t>
      </w:r>
      <w:r w:rsidR="00A94614">
        <w:rPr>
          <w:sz w:val="28"/>
          <w:szCs w:val="28"/>
        </w:rPr>
        <w:t xml:space="preserve">6% от суммарного </w:t>
      </w:r>
      <w:r>
        <w:rPr>
          <w:sz w:val="28"/>
          <w:szCs w:val="28"/>
        </w:rPr>
        <w:t>импорта</w:t>
      </w:r>
      <w:r w:rsidR="00124186">
        <w:rPr>
          <w:sz w:val="28"/>
          <w:szCs w:val="28"/>
        </w:rPr>
        <w:t xml:space="preserve"> (см. Рис</w:t>
      </w:r>
      <w:r w:rsidR="00A94614">
        <w:rPr>
          <w:sz w:val="28"/>
          <w:szCs w:val="28"/>
        </w:rPr>
        <w:t>.</w:t>
      </w:r>
      <w:r w:rsidR="00B11A36">
        <w:rPr>
          <w:sz w:val="28"/>
          <w:szCs w:val="28"/>
        </w:rPr>
        <w:t xml:space="preserve"> </w:t>
      </w:r>
      <w:r w:rsidR="00124186">
        <w:rPr>
          <w:sz w:val="28"/>
          <w:szCs w:val="28"/>
        </w:rPr>
        <w:t>4).</w:t>
      </w:r>
      <w:r w:rsidR="00AA6AC3">
        <w:rPr>
          <w:sz w:val="28"/>
          <w:szCs w:val="28"/>
        </w:rPr>
        <w:t xml:space="preserve"> Пос</w:t>
      </w:r>
      <w:r>
        <w:rPr>
          <w:sz w:val="28"/>
          <w:szCs w:val="28"/>
        </w:rPr>
        <w:t>ле падения в кризисном 2009 г.</w:t>
      </w:r>
      <w:r w:rsidR="00AA6AC3">
        <w:rPr>
          <w:sz w:val="28"/>
          <w:szCs w:val="28"/>
        </w:rPr>
        <w:t xml:space="preserve"> </w:t>
      </w:r>
      <w:r>
        <w:rPr>
          <w:sz w:val="28"/>
          <w:szCs w:val="28"/>
        </w:rPr>
        <w:t>импорт</w:t>
      </w:r>
      <w:r w:rsidR="00AA6AC3">
        <w:rPr>
          <w:sz w:val="28"/>
          <w:szCs w:val="28"/>
        </w:rPr>
        <w:t xml:space="preserve"> полезных ископаемых, как и вся экономика Китая, быстро восстановился</w:t>
      </w:r>
      <w:r w:rsidR="00507ED0">
        <w:rPr>
          <w:sz w:val="28"/>
          <w:szCs w:val="28"/>
        </w:rPr>
        <w:t xml:space="preserve"> и продолжает расти</w:t>
      </w:r>
      <w:r w:rsidR="00AA6AC3">
        <w:rPr>
          <w:sz w:val="28"/>
          <w:szCs w:val="28"/>
        </w:rPr>
        <w:t>.</w:t>
      </w:r>
      <w:r w:rsidR="00507ED0">
        <w:rPr>
          <w:sz w:val="28"/>
          <w:szCs w:val="28"/>
        </w:rPr>
        <w:t xml:space="preserve"> </w:t>
      </w:r>
      <w:r w:rsidR="00C67EA9">
        <w:rPr>
          <w:sz w:val="28"/>
          <w:szCs w:val="28"/>
        </w:rPr>
        <w:t>Растущие потребности Китая в энергетическом сырье привели к тому, что з</w:t>
      </w:r>
      <w:r w:rsidR="00F02DA9">
        <w:rPr>
          <w:sz w:val="28"/>
          <w:szCs w:val="28"/>
        </w:rPr>
        <w:t xml:space="preserve">а последние 10 лет </w:t>
      </w:r>
      <w:r w:rsidR="00C67EA9">
        <w:rPr>
          <w:sz w:val="28"/>
          <w:szCs w:val="28"/>
        </w:rPr>
        <w:t>доля топлива и металлов в суммарном имп</w:t>
      </w:r>
      <w:r w:rsidR="00F02DA9">
        <w:rPr>
          <w:sz w:val="28"/>
          <w:szCs w:val="28"/>
        </w:rPr>
        <w:t>о</w:t>
      </w:r>
      <w:r w:rsidR="00C67EA9">
        <w:rPr>
          <w:sz w:val="28"/>
          <w:szCs w:val="28"/>
        </w:rPr>
        <w:t>рте</w:t>
      </w:r>
      <w:r w:rsidR="00F02DA9">
        <w:rPr>
          <w:sz w:val="28"/>
          <w:szCs w:val="28"/>
        </w:rPr>
        <w:t xml:space="preserve"> выросла более чем в </w:t>
      </w:r>
      <w:r w:rsidR="00387ACA">
        <w:rPr>
          <w:sz w:val="28"/>
          <w:szCs w:val="28"/>
        </w:rPr>
        <w:t>6,5 до 16%.</w:t>
      </w:r>
    </w:p>
    <w:p w14:paraId="00D42637" w14:textId="77777777" w:rsidR="00124186" w:rsidRDefault="00124186" w:rsidP="00AA6AC3">
      <w:pPr>
        <w:spacing w:after="12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2F3F38AB" wp14:editId="6B4E360B">
            <wp:extent cx="5939790" cy="2743623"/>
            <wp:effectExtent l="0" t="0" r="29210" b="2540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5CACEF7" w14:textId="56426DEE" w:rsidR="00A94614" w:rsidRPr="00AA6AC3" w:rsidRDefault="00AA6AC3" w:rsidP="00AA6AC3">
      <w:pPr>
        <w:spacing w:after="120" w:line="360" w:lineRule="auto"/>
        <w:jc w:val="both"/>
        <w:rPr>
          <w:b/>
          <w:sz w:val="28"/>
          <w:szCs w:val="28"/>
        </w:rPr>
      </w:pPr>
      <w:r w:rsidRPr="00AA6AC3">
        <w:rPr>
          <w:b/>
          <w:sz w:val="28"/>
          <w:szCs w:val="28"/>
        </w:rPr>
        <w:t xml:space="preserve">Рисунок 4. </w:t>
      </w:r>
      <w:r w:rsidR="00387ACA">
        <w:rPr>
          <w:b/>
          <w:sz w:val="28"/>
          <w:szCs w:val="28"/>
        </w:rPr>
        <w:t>Импорт</w:t>
      </w:r>
      <w:r w:rsidRPr="00AA6AC3">
        <w:rPr>
          <w:b/>
          <w:sz w:val="28"/>
          <w:szCs w:val="28"/>
        </w:rPr>
        <w:t xml:space="preserve"> полезных ископаемых и его доля в </w:t>
      </w:r>
      <w:r w:rsidR="00387ACA">
        <w:rPr>
          <w:b/>
          <w:sz w:val="28"/>
          <w:szCs w:val="28"/>
        </w:rPr>
        <w:t>импорте Китая</w:t>
      </w:r>
      <w:r w:rsidRPr="00AA6AC3">
        <w:rPr>
          <w:b/>
          <w:sz w:val="28"/>
          <w:szCs w:val="28"/>
        </w:rPr>
        <w:t>, млрд. долл. и % соответственно</w:t>
      </w:r>
    </w:p>
    <w:p w14:paraId="3072C268" w14:textId="0E9A527A" w:rsidR="00AA6AC3" w:rsidRPr="00AA6AC3" w:rsidRDefault="00AA6AC3" w:rsidP="00AA6AC3">
      <w:pPr>
        <w:spacing w:after="120" w:line="360" w:lineRule="auto"/>
        <w:jc w:val="both"/>
        <w:rPr>
          <w:i/>
          <w:sz w:val="28"/>
          <w:szCs w:val="28"/>
        </w:rPr>
      </w:pPr>
      <w:r w:rsidRPr="00AA6AC3">
        <w:rPr>
          <w:i/>
          <w:sz w:val="28"/>
          <w:szCs w:val="28"/>
        </w:rPr>
        <w:t xml:space="preserve">Источник: </w:t>
      </w:r>
      <w:r w:rsidR="00387ACA" w:rsidRPr="00B11A36">
        <w:rPr>
          <w:i/>
          <w:color w:val="000000"/>
          <w:sz w:val="28"/>
          <w:szCs w:val="28"/>
        </w:rPr>
        <w:t>Государственное статистическое управление КНР</w:t>
      </w:r>
    </w:p>
    <w:p w14:paraId="2E920713" w14:textId="3836A9E6" w:rsidR="001F3C6B" w:rsidRDefault="001F3C6B" w:rsidP="001F3C6B">
      <w:pPr>
        <w:spacing w:after="120" w:line="360" w:lineRule="auto"/>
        <w:ind w:firstLine="709"/>
        <w:jc w:val="both"/>
        <w:rPr>
          <w:sz w:val="28"/>
          <w:szCs w:val="28"/>
        </w:rPr>
      </w:pPr>
      <w:r w:rsidRPr="00AA0629">
        <w:rPr>
          <w:sz w:val="28"/>
          <w:szCs w:val="28"/>
        </w:rPr>
        <w:t>Китай</w:t>
      </w:r>
      <w:r>
        <w:rPr>
          <w:sz w:val="28"/>
          <w:szCs w:val="28"/>
        </w:rPr>
        <w:t xml:space="preserve"> – чистый импортер</w:t>
      </w:r>
      <w:r w:rsidRPr="00AA0629">
        <w:rPr>
          <w:sz w:val="28"/>
          <w:szCs w:val="28"/>
        </w:rPr>
        <w:t xml:space="preserve"> топливных ресурсов. За последние 10 лет расходы на импорт </w:t>
      </w:r>
      <w:r>
        <w:rPr>
          <w:sz w:val="28"/>
          <w:szCs w:val="28"/>
        </w:rPr>
        <w:t xml:space="preserve">различных источников энергии выросли в 2,5 раза, составив </w:t>
      </w:r>
      <w:r w:rsidRPr="00AA0629">
        <w:rPr>
          <w:sz w:val="28"/>
          <w:szCs w:val="28"/>
        </w:rPr>
        <w:t xml:space="preserve">154 млрд. долл. США </w:t>
      </w:r>
      <w:r>
        <w:rPr>
          <w:sz w:val="28"/>
          <w:szCs w:val="28"/>
        </w:rPr>
        <w:t xml:space="preserve">в </w:t>
      </w:r>
      <w:r w:rsidRPr="00AA0629">
        <w:rPr>
          <w:sz w:val="28"/>
          <w:szCs w:val="28"/>
        </w:rPr>
        <w:t>2010</w:t>
      </w:r>
      <w:r w:rsidR="00FC06FB">
        <w:rPr>
          <w:rStyle w:val="FootnoteReference"/>
          <w:sz w:val="28"/>
          <w:szCs w:val="28"/>
        </w:rPr>
        <w:footnoteReference w:id="17"/>
      </w:r>
      <w:r w:rsidRPr="00AA0629">
        <w:rPr>
          <w:sz w:val="28"/>
          <w:szCs w:val="28"/>
        </w:rPr>
        <w:t>.</w:t>
      </w:r>
      <w:r>
        <w:rPr>
          <w:sz w:val="28"/>
          <w:szCs w:val="28"/>
        </w:rPr>
        <w:t xml:space="preserve"> На мировом рынке Китаем покупаются прежде всего нефть и газ. Согласно топливно-энергетическому балансу в 2010 году (см. Приложения, Табл. 1) Китай импортировал более 70% потребляемой нефти и около 20% – газа. Основными поставщиками нефти для Китая являются Саудовская Аравия, Иран, Россия, а газа – Австралия, Индонезия, Туркменистан.</w:t>
      </w:r>
    </w:p>
    <w:p w14:paraId="33261EDF" w14:textId="56471439" w:rsidR="001F3C6B" w:rsidRDefault="001F3C6B" w:rsidP="001F3C6B">
      <w:pPr>
        <w:spacing w:after="120" w:line="360" w:lineRule="auto"/>
        <w:ind w:firstLine="709"/>
        <w:jc w:val="both"/>
        <w:rPr>
          <w:sz w:val="28"/>
          <w:szCs w:val="28"/>
        </w:rPr>
      </w:pPr>
      <w:r w:rsidRPr="00AA0629">
        <w:rPr>
          <w:sz w:val="28"/>
          <w:szCs w:val="28"/>
        </w:rPr>
        <w:t>Правительство Китая предпринимает попытки снизить зависимость от импорта</w:t>
      </w:r>
      <w:r>
        <w:rPr>
          <w:sz w:val="28"/>
          <w:szCs w:val="28"/>
        </w:rPr>
        <w:t xml:space="preserve"> топливных ресурсов</w:t>
      </w:r>
      <w:r w:rsidRPr="00AA0629">
        <w:rPr>
          <w:sz w:val="28"/>
          <w:szCs w:val="28"/>
        </w:rPr>
        <w:t xml:space="preserve">. </w:t>
      </w:r>
      <w:r>
        <w:rPr>
          <w:sz w:val="28"/>
          <w:szCs w:val="28"/>
        </w:rPr>
        <w:t>Например, реализуется</w:t>
      </w:r>
      <w:r w:rsidRPr="00AA0629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 xml:space="preserve">освоения </w:t>
      </w:r>
      <w:r w:rsidRPr="00AA0629">
        <w:rPr>
          <w:sz w:val="28"/>
          <w:szCs w:val="28"/>
        </w:rPr>
        <w:t>сланцево</w:t>
      </w:r>
      <w:r w:rsidR="00A843CD">
        <w:rPr>
          <w:sz w:val="28"/>
          <w:szCs w:val="28"/>
        </w:rPr>
        <w:t>го газа, согласно которой к 2020</w:t>
      </w:r>
      <w:r w:rsidRPr="00AA0629">
        <w:rPr>
          <w:sz w:val="28"/>
          <w:szCs w:val="28"/>
        </w:rPr>
        <w:t xml:space="preserve"> году его добыча должна </w:t>
      </w:r>
      <w:r>
        <w:rPr>
          <w:sz w:val="28"/>
          <w:szCs w:val="28"/>
        </w:rPr>
        <w:t>составить</w:t>
      </w:r>
      <w:r w:rsidRPr="00AA0629">
        <w:rPr>
          <w:sz w:val="28"/>
          <w:szCs w:val="28"/>
        </w:rPr>
        <w:t xml:space="preserve"> </w:t>
      </w:r>
      <w:r w:rsidR="00A843CD">
        <w:rPr>
          <w:sz w:val="28"/>
          <w:szCs w:val="28"/>
        </w:rPr>
        <w:t xml:space="preserve">60-100 </w:t>
      </w:r>
      <w:r>
        <w:rPr>
          <w:sz w:val="28"/>
          <w:szCs w:val="28"/>
        </w:rPr>
        <w:t>м</w:t>
      </w:r>
      <w:r w:rsidRPr="00AA0629">
        <w:rPr>
          <w:sz w:val="28"/>
          <w:szCs w:val="28"/>
        </w:rPr>
        <w:t>л</w:t>
      </w:r>
      <w:r>
        <w:rPr>
          <w:sz w:val="28"/>
          <w:szCs w:val="28"/>
        </w:rPr>
        <w:t xml:space="preserve">рд. </w:t>
      </w:r>
      <w:r w:rsidR="00FC06FB">
        <w:rPr>
          <w:sz w:val="28"/>
          <w:szCs w:val="28"/>
        </w:rPr>
        <w:t>кубометров</w:t>
      </w:r>
      <w:r w:rsidR="00387ACA">
        <w:rPr>
          <w:rStyle w:val="FootnoteReference"/>
          <w:sz w:val="28"/>
          <w:szCs w:val="28"/>
        </w:rPr>
        <w:footnoteReference w:id="18"/>
      </w:r>
      <w:r w:rsidR="00387ACA">
        <w:rPr>
          <w:sz w:val="28"/>
          <w:szCs w:val="28"/>
        </w:rPr>
        <w:t xml:space="preserve">. </w:t>
      </w:r>
      <w:r w:rsidRPr="00AA0629">
        <w:rPr>
          <w:sz w:val="28"/>
          <w:szCs w:val="28"/>
        </w:rPr>
        <w:t>С той же целью создаются новые технологии в сфере добычи угля</w:t>
      </w:r>
      <w:r>
        <w:rPr>
          <w:sz w:val="28"/>
          <w:szCs w:val="28"/>
        </w:rPr>
        <w:t>, которые позволят сохранить долю угля в суммарном потреблении и снизить при этом выбросы.</w:t>
      </w:r>
    </w:p>
    <w:p w14:paraId="587B28FA" w14:textId="6F4033DF" w:rsidR="00412491" w:rsidRDefault="00D31C9E" w:rsidP="00343EE3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</w:rPr>
        <w:lastRenderedPageBreak/>
        <w:t xml:space="preserve">Китай принимает участие в нескольких международных </w:t>
      </w:r>
      <w:r w:rsidR="00F21315">
        <w:rPr>
          <w:sz w:val="28"/>
          <w:szCs w:val="28"/>
        </w:rPr>
        <w:t xml:space="preserve">энергетических </w:t>
      </w:r>
      <w:r>
        <w:rPr>
          <w:sz w:val="28"/>
          <w:szCs w:val="28"/>
        </w:rPr>
        <w:t xml:space="preserve">проектах. </w:t>
      </w:r>
      <w:r w:rsidR="00F21315">
        <w:rPr>
          <w:sz w:val="28"/>
          <w:szCs w:val="28"/>
        </w:rPr>
        <w:t xml:space="preserve">Главным направлением сейчас является осуществление прямых инвестиций в Африку. Например, Китайский банк </w:t>
      </w:r>
      <w:r w:rsidR="00F21315">
        <w:rPr>
          <w:sz w:val="28"/>
          <w:szCs w:val="28"/>
          <w:lang w:val="en-US"/>
        </w:rPr>
        <w:t>ICBC</w:t>
      </w:r>
      <w:r w:rsidR="00F21315">
        <w:rPr>
          <w:sz w:val="28"/>
          <w:szCs w:val="28"/>
          <w:lang w:eastAsia="zh-TW"/>
        </w:rPr>
        <w:t xml:space="preserve"> совместно с банком ЮАР  </w:t>
      </w:r>
      <w:r w:rsidR="00F21315">
        <w:rPr>
          <w:sz w:val="28"/>
          <w:szCs w:val="28"/>
          <w:lang w:val="en-US" w:eastAsia="zh-TW"/>
        </w:rPr>
        <w:t>Standard</w:t>
      </w:r>
      <w:r w:rsidR="00F21315" w:rsidRPr="003F0512">
        <w:rPr>
          <w:sz w:val="28"/>
          <w:szCs w:val="28"/>
          <w:lang w:eastAsia="zh-TW"/>
        </w:rPr>
        <w:t xml:space="preserve"> </w:t>
      </w:r>
      <w:r w:rsidR="00F21315">
        <w:rPr>
          <w:sz w:val="28"/>
          <w:szCs w:val="28"/>
          <w:lang w:val="en-US" w:eastAsia="zh-TW"/>
        </w:rPr>
        <w:t>Bank</w:t>
      </w:r>
      <w:r w:rsidR="00F21315" w:rsidRPr="003F0512">
        <w:rPr>
          <w:sz w:val="28"/>
          <w:szCs w:val="28"/>
          <w:lang w:eastAsia="zh-TW"/>
        </w:rPr>
        <w:t xml:space="preserve"> </w:t>
      </w:r>
      <w:r w:rsidR="00F21315">
        <w:rPr>
          <w:sz w:val="28"/>
          <w:szCs w:val="28"/>
          <w:lang w:eastAsia="zh-TW"/>
        </w:rPr>
        <w:t>осуществляет финансирование проектов по развитию альтернативной энергетики</w:t>
      </w:r>
      <w:r w:rsidR="00136C13">
        <w:rPr>
          <w:sz w:val="28"/>
          <w:szCs w:val="28"/>
          <w:lang w:eastAsia="zh-TW"/>
        </w:rPr>
        <w:t xml:space="preserve"> ЮАР</w:t>
      </w:r>
      <w:r w:rsidR="00FC06FB">
        <w:rPr>
          <w:rStyle w:val="FootnoteReference"/>
          <w:sz w:val="28"/>
          <w:szCs w:val="28"/>
          <w:lang w:eastAsia="zh-TW"/>
        </w:rPr>
        <w:footnoteReference w:id="19"/>
      </w:r>
      <w:r w:rsidR="00F21315">
        <w:rPr>
          <w:sz w:val="28"/>
          <w:szCs w:val="28"/>
          <w:lang w:eastAsia="zh-TW"/>
        </w:rPr>
        <w:t>. Кроме того, некоторые китайские компании наращивают свое присутствие в Африке другими путями: осуществляют инвестиции в инфраструктурные проекты богатых ресурсами африканских стран, снабжают их гуманитарной помощью и займами.</w:t>
      </w:r>
      <w:r w:rsidR="00832E33">
        <w:rPr>
          <w:sz w:val="28"/>
          <w:szCs w:val="28"/>
          <w:lang w:eastAsia="zh-TW"/>
        </w:rPr>
        <w:t xml:space="preserve"> </w:t>
      </w:r>
      <w:r w:rsidR="001C690B">
        <w:rPr>
          <w:sz w:val="28"/>
          <w:szCs w:val="28"/>
          <w:lang w:eastAsia="zh-TW"/>
        </w:rPr>
        <w:t>Китай также реализует совместные</w:t>
      </w:r>
      <w:r w:rsidR="00832E33">
        <w:rPr>
          <w:sz w:val="28"/>
          <w:szCs w:val="28"/>
          <w:lang w:eastAsia="zh-TW"/>
        </w:rPr>
        <w:t xml:space="preserve"> проекты в области добычи и переработки нефти и газа с Ираном и Индией. </w:t>
      </w:r>
    </w:p>
    <w:p w14:paraId="07DFE21B" w14:textId="77777777" w:rsidR="00136C13" w:rsidRPr="00343EE3" w:rsidRDefault="00E40E52" w:rsidP="00343EE3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Активная позиция Китая на международном </w:t>
      </w:r>
      <w:r w:rsidR="000A0062">
        <w:rPr>
          <w:sz w:val="28"/>
          <w:szCs w:val="28"/>
          <w:lang w:eastAsia="zh-TW"/>
        </w:rPr>
        <w:t xml:space="preserve">энергетическом рынке не всегда приносит успех. </w:t>
      </w:r>
      <w:r w:rsidR="00343EE3">
        <w:rPr>
          <w:sz w:val="28"/>
          <w:szCs w:val="28"/>
          <w:lang w:eastAsia="zh-TW"/>
        </w:rPr>
        <w:t xml:space="preserve">Нерешенный территориальных спор между Китаем и Японией о правах на остров </w:t>
      </w:r>
      <w:proofErr w:type="spellStart"/>
      <w:r w:rsidR="00343EE3">
        <w:rPr>
          <w:sz w:val="28"/>
          <w:szCs w:val="28"/>
          <w:lang w:eastAsia="zh-TW"/>
        </w:rPr>
        <w:t>Дяоюйдао</w:t>
      </w:r>
      <w:proofErr w:type="spellEnd"/>
      <w:r w:rsidR="00343EE3">
        <w:rPr>
          <w:sz w:val="28"/>
          <w:szCs w:val="28"/>
          <w:lang w:eastAsia="zh-TW"/>
        </w:rPr>
        <w:t xml:space="preserve"> (кит.) или </w:t>
      </w:r>
      <w:proofErr w:type="spellStart"/>
      <w:r w:rsidR="00343EE3">
        <w:rPr>
          <w:sz w:val="28"/>
          <w:szCs w:val="28"/>
          <w:lang w:eastAsia="zh-TW"/>
        </w:rPr>
        <w:t>Сенкаку</w:t>
      </w:r>
      <w:proofErr w:type="spellEnd"/>
      <w:r w:rsidR="00343EE3">
        <w:rPr>
          <w:sz w:val="28"/>
          <w:szCs w:val="28"/>
          <w:lang w:eastAsia="zh-TW"/>
        </w:rPr>
        <w:t xml:space="preserve"> (яп.), богатый природным газом и находящийся на пути маршрутов нефтяных поставок из Ближнего Востока,</w:t>
      </w:r>
      <w:r w:rsidR="00343EE3" w:rsidRPr="00343EE3">
        <w:rPr>
          <w:sz w:val="28"/>
          <w:szCs w:val="28"/>
          <w:lang w:eastAsia="zh-TW"/>
        </w:rPr>
        <w:t xml:space="preserve"> </w:t>
      </w:r>
      <w:r w:rsidR="00343EE3">
        <w:rPr>
          <w:sz w:val="28"/>
          <w:szCs w:val="28"/>
          <w:lang w:eastAsia="zh-TW"/>
        </w:rPr>
        <w:t>приводит к разжиганию национальной розни между простыми гражданами.</w:t>
      </w:r>
    </w:p>
    <w:p w14:paraId="32F1CCC6" w14:textId="67720EDF" w:rsidR="007C7430" w:rsidRDefault="007C7430" w:rsidP="002E74EC">
      <w:pPr>
        <w:pStyle w:val="ListParagraph"/>
        <w:spacing w:after="100" w:afterAutospacing="1" w:line="360" w:lineRule="auto"/>
        <w:ind w:left="0" w:right="-99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74EC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первому и единственному </w:t>
      </w:r>
      <w:r w:rsidRPr="002E74EC"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z w:val="28"/>
          <w:szCs w:val="28"/>
        </w:rPr>
        <w:t>тчету о зеленом ВВП Китая</w:t>
      </w:r>
      <w:r w:rsidRPr="002E74EC">
        <w:rPr>
          <w:rFonts w:ascii="Times New Roman" w:hAnsi="Times New Roman"/>
          <w:color w:val="000000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74EC">
        <w:rPr>
          <w:rFonts w:ascii="Times New Roman" w:hAnsi="Times New Roman"/>
          <w:color w:val="000000"/>
          <w:sz w:val="28"/>
          <w:szCs w:val="28"/>
        </w:rPr>
        <w:t>в 2004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2E74EC">
        <w:rPr>
          <w:rFonts w:ascii="Times New Roman" w:hAnsi="Times New Roman"/>
          <w:color w:val="000000"/>
          <w:sz w:val="28"/>
          <w:szCs w:val="28"/>
        </w:rPr>
        <w:t xml:space="preserve"> урон,</w:t>
      </w:r>
      <w:r>
        <w:rPr>
          <w:rFonts w:ascii="Times New Roman" w:hAnsi="Times New Roman"/>
          <w:color w:val="000000"/>
          <w:sz w:val="28"/>
          <w:szCs w:val="28"/>
        </w:rPr>
        <w:t xml:space="preserve"> причиненный окружающей среде,</w:t>
      </w:r>
      <w:r w:rsidR="001C69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74EC">
        <w:rPr>
          <w:rFonts w:ascii="Times New Roman" w:hAnsi="Times New Roman"/>
          <w:color w:val="000000"/>
          <w:sz w:val="28"/>
          <w:szCs w:val="28"/>
        </w:rPr>
        <w:t>составил 511 млрд. юаней или 3,05% ВВП.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того</w:t>
      </w:r>
      <w:r w:rsidRPr="002E74EC">
        <w:rPr>
          <w:rFonts w:ascii="Times New Roman" w:hAnsi="Times New Roman"/>
          <w:color w:val="000000"/>
          <w:sz w:val="28"/>
          <w:szCs w:val="28"/>
        </w:rPr>
        <w:t xml:space="preserve">, из-за быстрых темпов урбанизации, </w:t>
      </w:r>
      <w:r>
        <w:rPr>
          <w:rFonts w:ascii="Times New Roman" w:hAnsi="Times New Roman"/>
          <w:color w:val="000000"/>
          <w:sz w:val="28"/>
          <w:szCs w:val="28"/>
        </w:rPr>
        <w:t>сократилась</w:t>
      </w:r>
      <w:r w:rsidRPr="002E74EC">
        <w:rPr>
          <w:rFonts w:ascii="Times New Roman" w:hAnsi="Times New Roman"/>
          <w:color w:val="000000"/>
          <w:sz w:val="28"/>
          <w:szCs w:val="28"/>
        </w:rPr>
        <w:t xml:space="preserve"> площадь пахотных земель </w:t>
      </w:r>
      <w:r>
        <w:rPr>
          <w:rFonts w:ascii="Times New Roman" w:hAnsi="Times New Roman"/>
          <w:color w:val="000000"/>
          <w:sz w:val="28"/>
          <w:szCs w:val="28"/>
        </w:rPr>
        <w:t>и в почве начали обнаруживать токсичные вещества</w:t>
      </w:r>
      <w:r w:rsidR="001F3C6B">
        <w:rPr>
          <w:rFonts w:ascii="Times New Roman" w:hAnsi="Times New Roman"/>
          <w:color w:val="000000"/>
          <w:sz w:val="28"/>
          <w:szCs w:val="28"/>
        </w:rPr>
        <w:t>, также почти вдвое</w:t>
      </w:r>
      <w:r w:rsidR="001F3C6B"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20"/>
      </w:r>
      <w:r w:rsidR="001F3C6B">
        <w:rPr>
          <w:rFonts w:ascii="Times New Roman" w:hAnsi="Times New Roman"/>
          <w:color w:val="000000"/>
          <w:sz w:val="28"/>
          <w:szCs w:val="28"/>
        </w:rPr>
        <w:t xml:space="preserve"> сократилось число рек.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81C" w:rsidRPr="00375F69">
        <w:rPr>
          <w:rFonts w:ascii="Times New Roman" w:hAnsi="Times New Roman"/>
          <w:color w:val="000000"/>
          <w:sz w:val="28"/>
          <w:szCs w:val="28"/>
        </w:rPr>
        <w:t xml:space="preserve">Китай </w:t>
      </w:r>
      <w:r w:rsidR="00F9388E">
        <w:rPr>
          <w:rFonts w:ascii="Times New Roman" w:hAnsi="Times New Roman"/>
          <w:color w:val="000000"/>
          <w:sz w:val="28"/>
          <w:szCs w:val="28"/>
        </w:rPr>
        <w:t xml:space="preserve"> имеет самые высокие показатели по абсолютным и относительным к ВВП выбросам СО</w:t>
      </w:r>
      <w:r w:rsidR="00F9388E" w:rsidRPr="00F9388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9388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1259">
        <w:rPr>
          <w:rFonts w:ascii="Times New Roman" w:hAnsi="Times New Roman"/>
          <w:color w:val="000000"/>
          <w:sz w:val="28"/>
          <w:szCs w:val="28"/>
        </w:rPr>
        <w:t>По стандартам ЕС</w:t>
      </w:r>
      <w:r w:rsidR="00F9388E">
        <w:rPr>
          <w:rFonts w:ascii="Times New Roman" w:hAnsi="Times New Roman"/>
          <w:color w:val="000000"/>
          <w:sz w:val="28"/>
          <w:szCs w:val="28"/>
        </w:rPr>
        <w:t xml:space="preserve"> только 1% городского населения Китая имеет возможность дышать чистым воздухом</w:t>
      </w:r>
      <w:r w:rsidR="00FC06FB"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21"/>
      </w:r>
      <w:r w:rsidR="00FC06FB">
        <w:rPr>
          <w:rFonts w:ascii="Times New Roman" w:hAnsi="Times New Roman"/>
          <w:color w:val="000000"/>
          <w:sz w:val="28"/>
          <w:szCs w:val="28"/>
        </w:rPr>
        <w:t>.</w:t>
      </w:r>
      <w:r w:rsidR="00F938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88E" w:rsidRPr="00473517">
        <w:rPr>
          <w:rFonts w:ascii="Times New Roman" w:hAnsi="Times New Roman"/>
          <w:color w:val="000000"/>
          <w:sz w:val="28"/>
          <w:szCs w:val="28"/>
        </w:rPr>
        <w:t xml:space="preserve">Поэтому, несмотря на то, что Китай </w:t>
      </w:r>
      <w:r w:rsidR="005A781C" w:rsidRPr="00473517">
        <w:rPr>
          <w:rFonts w:ascii="Times New Roman" w:hAnsi="Times New Roman"/>
          <w:color w:val="000000"/>
          <w:sz w:val="28"/>
          <w:szCs w:val="28"/>
        </w:rPr>
        <w:t>не входит в число стран, выполняющих обя</w:t>
      </w:r>
      <w:r w:rsidR="00F9388E" w:rsidRPr="00473517">
        <w:rPr>
          <w:rFonts w:ascii="Times New Roman" w:hAnsi="Times New Roman"/>
          <w:color w:val="000000"/>
          <w:sz w:val="28"/>
          <w:szCs w:val="28"/>
        </w:rPr>
        <w:t>зательства Киотского протокола, проблема</w:t>
      </w:r>
      <w:r w:rsidR="005A781C" w:rsidRPr="00473517">
        <w:rPr>
          <w:rFonts w:ascii="Times New Roman" w:hAnsi="Times New Roman"/>
          <w:color w:val="000000"/>
          <w:sz w:val="28"/>
          <w:szCs w:val="28"/>
        </w:rPr>
        <w:t xml:space="preserve"> постоянно растущих выбросов углекислого газа </w:t>
      </w:r>
      <w:r w:rsidR="00375F69" w:rsidRPr="00473517">
        <w:rPr>
          <w:rFonts w:ascii="Times New Roman" w:hAnsi="Times New Roman"/>
          <w:color w:val="000000"/>
          <w:sz w:val="28"/>
          <w:szCs w:val="28"/>
        </w:rPr>
        <w:t xml:space="preserve">и масштабность </w:t>
      </w:r>
      <w:r w:rsidR="00F9388E" w:rsidRPr="00473517">
        <w:rPr>
          <w:rFonts w:ascii="Times New Roman" w:hAnsi="Times New Roman"/>
          <w:color w:val="000000"/>
          <w:sz w:val="28"/>
          <w:szCs w:val="28"/>
        </w:rPr>
        <w:t xml:space="preserve">причинения </w:t>
      </w:r>
      <w:r w:rsidR="00F9388E" w:rsidRPr="00473517">
        <w:rPr>
          <w:rFonts w:ascii="Times New Roman" w:hAnsi="Times New Roman"/>
          <w:color w:val="000000"/>
          <w:sz w:val="28"/>
          <w:szCs w:val="28"/>
        </w:rPr>
        <w:lastRenderedPageBreak/>
        <w:t>вреда экологии всего мира,</w:t>
      </w:r>
      <w:r w:rsidR="005A781C" w:rsidRPr="004735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5F69" w:rsidRPr="00473517">
        <w:rPr>
          <w:rFonts w:ascii="Times New Roman" w:hAnsi="Times New Roman"/>
          <w:color w:val="000000"/>
          <w:sz w:val="28"/>
          <w:szCs w:val="28"/>
        </w:rPr>
        <w:t xml:space="preserve">осознается </w:t>
      </w:r>
      <w:r w:rsidR="001C690B" w:rsidRPr="00473517">
        <w:rPr>
          <w:rFonts w:ascii="Times New Roman" w:hAnsi="Times New Roman"/>
          <w:color w:val="000000"/>
          <w:sz w:val="28"/>
          <w:szCs w:val="28"/>
        </w:rPr>
        <w:t xml:space="preserve">как независимыми специалистами, так и </w:t>
      </w:r>
      <w:r w:rsidR="00375F69" w:rsidRPr="00473517">
        <w:rPr>
          <w:rFonts w:ascii="Times New Roman" w:hAnsi="Times New Roman"/>
          <w:color w:val="000000"/>
          <w:sz w:val="28"/>
          <w:szCs w:val="28"/>
        </w:rPr>
        <w:t>на правительственном уровне.</w:t>
      </w:r>
      <w:r w:rsidR="005A781C" w:rsidRPr="00375F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1498CCB" w14:textId="77777777" w:rsidR="007C7430" w:rsidRPr="007C001D" w:rsidRDefault="007C7430" w:rsidP="007C7430">
      <w:pPr>
        <w:spacing w:after="120" w:line="360" w:lineRule="auto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38DAD609" wp14:editId="75D51558">
            <wp:extent cx="5825490" cy="2642023"/>
            <wp:effectExtent l="0" t="0" r="16510" b="254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DAAF872" w14:textId="174686D6" w:rsidR="007C7430" w:rsidRDefault="00B11A36" w:rsidP="007C7430">
      <w:pPr>
        <w:spacing w:after="12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Рисунок 5</w:t>
      </w:r>
      <w:r w:rsidR="007C7430" w:rsidRPr="000B781C">
        <w:rPr>
          <w:b/>
          <w:color w:val="000000"/>
          <w:sz w:val="28"/>
          <w:szCs w:val="28"/>
        </w:rPr>
        <w:t>. Выбросы СО2</w:t>
      </w:r>
      <w:r w:rsidR="00473517">
        <w:rPr>
          <w:b/>
          <w:color w:val="000000"/>
          <w:sz w:val="28"/>
          <w:szCs w:val="28"/>
        </w:rPr>
        <w:t>,</w:t>
      </w:r>
      <w:r w:rsidR="007C7430" w:rsidRPr="000B781C">
        <w:rPr>
          <w:b/>
          <w:color w:val="000000"/>
          <w:sz w:val="28"/>
          <w:szCs w:val="28"/>
        </w:rPr>
        <w:t xml:space="preserve"> абсолютные </w:t>
      </w:r>
      <w:r w:rsidR="007C7430">
        <w:rPr>
          <w:b/>
          <w:color w:val="000000"/>
          <w:sz w:val="28"/>
          <w:szCs w:val="28"/>
        </w:rPr>
        <w:t xml:space="preserve">значения </w:t>
      </w:r>
      <w:r w:rsidR="007C7430" w:rsidRPr="000B781C">
        <w:rPr>
          <w:b/>
          <w:color w:val="000000"/>
          <w:sz w:val="28"/>
          <w:szCs w:val="28"/>
        </w:rPr>
        <w:t xml:space="preserve">и </w:t>
      </w:r>
      <w:r w:rsidR="00473517">
        <w:rPr>
          <w:b/>
          <w:color w:val="000000"/>
          <w:sz w:val="28"/>
          <w:szCs w:val="28"/>
        </w:rPr>
        <w:t xml:space="preserve">на </w:t>
      </w:r>
      <w:r w:rsidR="00473517">
        <w:rPr>
          <w:b/>
          <w:color w:val="000000"/>
          <w:sz w:val="28"/>
          <w:szCs w:val="28"/>
          <w:lang w:val="en-US"/>
        </w:rPr>
        <w:t>$</w:t>
      </w:r>
      <w:r w:rsidR="00473517">
        <w:rPr>
          <w:b/>
          <w:color w:val="000000"/>
          <w:sz w:val="28"/>
          <w:szCs w:val="28"/>
        </w:rPr>
        <w:t>10000 ВВП</w:t>
      </w:r>
      <w:r w:rsidR="007C7430" w:rsidRPr="000B781C">
        <w:rPr>
          <w:b/>
          <w:color w:val="000000"/>
          <w:sz w:val="28"/>
          <w:szCs w:val="28"/>
        </w:rPr>
        <w:t xml:space="preserve">, </w:t>
      </w:r>
      <w:r w:rsidR="00473517">
        <w:rPr>
          <w:b/>
          <w:color w:val="000000"/>
          <w:sz w:val="28"/>
          <w:szCs w:val="28"/>
        </w:rPr>
        <w:t>тонны</w:t>
      </w:r>
    </w:p>
    <w:p w14:paraId="230A302B" w14:textId="650C219B" w:rsidR="007C7430" w:rsidRPr="00EF5E2F" w:rsidRDefault="007C7430" w:rsidP="007C7430">
      <w:pPr>
        <w:spacing w:after="120" w:line="360" w:lineRule="auto"/>
        <w:rPr>
          <w:i/>
          <w:color w:val="000000"/>
          <w:sz w:val="28"/>
          <w:szCs w:val="28"/>
        </w:rPr>
      </w:pPr>
      <w:r w:rsidRPr="00473517">
        <w:rPr>
          <w:i/>
          <w:color w:val="000000"/>
          <w:sz w:val="28"/>
          <w:szCs w:val="28"/>
        </w:rPr>
        <w:t xml:space="preserve">Источник: </w:t>
      </w:r>
      <w:r w:rsidRPr="00473517">
        <w:rPr>
          <w:i/>
          <w:color w:val="000000"/>
          <w:sz w:val="28"/>
          <w:szCs w:val="28"/>
          <w:lang w:val="en-US"/>
        </w:rPr>
        <w:t>UN</w:t>
      </w:r>
      <w:r w:rsidRPr="00473517">
        <w:rPr>
          <w:i/>
          <w:color w:val="000000"/>
          <w:sz w:val="28"/>
          <w:szCs w:val="28"/>
        </w:rPr>
        <w:t xml:space="preserve"> </w:t>
      </w:r>
      <w:r w:rsidRPr="00473517">
        <w:rPr>
          <w:i/>
          <w:color w:val="000000"/>
          <w:sz w:val="28"/>
          <w:szCs w:val="28"/>
          <w:lang w:val="en-US"/>
        </w:rPr>
        <w:t>Data</w:t>
      </w:r>
      <w:r w:rsidR="000F2EB7" w:rsidRPr="00473517">
        <w:rPr>
          <w:i/>
          <w:color w:val="000000"/>
          <w:sz w:val="28"/>
          <w:szCs w:val="28"/>
        </w:rPr>
        <w:t>, собственные расчеты</w:t>
      </w:r>
    </w:p>
    <w:p w14:paraId="38FF34D7" w14:textId="5585E0D9" w:rsidR="00473517" w:rsidRDefault="00842599" w:rsidP="00BB4C6A">
      <w:pPr>
        <w:pStyle w:val="ListParagraph"/>
        <w:spacing w:after="120" w:line="360" w:lineRule="auto"/>
        <w:ind w:left="0" w:right="-96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многом благодаря </w:t>
      </w:r>
      <w:r w:rsidR="00BA5F8D">
        <w:rPr>
          <w:rFonts w:ascii="Times New Roman" w:hAnsi="Times New Roman"/>
          <w:color w:val="000000"/>
          <w:sz w:val="28"/>
          <w:szCs w:val="28"/>
        </w:rPr>
        <w:t>реализации политики</w:t>
      </w:r>
      <w:r>
        <w:rPr>
          <w:rFonts w:ascii="Times New Roman" w:hAnsi="Times New Roman"/>
          <w:color w:val="000000"/>
          <w:sz w:val="28"/>
          <w:szCs w:val="28"/>
        </w:rPr>
        <w:t xml:space="preserve"> охраны окружающей </w:t>
      </w:r>
      <w:r w:rsidR="00621583">
        <w:rPr>
          <w:rFonts w:ascii="Times New Roman" w:hAnsi="Times New Roman"/>
          <w:color w:val="000000"/>
          <w:sz w:val="28"/>
          <w:szCs w:val="28"/>
        </w:rPr>
        <w:t>среды</w:t>
      </w:r>
      <w:r w:rsidR="00BA5F8D">
        <w:rPr>
          <w:rFonts w:ascii="Times New Roman" w:hAnsi="Times New Roman"/>
          <w:color w:val="000000"/>
          <w:sz w:val="28"/>
          <w:szCs w:val="28"/>
        </w:rPr>
        <w:t xml:space="preserve"> и планов развития с прописанными там целевыми показателями,</w:t>
      </w:r>
      <w:r w:rsidR="0062158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473517">
        <w:rPr>
          <w:rFonts w:ascii="Times New Roman" w:hAnsi="Times New Roman"/>
          <w:color w:val="000000"/>
          <w:sz w:val="28"/>
          <w:szCs w:val="28"/>
        </w:rPr>
        <w:t xml:space="preserve">роисходит постепенное снижение </w:t>
      </w:r>
      <w:r w:rsidR="00BA5F8D">
        <w:rPr>
          <w:rFonts w:ascii="Times New Roman" w:hAnsi="Times New Roman"/>
          <w:color w:val="000000"/>
          <w:sz w:val="28"/>
          <w:szCs w:val="28"/>
        </w:rPr>
        <w:t>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выбросов СО</w:t>
      </w:r>
      <w:r w:rsidR="00621583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к ВВП </w:t>
      </w:r>
      <w:r w:rsidRPr="00473517">
        <w:rPr>
          <w:rFonts w:ascii="Times New Roman" w:hAnsi="Times New Roman"/>
          <w:color w:val="000000"/>
          <w:sz w:val="28"/>
          <w:szCs w:val="28"/>
        </w:rPr>
        <w:t>(см. Рис. 5)</w:t>
      </w:r>
      <w:r w:rsidR="00BA5F8D">
        <w:rPr>
          <w:rFonts w:ascii="Times New Roman" w:hAnsi="Times New Roman"/>
          <w:color w:val="000000"/>
          <w:sz w:val="28"/>
          <w:szCs w:val="28"/>
        </w:rPr>
        <w:t>. В период 1991-2011 гг. Этот показатель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упал более чем в 4 раза – с 66 до 15 тонн СО</w:t>
      </w:r>
      <w:r w:rsidRPr="00842599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BA5F8D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10000 </w:t>
      </w:r>
      <w:r w:rsidR="00BA5F8D">
        <w:rPr>
          <w:rFonts w:ascii="Times New Roman" w:hAnsi="Times New Roman"/>
          <w:color w:val="000000"/>
          <w:sz w:val="28"/>
          <w:szCs w:val="28"/>
        </w:rPr>
        <w:t xml:space="preserve">долл. </w:t>
      </w:r>
      <w:r>
        <w:rPr>
          <w:rFonts w:ascii="Times New Roman" w:hAnsi="Times New Roman"/>
          <w:color w:val="000000"/>
          <w:sz w:val="28"/>
          <w:szCs w:val="28"/>
        </w:rPr>
        <w:t>ВВП.</w:t>
      </w:r>
      <w:r w:rsidR="00BA5F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E69F49" w14:textId="77777777" w:rsidR="00623B0A" w:rsidRDefault="00375F69" w:rsidP="00BB4C6A">
      <w:pPr>
        <w:pStyle w:val="ListParagraph"/>
        <w:spacing w:after="120" w:line="360" w:lineRule="auto"/>
        <w:ind w:left="0" w:right="-96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75F69">
        <w:rPr>
          <w:rFonts w:ascii="Times New Roman" w:hAnsi="Times New Roman"/>
          <w:color w:val="000000"/>
          <w:sz w:val="28"/>
          <w:szCs w:val="28"/>
        </w:rPr>
        <w:t xml:space="preserve">В обновленный на 18-м съезде КПК Устав партии включен пункт об </w:t>
      </w:r>
      <w:proofErr w:type="spellStart"/>
      <w:r w:rsidRPr="00375F69">
        <w:rPr>
          <w:rFonts w:ascii="Times New Roman" w:hAnsi="Times New Roman"/>
          <w:color w:val="000000"/>
          <w:sz w:val="28"/>
          <w:szCs w:val="28"/>
        </w:rPr>
        <w:t>экоцивилизованном</w:t>
      </w:r>
      <w:proofErr w:type="spellEnd"/>
      <w:r w:rsidRPr="00375F69">
        <w:rPr>
          <w:rFonts w:ascii="Times New Roman" w:hAnsi="Times New Roman"/>
          <w:color w:val="000000"/>
          <w:sz w:val="28"/>
          <w:szCs w:val="28"/>
        </w:rPr>
        <w:t xml:space="preserve"> строительстве, </w:t>
      </w:r>
      <w:r w:rsidR="001E1259">
        <w:rPr>
          <w:rFonts w:ascii="Times New Roman" w:hAnsi="Times New Roman"/>
          <w:color w:val="000000"/>
          <w:sz w:val="28"/>
          <w:szCs w:val="28"/>
        </w:rPr>
        <w:t>планы по сокращению выбросов</w:t>
      </w:r>
      <w:r w:rsidR="00E830BD">
        <w:rPr>
          <w:rFonts w:ascii="Times New Roman" w:hAnsi="Times New Roman"/>
          <w:color w:val="000000"/>
          <w:sz w:val="28"/>
          <w:szCs w:val="28"/>
        </w:rPr>
        <w:t>, спасении рек</w:t>
      </w:r>
      <w:r w:rsidR="001E1259">
        <w:rPr>
          <w:rFonts w:ascii="Times New Roman" w:hAnsi="Times New Roman"/>
          <w:color w:val="000000"/>
          <w:sz w:val="28"/>
          <w:szCs w:val="28"/>
        </w:rPr>
        <w:t xml:space="preserve"> и оптимизации структуры некоторых производств обозначены в 12-м пятилетнем плане КНР</w:t>
      </w:r>
      <w:r w:rsidR="001C690B">
        <w:rPr>
          <w:rFonts w:ascii="Times New Roman" w:hAnsi="Times New Roman"/>
          <w:color w:val="000000"/>
          <w:sz w:val="28"/>
          <w:szCs w:val="28"/>
        </w:rPr>
        <w:t xml:space="preserve"> (2011-2015 гг.)</w:t>
      </w:r>
      <w:r w:rsidR="001E1259">
        <w:rPr>
          <w:rFonts w:ascii="Times New Roman" w:hAnsi="Times New Roman"/>
          <w:color w:val="000000"/>
          <w:sz w:val="28"/>
          <w:szCs w:val="28"/>
        </w:rPr>
        <w:t>, что</w:t>
      </w:r>
      <w:r w:rsidRPr="00375F69">
        <w:rPr>
          <w:rFonts w:ascii="Times New Roman" w:hAnsi="Times New Roman"/>
          <w:color w:val="000000"/>
          <w:sz w:val="28"/>
          <w:szCs w:val="28"/>
        </w:rPr>
        <w:t xml:space="preserve"> свидетельствует о повышенном внимании к э</w:t>
      </w:r>
      <w:r w:rsidR="001E1259">
        <w:rPr>
          <w:rFonts w:ascii="Times New Roman" w:hAnsi="Times New Roman"/>
          <w:color w:val="000000"/>
          <w:sz w:val="28"/>
          <w:szCs w:val="28"/>
        </w:rPr>
        <w:t>кологическим проблемам в Китае в настоящее время</w:t>
      </w:r>
      <w:r w:rsidRPr="00375F69">
        <w:rPr>
          <w:rFonts w:ascii="Times New Roman" w:hAnsi="Times New Roman"/>
          <w:color w:val="000000"/>
          <w:sz w:val="28"/>
          <w:szCs w:val="28"/>
        </w:rPr>
        <w:t>. По мнению специалистов Всемирного Банка, «зеленая экономика» должна стать одним из шести стратегически важных направлений развития Китая к 2030 году</w:t>
      </w:r>
      <w:r w:rsidRPr="00375F69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2"/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279A02B" w14:textId="6C0B2AF0" w:rsidR="007C001D" w:rsidRPr="00623B0A" w:rsidRDefault="005A781C" w:rsidP="00BB4C6A">
      <w:pPr>
        <w:pStyle w:val="ListParagraph"/>
        <w:spacing w:after="120" w:line="360" w:lineRule="auto"/>
        <w:ind w:left="0" w:right="-96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75F69">
        <w:rPr>
          <w:rFonts w:ascii="Times New Roman" w:hAnsi="Times New Roman"/>
          <w:color w:val="000000"/>
          <w:sz w:val="28"/>
          <w:szCs w:val="28"/>
        </w:rPr>
        <w:lastRenderedPageBreak/>
        <w:t xml:space="preserve">В последние годы </w:t>
      </w:r>
      <w:r w:rsidR="00375F69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375F69">
        <w:rPr>
          <w:rFonts w:ascii="Times New Roman" w:hAnsi="Times New Roman"/>
          <w:color w:val="000000"/>
          <w:sz w:val="28"/>
          <w:szCs w:val="28"/>
        </w:rPr>
        <w:t>были приняты внутренние документы, направленные на улучшение экологической ситуации: «Закон о возобновляемой энергии», «Закон об энергосбережении», «Государственный план реакции на изменение климата»</w:t>
      </w:r>
      <w:r w:rsidR="00375F69">
        <w:rPr>
          <w:rFonts w:ascii="Times New Roman" w:hAnsi="Times New Roman"/>
          <w:color w:val="000000"/>
          <w:sz w:val="28"/>
          <w:szCs w:val="28"/>
        </w:rPr>
        <w:t xml:space="preserve"> и т.д.</w:t>
      </w:r>
      <w:r w:rsidRPr="00375F69">
        <w:rPr>
          <w:rFonts w:ascii="Times New Roman" w:hAnsi="Times New Roman"/>
          <w:color w:val="000000"/>
          <w:sz w:val="28"/>
          <w:szCs w:val="28"/>
        </w:rPr>
        <w:t xml:space="preserve"> Планируется ввести налог на выбросы углекислого газа и загрязняющих воду веществ, а также систему торговли разрешениями на </w:t>
      </w:r>
      <w:r w:rsidR="00623B0A">
        <w:rPr>
          <w:rFonts w:ascii="Times New Roman" w:hAnsi="Times New Roman"/>
          <w:color w:val="000000"/>
          <w:sz w:val="28"/>
          <w:szCs w:val="28"/>
        </w:rPr>
        <w:t xml:space="preserve">выбросы углерода в г. </w:t>
      </w:r>
      <w:proofErr w:type="spellStart"/>
      <w:r w:rsidR="00623B0A">
        <w:rPr>
          <w:rFonts w:ascii="Times New Roman" w:hAnsi="Times New Roman"/>
          <w:color w:val="000000"/>
          <w:sz w:val="28"/>
          <w:szCs w:val="28"/>
        </w:rPr>
        <w:t>Шэньчжень</w:t>
      </w:r>
      <w:proofErr w:type="spellEnd"/>
      <w:r w:rsidRPr="00375F6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F05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3B0A">
        <w:rPr>
          <w:rFonts w:ascii="Times New Roman" w:hAnsi="Times New Roman"/>
          <w:color w:val="000000"/>
          <w:sz w:val="28"/>
          <w:szCs w:val="28"/>
        </w:rPr>
        <w:t xml:space="preserve">По мнению китайских </w:t>
      </w:r>
      <w:r w:rsidR="00623B0A" w:rsidRPr="00B84B87">
        <w:rPr>
          <w:rFonts w:ascii="Times New Roman" w:hAnsi="Times New Roman"/>
          <w:color w:val="000000"/>
          <w:sz w:val="28"/>
          <w:szCs w:val="28"/>
        </w:rPr>
        <w:t>аналитиков, главной</w:t>
      </w:r>
      <w:r w:rsidR="00623B0A" w:rsidRPr="00AA0629">
        <w:rPr>
          <w:rFonts w:ascii="Times New Roman" w:hAnsi="Times New Roman"/>
          <w:color w:val="000000"/>
          <w:sz w:val="28"/>
          <w:szCs w:val="28"/>
        </w:rPr>
        <w:t xml:space="preserve"> альтернативой сгораемому топливу</w:t>
      </w:r>
      <w:r w:rsidR="00623B0A">
        <w:rPr>
          <w:rFonts w:ascii="Times New Roman" w:hAnsi="Times New Roman"/>
          <w:color w:val="000000"/>
          <w:sz w:val="28"/>
          <w:szCs w:val="28"/>
        </w:rPr>
        <w:t xml:space="preserve"> должна стать гидроэнергия</w:t>
      </w:r>
      <w:r w:rsidR="00623B0A" w:rsidRPr="00AA0629">
        <w:rPr>
          <w:rFonts w:ascii="Times New Roman" w:hAnsi="Times New Roman"/>
          <w:color w:val="000000"/>
          <w:sz w:val="28"/>
          <w:szCs w:val="28"/>
        </w:rPr>
        <w:t>. В 2010 году суммарная мощность г</w:t>
      </w:r>
      <w:r w:rsidR="00623B0A">
        <w:rPr>
          <w:rFonts w:ascii="Times New Roman" w:hAnsi="Times New Roman"/>
          <w:color w:val="000000"/>
          <w:sz w:val="28"/>
          <w:szCs w:val="28"/>
        </w:rPr>
        <w:t>идроустановок составила 213 ГВт</w:t>
      </w:r>
      <w:r w:rsidR="00623B0A" w:rsidRPr="00AA06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3B0A">
        <w:rPr>
          <w:rFonts w:ascii="Times New Roman" w:hAnsi="Times New Roman"/>
          <w:color w:val="000000"/>
          <w:sz w:val="28"/>
          <w:szCs w:val="28"/>
        </w:rPr>
        <w:t>(</w:t>
      </w:r>
      <w:r w:rsidR="00623B0A" w:rsidRPr="00AA0629">
        <w:rPr>
          <w:rFonts w:ascii="Times New Roman" w:hAnsi="Times New Roman"/>
          <w:color w:val="000000"/>
          <w:sz w:val="28"/>
          <w:szCs w:val="28"/>
        </w:rPr>
        <w:t>50% доступ</w:t>
      </w:r>
      <w:r w:rsidR="00623B0A">
        <w:rPr>
          <w:rFonts w:ascii="Times New Roman" w:hAnsi="Times New Roman"/>
          <w:color w:val="000000"/>
          <w:sz w:val="28"/>
          <w:szCs w:val="28"/>
        </w:rPr>
        <w:t xml:space="preserve">ного потенциала), а к 2020 году планируется ее увеличение до </w:t>
      </w:r>
      <w:r w:rsidR="00623B0A" w:rsidRPr="00AA0629">
        <w:rPr>
          <w:rFonts w:ascii="Times New Roman" w:hAnsi="Times New Roman"/>
          <w:color w:val="000000"/>
          <w:sz w:val="28"/>
          <w:szCs w:val="28"/>
        </w:rPr>
        <w:t>300 ГВт</w:t>
      </w:r>
      <w:r w:rsidR="00B84B87"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23"/>
      </w:r>
      <w:r w:rsidR="00623B0A" w:rsidRPr="00AA062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74F48AB" w14:textId="42834CCF" w:rsidR="004D5E44" w:rsidRPr="00520A74" w:rsidRDefault="002E74EC" w:rsidP="00520A74">
      <w:pPr>
        <w:spacing w:after="100" w:afterAutospacing="1" w:line="360" w:lineRule="auto"/>
        <w:ind w:firstLine="85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настоящее время перед Китаем стоит сложная</w:t>
      </w:r>
      <w:r w:rsidRPr="00AA0629">
        <w:rPr>
          <w:sz w:val="28"/>
          <w:szCs w:val="28"/>
        </w:rPr>
        <w:t xml:space="preserve"> задача: поддержать высокие темпы развития экономики и уровня жизни населения, которые требуют больших вложений энергетических ресурсов, </w:t>
      </w:r>
      <w:r>
        <w:rPr>
          <w:sz w:val="28"/>
          <w:szCs w:val="28"/>
        </w:rPr>
        <w:t>и при этом</w:t>
      </w:r>
      <w:r w:rsidRPr="00AA0629">
        <w:rPr>
          <w:sz w:val="28"/>
          <w:szCs w:val="28"/>
        </w:rPr>
        <w:t xml:space="preserve"> не допустить </w:t>
      </w:r>
      <w:r>
        <w:rPr>
          <w:sz w:val="28"/>
          <w:szCs w:val="28"/>
        </w:rPr>
        <w:t xml:space="preserve">высокого уровня зависимости от </w:t>
      </w:r>
      <w:r w:rsidR="00F56295">
        <w:rPr>
          <w:sz w:val="28"/>
          <w:szCs w:val="28"/>
        </w:rPr>
        <w:t xml:space="preserve">сырьевого </w:t>
      </w:r>
      <w:r>
        <w:rPr>
          <w:sz w:val="28"/>
          <w:szCs w:val="28"/>
        </w:rPr>
        <w:t xml:space="preserve">импорта и </w:t>
      </w:r>
      <w:r w:rsidRPr="00AA0629">
        <w:rPr>
          <w:sz w:val="28"/>
          <w:szCs w:val="28"/>
        </w:rPr>
        <w:t>ухудшения экологии страны и мира в целом.</w:t>
      </w:r>
      <w:r w:rsidR="00EF5E2F">
        <w:rPr>
          <w:sz w:val="28"/>
          <w:szCs w:val="28"/>
        </w:rPr>
        <w:t xml:space="preserve"> </w:t>
      </w:r>
      <w:r w:rsidR="00B84B87">
        <w:rPr>
          <w:sz w:val="28"/>
          <w:szCs w:val="28"/>
        </w:rPr>
        <w:t>Такие трудно сопоставимые</w:t>
      </w:r>
      <w:r w:rsidR="00A843CD">
        <w:rPr>
          <w:sz w:val="28"/>
          <w:szCs w:val="28"/>
        </w:rPr>
        <w:t xml:space="preserve"> цели </w:t>
      </w:r>
      <w:r w:rsidR="00B84B87">
        <w:rPr>
          <w:sz w:val="28"/>
          <w:szCs w:val="28"/>
        </w:rPr>
        <w:t>приводят</w:t>
      </w:r>
      <w:r w:rsidR="00EF5E2F">
        <w:rPr>
          <w:sz w:val="28"/>
          <w:szCs w:val="28"/>
        </w:rPr>
        <w:t xml:space="preserve"> </w:t>
      </w:r>
      <w:r w:rsidR="00B84B87">
        <w:rPr>
          <w:sz w:val="28"/>
          <w:szCs w:val="28"/>
        </w:rPr>
        <w:t>к необходимости планового вмешательства</w:t>
      </w:r>
      <w:r w:rsidR="00BA5F8D">
        <w:rPr>
          <w:sz w:val="28"/>
          <w:szCs w:val="28"/>
        </w:rPr>
        <w:t xml:space="preserve"> со стороны китайского правительства</w:t>
      </w:r>
      <w:r w:rsidR="00520A74">
        <w:rPr>
          <w:sz w:val="28"/>
          <w:szCs w:val="28"/>
        </w:rPr>
        <w:t>.</w:t>
      </w:r>
      <w:r w:rsidR="00B84B87">
        <w:rPr>
          <w:sz w:val="28"/>
          <w:szCs w:val="28"/>
        </w:rPr>
        <w:t xml:space="preserve"> </w:t>
      </w:r>
      <w:r w:rsidR="00BB4C6A">
        <w:rPr>
          <w:sz w:val="28"/>
          <w:szCs w:val="28"/>
        </w:rPr>
        <w:t xml:space="preserve">Регулируя цены энергетических рынков и субсидируя отдельные отрасли, </w:t>
      </w:r>
      <w:r w:rsidR="00BA5F8D">
        <w:rPr>
          <w:sz w:val="28"/>
          <w:szCs w:val="28"/>
        </w:rPr>
        <w:t>оно</w:t>
      </w:r>
      <w:r w:rsidR="00BB4C6A">
        <w:rPr>
          <w:sz w:val="28"/>
          <w:szCs w:val="28"/>
        </w:rPr>
        <w:t xml:space="preserve"> искусственно поддержива</w:t>
      </w:r>
      <w:r w:rsidR="00BA5F8D">
        <w:rPr>
          <w:sz w:val="28"/>
          <w:szCs w:val="28"/>
        </w:rPr>
        <w:t>ет</w:t>
      </w:r>
      <w:r w:rsidR="00BB4C6A">
        <w:rPr>
          <w:sz w:val="28"/>
          <w:szCs w:val="28"/>
        </w:rPr>
        <w:t xml:space="preserve"> конкуренцию угля с другими видами топлива. </w:t>
      </w:r>
      <w:r w:rsidR="00BA5F8D">
        <w:rPr>
          <w:sz w:val="28"/>
          <w:szCs w:val="28"/>
        </w:rPr>
        <w:t>Однако б</w:t>
      </w:r>
      <w:r w:rsidR="00BB4C6A">
        <w:rPr>
          <w:sz w:val="28"/>
          <w:szCs w:val="28"/>
        </w:rPr>
        <w:t xml:space="preserve">юджетные ограничения вынуждают проводить постепенную либерализацию и внедрять в национальную энергетику современные рыночные механизмы, </w:t>
      </w:r>
      <w:r w:rsidR="00C9369E">
        <w:rPr>
          <w:sz w:val="28"/>
          <w:szCs w:val="28"/>
        </w:rPr>
        <w:t>например,</w:t>
      </w:r>
      <w:r w:rsidR="00BB4C6A">
        <w:rPr>
          <w:sz w:val="28"/>
          <w:szCs w:val="28"/>
        </w:rPr>
        <w:t xml:space="preserve"> </w:t>
      </w:r>
      <w:proofErr w:type="spellStart"/>
      <w:r w:rsidR="00BB4C6A">
        <w:rPr>
          <w:sz w:val="28"/>
          <w:szCs w:val="28"/>
        </w:rPr>
        <w:t>дерегулирование</w:t>
      </w:r>
      <w:proofErr w:type="spellEnd"/>
      <w:r w:rsidR="00BB4C6A">
        <w:rPr>
          <w:sz w:val="28"/>
          <w:szCs w:val="28"/>
        </w:rPr>
        <w:t xml:space="preserve"> цен конечного потребления, </w:t>
      </w:r>
      <w:r w:rsidR="00C9369E">
        <w:rPr>
          <w:sz w:val="28"/>
          <w:szCs w:val="28"/>
        </w:rPr>
        <w:t>торговлю</w:t>
      </w:r>
      <w:r w:rsidR="00BB4C6A">
        <w:rPr>
          <w:sz w:val="28"/>
          <w:szCs w:val="28"/>
        </w:rPr>
        <w:t xml:space="preserve"> квотами на выбросы загрязняющих веществ и др. </w:t>
      </w:r>
      <w:r w:rsidR="00C9369E">
        <w:rPr>
          <w:rFonts w:eastAsia="Times New Roman"/>
          <w:sz w:val="28"/>
          <w:szCs w:val="28"/>
        </w:rPr>
        <w:t>В следующих главах данного исследования</w:t>
      </w:r>
      <w:r w:rsidR="00C9369E">
        <w:rPr>
          <w:sz w:val="28"/>
          <w:szCs w:val="28"/>
        </w:rPr>
        <w:t xml:space="preserve"> </w:t>
      </w:r>
      <w:r w:rsidR="00BB4C6A">
        <w:rPr>
          <w:sz w:val="28"/>
          <w:szCs w:val="28"/>
        </w:rPr>
        <w:t xml:space="preserve">подробно </w:t>
      </w:r>
      <w:r w:rsidR="00C9369E">
        <w:rPr>
          <w:sz w:val="28"/>
          <w:szCs w:val="28"/>
        </w:rPr>
        <w:t xml:space="preserve">рассмотрены </w:t>
      </w:r>
      <w:r w:rsidR="00BB4C6A">
        <w:rPr>
          <w:sz w:val="28"/>
          <w:szCs w:val="28"/>
        </w:rPr>
        <w:t>п</w:t>
      </w:r>
      <w:r w:rsidR="00520A74">
        <w:rPr>
          <w:sz w:val="28"/>
          <w:szCs w:val="28"/>
        </w:rPr>
        <w:t xml:space="preserve">ричины и механизмы </w:t>
      </w:r>
      <w:r w:rsidR="00C9369E">
        <w:rPr>
          <w:sz w:val="28"/>
          <w:szCs w:val="28"/>
        </w:rPr>
        <w:t xml:space="preserve">обеспечения </w:t>
      </w:r>
      <w:proofErr w:type="spellStart"/>
      <w:r w:rsidR="00B84B87">
        <w:rPr>
          <w:sz w:val="28"/>
          <w:szCs w:val="28"/>
        </w:rPr>
        <w:t>межтопливной</w:t>
      </w:r>
      <w:proofErr w:type="spellEnd"/>
      <w:r w:rsidR="00B84B87">
        <w:rPr>
          <w:sz w:val="28"/>
          <w:szCs w:val="28"/>
        </w:rPr>
        <w:t xml:space="preserve"> конкуре</w:t>
      </w:r>
      <w:r w:rsidR="00520A74">
        <w:rPr>
          <w:sz w:val="28"/>
          <w:szCs w:val="28"/>
        </w:rPr>
        <w:t>нции в Китае</w:t>
      </w:r>
      <w:r w:rsidR="00520A74">
        <w:rPr>
          <w:rFonts w:eastAsia="Times New Roman"/>
          <w:sz w:val="28"/>
          <w:szCs w:val="28"/>
        </w:rPr>
        <w:t xml:space="preserve">. </w:t>
      </w:r>
    </w:p>
    <w:p w14:paraId="07A3814C" w14:textId="77777777" w:rsidR="00107693" w:rsidRDefault="006C659F" w:rsidP="00107693">
      <w:pPr>
        <w:pStyle w:val="Heading1"/>
        <w:spacing w:before="0" w:after="120" w:line="360" w:lineRule="auto"/>
        <w:rPr>
          <w:rFonts w:ascii="Times New Roman" w:hAnsi="Times New Roman"/>
          <w:sz w:val="28"/>
          <w:szCs w:val="28"/>
          <w:lang w:eastAsia="zh-TW"/>
        </w:rPr>
      </w:pPr>
      <w:bookmarkStart w:id="5" w:name="_Toc229737124"/>
      <w:r w:rsidRPr="00723F9E">
        <w:rPr>
          <w:rFonts w:ascii="Times New Roman" w:hAnsi="Times New Roman"/>
          <w:sz w:val="28"/>
          <w:szCs w:val="28"/>
          <w:lang w:eastAsia="zh-TW"/>
        </w:rPr>
        <w:lastRenderedPageBreak/>
        <w:t>2. Структура энергетического потребления Китая</w:t>
      </w:r>
      <w:bookmarkEnd w:id="5"/>
    </w:p>
    <w:p w14:paraId="26A3E46D" w14:textId="77777777" w:rsidR="00107693" w:rsidRPr="00107693" w:rsidRDefault="00107693" w:rsidP="00107693">
      <w:pPr>
        <w:spacing w:after="120" w:line="360" w:lineRule="auto"/>
        <w:ind w:firstLine="709"/>
        <w:jc w:val="both"/>
        <w:rPr>
          <w:lang w:eastAsia="zh-TW"/>
        </w:rPr>
      </w:pPr>
      <w:r>
        <w:rPr>
          <w:sz w:val="28"/>
          <w:szCs w:val="28"/>
        </w:rPr>
        <w:t xml:space="preserve">Для дальнейшего анализа </w:t>
      </w:r>
      <w:proofErr w:type="spellStart"/>
      <w:r>
        <w:rPr>
          <w:sz w:val="28"/>
          <w:szCs w:val="28"/>
        </w:rPr>
        <w:t>межтопливной</w:t>
      </w:r>
      <w:proofErr w:type="spellEnd"/>
      <w:r>
        <w:rPr>
          <w:sz w:val="28"/>
          <w:szCs w:val="28"/>
        </w:rPr>
        <w:t xml:space="preserve"> конкуренции необходимо </w:t>
      </w:r>
      <w:r w:rsidR="00B92916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отраслевые и региональные особенности использования энергии Китаем, а также отметить </w:t>
      </w:r>
      <w:r w:rsidR="00B92916">
        <w:rPr>
          <w:sz w:val="28"/>
          <w:szCs w:val="28"/>
        </w:rPr>
        <w:t>меры</w:t>
      </w:r>
      <w:r>
        <w:rPr>
          <w:sz w:val="28"/>
          <w:szCs w:val="28"/>
        </w:rPr>
        <w:t xml:space="preserve"> энергетической политики: </w:t>
      </w:r>
      <w:r w:rsidR="00B92916">
        <w:rPr>
          <w:sz w:val="28"/>
          <w:szCs w:val="28"/>
        </w:rPr>
        <w:t xml:space="preserve">обозначить место энергетики в общих планах экономического развития, рассмотреть </w:t>
      </w:r>
      <w:r w:rsidR="00F56295">
        <w:rPr>
          <w:sz w:val="28"/>
          <w:szCs w:val="28"/>
        </w:rPr>
        <w:t>с</w:t>
      </w:r>
      <w:r w:rsidR="00B92916">
        <w:rPr>
          <w:sz w:val="28"/>
          <w:szCs w:val="28"/>
        </w:rPr>
        <w:t xml:space="preserve">тепень монополизации, </w:t>
      </w:r>
      <w:r>
        <w:rPr>
          <w:sz w:val="28"/>
          <w:szCs w:val="28"/>
        </w:rPr>
        <w:t xml:space="preserve">порядок ценообразования на энергетических рынках и </w:t>
      </w:r>
      <w:r w:rsidR="00B92916">
        <w:rPr>
          <w:sz w:val="28"/>
          <w:szCs w:val="28"/>
        </w:rPr>
        <w:t>меры поддержки компаний, добывающих первичную и производящих конечную энергию.</w:t>
      </w:r>
    </w:p>
    <w:p w14:paraId="787EFCB1" w14:textId="77777777" w:rsidR="006C659F" w:rsidRPr="00EA5FB6" w:rsidRDefault="006C659F" w:rsidP="00A362BA">
      <w:pPr>
        <w:pStyle w:val="Heading2"/>
      </w:pPr>
      <w:bookmarkStart w:id="6" w:name="_Toc229737125"/>
      <w:r w:rsidRPr="00EA5FB6">
        <w:t>2.1. Связь экономического роста и энергетической политики Китая</w:t>
      </w:r>
      <w:bookmarkEnd w:id="6"/>
    </w:p>
    <w:p w14:paraId="3AB0FD00" w14:textId="0153F40D" w:rsidR="00447F77" w:rsidRDefault="008F55FE" w:rsidP="00DB7A11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Из соображений национальной </w:t>
      </w:r>
      <w:r w:rsidR="006B1A07">
        <w:rPr>
          <w:sz w:val="28"/>
          <w:szCs w:val="28"/>
          <w:lang w:eastAsia="zh-TW"/>
        </w:rPr>
        <w:t xml:space="preserve">и экологической безопасности, </w:t>
      </w:r>
      <w:r>
        <w:rPr>
          <w:sz w:val="28"/>
          <w:szCs w:val="28"/>
          <w:lang w:eastAsia="zh-TW"/>
        </w:rPr>
        <w:t xml:space="preserve">социальной стабильности, </w:t>
      </w:r>
      <w:r w:rsidR="0029434A">
        <w:rPr>
          <w:sz w:val="28"/>
          <w:szCs w:val="28"/>
          <w:lang w:eastAsia="zh-TW"/>
        </w:rPr>
        <w:t xml:space="preserve">Китай сохраняет </w:t>
      </w:r>
      <w:r>
        <w:rPr>
          <w:sz w:val="28"/>
          <w:szCs w:val="28"/>
          <w:lang w:eastAsia="zh-TW"/>
        </w:rPr>
        <w:t>значительн</w:t>
      </w:r>
      <w:r w:rsidR="006B1A07">
        <w:rPr>
          <w:sz w:val="28"/>
          <w:szCs w:val="28"/>
          <w:lang w:eastAsia="zh-TW"/>
        </w:rPr>
        <w:t>ое государственное присутствие</w:t>
      </w:r>
      <w:r w:rsidR="0029434A">
        <w:rPr>
          <w:sz w:val="28"/>
          <w:szCs w:val="28"/>
          <w:lang w:eastAsia="zh-TW"/>
        </w:rPr>
        <w:t xml:space="preserve"> в сфере добычи и производства энергии.</w:t>
      </w:r>
      <w:r>
        <w:rPr>
          <w:sz w:val="28"/>
          <w:szCs w:val="28"/>
          <w:lang w:eastAsia="zh-TW"/>
        </w:rPr>
        <w:t xml:space="preserve"> За регулирование </w:t>
      </w:r>
      <w:r w:rsidR="00F773F2">
        <w:rPr>
          <w:sz w:val="28"/>
          <w:szCs w:val="28"/>
          <w:lang w:eastAsia="zh-TW"/>
        </w:rPr>
        <w:t xml:space="preserve">различных </w:t>
      </w:r>
      <w:r w:rsidR="006B1A07">
        <w:rPr>
          <w:sz w:val="28"/>
          <w:szCs w:val="28"/>
          <w:lang w:eastAsia="zh-TW"/>
        </w:rPr>
        <w:t>сфер</w:t>
      </w:r>
      <w:r>
        <w:rPr>
          <w:sz w:val="28"/>
          <w:szCs w:val="28"/>
          <w:lang w:eastAsia="zh-TW"/>
        </w:rPr>
        <w:t xml:space="preserve"> </w:t>
      </w:r>
      <w:r w:rsidR="00F773F2">
        <w:rPr>
          <w:sz w:val="28"/>
          <w:szCs w:val="28"/>
          <w:lang w:eastAsia="zh-TW"/>
        </w:rPr>
        <w:t xml:space="preserve">энергетики </w:t>
      </w:r>
      <w:r>
        <w:rPr>
          <w:sz w:val="28"/>
          <w:szCs w:val="28"/>
          <w:lang w:eastAsia="zh-TW"/>
        </w:rPr>
        <w:t xml:space="preserve">отвечают несколько органов: Государственный комитет по развитию и реформе, Министерство земельных и природных ресурсов, Министерство защиты окружающей среды и др. </w:t>
      </w:r>
      <w:r w:rsidR="00447F77">
        <w:rPr>
          <w:sz w:val="28"/>
          <w:szCs w:val="28"/>
          <w:lang w:eastAsia="zh-TW"/>
        </w:rPr>
        <w:t>Тем не менее, в ходе общего процесса рыночных реформ были проведены преобразования, направленные на либерализацию и повышение эффективности энергетического сектора.</w:t>
      </w:r>
    </w:p>
    <w:p w14:paraId="32E6B5A7" w14:textId="5B664C37" w:rsidR="00447F77" w:rsidRDefault="00447F77" w:rsidP="00447F77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Например, до 1979 г. сфера электроэнергетики, включая процессы инвестирования и у</w:t>
      </w:r>
      <w:r w:rsidR="00F56295">
        <w:rPr>
          <w:sz w:val="28"/>
          <w:szCs w:val="28"/>
          <w:lang w:eastAsia="zh-TW"/>
        </w:rPr>
        <w:t>правления, полностью находилась</w:t>
      </w:r>
      <w:r>
        <w:rPr>
          <w:sz w:val="28"/>
          <w:szCs w:val="28"/>
          <w:lang w:eastAsia="zh-TW"/>
        </w:rPr>
        <w:t xml:space="preserve"> под контролем государства. Производственные компании отвечали только за достижение количественных нормативов, а не за увеличение доходности. Прибыли или </w:t>
      </w:r>
      <w:r w:rsidR="00F56295">
        <w:rPr>
          <w:sz w:val="28"/>
          <w:szCs w:val="28"/>
          <w:lang w:eastAsia="zh-TW"/>
        </w:rPr>
        <w:t>убытки</w:t>
      </w:r>
      <w:r>
        <w:rPr>
          <w:sz w:val="28"/>
          <w:szCs w:val="28"/>
          <w:lang w:eastAsia="zh-TW"/>
        </w:rPr>
        <w:t xml:space="preserve"> передавались в центральный бюджет. В связи с такой политикой</w:t>
      </w:r>
      <w:r w:rsidR="00F56295">
        <w:rPr>
          <w:sz w:val="28"/>
          <w:szCs w:val="28"/>
          <w:lang w:eastAsia="zh-TW"/>
        </w:rPr>
        <w:t>,</w:t>
      </w:r>
      <w:r>
        <w:rPr>
          <w:sz w:val="28"/>
          <w:szCs w:val="28"/>
          <w:lang w:eastAsia="zh-TW"/>
        </w:rPr>
        <w:t xml:space="preserve"> в период 1949-1979 гг. Китай испытывал значительный дефицит мощностей, препятствующий </w:t>
      </w:r>
      <w:r w:rsidR="00F773F2">
        <w:rPr>
          <w:sz w:val="28"/>
          <w:szCs w:val="28"/>
          <w:lang w:eastAsia="zh-TW"/>
        </w:rPr>
        <w:t xml:space="preserve">стабильным производственным процессам и, следовательно, всему </w:t>
      </w:r>
      <w:r>
        <w:rPr>
          <w:sz w:val="28"/>
          <w:szCs w:val="28"/>
          <w:lang w:eastAsia="zh-TW"/>
        </w:rPr>
        <w:t>экономическому развитию</w:t>
      </w:r>
      <w:r w:rsidR="005D0442">
        <w:rPr>
          <w:rStyle w:val="FootnoteReference"/>
          <w:sz w:val="28"/>
          <w:szCs w:val="28"/>
          <w:lang w:eastAsia="zh-TW"/>
        </w:rPr>
        <w:footnoteReference w:id="24"/>
      </w:r>
      <w:r>
        <w:rPr>
          <w:sz w:val="28"/>
          <w:szCs w:val="28"/>
          <w:lang w:eastAsia="zh-TW"/>
        </w:rPr>
        <w:t>.</w:t>
      </w:r>
    </w:p>
    <w:p w14:paraId="2AE7F815" w14:textId="6780FF21" w:rsidR="00F773F2" w:rsidRPr="003F0512" w:rsidRDefault="00447F77" w:rsidP="00F773F2">
      <w:pPr>
        <w:spacing w:after="120" w:line="360" w:lineRule="auto"/>
        <w:ind w:firstLine="709"/>
        <w:jc w:val="both"/>
        <w:rPr>
          <w:sz w:val="28"/>
          <w:szCs w:val="28"/>
          <w:lang w:val="en-US" w:eastAsia="zh-TW"/>
        </w:rPr>
      </w:pPr>
      <w:r>
        <w:rPr>
          <w:sz w:val="28"/>
          <w:szCs w:val="28"/>
          <w:lang w:eastAsia="zh-TW"/>
        </w:rPr>
        <w:lastRenderedPageBreak/>
        <w:t xml:space="preserve">Сейчас </w:t>
      </w:r>
      <w:r w:rsidR="00FE1350">
        <w:rPr>
          <w:sz w:val="28"/>
          <w:szCs w:val="28"/>
          <w:lang w:eastAsia="zh-TW"/>
        </w:rPr>
        <w:t xml:space="preserve">рынок каждого из </w:t>
      </w:r>
      <w:r w:rsidR="00F56295">
        <w:rPr>
          <w:sz w:val="28"/>
          <w:szCs w:val="28"/>
          <w:lang w:eastAsia="zh-TW"/>
        </w:rPr>
        <w:t>видов топлива и рынок электроэнергетики</w:t>
      </w:r>
      <w:r w:rsidR="00FE1350">
        <w:rPr>
          <w:sz w:val="28"/>
          <w:szCs w:val="28"/>
          <w:lang w:eastAsia="zh-TW"/>
        </w:rPr>
        <w:t xml:space="preserve"> имеют свои ос</w:t>
      </w:r>
      <w:r w:rsidR="00F56295">
        <w:rPr>
          <w:sz w:val="28"/>
          <w:szCs w:val="28"/>
          <w:lang w:eastAsia="zh-TW"/>
        </w:rPr>
        <w:t>обенности регулирования и поряд</w:t>
      </w:r>
      <w:r w:rsidR="00FE1350">
        <w:rPr>
          <w:sz w:val="28"/>
          <w:szCs w:val="28"/>
          <w:lang w:eastAsia="zh-TW"/>
        </w:rPr>
        <w:t>к</w:t>
      </w:r>
      <w:r w:rsidR="00F56295">
        <w:rPr>
          <w:sz w:val="28"/>
          <w:szCs w:val="28"/>
          <w:lang w:eastAsia="zh-TW"/>
        </w:rPr>
        <w:t>и</w:t>
      </w:r>
      <w:r w:rsidR="00FE1350">
        <w:rPr>
          <w:sz w:val="28"/>
          <w:szCs w:val="28"/>
          <w:lang w:eastAsia="zh-TW"/>
        </w:rPr>
        <w:t xml:space="preserve"> ценообразования. Наиболее фрагментированным и высоко конкурентным является рынок угля (см. </w:t>
      </w:r>
      <w:r w:rsidR="00424465">
        <w:rPr>
          <w:sz w:val="28"/>
          <w:szCs w:val="28"/>
          <w:lang w:eastAsia="zh-TW"/>
        </w:rPr>
        <w:t>Пункт</w:t>
      </w:r>
      <w:r w:rsidR="00FE1350">
        <w:rPr>
          <w:sz w:val="28"/>
          <w:szCs w:val="28"/>
          <w:lang w:eastAsia="zh-TW"/>
        </w:rPr>
        <w:t xml:space="preserve"> 3.1). </w:t>
      </w:r>
      <w:r w:rsidR="00C21040">
        <w:rPr>
          <w:sz w:val="28"/>
          <w:szCs w:val="28"/>
          <w:lang w:eastAsia="zh-TW"/>
        </w:rPr>
        <w:t>Разработка нефтяных и газовых</w:t>
      </w:r>
      <w:r w:rsidR="00424465">
        <w:rPr>
          <w:sz w:val="28"/>
          <w:szCs w:val="28"/>
          <w:lang w:eastAsia="zh-TW"/>
        </w:rPr>
        <w:t xml:space="preserve"> (см. Пункт 3.2)</w:t>
      </w:r>
      <w:r w:rsidR="00C21040">
        <w:rPr>
          <w:sz w:val="28"/>
          <w:szCs w:val="28"/>
          <w:lang w:eastAsia="zh-TW"/>
        </w:rPr>
        <w:t xml:space="preserve"> </w:t>
      </w:r>
      <w:r w:rsidR="00031EE9">
        <w:rPr>
          <w:sz w:val="28"/>
          <w:szCs w:val="28"/>
          <w:lang w:eastAsia="zh-TW"/>
        </w:rPr>
        <w:t>месторождений и переработка полученных продуктов, напротив, представляет собой олигополию государственных корпораций</w:t>
      </w:r>
      <w:r w:rsidR="00021587">
        <w:rPr>
          <w:sz w:val="28"/>
          <w:szCs w:val="28"/>
          <w:lang w:eastAsia="zh-TW"/>
        </w:rPr>
        <w:t xml:space="preserve"> (см. </w:t>
      </w:r>
      <w:proofErr w:type="spellStart"/>
      <w:r w:rsidR="00021587">
        <w:rPr>
          <w:sz w:val="28"/>
          <w:szCs w:val="28"/>
          <w:lang w:eastAsia="zh-TW"/>
        </w:rPr>
        <w:t>Табл</w:t>
      </w:r>
      <w:proofErr w:type="spellEnd"/>
      <w:r w:rsidR="00021587" w:rsidRPr="003F0512">
        <w:rPr>
          <w:sz w:val="28"/>
          <w:szCs w:val="28"/>
          <w:lang w:val="en-US" w:eastAsia="zh-TW"/>
        </w:rPr>
        <w:t>.</w:t>
      </w:r>
      <w:r w:rsidR="00F56295" w:rsidRPr="003F0512">
        <w:rPr>
          <w:sz w:val="28"/>
          <w:szCs w:val="28"/>
          <w:lang w:val="en-US" w:eastAsia="zh-TW"/>
        </w:rPr>
        <w:t xml:space="preserve"> </w:t>
      </w:r>
      <w:r w:rsidR="00650D01" w:rsidRPr="003F0512">
        <w:rPr>
          <w:sz w:val="28"/>
          <w:szCs w:val="28"/>
          <w:lang w:val="en-US" w:eastAsia="zh-TW"/>
        </w:rPr>
        <w:t>2</w:t>
      </w:r>
      <w:r w:rsidR="00021587" w:rsidRPr="003F0512">
        <w:rPr>
          <w:sz w:val="28"/>
          <w:szCs w:val="28"/>
          <w:lang w:val="en-US" w:eastAsia="zh-TW"/>
        </w:rPr>
        <w:t>)</w:t>
      </w:r>
      <w:r w:rsidR="00031EE9" w:rsidRPr="003F0512">
        <w:rPr>
          <w:sz w:val="28"/>
          <w:szCs w:val="28"/>
          <w:lang w:val="en-US" w:eastAsia="zh-TW"/>
        </w:rPr>
        <w:t xml:space="preserve">, </w:t>
      </w:r>
      <w:r w:rsidR="00031EE9">
        <w:rPr>
          <w:sz w:val="28"/>
          <w:szCs w:val="28"/>
          <w:lang w:eastAsia="zh-TW"/>
        </w:rPr>
        <w:t>среди</w:t>
      </w:r>
      <w:r w:rsidR="00031EE9" w:rsidRPr="003F0512">
        <w:rPr>
          <w:sz w:val="28"/>
          <w:szCs w:val="28"/>
          <w:lang w:val="en-US" w:eastAsia="zh-TW"/>
        </w:rPr>
        <w:t xml:space="preserve"> </w:t>
      </w:r>
      <w:r w:rsidR="00031EE9">
        <w:rPr>
          <w:sz w:val="28"/>
          <w:szCs w:val="28"/>
          <w:lang w:eastAsia="zh-TW"/>
        </w:rPr>
        <w:t>которых</w:t>
      </w:r>
      <w:r w:rsidR="00031EE9" w:rsidRPr="003F0512">
        <w:rPr>
          <w:sz w:val="28"/>
          <w:szCs w:val="28"/>
          <w:lang w:val="en-US" w:eastAsia="zh-TW"/>
        </w:rPr>
        <w:t xml:space="preserve"> </w:t>
      </w:r>
      <w:r w:rsidR="0055397D">
        <w:rPr>
          <w:sz w:val="28"/>
          <w:szCs w:val="28"/>
          <w:lang w:eastAsia="zh-TW"/>
        </w:rPr>
        <w:t>крупнейшими</w:t>
      </w:r>
      <w:r w:rsidR="0055397D" w:rsidRPr="003F0512">
        <w:rPr>
          <w:sz w:val="28"/>
          <w:szCs w:val="28"/>
          <w:lang w:val="en-US" w:eastAsia="zh-TW"/>
        </w:rPr>
        <w:t xml:space="preserve"> </w:t>
      </w:r>
      <w:r w:rsidR="0055397D">
        <w:rPr>
          <w:sz w:val="28"/>
          <w:szCs w:val="28"/>
          <w:lang w:eastAsia="zh-TW"/>
        </w:rPr>
        <w:t>являются</w:t>
      </w:r>
      <w:r w:rsidR="0055397D" w:rsidRPr="003F0512">
        <w:rPr>
          <w:sz w:val="28"/>
          <w:szCs w:val="28"/>
          <w:lang w:val="en-US" w:eastAsia="zh-TW"/>
        </w:rPr>
        <w:t xml:space="preserve"> </w:t>
      </w:r>
      <w:r w:rsidR="00031EE9">
        <w:rPr>
          <w:sz w:val="28"/>
          <w:szCs w:val="28"/>
          <w:lang w:val="en-US" w:eastAsia="zh-TW"/>
        </w:rPr>
        <w:t>C</w:t>
      </w:r>
      <w:r w:rsidR="00031EE9" w:rsidRPr="003F0512">
        <w:rPr>
          <w:sz w:val="28"/>
          <w:szCs w:val="28"/>
          <w:lang w:val="en-US" w:eastAsia="zh-TW"/>
        </w:rPr>
        <w:t>hina National Petroleum Corporation</w:t>
      </w:r>
      <w:r w:rsidR="00424465" w:rsidRPr="003F0512">
        <w:rPr>
          <w:sz w:val="28"/>
          <w:szCs w:val="28"/>
          <w:lang w:val="en-US" w:eastAsia="zh-TW"/>
        </w:rPr>
        <w:t xml:space="preserve"> (</w:t>
      </w:r>
      <w:r w:rsidR="00424465">
        <w:rPr>
          <w:sz w:val="28"/>
          <w:szCs w:val="28"/>
          <w:lang w:val="en-US" w:eastAsia="zh-TW"/>
        </w:rPr>
        <w:t>CNPC)</w:t>
      </w:r>
      <w:r w:rsidR="00031EE9" w:rsidRPr="003F0512">
        <w:rPr>
          <w:sz w:val="28"/>
          <w:szCs w:val="28"/>
          <w:lang w:val="en-US" w:eastAsia="zh-TW"/>
        </w:rPr>
        <w:t>, Sinopec</w:t>
      </w:r>
      <w:r w:rsidR="0055397D" w:rsidRPr="003F0512">
        <w:rPr>
          <w:sz w:val="28"/>
          <w:szCs w:val="28"/>
          <w:lang w:val="en-US" w:eastAsia="zh-TW"/>
        </w:rPr>
        <w:t xml:space="preserve"> Group</w:t>
      </w:r>
      <w:r w:rsidR="00424465" w:rsidRPr="003F0512">
        <w:rPr>
          <w:sz w:val="28"/>
          <w:szCs w:val="28"/>
          <w:lang w:val="en-US" w:eastAsia="zh-TW"/>
        </w:rPr>
        <w:t xml:space="preserve"> (SG)</w:t>
      </w:r>
      <w:r w:rsidR="00031EE9" w:rsidRPr="003F0512">
        <w:rPr>
          <w:sz w:val="28"/>
          <w:szCs w:val="28"/>
          <w:lang w:val="en-US" w:eastAsia="zh-TW"/>
        </w:rPr>
        <w:t>, China National Offshore Oil Corporation</w:t>
      </w:r>
      <w:r w:rsidR="00424465" w:rsidRPr="003F0512">
        <w:rPr>
          <w:sz w:val="28"/>
          <w:szCs w:val="28"/>
          <w:lang w:val="en-US" w:eastAsia="zh-TW"/>
        </w:rPr>
        <w:t xml:space="preserve"> (CNOOC)</w:t>
      </w:r>
      <w:r w:rsidR="005D0442">
        <w:rPr>
          <w:sz w:val="28"/>
          <w:szCs w:val="28"/>
          <w:lang w:val="en-US" w:eastAsia="zh-TW"/>
        </w:rPr>
        <w:t xml:space="preserve">. </w:t>
      </w:r>
      <w:r w:rsidR="00EC48DD" w:rsidRPr="00EC48DD">
        <w:rPr>
          <w:sz w:val="28"/>
          <w:szCs w:val="28"/>
          <w:lang w:eastAsia="zh-TW"/>
        </w:rPr>
        <w:t>Вместе они отвечают за почти всю в</w:t>
      </w:r>
      <w:r w:rsidR="00F773F2">
        <w:rPr>
          <w:sz w:val="28"/>
          <w:szCs w:val="28"/>
          <w:lang w:eastAsia="zh-TW"/>
        </w:rPr>
        <w:t xml:space="preserve">нутреннюю добычу нефти и газа, </w:t>
      </w:r>
      <w:r w:rsidR="00EC48DD" w:rsidRPr="00EC48DD">
        <w:rPr>
          <w:sz w:val="28"/>
          <w:szCs w:val="28"/>
          <w:lang w:eastAsia="zh-TW"/>
        </w:rPr>
        <w:t xml:space="preserve">представляют Китай </w:t>
      </w:r>
      <w:r w:rsidR="00F773F2">
        <w:rPr>
          <w:sz w:val="28"/>
          <w:szCs w:val="28"/>
          <w:lang w:eastAsia="zh-TW"/>
        </w:rPr>
        <w:t>за рубежом</w:t>
      </w:r>
      <w:r w:rsidR="00676A41">
        <w:rPr>
          <w:sz w:val="28"/>
          <w:szCs w:val="28"/>
          <w:lang w:val="en-US" w:eastAsia="zh-TW"/>
        </w:rPr>
        <w:t>.</w:t>
      </w:r>
      <w:r w:rsidR="00F773F2" w:rsidRPr="00F773F2">
        <w:rPr>
          <w:sz w:val="28"/>
          <w:szCs w:val="28"/>
          <w:lang w:val="en-US" w:eastAsia="zh-TW"/>
        </w:rPr>
        <w:t xml:space="preserve"> </w:t>
      </w:r>
      <w:r w:rsidR="00F773F2">
        <w:rPr>
          <w:sz w:val="28"/>
          <w:szCs w:val="28"/>
          <w:lang w:eastAsia="zh-TW"/>
        </w:rPr>
        <w:t xml:space="preserve">Через эти компании государство поддерживает нефтегазовый рынок конкурентоспособным с углем. </w:t>
      </w:r>
    </w:p>
    <w:p w14:paraId="6BDC75EC" w14:textId="77777777" w:rsidR="00021587" w:rsidRPr="00021587" w:rsidRDefault="00021587" w:rsidP="00021587">
      <w:pPr>
        <w:spacing w:after="120" w:line="360" w:lineRule="auto"/>
        <w:jc w:val="both"/>
        <w:rPr>
          <w:b/>
          <w:sz w:val="28"/>
          <w:szCs w:val="28"/>
          <w:lang w:eastAsia="zh-TW"/>
        </w:rPr>
      </w:pPr>
      <w:r w:rsidRPr="00021587">
        <w:rPr>
          <w:b/>
          <w:sz w:val="28"/>
          <w:szCs w:val="28"/>
          <w:lang w:eastAsia="zh-TW"/>
        </w:rPr>
        <w:t>Таблица</w:t>
      </w:r>
      <w:r w:rsidR="00650D01">
        <w:rPr>
          <w:b/>
          <w:sz w:val="28"/>
          <w:szCs w:val="28"/>
          <w:lang w:eastAsia="zh-TW"/>
        </w:rPr>
        <w:t xml:space="preserve"> 2</w:t>
      </w:r>
      <w:r w:rsidRPr="00021587">
        <w:rPr>
          <w:b/>
          <w:sz w:val="28"/>
          <w:szCs w:val="28"/>
          <w:lang w:eastAsia="zh-TW"/>
        </w:rPr>
        <w:t>. Основные показатели деятельности крупнейших компаний Китая в сфере добычи и переработки нефти и газа</w:t>
      </w:r>
      <w:r w:rsidR="00BB14C6">
        <w:rPr>
          <w:b/>
          <w:sz w:val="28"/>
          <w:szCs w:val="28"/>
          <w:lang w:eastAsia="zh-TW"/>
        </w:rPr>
        <w:t>, 2011 г.</w:t>
      </w:r>
      <w:r w:rsidRPr="00021587">
        <w:rPr>
          <w:b/>
          <w:sz w:val="28"/>
          <w:szCs w:val="28"/>
          <w:lang w:eastAsia="zh-TW"/>
        </w:rPr>
        <w:t xml:space="preserve">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84"/>
        <w:gridCol w:w="1843"/>
        <w:gridCol w:w="1559"/>
        <w:gridCol w:w="2410"/>
        <w:gridCol w:w="2410"/>
      </w:tblGrid>
      <w:tr w:rsidR="00A328B4" w:rsidRPr="00424465" w14:paraId="2B71B939" w14:textId="77777777" w:rsidTr="00A328B4">
        <w:trPr>
          <w:trHeight w:val="832"/>
        </w:trPr>
        <w:tc>
          <w:tcPr>
            <w:tcW w:w="1384" w:type="dxa"/>
          </w:tcPr>
          <w:p w14:paraId="03A4DE1E" w14:textId="77777777" w:rsidR="00424465" w:rsidRPr="00424465" w:rsidRDefault="00424465" w:rsidP="00A328B4">
            <w:pPr>
              <w:spacing w:after="120"/>
              <w:rPr>
                <w:lang w:eastAsia="zh-TW"/>
              </w:rPr>
            </w:pPr>
            <w:r w:rsidRPr="00424465">
              <w:rPr>
                <w:lang w:eastAsia="zh-TW"/>
              </w:rPr>
              <w:t>Компания</w:t>
            </w:r>
          </w:p>
        </w:tc>
        <w:tc>
          <w:tcPr>
            <w:tcW w:w="1843" w:type="dxa"/>
          </w:tcPr>
          <w:p w14:paraId="66E9D048" w14:textId="77777777" w:rsidR="00424465" w:rsidRPr="00424465" w:rsidRDefault="00A328B4" w:rsidP="00A328B4">
            <w:pPr>
              <w:spacing w:after="120"/>
              <w:rPr>
                <w:lang w:eastAsia="zh-TW"/>
              </w:rPr>
            </w:pPr>
            <w:r>
              <w:rPr>
                <w:lang w:eastAsia="zh-TW"/>
              </w:rPr>
              <w:t>Доля государства, %</w:t>
            </w:r>
          </w:p>
        </w:tc>
        <w:tc>
          <w:tcPr>
            <w:tcW w:w="1559" w:type="dxa"/>
          </w:tcPr>
          <w:p w14:paraId="32E83A84" w14:textId="77777777" w:rsidR="00424465" w:rsidRPr="00424465" w:rsidRDefault="00424465" w:rsidP="00A328B4">
            <w:pPr>
              <w:spacing w:after="120"/>
              <w:rPr>
                <w:lang w:eastAsia="zh-TW"/>
              </w:rPr>
            </w:pPr>
            <w:r>
              <w:rPr>
                <w:lang w:eastAsia="zh-TW"/>
              </w:rPr>
              <w:t>Выручка, млрд. юаней</w:t>
            </w:r>
          </w:p>
        </w:tc>
        <w:tc>
          <w:tcPr>
            <w:tcW w:w="2410" w:type="dxa"/>
          </w:tcPr>
          <w:p w14:paraId="1219A40F" w14:textId="77777777" w:rsidR="00424465" w:rsidRPr="00424465" w:rsidRDefault="00424465" w:rsidP="00BB14C6">
            <w:pPr>
              <w:spacing w:after="120"/>
              <w:rPr>
                <w:lang w:eastAsia="zh-TW"/>
              </w:rPr>
            </w:pPr>
            <w:r>
              <w:rPr>
                <w:lang w:eastAsia="zh-TW"/>
              </w:rPr>
              <w:t>Объем добычи нефти</w:t>
            </w:r>
            <w:r w:rsidR="00A328B4">
              <w:rPr>
                <w:lang w:eastAsia="zh-TW"/>
              </w:rPr>
              <w:t xml:space="preserve">, </w:t>
            </w:r>
            <w:r w:rsidR="00BB14C6">
              <w:rPr>
                <w:lang w:eastAsia="zh-TW"/>
              </w:rPr>
              <w:t>млн.</w:t>
            </w:r>
            <w:r w:rsidR="00A328B4">
              <w:rPr>
                <w:lang w:eastAsia="zh-TW"/>
              </w:rPr>
              <w:t xml:space="preserve"> </w:t>
            </w:r>
            <w:r w:rsidR="00BB14C6">
              <w:rPr>
                <w:lang w:eastAsia="zh-TW"/>
              </w:rPr>
              <w:t>бар.</w:t>
            </w:r>
          </w:p>
        </w:tc>
        <w:tc>
          <w:tcPr>
            <w:tcW w:w="2410" w:type="dxa"/>
          </w:tcPr>
          <w:p w14:paraId="7CB79F93" w14:textId="77777777" w:rsidR="00424465" w:rsidRPr="00424465" w:rsidRDefault="00424465" w:rsidP="00A328B4">
            <w:pPr>
              <w:spacing w:after="120"/>
              <w:rPr>
                <w:lang w:eastAsia="zh-TW"/>
              </w:rPr>
            </w:pPr>
            <w:r>
              <w:rPr>
                <w:lang w:eastAsia="zh-TW"/>
              </w:rPr>
              <w:t>Объем добычи газа</w:t>
            </w:r>
            <w:r w:rsidR="00BB14C6">
              <w:rPr>
                <w:lang w:eastAsia="zh-TW"/>
              </w:rPr>
              <w:t>, млрд. куб. фут</w:t>
            </w:r>
          </w:p>
        </w:tc>
      </w:tr>
      <w:tr w:rsidR="00A328B4" w:rsidRPr="00424465" w14:paraId="62ACE074" w14:textId="77777777" w:rsidTr="00A328B4">
        <w:trPr>
          <w:trHeight w:val="369"/>
        </w:trPr>
        <w:tc>
          <w:tcPr>
            <w:tcW w:w="1384" w:type="dxa"/>
          </w:tcPr>
          <w:p w14:paraId="44DB8C0F" w14:textId="77777777" w:rsidR="00424465" w:rsidRPr="00424465" w:rsidRDefault="00424465" w:rsidP="00424465">
            <w:pPr>
              <w:spacing w:after="120"/>
              <w:jc w:val="both"/>
              <w:rPr>
                <w:lang w:eastAsia="zh-TW"/>
              </w:rPr>
            </w:pPr>
            <w:r>
              <w:rPr>
                <w:lang w:eastAsia="zh-TW"/>
              </w:rPr>
              <w:t>CNPC</w:t>
            </w:r>
          </w:p>
        </w:tc>
        <w:tc>
          <w:tcPr>
            <w:tcW w:w="1843" w:type="dxa"/>
          </w:tcPr>
          <w:p w14:paraId="3598F8D0" w14:textId="77777777" w:rsidR="00424465" w:rsidRPr="00BB14C6" w:rsidRDefault="00BB14C6" w:rsidP="00424465">
            <w:pPr>
              <w:spacing w:after="120"/>
              <w:jc w:val="both"/>
              <w:rPr>
                <w:lang w:eastAsia="zh-TW"/>
              </w:rPr>
            </w:pPr>
            <w:r w:rsidRPr="00BB14C6">
              <w:rPr>
                <w:lang w:eastAsia="zh-TW"/>
              </w:rPr>
              <w:t>86</w:t>
            </w:r>
          </w:p>
        </w:tc>
        <w:tc>
          <w:tcPr>
            <w:tcW w:w="1559" w:type="dxa"/>
          </w:tcPr>
          <w:p w14:paraId="488E037A" w14:textId="77777777" w:rsidR="00424465" w:rsidRPr="00BB14C6" w:rsidRDefault="00BB14C6" w:rsidP="00424465">
            <w:pPr>
              <w:spacing w:after="120"/>
              <w:jc w:val="both"/>
              <w:rPr>
                <w:lang w:eastAsia="zh-TW"/>
              </w:rPr>
            </w:pPr>
            <w:r>
              <w:rPr>
                <w:lang w:eastAsia="zh-TW"/>
              </w:rPr>
              <w:t>2381</w:t>
            </w:r>
          </w:p>
        </w:tc>
        <w:tc>
          <w:tcPr>
            <w:tcW w:w="2410" w:type="dxa"/>
          </w:tcPr>
          <w:p w14:paraId="0B2836D7" w14:textId="77777777" w:rsidR="00424465" w:rsidRPr="00BB14C6" w:rsidRDefault="00BB14C6" w:rsidP="00424465">
            <w:pPr>
              <w:spacing w:after="120"/>
              <w:jc w:val="both"/>
              <w:rPr>
                <w:lang w:eastAsia="zh-TW"/>
              </w:rPr>
            </w:pPr>
            <w:r>
              <w:rPr>
                <w:lang w:eastAsia="zh-TW"/>
              </w:rPr>
              <w:t>10</w:t>
            </w:r>
            <w:r w:rsidR="003D0822">
              <w:rPr>
                <w:lang w:eastAsia="zh-TW"/>
              </w:rPr>
              <w:t>90</w:t>
            </w:r>
          </w:p>
        </w:tc>
        <w:tc>
          <w:tcPr>
            <w:tcW w:w="2410" w:type="dxa"/>
          </w:tcPr>
          <w:p w14:paraId="20CC8F94" w14:textId="77777777" w:rsidR="00424465" w:rsidRPr="00BB14C6" w:rsidRDefault="00BB14C6" w:rsidP="00424465">
            <w:pPr>
              <w:spacing w:after="120"/>
              <w:jc w:val="both"/>
              <w:rPr>
                <w:lang w:eastAsia="zh-TW"/>
              </w:rPr>
            </w:pPr>
            <w:r>
              <w:rPr>
                <w:lang w:eastAsia="zh-TW"/>
              </w:rPr>
              <w:t>311</w:t>
            </w:r>
            <w:r w:rsidR="003D0822">
              <w:rPr>
                <w:lang w:eastAsia="zh-TW"/>
              </w:rPr>
              <w:t>3</w:t>
            </w:r>
          </w:p>
        </w:tc>
      </w:tr>
      <w:tr w:rsidR="00A328B4" w:rsidRPr="00424465" w14:paraId="45927B7A" w14:textId="77777777" w:rsidTr="00A328B4">
        <w:trPr>
          <w:trHeight w:val="356"/>
        </w:trPr>
        <w:tc>
          <w:tcPr>
            <w:tcW w:w="1384" w:type="dxa"/>
          </w:tcPr>
          <w:p w14:paraId="1D2BAB1E" w14:textId="77777777" w:rsidR="00424465" w:rsidRPr="00424465" w:rsidRDefault="00424465" w:rsidP="00424465">
            <w:pPr>
              <w:spacing w:after="120"/>
              <w:jc w:val="both"/>
              <w:rPr>
                <w:lang w:eastAsia="zh-TW"/>
              </w:rPr>
            </w:pPr>
            <w:r>
              <w:rPr>
                <w:lang w:eastAsia="zh-TW"/>
              </w:rPr>
              <w:t>SG</w:t>
            </w:r>
          </w:p>
        </w:tc>
        <w:tc>
          <w:tcPr>
            <w:tcW w:w="1843" w:type="dxa"/>
          </w:tcPr>
          <w:p w14:paraId="2F5063BC" w14:textId="77777777" w:rsidR="00424465" w:rsidRPr="00BB14C6" w:rsidRDefault="00BB14C6" w:rsidP="00424465">
            <w:pPr>
              <w:spacing w:after="120"/>
              <w:jc w:val="both"/>
              <w:rPr>
                <w:lang w:eastAsia="zh-TW"/>
              </w:rPr>
            </w:pPr>
            <w:r w:rsidRPr="00BB14C6">
              <w:rPr>
                <w:lang w:eastAsia="zh-TW"/>
              </w:rPr>
              <w:t>76</w:t>
            </w:r>
          </w:p>
        </w:tc>
        <w:tc>
          <w:tcPr>
            <w:tcW w:w="1559" w:type="dxa"/>
          </w:tcPr>
          <w:p w14:paraId="3A0EE1DD" w14:textId="77777777" w:rsidR="00424465" w:rsidRPr="008845B4" w:rsidRDefault="00BB14C6" w:rsidP="00424465">
            <w:pPr>
              <w:spacing w:after="120"/>
              <w:jc w:val="both"/>
              <w:rPr>
                <w:lang w:eastAsia="zh-TW"/>
              </w:rPr>
            </w:pPr>
            <w:r w:rsidRPr="008845B4">
              <w:rPr>
                <w:lang w:eastAsia="zh-TW"/>
              </w:rPr>
              <w:t>2506</w:t>
            </w:r>
          </w:p>
        </w:tc>
        <w:tc>
          <w:tcPr>
            <w:tcW w:w="2410" w:type="dxa"/>
          </w:tcPr>
          <w:p w14:paraId="67FBA876" w14:textId="77777777" w:rsidR="00424465" w:rsidRPr="008845B4" w:rsidRDefault="00BB14C6" w:rsidP="00424465">
            <w:pPr>
              <w:spacing w:after="120"/>
              <w:jc w:val="both"/>
              <w:rPr>
                <w:lang w:eastAsia="zh-TW"/>
              </w:rPr>
            </w:pPr>
            <w:r w:rsidRPr="008845B4">
              <w:rPr>
                <w:lang w:eastAsia="zh-TW"/>
              </w:rPr>
              <w:t>32</w:t>
            </w:r>
            <w:r w:rsidR="008845B4" w:rsidRPr="008845B4">
              <w:rPr>
                <w:lang w:eastAsia="zh-TW"/>
              </w:rPr>
              <w:t>2</w:t>
            </w:r>
          </w:p>
        </w:tc>
        <w:tc>
          <w:tcPr>
            <w:tcW w:w="2410" w:type="dxa"/>
          </w:tcPr>
          <w:p w14:paraId="3C7A9427" w14:textId="77777777" w:rsidR="00424465" w:rsidRPr="008845B4" w:rsidRDefault="00BB14C6" w:rsidP="00424465">
            <w:pPr>
              <w:spacing w:after="120"/>
              <w:jc w:val="both"/>
              <w:rPr>
                <w:lang w:eastAsia="zh-TW"/>
              </w:rPr>
            </w:pPr>
            <w:r w:rsidRPr="008845B4">
              <w:rPr>
                <w:lang w:eastAsia="zh-TW"/>
              </w:rPr>
              <w:t>517</w:t>
            </w:r>
          </w:p>
        </w:tc>
      </w:tr>
      <w:tr w:rsidR="00A328B4" w:rsidRPr="00424465" w14:paraId="76F6F9B7" w14:textId="77777777" w:rsidTr="00A328B4">
        <w:trPr>
          <w:trHeight w:val="356"/>
        </w:trPr>
        <w:tc>
          <w:tcPr>
            <w:tcW w:w="1384" w:type="dxa"/>
          </w:tcPr>
          <w:p w14:paraId="1F97D2F6" w14:textId="77777777" w:rsidR="00A328B4" w:rsidRPr="00424465" w:rsidRDefault="00A328B4" w:rsidP="00424465">
            <w:pPr>
              <w:spacing w:after="120"/>
              <w:jc w:val="both"/>
              <w:rPr>
                <w:lang w:eastAsia="zh-TW"/>
              </w:rPr>
            </w:pPr>
            <w:r>
              <w:rPr>
                <w:lang w:eastAsia="zh-TW"/>
              </w:rPr>
              <w:t>CNOOC</w:t>
            </w:r>
          </w:p>
        </w:tc>
        <w:tc>
          <w:tcPr>
            <w:tcW w:w="1843" w:type="dxa"/>
          </w:tcPr>
          <w:p w14:paraId="1E84E077" w14:textId="77777777" w:rsidR="00A328B4" w:rsidRPr="00BB14C6" w:rsidRDefault="00BB14C6" w:rsidP="00424465">
            <w:pPr>
              <w:spacing w:after="120"/>
              <w:jc w:val="both"/>
              <w:rPr>
                <w:lang w:eastAsia="zh-TW"/>
              </w:rPr>
            </w:pPr>
            <w:r w:rsidRPr="00BB14C6">
              <w:rPr>
                <w:lang w:eastAsia="zh-TW"/>
              </w:rPr>
              <w:t>58</w:t>
            </w:r>
          </w:p>
        </w:tc>
        <w:tc>
          <w:tcPr>
            <w:tcW w:w="1559" w:type="dxa"/>
          </w:tcPr>
          <w:p w14:paraId="6AA3F870" w14:textId="77777777" w:rsidR="00A328B4" w:rsidRPr="00BB14C6" w:rsidRDefault="00A328B4" w:rsidP="00424465">
            <w:pPr>
              <w:spacing w:after="120"/>
              <w:jc w:val="both"/>
              <w:rPr>
                <w:lang w:eastAsia="zh-TW"/>
              </w:rPr>
            </w:pPr>
            <w:r w:rsidRPr="00BB14C6">
              <w:rPr>
                <w:lang w:eastAsia="zh-TW"/>
              </w:rPr>
              <w:t xml:space="preserve">241 </w:t>
            </w:r>
          </w:p>
        </w:tc>
        <w:tc>
          <w:tcPr>
            <w:tcW w:w="2410" w:type="dxa"/>
          </w:tcPr>
          <w:p w14:paraId="2F7EDE45" w14:textId="77777777" w:rsidR="00A328B4" w:rsidRPr="00BB14C6" w:rsidRDefault="00BB14C6" w:rsidP="00424465">
            <w:pPr>
              <w:spacing w:after="120"/>
              <w:jc w:val="both"/>
              <w:rPr>
                <w:lang w:eastAsia="zh-TW"/>
              </w:rPr>
            </w:pPr>
            <w:r>
              <w:rPr>
                <w:lang w:eastAsia="zh-TW"/>
              </w:rPr>
              <w:t>248</w:t>
            </w:r>
          </w:p>
        </w:tc>
        <w:tc>
          <w:tcPr>
            <w:tcW w:w="2410" w:type="dxa"/>
          </w:tcPr>
          <w:p w14:paraId="3121C107" w14:textId="77777777" w:rsidR="00A328B4" w:rsidRPr="00BB14C6" w:rsidRDefault="00BB14C6" w:rsidP="00424465">
            <w:pPr>
              <w:spacing w:after="120"/>
              <w:jc w:val="both"/>
              <w:rPr>
                <w:lang w:eastAsia="zh-TW"/>
              </w:rPr>
            </w:pPr>
            <w:r>
              <w:rPr>
                <w:lang w:eastAsia="zh-TW"/>
              </w:rPr>
              <w:t>378</w:t>
            </w:r>
          </w:p>
        </w:tc>
      </w:tr>
    </w:tbl>
    <w:p w14:paraId="7BD6C8F4" w14:textId="77777777" w:rsidR="00447F77" w:rsidRPr="003F0512" w:rsidRDefault="00424465" w:rsidP="00424465">
      <w:pPr>
        <w:spacing w:after="120" w:line="360" w:lineRule="auto"/>
        <w:jc w:val="both"/>
        <w:rPr>
          <w:i/>
          <w:sz w:val="28"/>
          <w:szCs w:val="28"/>
          <w:lang w:eastAsia="zh-TW"/>
        </w:rPr>
      </w:pPr>
      <w:r w:rsidRPr="00424465">
        <w:rPr>
          <w:i/>
          <w:sz w:val="28"/>
          <w:szCs w:val="28"/>
          <w:lang w:eastAsia="zh-TW"/>
        </w:rPr>
        <w:t>Источник: Сайты компаний</w:t>
      </w:r>
      <w:r>
        <w:rPr>
          <w:i/>
          <w:sz w:val="28"/>
          <w:szCs w:val="28"/>
          <w:lang w:eastAsia="zh-TW"/>
        </w:rPr>
        <w:t xml:space="preserve"> </w:t>
      </w:r>
      <w:r>
        <w:rPr>
          <w:i/>
          <w:sz w:val="28"/>
          <w:szCs w:val="28"/>
          <w:lang w:val="en-US" w:eastAsia="zh-TW"/>
        </w:rPr>
        <w:t>CNPC</w:t>
      </w:r>
      <w:r w:rsidRPr="003F0512">
        <w:rPr>
          <w:i/>
          <w:sz w:val="28"/>
          <w:szCs w:val="28"/>
          <w:lang w:eastAsia="zh-TW"/>
        </w:rPr>
        <w:t xml:space="preserve">, </w:t>
      </w:r>
      <w:r>
        <w:rPr>
          <w:i/>
          <w:sz w:val="28"/>
          <w:szCs w:val="28"/>
          <w:lang w:val="en-US" w:eastAsia="zh-TW"/>
        </w:rPr>
        <w:t>SG</w:t>
      </w:r>
      <w:r w:rsidRPr="003F0512">
        <w:rPr>
          <w:i/>
          <w:sz w:val="28"/>
          <w:szCs w:val="28"/>
          <w:lang w:eastAsia="zh-TW"/>
        </w:rPr>
        <w:t xml:space="preserve">, </w:t>
      </w:r>
      <w:r>
        <w:rPr>
          <w:i/>
          <w:sz w:val="28"/>
          <w:szCs w:val="28"/>
          <w:lang w:val="en-US" w:eastAsia="zh-TW"/>
        </w:rPr>
        <w:t>CNOOC</w:t>
      </w:r>
    </w:p>
    <w:p w14:paraId="79E832FF" w14:textId="6FF2A380" w:rsidR="00457560" w:rsidRPr="003F0512" w:rsidRDefault="00457560" w:rsidP="00487EC4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TW"/>
        </w:rPr>
        <w:t>В настоящее</w:t>
      </w:r>
      <w:r w:rsidR="00870FE8">
        <w:rPr>
          <w:sz w:val="28"/>
          <w:szCs w:val="28"/>
          <w:lang w:eastAsia="zh-TW"/>
        </w:rPr>
        <w:t xml:space="preserve"> время</w:t>
      </w:r>
      <w:r>
        <w:rPr>
          <w:sz w:val="28"/>
          <w:szCs w:val="28"/>
          <w:lang w:eastAsia="zh-TW"/>
        </w:rPr>
        <w:t xml:space="preserve"> в процессе реформирования находится сфера электроэнергетики. </w:t>
      </w:r>
      <w:r w:rsidR="00F56295" w:rsidRPr="00B36F21">
        <w:rPr>
          <w:sz w:val="28"/>
          <w:szCs w:val="28"/>
          <w:lang w:eastAsia="zh-TW"/>
        </w:rPr>
        <w:t>Летом 2011 г.,</w:t>
      </w:r>
      <w:r w:rsidRPr="00B36F21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eastAsia="zh-TW"/>
        </w:rPr>
        <w:t>в целях демонополизации, рынок электроэнергии был разделен между 23 компаниями</w:t>
      </w:r>
      <w:r>
        <w:rPr>
          <w:rStyle w:val="FootnoteReference"/>
          <w:sz w:val="28"/>
          <w:szCs w:val="28"/>
          <w:lang w:eastAsia="zh-TW"/>
        </w:rPr>
        <w:footnoteReference w:id="25"/>
      </w:r>
      <w:r w:rsidR="00487EC4">
        <w:rPr>
          <w:sz w:val="28"/>
          <w:szCs w:val="28"/>
          <w:lang w:eastAsia="zh-TW"/>
        </w:rPr>
        <w:t xml:space="preserve">. Сейчас они  представляют собой акционерные общества с </w:t>
      </w:r>
      <w:r w:rsidR="00F56295">
        <w:rPr>
          <w:sz w:val="28"/>
          <w:szCs w:val="28"/>
          <w:lang w:eastAsia="zh-TW"/>
        </w:rPr>
        <w:t xml:space="preserve">наличием </w:t>
      </w:r>
      <w:r w:rsidR="00487EC4">
        <w:rPr>
          <w:sz w:val="28"/>
          <w:szCs w:val="28"/>
          <w:lang w:eastAsia="zh-TW"/>
        </w:rPr>
        <w:t xml:space="preserve">долей частного китайского и иностранного капитала. Некоторые из компаний разместили свои акции на биржах: </w:t>
      </w:r>
      <w:proofErr w:type="spellStart"/>
      <w:r w:rsidR="00487EC4" w:rsidRPr="00650D01">
        <w:rPr>
          <w:sz w:val="28"/>
          <w:szCs w:val="28"/>
          <w:lang w:eastAsia="zh-TW"/>
        </w:rPr>
        <w:t>Datang</w:t>
      </w:r>
      <w:proofErr w:type="spellEnd"/>
      <w:r w:rsidR="00487EC4" w:rsidRPr="00650D01">
        <w:rPr>
          <w:sz w:val="28"/>
          <w:szCs w:val="28"/>
          <w:lang w:eastAsia="zh-TW"/>
        </w:rPr>
        <w:t xml:space="preserve"> </w:t>
      </w:r>
      <w:proofErr w:type="spellStart"/>
      <w:r w:rsidR="00487EC4" w:rsidRPr="00650D01">
        <w:rPr>
          <w:sz w:val="28"/>
          <w:szCs w:val="28"/>
          <w:lang w:eastAsia="zh-TW"/>
        </w:rPr>
        <w:t>International</w:t>
      </w:r>
      <w:proofErr w:type="spellEnd"/>
      <w:r w:rsidR="00487EC4" w:rsidRPr="00650D01">
        <w:rPr>
          <w:sz w:val="28"/>
          <w:szCs w:val="28"/>
          <w:lang w:eastAsia="zh-TW"/>
        </w:rPr>
        <w:t xml:space="preserve"> </w:t>
      </w:r>
      <w:proofErr w:type="spellStart"/>
      <w:r w:rsidR="00487EC4" w:rsidRPr="00650D01">
        <w:rPr>
          <w:sz w:val="28"/>
          <w:szCs w:val="28"/>
          <w:lang w:eastAsia="zh-TW"/>
        </w:rPr>
        <w:t>Power</w:t>
      </w:r>
      <w:proofErr w:type="spellEnd"/>
      <w:r w:rsidR="00487EC4" w:rsidRPr="00650D01">
        <w:rPr>
          <w:sz w:val="28"/>
          <w:szCs w:val="28"/>
          <w:lang w:eastAsia="zh-TW"/>
        </w:rPr>
        <w:t xml:space="preserve"> </w:t>
      </w:r>
      <w:proofErr w:type="spellStart"/>
      <w:r w:rsidR="00487EC4" w:rsidRPr="00650D01">
        <w:rPr>
          <w:sz w:val="28"/>
          <w:szCs w:val="28"/>
          <w:lang w:eastAsia="zh-TW"/>
        </w:rPr>
        <w:t>Generation</w:t>
      </w:r>
      <w:proofErr w:type="spellEnd"/>
      <w:r w:rsidR="00487EC4" w:rsidRPr="00650D01">
        <w:rPr>
          <w:sz w:val="28"/>
          <w:szCs w:val="28"/>
          <w:lang w:eastAsia="zh-TW"/>
        </w:rPr>
        <w:t xml:space="preserve"> </w:t>
      </w:r>
      <w:proofErr w:type="spellStart"/>
      <w:r w:rsidR="00487EC4" w:rsidRPr="00650D01">
        <w:rPr>
          <w:sz w:val="28"/>
          <w:szCs w:val="28"/>
          <w:lang w:eastAsia="zh-TW"/>
        </w:rPr>
        <w:t>Company</w:t>
      </w:r>
      <w:proofErr w:type="spellEnd"/>
      <w:r w:rsidR="00487EC4" w:rsidRPr="00650D01">
        <w:rPr>
          <w:sz w:val="28"/>
          <w:szCs w:val="28"/>
          <w:lang w:eastAsia="zh-TW"/>
        </w:rPr>
        <w:t xml:space="preserve"> </w:t>
      </w:r>
      <w:r w:rsidR="00487EC4">
        <w:rPr>
          <w:sz w:val="28"/>
          <w:szCs w:val="28"/>
          <w:lang w:eastAsia="zh-TW"/>
        </w:rPr>
        <w:lastRenderedPageBreak/>
        <w:t xml:space="preserve">представлена на Гонконгской и Лондонской биржах, </w:t>
      </w:r>
      <w:proofErr w:type="spellStart"/>
      <w:r w:rsidR="00487EC4">
        <w:rPr>
          <w:sz w:val="28"/>
          <w:szCs w:val="28"/>
          <w:lang w:eastAsia="zh-TW"/>
        </w:rPr>
        <w:t>Huaneng</w:t>
      </w:r>
      <w:proofErr w:type="spellEnd"/>
      <w:r w:rsidR="00487EC4">
        <w:rPr>
          <w:sz w:val="28"/>
          <w:szCs w:val="28"/>
          <w:lang w:eastAsia="zh-TW"/>
        </w:rPr>
        <w:t xml:space="preserve"> </w:t>
      </w:r>
      <w:proofErr w:type="spellStart"/>
      <w:r w:rsidR="00487EC4">
        <w:rPr>
          <w:sz w:val="28"/>
          <w:szCs w:val="28"/>
          <w:lang w:eastAsia="zh-TW"/>
        </w:rPr>
        <w:t>Power</w:t>
      </w:r>
      <w:proofErr w:type="spellEnd"/>
      <w:r w:rsidR="00487EC4">
        <w:rPr>
          <w:sz w:val="28"/>
          <w:szCs w:val="28"/>
          <w:lang w:eastAsia="zh-TW"/>
        </w:rPr>
        <w:t xml:space="preserve">  </w:t>
      </w:r>
      <w:proofErr w:type="spellStart"/>
      <w:r w:rsidR="00487EC4">
        <w:rPr>
          <w:sz w:val="28"/>
          <w:szCs w:val="28"/>
          <w:lang w:eastAsia="zh-TW"/>
        </w:rPr>
        <w:t>International</w:t>
      </w:r>
      <w:proofErr w:type="spellEnd"/>
      <w:r w:rsidR="00487EC4">
        <w:rPr>
          <w:sz w:val="28"/>
          <w:szCs w:val="28"/>
          <w:lang w:eastAsia="zh-TW"/>
        </w:rPr>
        <w:t xml:space="preserve"> </w:t>
      </w:r>
      <w:proofErr w:type="spellStart"/>
      <w:r w:rsidR="00487EC4">
        <w:rPr>
          <w:sz w:val="28"/>
          <w:szCs w:val="28"/>
          <w:lang w:eastAsia="zh-TW"/>
        </w:rPr>
        <w:t>Inc</w:t>
      </w:r>
      <w:proofErr w:type="spellEnd"/>
      <w:r w:rsidR="00487EC4">
        <w:rPr>
          <w:sz w:val="28"/>
          <w:szCs w:val="28"/>
          <w:lang w:eastAsia="zh-TW"/>
        </w:rPr>
        <w:t xml:space="preserve">. – на </w:t>
      </w:r>
      <w:r w:rsidR="00487EC4">
        <w:rPr>
          <w:sz w:val="28"/>
          <w:szCs w:val="28"/>
          <w:lang w:val="en-US" w:eastAsia="zh-TW"/>
        </w:rPr>
        <w:t>NYSE</w:t>
      </w:r>
      <w:r w:rsidR="00F56295" w:rsidRPr="003F0512">
        <w:rPr>
          <w:sz w:val="28"/>
          <w:szCs w:val="28"/>
          <w:lang w:eastAsia="zh-TW"/>
        </w:rPr>
        <w:t xml:space="preserve"> и т</w:t>
      </w:r>
      <w:r w:rsidR="00487EC4" w:rsidRPr="003F0512">
        <w:rPr>
          <w:sz w:val="28"/>
          <w:szCs w:val="28"/>
          <w:lang w:eastAsia="zh-TW"/>
        </w:rPr>
        <w:t>.</w:t>
      </w:r>
      <w:r w:rsidR="00F56295" w:rsidRPr="003F0512">
        <w:rPr>
          <w:sz w:val="28"/>
          <w:szCs w:val="28"/>
          <w:lang w:eastAsia="zh-TW"/>
        </w:rPr>
        <w:t>д.</w:t>
      </w:r>
      <w:r w:rsidR="00487EC4" w:rsidRPr="003F0512">
        <w:rPr>
          <w:sz w:val="28"/>
          <w:szCs w:val="28"/>
          <w:lang w:eastAsia="zh-TW"/>
        </w:rPr>
        <w:t xml:space="preserve"> </w:t>
      </w:r>
      <w:r w:rsidR="0079182E">
        <w:rPr>
          <w:sz w:val="28"/>
          <w:szCs w:val="28"/>
          <w:lang w:eastAsia="zh-TW"/>
        </w:rPr>
        <w:t>Результаты этих преобразований</w:t>
      </w:r>
      <w:r>
        <w:rPr>
          <w:sz w:val="28"/>
          <w:szCs w:val="28"/>
          <w:lang w:eastAsia="zh-TW"/>
        </w:rPr>
        <w:t xml:space="preserve"> </w:t>
      </w:r>
      <w:r w:rsidR="0079182E">
        <w:rPr>
          <w:sz w:val="28"/>
          <w:szCs w:val="28"/>
          <w:lang w:eastAsia="zh-TW"/>
        </w:rPr>
        <w:t>в данный момент трудно оценимы.  Остается</w:t>
      </w:r>
      <w:r>
        <w:rPr>
          <w:sz w:val="28"/>
          <w:szCs w:val="28"/>
          <w:lang w:eastAsia="zh-TW"/>
        </w:rPr>
        <w:t xml:space="preserve"> </w:t>
      </w:r>
      <w:r w:rsidR="00487EC4">
        <w:rPr>
          <w:sz w:val="28"/>
          <w:szCs w:val="28"/>
          <w:lang w:eastAsia="zh-TW"/>
        </w:rPr>
        <w:t>дуо</w:t>
      </w:r>
      <w:r w:rsidR="00F56295">
        <w:rPr>
          <w:sz w:val="28"/>
          <w:szCs w:val="28"/>
          <w:lang w:eastAsia="zh-TW"/>
        </w:rPr>
        <w:t>полия в передаче энергии – ей</w:t>
      </w:r>
      <w:r>
        <w:rPr>
          <w:sz w:val="28"/>
          <w:szCs w:val="28"/>
          <w:lang w:eastAsia="zh-TW"/>
        </w:rPr>
        <w:t xml:space="preserve"> занимаются только 2 электросети: </w:t>
      </w:r>
      <w:r>
        <w:rPr>
          <w:sz w:val="28"/>
          <w:szCs w:val="28"/>
          <w:lang w:val="en-US" w:eastAsia="zh-TW"/>
        </w:rPr>
        <w:t>State</w:t>
      </w:r>
      <w:r w:rsidRPr="003F0512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val="en-US" w:eastAsia="zh-TW"/>
        </w:rPr>
        <w:t>Grid</w:t>
      </w:r>
      <w:r w:rsidRPr="003F0512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val="en-US" w:eastAsia="zh-TW"/>
        </w:rPr>
        <w:t>Corporation</w:t>
      </w:r>
      <w:r w:rsidRPr="003F0512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val="en-US" w:eastAsia="zh-TW"/>
        </w:rPr>
        <w:t>of</w:t>
      </w:r>
      <w:r w:rsidRPr="003F0512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val="en-US" w:eastAsia="zh-TW"/>
        </w:rPr>
        <w:t>China</w:t>
      </w:r>
      <w:r>
        <w:rPr>
          <w:sz w:val="28"/>
          <w:szCs w:val="28"/>
          <w:lang w:eastAsia="zh-TW"/>
        </w:rPr>
        <w:t xml:space="preserve"> и</w:t>
      </w:r>
      <w:r w:rsidRPr="003F0512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val="en-US" w:eastAsia="zh-TW"/>
        </w:rPr>
        <w:t>China</w:t>
      </w:r>
      <w:r w:rsidRPr="003F0512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val="en-US" w:eastAsia="zh-TW"/>
        </w:rPr>
        <w:t>Southern</w:t>
      </w:r>
      <w:r w:rsidRPr="003F0512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val="en-US" w:eastAsia="zh-TW"/>
        </w:rPr>
        <w:t>Power</w:t>
      </w:r>
      <w:r w:rsidRPr="003F0512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val="en-US" w:eastAsia="zh-TW"/>
        </w:rPr>
        <w:t>Grid</w:t>
      </w:r>
      <w:r w:rsidRPr="003F0512">
        <w:rPr>
          <w:sz w:val="28"/>
          <w:szCs w:val="28"/>
          <w:lang w:eastAsia="zh-TW"/>
        </w:rPr>
        <w:t xml:space="preserve">. </w:t>
      </w:r>
      <w:r>
        <w:rPr>
          <w:sz w:val="28"/>
          <w:szCs w:val="28"/>
          <w:lang w:eastAsia="zh-TW"/>
        </w:rPr>
        <w:t xml:space="preserve">Также за </w:t>
      </w:r>
      <w:r w:rsidR="00487EC4">
        <w:rPr>
          <w:sz w:val="28"/>
          <w:szCs w:val="28"/>
          <w:lang w:eastAsia="zh-TW"/>
        </w:rPr>
        <w:t>всеми энергетическими компаниями</w:t>
      </w:r>
      <w:r>
        <w:rPr>
          <w:sz w:val="28"/>
          <w:szCs w:val="28"/>
          <w:lang w:eastAsia="zh-TW"/>
        </w:rPr>
        <w:t xml:space="preserve"> сохранили право на вертикальную интеграцию и выполнение всех связанных функций самостоятельно, а не </w:t>
      </w:r>
      <w:r w:rsidR="00487EC4">
        <w:rPr>
          <w:sz w:val="28"/>
          <w:szCs w:val="28"/>
          <w:lang w:eastAsia="zh-TW"/>
        </w:rPr>
        <w:t>при помощи независимых компаний, что способствует монополизации в рамках региона.</w:t>
      </w:r>
      <w:r>
        <w:rPr>
          <w:sz w:val="28"/>
          <w:szCs w:val="28"/>
          <w:lang w:eastAsia="zh-TW"/>
        </w:rPr>
        <w:t xml:space="preserve"> </w:t>
      </w:r>
    </w:p>
    <w:p w14:paraId="71322459" w14:textId="6084EDCD" w:rsidR="00FC5BD1" w:rsidRPr="00FC5BD1" w:rsidRDefault="00420FF8" w:rsidP="00FC5BD1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При этом т</w:t>
      </w:r>
      <w:r w:rsidR="00457560">
        <w:rPr>
          <w:sz w:val="28"/>
          <w:szCs w:val="28"/>
          <w:lang w:eastAsia="zh-TW"/>
        </w:rPr>
        <w:t>арифы на электричество по-прежнему устанавливаются центральным правительством</w:t>
      </w:r>
      <w:r w:rsidR="00650D01">
        <w:rPr>
          <w:sz w:val="28"/>
          <w:szCs w:val="28"/>
          <w:lang w:eastAsia="zh-TW"/>
        </w:rPr>
        <w:t xml:space="preserve"> с учетом</w:t>
      </w:r>
      <w:r w:rsidR="00457560">
        <w:rPr>
          <w:sz w:val="28"/>
          <w:szCs w:val="28"/>
          <w:lang w:eastAsia="zh-TW"/>
        </w:rPr>
        <w:t xml:space="preserve"> </w:t>
      </w:r>
      <w:r w:rsidR="00650D01">
        <w:rPr>
          <w:sz w:val="28"/>
          <w:szCs w:val="28"/>
          <w:lang w:eastAsia="zh-TW"/>
        </w:rPr>
        <w:t>инфляции</w:t>
      </w:r>
      <w:r w:rsidR="00910129">
        <w:rPr>
          <w:sz w:val="28"/>
          <w:szCs w:val="28"/>
          <w:lang w:eastAsia="zh-TW"/>
        </w:rPr>
        <w:t xml:space="preserve"> </w:t>
      </w:r>
      <w:r w:rsidR="00650D01">
        <w:rPr>
          <w:sz w:val="28"/>
          <w:szCs w:val="28"/>
          <w:lang w:eastAsia="zh-TW"/>
        </w:rPr>
        <w:t xml:space="preserve">и </w:t>
      </w:r>
      <w:r>
        <w:rPr>
          <w:sz w:val="28"/>
          <w:szCs w:val="28"/>
          <w:lang w:eastAsia="zh-TW"/>
        </w:rPr>
        <w:t>в</w:t>
      </w:r>
      <w:r w:rsidR="00FC5BD1">
        <w:rPr>
          <w:sz w:val="28"/>
          <w:szCs w:val="28"/>
          <w:lang w:eastAsia="zh-TW"/>
        </w:rPr>
        <w:t>о избежание</w:t>
      </w:r>
      <w:r w:rsidR="00910129">
        <w:rPr>
          <w:sz w:val="28"/>
          <w:szCs w:val="28"/>
          <w:lang w:eastAsia="zh-TW"/>
        </w:rPr>
        <w:t xml:space="preserve"> дефицита мощностей.</w:t>
      </w:r>
      <w:r w:rsidR="00650D01">
        <w:rPr>
          <w:sz w:val="28"/>
          <w:szCs w:val="28"/>
          <w:lang w:eastAsia="zh-TW"/>
        </w:rPr>
        <w:t xml:space="preserve"> </w:t>
      </w:r>
      <w:r w:rsidR="00910129">
        <w:rPr>
          <w:sz w:val="28"/>
          <w:szCs w:val="28"/>
          <w:lang w:eastAsia="zh-TW"/>
        </w:rPr>
        <w:t xml:space="preserve"> </w:t>
      </w:r>
      <w:r w:rsidR="00877033">
        <w:rPr>
          <w:sz w:val="28"/>
          <w:szCs w:val="28"/>
          <w:lang w:eastAsia="zh-TW"/>
        </w:rPr>
        <w:t>Они не сильно отличаются от региона к региону, особенно для домохозяйств (см. Табл.</w:t>
      </w:r>
      <w:r w:rsidR="00F56295">
        <w:rPr>
          <w:sz w:val="28"/>
          <w:szCs w:val="28"/>
          <w:lang w:eastAsia="zh-TW"/>
        </w:rPr>
        <w:t xml:space="preserve"> </w:t>
      </w:r>
      <w:r w:rsidR="00877033">
        <w:rPr>
          <w:sz w:val="28"/>
          <w:szCs w:val="28"/>
          <w:lang w:eastAsia="zh-TW"/>
        </w:rPr>
        <w:t xml:space="preserve">3). </w:t>
      </w:r>
      <w:r w:rsidR="00527840">
        <w:rPr>
          <w:sz w:val="28"/>
          <w:szCs w:val="28"/>
          <w:lang w:eastAsia="zh-TW"/>
        </w:rPr>
        <w:t>Не прослеживается зависимости между экономическим развитием региона и ценами на эле</w:t>
      </w:r>
      <w:r w:rsidR="00FC5BD1">
        <w:rPr>
          <w:sz w:val="28"/>
          <w:szCs w:val="28"/>
          <w:lang w:eastAsia="zh-TW"/>
        </w:rPr>
        <w:t>ктричество. Например,</w:t>
      </w:r>
      <w:r w:rsidR="00527840">
        <w:rPr>
          <w:sz w:val="28"/>
          <w:szCs w:val="28"/>
          <w:lang w:eastAsia="zh-TW"/>
        </w:rPr>
        <w:t xml:space="preserve"> </w:t>
      </w:r>
      <w:r w:rsidR="00FC5BD1">
        <w:rPr>
          <w:sz w:val="28"/>
          <w:szCs w:val="28"/>
          <w:lang w:eastAsia="zh-TW"/>
        </w:rPr>
        <w:t>цены на электричество для промышленности и торговли равны в</w:t>
      </w:r>
      <w:r w:rsidR="00527840">
        <w:rPr>
          <w:sz w:val="28"/>
          <w:szCs w:val="28"/>
          <w:lang w:eastAsia="zh-TW"/>
        </w:rPr>
        <w:t xml:space="preserve"> восточной части </w:t>
      </w:r>
      <w:r w:rsidR="00871113">
        <w:rPr>
          <w:sz w:val="28"/>
          <w:szCs w:val="28"/>
          <w:lang w:eastAsia="zh-TW"/>
        </w:rPr>
        <w:t>с высоким ВРП на душу населения и</w:t>
      </w:r>
      <w:r w:rsidR="00FC5BD1">
        <w:rPr>
          <w:sz w:val="28"/>
          <w:szCs w:val="28"/>
          <w:lang w:eastAsia="zh-TW"/>
        </w:rPr>
        <w:t xml:space="preserve"> в южно-центральной с относительно низким</w:t>
      </w:r>
      <w:r w:rsidR="00527840">
        <w:rPr>
          <w:sz w:val="28"/>
          <w:szCs w:val="28"/>
          <w:lang w:eastAsia="zh-TW"/>
        </w:rPr>
        <w:t xml:space="preserve">. </w:t>
      </w:r>
    </w:p>
    <w:p w14:paraId="06D742F2" w14:textId="6543B2E0" w:rsidR="00877033" w:rsidRPr="00527840" w:rsidRDefault="00877033" w:rsidP="00877033">
      <w:pPr>
        <w:spacing w:after="120" w:line="360" w:lineRule="auto"/>
        <w:jc w:val="both"/>
        <w:rPr>
          <w:b/>
          <w:sz w:val="28"/>
          <w:szCs w:val="28"/>
          <w:highlight w:val="yellow"/>
          <w:lang w:eastAsia="zh-TW"/>
        </w:rPr>
      </w:pPr>
      <w:r w:rsidRPr="00527840">
        <w:rPr>
          <w:b/>
          <w:sz w:val="28"/>
          <w:szCs w:val="28"/>
          <w:lang w:eastAsia="zh-TW"/>
        </w:rPr>
        <w:t>Таблица 3. Цены на электроэнергию по секторам</w:t>
      </w:r>
      <w:r w:rsidR="003E175D" w:rsidRPr="00527840">
        <w:rPr>
          <w:b/>
          <w:sz w:val="28"/>
          <w:szCs w:val="28"/>
          <w:lang w:eastAsia="zh-TW"/>
        </w:rPr>
        <w:t xml:space="preserve"> в регионах Китая</w:t>
      </w:r>
      <w:r w:rsidRPr="00527840">
        <w:rPr>
          <w:b/>
          <w:sz w:val="28"/>
          <w:szCs w:val="28"/>
          <w:lang w:eastAsia="zh-TW"/>
        </w:rPr>
        <w:t>, юань/квтч, 2012 г.</w:t>
      </w:r>
      <w:r w:rsidR="00525DF8" w:rsidRPr="00527840">
        <w:rPr>
          <w:b/>
          <w:sz w:val="28"/>
          <w:szCs w:val="28"/>
          <w:lang w:eastAsia="zh-TW"/>
        </w:rPr>
        <w:t xml:space="preserve"> </w:t>
      </w:r>
      <w:r w:rsidR="003E175D" w:rsidRPr="00527840">
        <w:rPr>
          <w:b/>
          <w:sz w:val="28"/>
          <w:szCs w:val="28"/>
          <w:lang w:eastAsia="zh-TW"/>
        </w:rPr>
        <w:t>и</w:t>
      </w:r>
      <w:r w:rsidR="0001106D" w:rsidRPr="00527840">
        <w:rPr>
          <w:b/>
          <w:sz w:val="28"/>
          <w:szCs w:val="28"/>
          <w:lang w:eastAsia="zh-TW"/>
        </w:rPr>
        <w:t xml:space="preserve"> средний</w:t>
      </w:r>
      <w:r w:rsidR="003E175D" w:rsidRPr="00527840">
        <w:rPr>
          <w:b/>
          <w:sz w:val="28"/>
          <w:szCs w:val="28"/>
          <w:lang w:eastAsia="zh-TW"/>
        </w:rPr>
        <w:t xml:space="preserve"> ВРП </w:t>
      </w:r>
      <w:r w:rsidR="0001106D" w:rsidRPr="00527840">
        <w:rPr>
          <w:b/>
          <w:sz w:val="28"/>
          <w:szCs w:val="28"/>
          <w:lang w:eastAsia="zh-TW"/>
        </w:rPr>
        <w:t xml:space="preserve">тыс. юаней </w:t>
      </w:r>
      <w:r w:rsidR="003E175D" w:rsidRPr="00527840">
        <w:rPr>
          <w:b/>
          <w:sz w:val="28"/>
          <w:szCs w:val="28"/>
          <w:lang w:eastAsia="zh-TW"/>
        </w:rPr>
        <w:t>на душу населения, 2011 г.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276"/>
        <w:gridCol w:w="1275"/>
        <w:gridCol w:w="1276"/>
        <w:gridCol w:w="1276"/>
      </w:tblGrid>
      <w:tr w:rsidR="00A45633" w:rsidRPr="00910129" w14:paraId="4DFB2D1D" w14:textId="77777777" w:rsidTr="00A4563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FF1C5" w14:textId="77777777" w:rsidR="00A45633" w:rsidRPr="00910129" w:rsidRDefault="00A45633" w:rsidP="00506CB5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Регион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ABA5A" w14:textId="77777777" w:rsidR="00A45633" w:rsidRPr="00910129" w:rsidRDefault="00A45633" w:rsidP="00506CB5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Домохозяйства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BF9D8" w14:textId="77777777" w:rsidR="00A45633" w:rsidRPr="00910129" w:rsidRDefault="00A45633" w:rsidP="00506CB5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Промышленность и торговля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CA391" w14:textId="77777777" w:rsidR="00A45633" w:rsidRPr="00910129" w:rsidRDefault="00A45633" w:rsidP="00506CB5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Крупная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49F7F" w14:textId="4930F347" w:rsidR="00A45633" w:rsidRPr="00910129" w:rsidRDefault="00A45633" w:rsidP="00506CB5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BD22E" w14:textId="048ED71B" w:rsidR="00A45633" w:rsidRPr="00910129" w:rsidRDefault="00A45633" w:rsidP="00506CB5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ВРП на душу населения</w:t>
            </w:r>
          </w:p>
        </w:tc>
      </w:tr>
      <w:tr w:rsidR="00A45633" w:rsidRPr="00910129" w14:paraId="757EFC4B" w14:textId="77777777" w:rsidTr="00A4563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E9BDC" w14:textId="77777777" w:rsidR="00A45633" w:rsidRPr="00910129" w:rsidRDefault="00A45633" w:rsidP="00910129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Восточный 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1718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DB32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E117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9CCF9" w14:textId="64467742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70CD41" w14:textId="6FFA6F34" w:rsidR="00A45633" w:rsidRPr="00910129" w:rsidRDefault="0001106D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42,86</w:t>
            </w:r>
          </w:p>
        </w:tc>
      </w:tr>
      <w:tr w:rsidR="00A45633" w:rsidRPr="00910129" w14:paraId="7D525B37" w14:textId="77777777" w:rsidTr="00A4563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1D21B" w14:textId="77777777" w:rsidR="00A45633" w:rsidRPr="00910129" w:rsidRDefault="00A45633" w:rsidP="00910129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Северный 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13A1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BB559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D11A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A5CD1" w14:textId="7E59FA9C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AAE02" w14:textId="25CD8DA4" w:rsidR="00A45633" w:rsidRPr="00910129" w:rsidRDefault="0001106D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47,80</w:t>
            </w:r>
          </w:p>
        </w:tc>
      </w:tr>
      <w:tr w:rsidR="00A45633" w:rsidRPr="00910129" w14:paraId="4FF63F7F" w14:textId="77777777" w:rsidTr="00A4563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3AAD" w14:textId="77777777" w:rsidR="00A45633" w:rsidRPr="00910129" w:rsidRDefault="00A45633" w:rsidP="00910129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Северо-Восточный 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1D5B1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FAEC7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11370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32A53A" w14:textId="5CF0387E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36F02" w14:textId="59BF9422" w:rsidR="00A45633" w:rsidRPr="00910129" w:rsidRDefault="0001106D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33,67</w:t>
            </w:r>
          </w:p>
        </w:tc>
      </w:tr>
      <w:tr w:rsidR="00A45633" w:rsidRPr="00910129" w14:paraId="491325DB" w14:textId="77777777" w:rsidTr="00A4563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EC594" w14:textId="77777777" w:rsidR="00A45633" w:rsidRPr="00910129" w:rsidRDefault="00A45633" w:rsidP="00910129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Северо-Западный 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9276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8E95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BE28A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2EAAF" w14:textId="06B42380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E9E14" w14:textId="5622A4D0" w:rsidR="00A45633" w:rsidRPr="00910129" w:rsidRDefault="00527840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23,60</w:t>
            </w:r>
          </w:p>
        </w:tc>
      </w:tr>
      <w:tr w:rsidR="00A45633" w:rsidRPr="00910129" w14:paraId="38B02DD5" w14:textId="77777777" w:rsidTr="00A4563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0C0F" w14:textId="77777777" w:rsidR="00A45633" w:rsidRPr="00910129" w:rsidRDefault="00A45633" w:rsidP="00910129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Южный Центральный 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A2EB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5FACC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2D64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42BCC" w14:textId="47C2A44A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412188" w14:textId="0A19986E" w:rsidR="00A45633" w:rsidRPr="00910129" w:rsidRDefault="00527840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28,17</w:t>
            </w:r>
          </w:p>
        </w:tc>
      </w:tr>
      <w:tr w:rsidR="00A45633" w:rsidRPr="00910129" w14:paraId="7B3260ED" w14:textId="77777777" w:rsidTr="00A4563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B0C89" w14:textId="77777777" w:rsidR="00A45633" w:rsidRPr="00910129" w:rsidRDefault="00A45633" w:rsidP="00910129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Южный Западный Китай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CBA89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00A6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A2D7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4B78E" w14:textId="11258CF8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9F756" w14:textId="5A63A237" w:rsidR="00A45633" w:rsidRPr="00910129" w:rsidRDefault="00A270E2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18,80</w:t>
            </w:r>
          </w:p>
        </w:tc>
      </w:tr>
      <w:tr w:rsidR="00A45633" w:rsidRPr="00910129" w14:paraId="4ACFBA16" w14:textId="77777777" w:rsidTr="00A4563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D5743" w14:textId="77777777" w:rsidR="00A45633" w:rsidRPr="00910129" w:rsidRDefault="00A45633" w:rsidP="00910129">
            <w:pPr>
              <w:spacing w:after="120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Средняя по Китаю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8639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0D3A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B3FB6" w14:textId="7777777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34232" w14:textId="689DB0A7" w:rsidR="00A45633" w:rsidRPr="00910129" w:rsidRDefault="00A45633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 w:rsidRPr="00910129">
              <w:rPr>
                <w:rFonts w:eastAsia="Times New Roman"/>
                <w:color w:val="000000"/>
                <w:lang w:eastAsia="en-US"/>
              </w:rPr>
              <w:t>0,46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681A90" w14:textId="6496691A" w:rsidR="00A45633" w:rsidRPr="00910129" w:rsidRDefault="00527840" w:rsidP="00910129">
            <w:pPr>
              <w:spacing w:after="120"/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32,48</w:t>
            </w:r>
          </w:p>
        </w:tc>
      </w:tr>
    </w:tbl>
    <w:p w14:paraId="1E22CB8A" w14:textId="76F4AA05" w:rsidR="00910129" w:rsidRPr="00877033" w:rsidRDefault="00877033" w:rsidP="00877033">
      <w:pPr>
        <w:spacing w:after="120" w:line="360" w:lineRule="auto"/>
        <w:jc w:val="both"/>
        <w:rPr>
          <w:i/>
          <w:sz w:val="28"/>
          <w:szCs w:val="28"/>
          <w:lang w:val="en-US" w:eastAsia="zh-TW"/>
        </w:rPr>
      </w:pPr>
      <w:proofErr w:type="spellStart"/>
      <w:r w:rsidRPr="00527840">
        <w:rPr>
          <w:i/>
          <w:sz w:val="28"/>
          <w:szCs w:val="28"/>
          <w:lang w:val="en-US" w:eastAsia="zh-TW"/>
        </w:rPr>
        <w:t>Источник</w:t>
      </w:r>
      <w:proofErr w:type="spellEnd"/>
      <w:r w:rsidRPr="00527840">
        <w:rPr>
          <w:i/>
          <w:sz w:val="28"/>
          <w:szCs w:val="28"/>
          <w:lang w:val="en-US" w:eastAsia="zh-TW"/>
        </w:rPr>
        <w:t xml:space="preserve">: </w:t>
      </w:r>
      <w:proofErr w:type="spellStart"/>
      <w:r w:rsidR="00527840" w:rsidRPr="00527840">
        <w:rPr>
          <w:i/>
          <w:sz w:val="28"/>
          <w:szCs w:val="28"/>
          <w:lang w:val="en-US" w:eastAsia="zh-TW"/>
        </w:rPr>
        <w:t>Государственное</w:t>
      </w:r>
      <w:proofErr w:type="spellEnd"/>
      <w:r w:rsidR="00527840" w:rsidRPr="00527840">
        <w:rPr>
          <w:i/>
          <w:sz w:val="28"/>
          <w:szCs w:val="28"/>
          <w:lang w:val="en-US" w:eastAsia="zh-TW"/>
        </w:rPr>
        <w:t xml:space="preserve"> </w:t>
      </w:r>
      <w:proofErr w:type="spellStart"/>
      <w:r w:rsidR="00527840" w:rsidRPr="00527840">
        <w:rPr>
          <w:i/>
          <w:sz w:val="28"/>
          <w:szCs w:val="28"/>
          <w:lang w:val="en-US" w:eastAsia="zh-TW"/>
        </w:rPr>
        <w:t>статистическое</w:t>
      </w:r>
      <w:proofErr w:type="spellEnd"/>
      <w:r w:rsidR="00527840" w:rsidRPr="00527840">
        <w:rPr>
          <w:i/>
          <w:sz w:val="28"/>
          <w:szCs w:val="28"/>
          <w:lang w:val="en-US" w:eastAsia="zh-TW"/>
        </w:rPr>
        <w:t xml:space="preserve"> </w:t>
      </w:r>
      <w:proofErr w:type="spellStart"/>
      <w:r w:rsidR="00527840" w:rsidRPr="00527840">
        <w:rPr>
          <w:i/>
          <w:sz w:val="28"/>
          <w:szCs w:val="28"/>
          <w:lang w:val="en-US" w:eastAsia="zh-TW"/>
        </w:rPr>
        <w:t>управление</w:t>
      </w:r>
      <w:proofErr w:type="spellEnd"/>
      <w:r w:rsidR="00527840" w:rsidRPr="00527840">
        <w:rPr>
          <w:i/>
          <w:sz w:val="28"/>
          <w:szCs w:val="28"/>
          <w:lang w:val="en-US" w:eastAsia="zh-TW"/>
        </w:rPr>
        <w:t xml:space="preserve"> КНР, ICIS</w:t>
      </w:r>
    </w:p>
    <w:p w14:paraId="3C765676" w14:textId="79C28B48" w:rsidR="00FC5BD1" w:rsidRDefault="00167F74" w:rsidP="00FC5BD1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Ценообразование на рынке коммунальных услуг в настоящий момент не является средством сглаживания социального неравенства в Китае. </w:t>
      </w:r>
      <w:r w:rsidR="00FC5BD1" w:rsidRPr="00796B12">
        <w:rPr>
          <w:sz w:val="28"/>
          <w:szCs w:val="28"/>
          <w:lang w:eastAsia="zh-TW"/>
        </w:rPr>
        <w:lastRenderedPageBreak/>
        <w:t>Планируемая в ближайшем будущем либерализация конечных цен на электроэнергию</w:t>
      </w:r>
      <w:r w:rsidR="00FC5BD1">
        <w:rPr>
          <w:sz w:val="28"/>
          <w:szCs w:val="28"/>
          <w:lang w:eastAsia="zh-TW"/>
        </w:rPr>
        <w:t xml:space="preserve"> </w:t>
      </w:r>
      <w:r w:rsidR="00FC5BD1" w:rsidRPr="00796B12">
        <w:rPr>
          <w:sz w:val="28"/>
          <w:szCs w:val="28"/>
          <w:lang w:eastAsia="zh-TW"/>
        </w:rPr>
        <w:t xml:space="preserve">приведет к тому, что генерирующие компании смогут действовать по рыночным принципам и </w:t>
      </w:r>
      <w:r w:rsidR="00FC5BD1">
        <w:rPr>
          <w:sz w:val="28"/>
          <w:szCs w:val="28"/>
          <w:lang w:eastAsia="zh-TW"/>
        </w:rPr>
        <w:t>осуществлят</w:t>
      </w:r>
      <w:r w:rsidR="00FC5BD1" w:rsidRPr="00796B12">
        <w:rPr>
          <w:sz w:val="28"/>
          <w:szCs w:val="28"/>
          <w:lang w:eastAsia="zh-TW"/>
        </w:rPr>
        <w:t xml:space="preserve">ь полноценный и рациональный выбор между видами топлива.  Ввиду меньшего колебания цен (см. </w:t>
      </w:r>
      <w:r w:rsidR="00FC5BD1">
        <w:rPr>
          <w:sz w:val="28"/>
          <w:szCs w:val="28"/>
          <w:lang w:eastAsia="zh-TW"/>
        </w:rPr>
        <w:t>Главу 3</w:t>
      </w:r>
      <w:r>
        <w:rPr>
          <w:sz w:val="28"/>
          <w:szCs w:val="28"/>
          <w:lang w:eastAsia="zh-TW"/>
        </w:rPr>
        <w:t xml:space="preserve">), </w:t>
      </w:r>
      <w:r w:rsidR="00FC5BD1" w:rsidRPr="00796B12">
        <w:rPr>
          <w:sz w:val="28"/>
          <w:szCs w:val="28"/>
          <w:lang w:eastAsia="zh-TW"/>
        </w:rPr>
        <w:t xml:space="preserve">лучшей экологической характеристики </w:t>
      </w:r>
      <w:r>
        <w:rPr>
          <w:sz w:val="28"/>
          <w:szCs w:val="28"/>
          <w:lang w:eastAsia="zh-TW"/>
        </w:rPr>
        <w:t xml:space="preserve">и действующей инвестиционной политики, </w:t>
      </w:r>
      <w:r w:rsidR="00FC5BD1" w:rsidRPr="00796B12">
        <w:rPr>
          <w:sz w:val="28"/>
          <w:szCs w:val="28"/>
          <w:lang w:eastAsia="zh-TW"/>
        </w:rPr>
        <w:t xml:space="preserve">это, скорее всего, привлечет инвестиции китайских и иностранных компаний из угольного и нефтяного сектора в газовый. </w:t>
      </w:r>
    </w:p>
    <w:p w14:paraId="37E7360A" w14:textId="2B7B326E" w:rsidR="00955A36" w:rsidRPr="003F0512" w:rsidRDefault="00FC5BD1" w:rsidP="00955A36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Г</w:t>
      </w:r>
      <w:r w:rsidR="00167F74">
        <w:rPr>
          <w:sz w:val="28"/>
          <w:szCs w:val="28"/>
          <w:lang w:eastAsia="zh-TW"/>
        </w:rPr>
        <w:t>осударственное</w:t>
      </w:r>
      <w:r w:rsidRPr="00A2045E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eastAsia="zh-TW"/>
        </w:rPr>
        <w:t>присутствие также сильно</w:t>
      </w:r>
      <w:r w:rsidRPr="00A2045E">
        <w:rPr>
          <w:sz w:val="28"/>
          <w:szCs w:val="28"/>
          <w:lang w:eastAsia="zh-TW"/>
        </w:rPr>
        <w:t xml:space="preserve"> на рынке альтернативной энергетики</w:t>
      </w:r>
      <w:r>
        <w:rPr>
          <w:sz w:val="28"/>
          <w:szCs w:val="28"/>
          <w:lang w:eastAsia="zh-TW"/>
        </w:rPr>
        <w:t>.</w:t>
      </w:r>
      <w:r w:rsidRPr="00A2045E">
        <w:rPr>
          <w:sz w:val="28"/>
          <w:szCs w:val="28"/>
          <w:lang w:eastAsia="zh-TW"/>
        </w:rPr>
        <w:t xml:space="preserve"> </w:t>
      </w:r>
      <w:r w:rsidR="00955A36" w:rsidRPr="00A2045E">
        <w:rPr>
          <w:sz w:val="28"/>
          <w:szCs w:val="28"/>
          <w:lang w:eastAsia="zh-TW"/>
        </w:rPr>
        <w:t xml:space="preserve">Как и во многих других странах, </w:t>
      </w:r>
      <w:r>
        <w:rPr>
          <w:sz w:val="28"/>
          <w:szCs w:val="28"/>
          <w:lang w:eastAsia="zh-TW"/>
        </w:rPr>
        <w:t>это объясняется необходимостью</w:t>
      </w:r>
      <w:r w:rsidR="00955A36" w:rsidRPr="00A2045E">
        <w:rPr>
          <w:sz w:val="28"/>
          <w:szCs w:val="28"/>
          <w:lang w:eastAsia="zh-TW"/>
        </w:rPr>
        <w:t xml:space="preserve"> масштабного инвести</w:t>
      </w:r>
      <w:r w:rsidR="00C96680">
        <w:rPr>
          <w:sz w:val="28"/>
          <w:szCs w:val="28"/>
          <w:lang w:eastAsia="zh-TW"/>
        </w:rPr>
        <w:t>рования и медленной окупаемостью</w:t>
      </w:r>
      <w:r>
        <w:rPr>
          <w:sz w:val="28"/>
          <w:szCs w:val="28"/>
          <w:lang w:eastAsia="zh-TW"/>
        </w:rPr>
        <w:t xml:space="preserve"> проектов</w:t>
      </w:r>
      <w:r w:rsidR="00955A36" w:rsidRPr="00A2045E">
        <w:rPr>
          <w:sz w:val="28"/>
          <w:szCs w:val="28"/>
          <w:lang w:eastAsia="zh-TW"/>
        </w:rPr>
        <w:t>.</w:t>
      </w:r>
      <w:r w:rsidR="00955A36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eastAsia="zh-TW"/>
        </w:rPr>
        <w:t>Альтернативная энергетика</w:t>
      </w:r>
      <w:r w:rsidR="00E22FDD">
        <w:rPr>
          <w:sz w:val="28"/>
          <w:szCs w:val="28"/>
          <w:lang w:eastAsia="zh-TW"/>
        </w:rPr>
        <w:t>,</w:t>
      </w:r>
      <w:r w:rsidR="00C3706D">
        <w:rPr>
          <w:sz w:val="28"/>
          <w:szCs w:val="28"/>
          <w:lang w:eastAsia="zh-TW"/>
        </w:rPr>
        <w:t xml:space="preserve"> действительно</w:t>
      </w:r>
      <w:r w:rsidR="00E22FDD">
        <w:rPr>
          <w:sz w:val="28"/>
          <w:szCs w:val="28"/>
          <w:lang w:eastAsia="zh-TW"/>
        </w:rPr>
        <w:t>,</w:t>
      </w:r>
      <w:r w:rsidR="00C3706D">
        <w:rPr>
          <w:sz w:val="28"/>
          <w:szCs w:val="28"/>
          <w:lang w:eastAsia="zh-TW"/>
        </w:rPr>
        <w:t xml:space="preserve"> является перспективно</w:t>
      </w:r>
      <w:r>
        <w:rPr>
          <w:sz w:val="28"/>
          <w:szCs w:val="28"/>
          <w:lang w:eastAsia="zh-TW"/>
        </w:rPr>
        <w:t>й в некоторых частях Китая:</w:t>
      </w:r>
      <w:r w:rsidR="00C3706D">
        <w:rPr>
          <w:sz w:val="28"/>
          <w:szCs w:val="28"/>
          <w:lang w:eastAsia="zh-TW"/>
        </w:rPr>
        <w:t xml:space="preserve"> в западной сосредоточен большой потенциал солнечной энергии, в северной и прибрежной восточной – ветровой. </w:t>
      </w:r>
      <w:r w:rsidR="00F56295">
        <w:rPr>
          <w:sz w:val="28"/>
          <w:szCs w:val="28"/>
          <w:lang w:eastAsia="zh-TW"/>
        </w:rPr>
        <w:t>Из 371 млрд. ю</w:t>
      </w:r>
      <w:r w:rsidR="00955A36">
        <w:rPr>
          <w:sz w:val="28"/>
          <w:szCs w:val="28"/>
          <w:lang w:eastAsia="zh-TW"/>
        </w:rPr>
        <w:t>аней, инвестированных в 2011 году в строительство энергетических мощностей, 72% пошло на проекты, не с</w:t>
      </w:r>
      <w:r w:rsidR="0082252D">
        <w:rPr>
          <w:sz w:val="28"/>
          <w:szCs w:val="28"/>
          <w:lang w:eastAsia="zh-TW"/>
        </w:rPr>
        <w:t>вязанные с переработкой топлива</w:t>
      </w:r>
      <w:r w:rsidR="00C3706D">
        <w:rPr>
          <w:rStyle w:val="FootnoteReference"/>
          <w:sz w:val="28"/>
          <w:szCs w:val="28"/>
          <w:lang w:eastAsia="zh-TW"/>
        </w:rPr>
        <w:footnoteReference w:id="26"/>
      </w:r>
      <w:r w:rsidR="0082252D">
        <w:rPr>
          <w:sz w:val="28"/>
          <w:szCs w:val="28"/>
          <w:lang w:eastAsia="zh-TW"/>
        </w:rPr>
        <w:t>.</w:t>
      </w:r>
    </w:p>
    <w:p w14:paraId="3C10ED5B" w14:textId="304A6FC4" w:rsidR="00457560" w:rsidRPr="003F0512" w:rsidRDefault="00955A36" w:rsidP="00955A36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В рамках </w:t>
      </w:r>
      <w:r w:rsidR="00AD7B48">
        <w:rPr>
          <w:sz w:val="28"/>
          <w:szCs w:val="28"/>
          <w:lang w:eastAsia="zh-TW"/>
        </w:rPr>
        <w:t>работы с возобновляемыми источниками, б</w:t>
      </w:r>
      <w:r w:rsidR="00457560">
        <w:rPr>
          <w:sz w:val="28"/>
          <w:szCs w:val="28"/>
          <w:lang w:eastAsia="zh-TW"/>
        </w:rPr>
        <w:t>ольшое внимание</w:t>
      </w:r>
      <w:r w:rsidR="00910129">
        <w:rPr>
          <w:sz w:val="28"/>
          <w:szCs w:val="28"/>
          <w:lang w:eastAsia="zh-TW"/>
        </w:rPr>
        <w:t xml:space="preserve"> со стороны государства </w:t>
      </w:r>
      <w:r w:rsidR="00457560">
        <w:rPr>
          <w:sz w:val="28"/>
          <w:szCs w:val="28"/>
          <w:lang w:eastAsia="zh-TW"/>
        </w:rPr>
        <w:t xml:space="preserve">уделяется </w:t>
      </w:r>
      <w:r w:rsidR="00910129">
        <w:rPr>
          <w:sz w:val="28"/>
          <w:szCs w:val="28"/>
          <w:lang w:eastAsia="zh-TW"/>
        </w:rPr>
        <w:t>гидро</w:t>
      </w:r>
      <w:r w:rsidR="00457560">
        <w:rPr>
          <w:sz w:val="28"/>
          <w:szCs w:val="28"/>
          <w:lang w:eastAsia="zh-TW"/>
        </w:rPr>
        <w:t xml:space="preserve">электроэнергии. В период 1994-2011 гг. была </w:t>
      </w:r>
      <w:r w:rsidR="00910129">
        <w:rPr>
          <w:sz w:val="28"/>
          <w:szCs w:val="28"/>
          <w:lang w:eastAsia="zh-TW"/>
        </w:rPr>
        <w:t xml:space="preserve">построена </w:t>
      </w:r>
      <w:r w:rsidR="00457560">
        <w:rPr>
          <w:sz w:val="28"/>
          <w:szCs w:val="28"/>
          <w:lang w:eastAsia="zh-TW"/>
        </w:rPr>
        <w:t>крупнейшая в мире электростанция «Три ущелья» мощностью 22,5</w:t>
      </w:r>
      <w:r w:rsidR="00910129">
        <w:rPr>
          <w:sz w:val="28"/>
          <w:szCs w:val="28"/>
          <w:lang w:eastAsia="zh-TW"/>
        </w:rPr>
        <w:t xml:space="preserve"> </w:t>
      </w:r>
      <w:r w:rsidR="00457560">
        <w:rPr>
          <w:sz w:val="28"/>
          <w:szCs w:val="28"/>
          <w:lang w:eastAsia="zh-TW"/>
        </w:rPr>
        <w:t xml:space="preserve">ГВт. Проект стоил Китаю более 20 млрд. долл., включал перенаселение более 1 млн. местных жителей, затопление 27 тыс. га земель. ГЭС в 2011 г. произвела около 2% всего электричества (планируемые 10% не были достигнуты </w:t>
      </w:r>
      <w:r w:rsidR="00910129">
        <w:rPr>
          <w:sz w:val="28"/>
          <w:szCs w:val="28"/>
          <w:lang w:eastAsia="zh-TW"/>
        </w:rPr>
        <w:t>из-за</w:t>
      </w:r>
      <w:r w:rsidR="00457560">
        <w:rPr>
          <w:sz w:val="28"/>
          <w:szCs w:val="28"/>
          <w:lang w:eastAsia="zh-TW"/>
        </w:rPr>
        <w:t xml:space="preserve"> </w:t>
      </w:r>
      <w:r w:rsidR="00910129">
        <w:rPr>
          <w:sz w:val="28"/>
          <w:szCs w:val="28"/>
          <w:lang w:eastAsia="zh-TW"/>
        </w:rPr>
        <w:t xml:space="preserve"> значительного роста </w:t>
      </w:r>
      <w:r w:rsidR="00457560">
        <w:rPr>
          <w:sz w:val="28"/>
          <w:szCs w:val="28"/>
          <w:lang w:eastAsia="zh-TW"/>
        </w:rPr>
        <w:t>потре</w:t>
      </w:r>
      <w:r w:rsidR="00910129">
        <w:rPr>
          <w:sz w:val="28"/>
          <w:szCs w:val="28"/>
          <w:lang w:eastAsia="zh-TW"/>
        </w:rPr>
        <w:t>бления энергии</w:t>
      </w:r>
      <w:r w:rsidR="00457560">
        <w:rPr>
          <w:sz w:val="28"/>
          <w:szCs w:val="28"/>
          <w:lang w:eastAsia="zh-TW"/>
        </w:rPr>
        <w:t>) и внесла вклад в сокращение вредных выбросов</w:t>
      </w:r>
      <w:r w:rsidR="0082252D">
        <w:rPr>
          <w:rStyle w:val="FootnoteReference"/>
          <w:sz w:val="28"/>
          <w:szCs w:val="28"/>
          <w:lang w:eastAsia="zh-TW"/>
        </w:rPr>
        <w:footnoteReference w:id="27"/>
      </w:r>
      <w:r w:rsidR="00457560">
        <w:rPr>
          <w:sz w:val="28"/>
          <w:szCs w:val="28"/>
          <w:lang w:eastAsia="zh-TW"/>
        </w:rPr>
        <w:t>.</w:t>
      </w:r>
    </w:p>
    <w:p w14:paraId="1BA160D4" w14:textId="6CC3B93A" w:rsidR="00B90D81" w:rsidRDefault="00B90D81" w:rsidP="00877033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Помимо анализа ресурсного потенциала и общемировых тенденций,  прогнозирование будущего энергетики</w:t>
      </w:r>
      <w:r w:rsidR="007866BF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eastAsia="zh-TW"/>
        </w:rPr>
        <w:t xml:space="preserve">Китая необходимо осуществлять </w:t>
      </w:r>
      <w:r>
        <w:rPr>
          <w:sz w:val="28"/>
          <w:szCs w:val="28"/>
          <w:lang w:eastAsia="zh-TW"/>
        </w:rPr>
        <w:lastRenderedPageBreak/>
        <w:t>основываясь на политических решениях правительства. П</w:t>
      </w:r>
      <w:r w:rsidR="00FE1350">
        <w:rPr>
          <w:sz w:val="28"/>
          <w:szCs w:val="28"/>
          <w:lang w:eastAsia="zh-TW"/>
        </w:rPr>
        <w:t>оказатели энергетики включены в законы и официа</w:t>
      </w:r>
      <w:r>
        <w:rPr>
          <w:sz w:val="28"/>
          <w:szCs w:val="28"/>
          <w:lang w:eastAsia="zh-TW"/>
        </w:rPr>
        <w:t>льные планы развития КНР</w:t>
      </w:r>
      <w:r w:rsidR="00FE1350">
        <w:rPr>
          <w:sz w:val="28"/>
          <w:szCs w:val="28"/>
          <w:lang w:eastAsia="zh-TW"/>
        </w:rPr>
        <w:t xml:space="preserve">. </w:t>
      </w:r>
    </w:p>
    <w:p w14:paraId="706EA016" w14:textId="64DFCCBF" w:rsidR="00DB7A11" w:rsidRDefault="00B90D81" w:rsidP="00877033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Одним из основных пунктов </w:t>
      </w:r>
      <w:r w:rsidR="00877033">
        <w:rPr>
          <w:sz w:val="28"/>
          <w:szCs w:val="28"/>
          <w:lang w:eastAsia="zh-TW"/>
        </w:rPr>
        <w:t xml:space="preserve">нового 12-го пятилетнего плана </w:t>
      </w:r>
      <w:r>
        <w:rPr>
          <w:sz w:val="28"/>
          <w:szCs w:val="28"/>
          <w:lang w:eastAsia="zh-TW"/>
        </w:rPr>
        <w:t>является реализация долгосрочной</w:t>
      </w:r>
      <w:r w:rsidR="00877033">
        <w:rPr>
          <w:sz w:val="28"/>
          <w:szCs w:val="28"/>
          <w:lang w:eastAsia="zh-TW"/>
        </w:rPr>
        <w:t xml:space="preserve"> стратегия избавления</w:t>
      </w:r>
      <w:r w:rsidR="00DB7A11">
        <w:rPr>
          <w:sz w:val="28"/>
          <w:szCs w:val="28"/>
          <w:lang w:eastAsia="zh-TW"/>
        </w:rPr>
        <w:t xml:space="preserve"> от излишних производственных мощностей, в том числе – небольших предприятий по добыче угля и старых электростанций. </w:t>
      </w:r>
    </w:p>
    <w:p w14:paraId="5F0058A3" w14:textId="3838F57E" w:rsidR="00DB7A11" w:rsidRDefault="00877033" w:rsidP="00DB7A11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Кроме того, с</w:t>
      </w:r>
      <w:r w:rsidR="00DB7A11">
        <w:rPr>
          <w:sz w:val="28"/>
          <w:szCs w:val="28"/>
          <w:lang w:eastAsia="zh-TW"/>
        </w:rPr>
        <w:t>ог</w:t>
      </w:r>
      <w:r w:rsidR="00B90D81">
        <w:rPr>
          <w:sz w:val="28"/>
          <w:szCs w:val="28"/>
          <w:lang w:eastAsia="zh-TW"/>
        </w:rPr>
        <w:t>ласно этому плану</w:t>
      </w:r>
      <w:r w:rsidR="00DB7A11">
        <w:rPr>
          <w:sz w:val="28"/>
          <w:szCs w:val="28"/>
          <w:lang w:eastAsia="zh-TW"/>
        </w:rPr>
        <w:t xml:space="preserve">, </w:t>
      </w:r>
      <w:r w:rsidR="00B90D81">
        <w:rPr>
          <w:sz w:val="28"/>
          <w:szCs w:val="28"/>
          <w:lang w:eastAsia="zh-TW"/>
        </w:rPr>
        <w:t xml:space="preserve">будут осваиваться новые месторождения </w:t>
      </w:r>
      <w:r w:rsidR="00DB7A11">
        <w:rPr>
          <w:sz w:val="28"/>
          <w:szCs w:val="28"/>
          <w:lang w:eastAsia="zh-TW"/>
        </w:rPr>
        <w:t>в секторе добычи нефти и газа</w:t>
      </w:r>
      <w:r w:rsidR="00B90D81">
        <w:rPr>
          <w:sz w:val="28"/>
          <w:szCs w:val="28"/>
          <w:lang w:eastAsia="zh-TW"/>
        </w:rPr>
        <w:t>, а именно</w:t>
      </w:r>
      <w:r w:rsidR="00DB7A11">
        <w:rPr>
          <w:sz w:val="28"/>
          <w:szCs w:val="28"/>
          <w:lang w:eastAsia="zh-TW"/>
        </w:rPr>
        <w:t xml:space="preserve"> в бассейнах </w:t>
      </w:r>
      <w:proofErr w:type="spellStart"/>
      <w:r>
        <w:rPr>
          <w:sz w:val="28"/>
          <w:szCs w:val="28"/>
          <w:lang w:eastAsia="zh-TW"/>
        </w:rPr>
        <w:t>Сунляо</w:t>
      </w:r>
      <w:proofErr w:type="spellEnd"/>
      <w:r>
        <w:rPr>
          <w:sz w:val="28"/>
          <w:szCs w:val="28"/>
          <w:lang w:eastAsia="zh-TW"/>
        </w:rPr>
        <w:t xml:space="preserve">, </w:t>
      </w:r>
      <w:proofErr w:type="spellStart"/>
      <w:r>
        <w:rPr>
          <w:sz w:val="28"/>
          <w:szCs w:val="28"/>
          <w:lang w:eastAsia="zh-TW"/>
        </w:rPr>
        <w:t>Бохай</w:t>
      </w:r>
      <w:proofErr w:type="spellEnd"/>
      <w:r>
        <w:rPr>
          <w:sz w:val="28"/>
          <w:szCs w:val="28"/>
          <w:lang w:eastAsia="zh-TW"/>
        </w:rPr>
        <w:t xml:space="preserve">, </w:t>
      </w:r>
      <w:r w:rsidR="00B92916">
        <w:rPr>
          <w:sz w:val="28"/>
          <w:szCs w:val="28"/>
          <w:lang w:eastAsia="zh-TW"/>
        </w:rPr>
        <w:t>Сычуань и др.  Также п</w:t>
      </w:r>
      <w:r w:rsidR="00DB7A11">
        <w:rPr>
          <w:sz w:val="28"/>
          <w:szCs w:val="28"/>
          <w:lang w:eastAsia="zh-TW"/>
        </w:rPr>
        <w:t xml:space="preserve">редполагается ввод в эксплуатацию новых транспортировочных </w:t>
      </w:r>
      <w:proofErr w:type="spellStart"/>
      <w:r w:rsidR="00DB7A11">
        <w:rPr>
          <w:sz w:val="28"/>
          <w:szCs w:val="28"/>
          <w:lang w:eastAsia="zh-TW"/>
        </w:rPr>
        <w:t>нефте</w:t>
      </w:r>
      <w:proofErr w:type="spellEnd"/>
      <w:r w:rsidR="00DB7A11">
        <w:rPr>
          <w:sz w:val="28"/>
          <w:szCs w:val="28"/>
          <w:lang w:eastAsia="zh-TW"/>
        </w:rPr>
        <w:t>- и газопроводов, газопровод «Запад-Восток» достигнет 150 тыс. км к 2015 г.</w:t>
      </w:r>
    </w:p>
    <w:p w14:paraId="2B554DBE" w14:textId="77777777" w:rsidR="00DB7A11" w:rsidRDefault="00B92916" w:rsidP="00DB7A11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В секторе добычи угля планируется открытие новых производственных центров в Синьцзян-Уйгурском автономном районе, улучшение показателей утилизации за счет извлечения угольного метана. По плану</w:t>
      </w:r>
      <w:r w:rsidR="00F56295">
        <w:rPr>
          <w:sz w:val="28"/>
          <w:szCs w:val="28"/>
          <w:lang w:eastAsia="zh-TW"/>
        </w:rPr>
        <w:t>,</w:t>
      </w:r>
      <w:r>
        <w:rPr>
          <w:sz w:val="28"/>
          <w:szCs w:val="28"/>
          <w:lang w:eastAsia="zh-TW"/>
        </w:rPr>
        <w:t xml:space="preserve"> 14 существующих месторождений в сумме будут приносить 2,8 млрд. тонн угля в год.</w:t>
      </w:r>
      <w:r w:rsidR="00733964">
        <w:rPr>
          <w:sz w:val="28"/>
          <w:szCs w:val="28"/>
          <w:lang w:eastAsia="zh-TW"/>
        </w:rPr>
        <w:t xml:space="preserve"> В долгосрочном плане к 2050 г. </w:t>
      </w:r>
      <w:r w:rsidR="001A02B9">
        <w:rPr>
          <w:sz w:val="28"/>
          <w:szCs w:val="28"/>
          <w:lang w:eastAsia="zh-TW"/>
        </w:rPr>
        <w:t>поставлена</w:t>
      </w:r>
      <w:r w:rsidR="00733964">
        <w:rPr>
          <w:sz w:val="28"/>
          <w:szCs w:val="28"/>
          <w:lang w:eastAsia="zh-TW"/>
        </w:rPr>
        <w:t xml:space="preserve"> цель сократить </w:t>
      </w:r>
      <w:r w:rsidR="001A02B9">
        <w:rPr>
          <w:sz w:val="28"/>
          <w:szCs w:val="28"/>
          <w:lang w:eastAsia="zh-TW"/>
        </w:rPr>
        <w:t xml:space="preserve">долю </w:t>
      </w:r>
      <w:r w:rsidR="00733964">
        <w:rPr>
          <w:sz w:val="28"/>
          <w:szCs w:val="28"/>
          <w:lang w:eastAsia="zh-TW"/>
        </w:rPr>
        <w:t xml:space="preserve">угля в </w:t>
      </w:r>
      <w:r w:rsidR="001A02B9">
        <w:rPr>
          <w:sz w:val="28"/>
          <w:szCs w:val="28"/>
          <w:lang w:eastAsia="zh-TW"/>
        </w:rPr>
        <w:t>производстве энергии до 47% (в 2005 г. – 74%).</w:t>
      </w:r>
    </w:p>
    <w:p w14:paraId="0294346A" w14:textId="77777777" w:rsidR="00B92916" w:rsidRDefault="00B92916" w:rsidP="00DB7A11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Особое место в 12-м пятилетнем плане уделяется развитию неорганических и возобновляемых источников энергии. Несмотря на </w:t>
      </w:r>
      <w:r w:rsidR="00242D2A">
        <w:rPr>
          <w:sz w:val="28"/>
          <w:szCs w:val="28"/>
          <w:lang w:eastAsia="zh-TW"/>
        </w:rPr>
        <w:t xml:space="preserve">временную заморозку проектов по развитию ядерной энергетики, общая мощность АЭС к 2015 г. должна составить 40 ГВт. Мощность гидроэлектростанций планируется увеличить с 50 до 120 </w:t>
      </w:r>
      <w:r w:rsidR="00877033">
        <w:rPr>
          <w:sz w:val="28"/>
          <w:szCs w:val="28"/>
          <w:lang w:eastAsia="zh-TW"/>
        </w:rPr>
        <w:t>ГВт</w:t>
      </w:r>
      <w:r w:rsidR="00242D2A">
        <w:rPr>
          <w:sz w:val="28"/>
          <w:szCs w:val="28"/>
          <w:lang w:eastAsia="zh-TW"/>
        </w:rPr>
        <w:t>, до</w:t>
      </w:r>
      <w:r w:rsidR="00A2045E">
        <w:rPr>
          <w:sz w:val="28"/>
          <w:szCs w:val="28"/>
          <w:lang w:eastAsia="zh-TW"/>
        </w:rPr>
        <w:t>бычу солнечной энергии до 5 ГВт, количество ветровых станций на 8.</w:t>
      </w:r>
      <w:r w:rsidR="00733964">
        <w:rPr>
          <w:sz w:val="28"/>
          <w:szCs w:val="28"/>
          <w:lang w:eastAsia="zh-TW"/>
        </w:rPr>
        <w:t xml:space="preserve"> Рост доли неорганических источников энергии в общих обозначен 11,4% к 2015 г. (8,3% в 2010 г.).</w:t>
      </w:r>
    </w:p>
    <w:p w14:paraId="0AAB7771" w14:textId="12A90639" w:rsidR="00733964" w:rsidRDefault="00733964" w:rsidP="00DB7A11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В плане также </w:t>
      </w:r>
      <w:r w:rsidR="002D23FF">
        <w:rPr>
          <w:sz w:val="28"/>
          <w:szCs w:val="28"/>
          <w:lang w:eastAsia="zh-TW"/>
        </w:rPr>
        <w:t>поставлена</w:t>
      </w:r>
      <w:r>
        <w:rPr>
          <w:sz w:val="28"/>
          <w:szCs w:val="28"/>
          <w:lang w:eastAsia="zh-TW"/>
        </w:rPr>
        <w:t xml:space="preserve"> цель </w:t>
      </w:r>
      <w:r w:rsidR="002D23FF">
        <w:rPr>
          <w:sz w:val="28"/>
          <w:szCs w:val="28"/>
          <w:lang w:eastAsia="zh-TW"/>
        </w:rPr>
        <w:t>сокращения</w:t>
      </w:r>
      <w:r>
        <w:rPr>
          <w:sz w:val="28"/>
          <w:szCs w:val="28"/>
          <w:lang w:eastAsia="zh-TW"/>
        </w:rPr>
        <w:t xml:space="preserve"> энергетической интенсивност</w:t>
      </w:r>
      <w:r w:rsidR="00F56295">
        <w:rPr>
          <w:sz w:val="28"/>
          <w:szCs w:val="28"/>
          <w:lang w:eastAsia="zh-TW"/>
        </w:rPr>
        <w:t>и на 17%, а выбросов</w:t>
      </w:r>
      <w:r>
        <w:rPr>
          <w:sz w:val="28"/>
          <w:szCs w:val="28"/>
          <w:lang w:eastAsia="zh-TW"/>
        </w:rPr>
        <w:t xml:space="preserve"> СО</w:t>
      </w:r>
      <w:r w:rsidRPr="00733964">
        <w:rPr>
          <w:sz w:val="28"/>
          <w:szCs w:val="28"/>
          <w:vertAlign w:val="subscript"/>
          <w:lang w:eastAsia="zh-TW"/>
        </w:rPr>
        <w:t xml:space="preserve">2 </w:t>
      </w:r>
      <w:r>
        <w:rPr>
          <w:sz w:val="28"/>
          <w:szCs w:val="28"/>
          <w:lang w:eastAsia="zh-TW"/>
        </w:rPr>
        <w:t xml:space="preserve">на </w:t>
      </w:r>
      <w:r w:rsidR="002D23FF">
        <w:rPr>
          <w:sz w:val="28"/>
          <w:szCs w:val="28"/>
          <w:lang w:eastAsia="zh-TW"/>
        </w:rPr>
        <w:t xml:space="preserve">единицу ВВП на </w:t>
      </w:r>
      <w:r>
        <w:rPr>
          <w:sz w:val="28"/>
          <w:szCs w:val="28"/>
          <w:lang w:eastAsia="zh-TW"/>
        </w:rPr>
        <w:t>16% к 20</w:t>
      </w:r>
      <w:r w:rsidR="00F56295">
        <w:rPr>
          <w:sz w:val="28"/>
          <w:szCs w:val="28"/>
          <w:lang w:eastAsia="zh-TW"/>
        </w:rPr>
        <w:t>15 году. Между 2006 и 2010 гг. их у</w:t>
      </w:r>
      <w:r>
        <w:rPr>
          <w:sz w:val="28"/>
          <w:szCs w:val="28"/>
          <w:lang w:eastAsia="zh-TW"/>
        </w:rPr>
        <w:t xml:space="preserve">далось сократить на 19% (в плане – 20%). </w:t>
      </w:r>
      <w:r w:rsidR="00E22FDD">
        <w:rPr>
          <w:sz w:val="28"/>
          <w:szCs w:val="28"/>
          <w:lang w:eastAsia="zh-TW"/>
        </w:rPr>
        <w:t xml:space="preserve">Нетрудно заметить, что в этом ключевом для развития Китая на данный </w:t>
      </w:r>
      <w:r w:rsidR="00E22FDD">
        <w:rPr>
          <w:sz w:val="28"/>
          <w:szCs w:val="28"/>
          <w:lang w:eastAsia="zh-TW"/>
        </w:rPr>
        <w:lastRenderedPageBreak/>
        <w:t xml:space="preserve">момент документе прослеживается стремление правительства усилить </w:t>
      </w:r>
      <w:proofErr w:type="spellStart"/>
      <w:r w:rsidR="00E22FDD">
        <w:rPr>
          <w:sz w:val="28"/>
          <w:szCs w:val="28"/>
          <w:lang w:eastAsia="zh-TW"/>
        </w:rPr>
        <w:t>межтопливную</w:t>
      </w:r>
      <w:proofErr w:type="spellEnd"/>
      <w:r w:rsidR="00E22FDD">
        <w:rPr>
          <w:sz w:val="28"/>
          <w:szCs w:val="28"/>
          <w:lang w:eastAsia="zh-TW"/>
        </w:rPr>
        <w:t xml:space="preserve"> конкуренцию между углем и другими источниками топлива.</w:t>
      </w:r>
    </w:p>
    <w:p w14:paraId="6F11CE9E" w14:textId="77777777" w:rsidR="001C7D9A" w:rsidRDefault="00236F4B" w:rsidP="00DB7A11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 w:rsidRPr="00236F4B">
        <w:rPr>
          <w:sz w:val="28"/>
          <w:szCs w:val="28"/>
          <w:lang w:eastAsia="zh-TW"/>
        </w:rPr>
        <w:t xml:space="preserve">Поощряемые, ограниченные и запрещенные направления </w:t>
      </w:r>
      <w:r w:rsidR="001C7D9A" w:rsidRPr="00236F4B">
        <w:rPr>
          <w:sz w:val="28"/>
          <w:szCs w:val="28"/>
          <w:lang w:eastAsia="zh-TW"/>
        </w:rPr>
        <w:t xml:space="preserve">иностранных инвестиций в </w:t>
      </w:r>
      <w:r w:rsidRPr="00236F4B">
        <w:rPr>
          <w:sz w:val="28"/>
          <w:szCs w:val="28"/>
          <w:lang w:eastAsia="zh-TW"/>
        </w:rPr>
        <w:t xml:space="preserve">китайский энергетический сектор обозначены в специальном руководстве </w:t>
      </w:r>
      <w:r>
        <w:rPr>
          <w:sz w:val="28"/>
          <w:szCs w:val="28"/>
          <w:lang w:eastAsia="zh-TW"/>
        </w:rPr>
        <w:t>для иностранных инвесторов</w:t>
      </w:r>
      <w:r>
        <w:rPr>
          <w:rStyle w:val="FootnoteReference"/>
          <w:sz w:val="28"/>
          <w:szCs w:val="28"/>
          <w:lang w:eastAsia="zh-TW"/>
        </w:rPr>
        <w:footnoteReference w:id="28"/>
      </w:r>
      <w:r>
        <w:rPr>
          <w:sz w:val="28"/>
          <w:szCs w:val="28"/>
          <w:lang w:eastAsia="zh-TW"/>
        </w:rPr>
        <w:t xml:space="preserve">. В числе поощряемых направлений выделена разработка труднодоступных месторождений нефти и природного газа, добыча сланцевого газа и газа из угольных пластов, а также строительство высокотехнологичных, в том </w:t>
      </w:r>
      <w:r w:rsidR="008B46EE">
        <w:rPr>
          <w:sz w:val="28"/>
          <w:szCs w:val="28"/>
          <w:lang w:eastAsia="zh-TW"/>
        </w:rPr>
        <w:t xml:space="preserve">числе атомных, электростанций. </w:t>
      </w:r>
      <w:r w:rsidR="00F56295">
        <w:rPr>
          <w:sz w:val="28"/>
          <w:szCs w:val="28"/>
          <w:lang w:eastAsia="zh-TW"/>
        </w:rPr>
        <w:t xml:space="preserve"> О</w:t>
      </w:r>
      <w:r>
        <w:rPr>
          <w:sz w:val="28"/>
          <w:szCs w:val="28"/>
          <w:lang w:eastAsia="zh-TW"/>
        </w:rPr>
        <w:t xml:space="preserve">граниченное инвестирование </w:t>
      </w:r>
      <w:r w:rsidR="008B46EE">
        <w:rPr>
          <w:sz w:val="28"/>
          <w:szCs w:val="28"/>
          <w:lang w:eastAsia="zh-TW"/>
        </w:rPr>
        <w:t>допускается</w:t>
      </w:r>
      <w:r>
        <w:rPr>
          <w:sz w:val="28"/>
          <w:szCs w:val="28"/>
          <w:lang w:eastAsia="zh-TW"/>
        </w:rPr>
        <w:t xml:space="preserve"> в</w:t>
      </w:r>
      <w:r w:rsidR="008B46EE">
        <w:rPr>
          <w:sz w:val="28"/>
          <w:szCs w:val="28"/>
          <w:lang w:eastAsia="zh-TW"/>
        </w:rPr>
        <w:t xml:space="preserve"> сферу добычи редких сортов угля, строительство газопроводов и электросетей. Полностью запрещено инвестирование в низкоэффективные угольные электростанции.</w:t>
      </w:r>
      <w:r>
        <w:rPr>
          <w:sz w:val="28"/>
          <w:szCs w:val="28"/>
          <w:lang w:eastAsia="zh-TW"/>
        </w:rPr>
        <w:t xml:space="preserve"> </w:t>
      </w:r>
    </w:p>
    <w:p w14:paraId="19306672" w14:textId="664875A8" w:rsidR="003743C7" w:rsidRPr="0098294B" w:rsidRDefault="001A02B9" w:rsidP="0098294B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Сектор добычи природных ресурсов и производства энергии остается под контролем государства по нескольким причинам. Во-первых, контроль в сектор</w:t>
      </w:r>
      <w:r w:rsidR="00457560">
        <w:rPr>
          <w:sz w:val="28"/>
          <w:szCs w:val="28"/>
          <w:lang w:eastAsia="zh-TW"/>
        </w:rPr>
        <w:t>е</w:t>
      </w:r>
      <w:r>
        <w:rPr>
          <w:sz w:val="28"/>
          <w:szCs w:val="28"/>
          <w:lang w:eastAsia="zh-TW"/>
        </w:rPr>
        <w:t xml:space="preserve"> энергетики упрощает регулирование инфляции и занятости среди многочисленной рабочей силы, вовлеченной в эту сферу. Во-вторых, позволяет менее болезненно реализовывать экологич</w:t>
      </w:r>
      <w:r w:rsidR="00F56295">
        <w:rPr>
          <w:sz w:val="28"/>
          <w:szCs w:val="28"/>
          <w:lang w:eastAsia="zh-TW"/>
        </w:rPr>
        <w:t xml:space="preserve">ескую стратегию и снижать энергетическую </w:t>
      </w:r>
      <w:r>
        <w:rPr>
          <w:sz w:val="28"/>
          <w:szCs w:val="28"/>
          <w:lang w:eastAsia="zh-TW"/>
        </w:rPr>
        <w:t xml:space="preserve">интенсивность. </w:t>
      </w:r>
      <w:r w:rsidR="00466CAD">
        <w:rPr>
          <w:sz w:val="28"/>
          <w:szCs w:val="28"/>
          <w:lang w:eastAsia="zh-TW"/>
        </w:rPr>
        <w:t xml:space="preserve">Пока переключение с масштабного потребления угля, проигрывающего по эффективности и экологической безопасности, но выигрывающего по цене, возможно только с помощью </w:t>
      </w:r>
      <w:r w:rsidR="00466CAD" w:rsidRPr="00466CAD">
        <w:rPr>
          <w:sz w:val="28"/>
          <w:szCs w:val="28"/>
          <w:lang w:eastAsia="zh-TW"/>
        </w:rPr>
        <w:t>искусственно</w:t>
      </w:r>
      <w:r w:rsidR="00466CAD">
        <w:rPr>
          <w:sz w:val="28"/>
          <w:szCs w:val="28"/>
          <w:lang w:eastAsia="zh-TW"/>
        </w:rPr>
        <w:t xml:space="preserve"> создаваемой</w:t>
      </w:r>
      <w:r w:rsidR="00466CAD" w:rsidRPr="00466CAD">
        <w:rPr>
          <w:sz w:val="28"/>
          <w:szCs w:val="28"/>
          <w:lang w:eastAsia="zh-TW"/>
        </w:rPr>
        <w:t xml:space="preserve"> государственным планированием </w:t>
      </w:r>
      <w:proofErr w:type="spellStart"/>
      <w:r w:rsidR="00466CAD">
        <w:rPr>
          <w:sz w:val="28"/>
          <w:szCs w:val="28"/>
          <w:lang w:eastAsia="zh-TW"/>
        </w:rPr>
        <w:t>межтопливной</w:t>
      </w:r>
      <w:proofErr w:type="spellEnd"/>
      <w:r w:rsidR="00466CAD">
        <w:rPr>
          <w:sz w:val="28"/>
          <w:szCs w:val="28"/>
          <w:lang w:eastAsia="zh-TW"/>
        </w:rPr>
        <w:t xml:space="preserve"> конкуренции. </w:t>
      </w:r>
      <w:r>
        <w:rPr>
          <w:sz w:val="28"/>
          <w:szCs w:val="28"/>
          <w:lang w:eastAsia="zh-TW"/>
        </w:rPr>
        <w:t>С другой стороны, государственная поддержка компаний-производителей не позволяет им достичь рыночной эффективности, часто финансирование осуществляется правительс</w:t>
      </w:r>
      <w:r w:rsidR="00694E7D">
        <w:rPr>
          <w:sz w:val="28"/>
          <w:szCs w:val="28"/>
          <w:lang w:eastAsia="zh-TW"/>
        </w:rPr>
        <w:t>твенными элитами в личных целях</w:t>
      </w:r>
      <w:r w:rsidR="00D10EE4">
        <w:rPr>
          <w:rStyle w:val="FootnoteReference"/>
          <w:sz w:val="28"/>
          <w:szCs w:val="28"/>
        </w:rPr>
        <w:footnoteReference w:id="29"/>
      </w:r>
      <w:r w:rsidR="00694E7D">
        <w:rPr>
          <w:sz w:val="28"/>
          <w:szCs w:val="28"/>
          <w:lang w:eastAsia="zh-TW"/>
        </w:rPr>
        <w:t>.</w:t>
      </w:r>
      <w:r w:rsidR="00E22FDD">
        <w:rPr>
          <w:sz w:val="28"/>
          <w:szCs w:val="28"/>
          <w:lang w:eastAsia="zh-TW"/>
        </w:rPr>
        <w:t xml:space="preserve"> </w:t>
      </w:r>
    </w:p>
    <w:p w14:paraId="70D6F30F" w14:textId="77777777" w:rsidR="006C659F" w:rsidRPr="00EA5FB6" w:rsidRDefault="006C659F" w:rsidP="00EA5FB6">
      <w:pPr>
        <w:pStyle w:val="Heading2"/>
      </w:pPr>
      <w:bookmarkStart w:id="7" w:name="_Toc229737126"/>
      <w:r w:rsidRPr="00EA5FB6">
        <w:t>2.2. Структура энергетического потребления по регионам</w:t>
      </w:r>
      <w:bookmarkEnd w:id="7"/>
    </w:p>
    <w:p w14:paraId="013789E1" w14:textId="32D0F770" w:rsidR="000B0BB5" w:rsidRDefault="00CB7F18" w:rsidP="00CB7F18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Одним из следствий </w:t>
      </w:r>
      <w:proofErr w:type="spellStart"/>
      <w:r w:rsidR="002B5778" w:rsidRPr="002B5778">
        <w:rPr>
          <w:sz w:val="28"/>
          <w:szCs w:val="28"/>
          <w:lang w:eastAsia="zh-TW"/>
        </w:rPr>
        <w:t>экспортоориентированной</w:t>
      </w:r>
      <w:proofErr w:type="spellEnd"/>
      <w:r>
        <w:rPr>
          <w:sz w:val="28"/>
          <w:szCs w:val="28"/>
          <w:lang w:eastAsia="zh-TW"/>
        </w:rPr>
        <w:t xml:space="preserve"> политики Китая является проблема дисбаланса развития регионов. Создание районов </w:t>
      </w:r>
      <w:r>
        <w:rPr>
          <w:sz w:val="28"/>
          <w:szCs w:val="28"/>
          <w:lang w:eastAsia="zh-TW"/>
        </w:rPr>
        <w:lastRenderedPageBreak/>
        <w:t>экспортной ориентации привело к колоссальной разнице в поступлении инвестирования и доходах населения разных регионов. С точки зрения уровня жизни, провинции Китая можно разделить на три большие группы (см. Приложения, Табл.</w:t>
      </w:r>
      <w:r w:rsidR="000E689A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eastAsia="zh-TW"/>
        </w:rPr>
        <w:t xml:space="preserve">2). В первую группу входят </w:t>
      </w:r>
      <w:r w:rsidR="000E689A">
        <w:rPr>
          <w:sz w:val="28"/>
          <w:szCs w:val="28"/>
          <w:lang w:eastAsia="zh-TW"/>
        </w:rPr>
        <w:t xml:space="preserve">10 </w:t>
      </w:r>
      <w:r>
        <w:rPr>
          <w:sz w:val="28"/>
          <w:szCs w:val="28"/>
          <w:lang w:eastAsia="zh-TW"/>
        </w:rPr>
        <w:t>р</w:t>
      </w:r>
      <w:r w:rsidR="000E689A">
        <w:rPr>
          <w:sz w:val="28"/>
          <w:szCs w:val="28"/>
          <w:lang w:eastAsia="zh-TW"/>
        </w:rPr>
        <w:t>егионов</w:t>
      </w:r>
      <w:r>
        <w:rPr>
          <w:sz w:val="28"/>
          <w:szCs w:val="28"/>
          <w:lang w:eastAsia="zh-TW"/>
        </w:rPr>
        <w:t xml:space="preserve"> </w:t>
      </w:r>
      <w:r w:rsidR="000E689A">
        <w:rPr>
          <w:sz w:val="28"/>
          <w:szCs w:val="28"/>
          <w:lang w:eastAsia="zh-TW"/>
        </w:rPr>
        <w:t xml:space="preserve">c ВРП на душу более 40 тыс. юаней, во вторую 9 –  25 и 40 тыс. юаней и в третью 12 – менее 25 тыс. </w:t>
      </w:r>
      <w:r w:rsidR="000B0BB5">
        <w:rPr>
          <w:sz w:val="28"/>
          <w:szCs w:val="28"/>
          <w:lang w:eastAsia="zh-TW"/>
        </w:rPr>
        <w:t>Наиболее богатые регионы представлены в основном восточными прибрежными провинциями (</w:t>
      </w:r>
      <w:proofErr w:type="spellStart"/>
      <w:r w:rsidR="000B0BB5">
        <w:rPr>
          <w:sz w:val="28"/>
          <w:szCs w:val="28"/>
          <w:lang w:eastAsia="zh-TW"/>
        </w:rPr>
        <w:t>Шаньдун</w:t>
      </w:r>
      <w:proofErr w:type="spellEnd"/>
      <w:r w:rsidR="000B0BB5">
        <w:rPr>
          <w:sz w:val="28"/>
          <w:szCs w:val="28"/>
          <w:lang w:eastAsia="zh-TW"/>
        </w:rPr>
        <w:t xml:space="preserve">, </w:t>
      </w:r>
      <w:proofErr w:type="spellStart"/>
      <w:r w:rsidR="000B0BB5">
        <w:rPr>
          <w:sz w:val="28"/>
          <w:szCs w:val="28"/>
          <w:lang w:eastAsia="zh-TW"/>
        </w:rPr>
        <w:t>Фуцзянь</w:t>
      </w:r>
      <w:proofErr w:type="spellEnd"/>
      <w:r w:rsidR="000B0BB5">
        <w:rPr>
          <w:sz w:val="28"/>
          <w:szCs w:val="28"/>
          <w:lang w:eastAsia="zh-TW"/>
        </w:rPr>
        <w:t xml:space="preserve"> и т.д.) и городами центрального подчинения (Пекин, Шанхай, </w:t>
      </w:r>
      <w:proofErr w:type="spellStart"/>
      <w:r w:rsidR="000B0BB5">
        <w:rPr>
          <w:sz w:val="28"/>
          <w:szCs w:val="28"/>
          <w:lang w:eastAsia="zh-TW"/>
        </w:rPr>
        <w:t>Тяньцзин</w:t>
      </w:r>
      <w:proofErr w:type="spellEnd"/>
      <w:r w:rsidR="000B0BB5">
        <w:rPr>
          <w:sz w:val="28"/>
          <w:szCs w:val="28"/>
          <w:lang w:eastAsia="zh-TW"/>
        </w:rPr>
        <w:t>), а самые бедные включают южные и центральные провинции (</w:t>
      </w:r>
      <w:proofErr w:type="spellStart"/>
      <w:r w:rsidR="000B0BB5">
        <w:rPr>
          <w:sz w:val="28"/>
          <w:szCs w:val="28"/>
          <w:lang w:eastAsia="zh-TW"/>
        </w:rPr>
        <w:t>Юньнань</w:t>
      </w:r>
      <w:proofErr w:type="spellEnd"/>
      <w:r w:rsidR="000B0BB5">
        <w:rPr>
          <w:sz w:val="28"/>
          <w:szCs w:val="28"/>
          <w:lang w:eastAsia="zh-TW"/>
        </w:rPr>
        <w:t xml:space="preserve">, </w:t>
      </w:r>
      <w:proofErr w:type="spellStart"/>
      <w:r w:rsidR="000B0BB5">
        <w:rPr>
          <w:sz w:val="28"/>
          <w:szCs w:val="28"/>
          <w:lang w:eastAsia="zh-TW"/>
        </w:rPr>
        <w:t>Хайнань</w:t>
      </w:r>
      <w:proofErr w:type="spellEnd"/>
      <w:r w:rsidR="000B0BB5">
        <w:rPr>
          <w:sz w:val="28"/>
          <w:szCs w:val="28"/>
          <w:lang w:eastAsia="zh-TW"/>
        </w:rPr>
        <w:t>, Сычуань и т.д.).</w:t>
      </w:r>
    </w:p>
    <w:p w14:paraId="207A5FF9" w14:textId="77777777" w:rsidR="005C2E15" w:rsidRPr="00B11A36" w:rsidRDefault="005C2E15" w:rsidP="005C2E15">
      <w:pPr>
        <w:spacing w:after="120" w:line="360" w:lineRule="auto"/>
        <w:jc w:val="both"/>
        <w:rPr>
          <w:sz w:val="28"/>
          <w:szCs w:val="28"/>
          <w:lang w:eastAsia="zh-TW"/>
        </w:rPr>
      </w:pPr>
      <w:r>
        <w:rPr>
          <w:b/>
          <w:color w:val="000000"/>
          <w:sz w:val="28"/>
          <w:szCs w:val="28"/>
        </w:rPr>
        <w:t>Таблица 4</w:t>
      </w:r>
      <w:r w:rsidRPr="00B11A36">
        <w:rPr>
          <w:b/>
          <w:color w:val="000000"/>
          <w:sz w:val="28"/>
          <w:szCs w:val="28"/>
        </w:rPr>
        <w:t xml:space="preserve">. Структура добычи </w:t>
      </w:r>
      <w:r w:rsidRPr="00B11A36">
        <w:rPr>
          <w:b/>
          <w:color w:val="000000"/>
          <w:sz w:val="28"/>
          <w:szCs w:val="28"/>
          <w:lang w:eastAsia="zh-TW"/>
        </w:rPr>
        <w:t xml:space="preserve">и потребления </w:t>
      </w:r>
      <w:r w:rsidRPr="00B11A36">
        <w:rPr>
          <w:b/>
          <w:color w:val="000000"/>
          <w:sz w:val="28"/>
          <w:szCs w:val="28"/>
        </w:rPr>
        <w:t xml:space="preserve">энергетических ресурсов Китая по </w:t>
      </w:r>
      <w:r w:rsidRPr="00B11A36">
        <w:rPr>
          <w:rFonts w:eastAsia="SimSun"/>
          <w:b/>
          <w:color w:val="000000"/>
          <w:sz w:val="28"/>
          <w:szCs w:val="28"/>
        </w:rPr>
        <w:t xml:space="preserve">типу </w:t>
      </w:r>
      <w:r w:rsidRPr="00B11A36">
        <w:rPr>
          <w:b/>
          <w:color w:val="000000"/>
          <w:sz w:val="28"/>
          <w:szCs w:val="28"/>
        </w:rPr>
        <w:t>и региону, %</w:t>
      </w: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45"/>
        <w:gridCol w:w="864"/>
        <w:gridCol w:w="1701"/>
        <w:gridCol w:w="992"/>
        <w:gridCol w:w="2126"/>
        <w:gridCol w:w="2126"/>
      </w:tblGrid>
      <w:tr w:rsidR="005C2E15" w:rsidRPr="00B11A36" w14:paraId="654129DA" w14:textId="77777777" w:rsidTr="005C2E15">
        <w:trPr>
          <w:trHeight w:val="75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0A80E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bCs/>
                <w:color w:val="000000"/>
              </w:rPr>
            </w:pPr>
            <w:r w:rsidRPr="00B11A36">
              <w:rPr>
                <w:bCs/>
                <w:color w:val="000000"/>
              </w:rPr>
              <w:t>Регион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BD756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bCs/>
                <w:color w:val="000000"/>
              </w:rPr>
            </w:pPr>
            <w:r w:rsidRPr="00B11A36">
              <w:rPr>
                <w:bCs/>
                <w:color w:val="000000"/>
              </w:rPr>
              <w:t>Уголь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0C533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bCs/>
                <w:color w:val="000000"/>
              </w:rPr>
            </w:pPr>
            <w:r w:rsidRPr="00B11A36">
              <w:rPr>
                <w:bCs/>
                <w:color w:val="000000"/>
              </w:rPr>
              <w:t>Гидроэнергия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A0FE4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bCs/>
                <w:color w:val="000000"/>
              </w:rPr>
            </w:pPr>
            <w:r w:rsidRPr="00B11A36">
              <w:rPr>
                <w:bCs/>
                <w:color w:val="000000"/>
              </w:rPr>
              <w:t>Нефть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079EA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bCs/>
                <w:color w:val="000000"/>
              </w:rPr>
            </w:pPr>
            <w:r w:rsidRPr="00B11A36">
              <w:rPr>
                <w:bCs/>
                <w:color w:val="000000"/>
              </w:rPr>
              <w:t>Вся производимая энергия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1E8EB" w14:textId="77777777" w:rsidR="005C2E15" w:rsidRPr="00B11A36" w:rsidRDefault="005C2E15" w:rsidP="005C2E15">
            <w:pPr>
              <w:keepNext/>
              <w:keepLines/>
              <w:spacing w:line="360" w:lineRule="auto"/>
              <w:jc w:val="both"/>
              <w:outlineLvl w:val="4"/>
              <w:rPr>
                <w:rFonts w:eastAsia="Times New Roman"/>
                <w:bCs/>
                <w:color w:val="000000"/>
              </w:rPr>
            </w:pPr>
            <w:r w:rsidRPr="00B11A36">
              <w:rPr>
                <w:bCs/>
                <w:color w:val="000000"/>
              </w:rPr>
              <w:t>Вся потребляемая энергия</w:t>
            </w:r>
          </w:p>
        </w:tc>
      </w:tr>
      <w:tr w:rsidR="005C2E15" w:rsidRPr="00B11A36" w14:paraId="4521416F" w14:textId="77777777" w:rsidTr="005C2E15">
        <w:trPr>
          <w:trHeight w:val="315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F9007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color w:val="000000"/>
              </w:rPr>
              <w:t>Север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50B5F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22982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F2C95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14,4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E0721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43,9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43CE7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17,3</w:t>
            </w:r>
          </w:p>
        </w:tc>
      </w:tr>
      <w:tr w:rsidR="005C2E15" w:rsidRPr="00B11A36" w14:paraId="25ADA9B5" w14:textId="77777777" w:rsidTr="005C2E15">
        <w:trPr>
          <w:trHeight w:val="315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81F29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color w:val="000000"/>
              </w:rPr>
              <w:t>Северо-Восток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02796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B681B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599A5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48,3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40D81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70167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8,0</w:t>
            </w:r>
          </w:p>
        </w:tc>
      </w:tr>
      <w:tr w:rsidR="005C2E15" w:rsidRPr="00B11A36" w14:paraId="2594AB2D" w14:textId="77777777" w:rsidTr="005C2E15">
        <w:trPr>
          <w:trHeight w:val="315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43DB4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color w:val="000000"/>
              </w:rPr>
              <w:t>Восток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FD7AA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7437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44B8F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18,2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35DE2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4BAC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32,4</w:t>
            </w:r>
          </w:p>
        </w:tc>
      </w:tr>
      <w:tr w:rsidR="005C2E15" w:rsidRPr="00B11A36" w14:paraId="41F2F9BC" w14:textId="77777777" w:rsidTr="005C2E15">
        <w:trPr>
          <w:trHeight w:val="315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79ED6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color w:val="000000"/>
              </w:rPr>
              <w:t>Юг и Центр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54824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D6318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F7DA4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3C1F7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4DBD9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23,6</w:t>
            </w:r>
          </w:p>
        </w:tc>
      </w:tr>
      <w:tr w:rsidR="005C2E15" w:rsidRPr="00B11A36" w14:paraId="276D344C" w14:textId="77777777" w:rsidTr="005C2E15">
        <w:trPr>
          <w:trHeight w:val="315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37C56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color w:val="000000"/>
              </w:rPr>
              <w:t>Юго-Запад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5BD52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CB09A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FFE88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46CB8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28,6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B82FE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10,3</w:t>
            </w:r>
          </w:p>
        </w:tc>
      </w:tr>
      <w:tr w:rsidR="005C2E15" w:rsidRPr="00B11A36" w14:paraId="4B240E88" w14:textId="77777777" w:rsidTr="005C2E15">
        <w:trPr>
          <w:trHeight w:val="315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C2259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color w:val="000000"/>
              </w:rPr>
              <w:t>Северо-Запад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E88E5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6ADDB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87D5B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DDAE3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2ED3D" w14:textId="77777777" w:rsidR="005C2E15" w:rsidRPr="00B11A36" w:rsidRDefault="005C2E15" w:rsidP="005C2E15">
            <w:pPr>
              <w:spacing w:line="360" w:lineRule="auto"/>
              <w:jc w:val="both"/>
              <w:rPr>
                <w:rFonts w:eastAsia="Times New Roman"/>
                <w:color w:val="000000"/>
              </w:rPr>
            </w:pPr>
            <w:r w:rsidRPr="00B11A36">
              <w:rPr>
                <w:rFonts w:eastAsia="Times New Roman"/>
                <w:color w:val="000000"/>
              </w:rPr>
              <w:t>8,4</w:t>
            </w:r>
          </w:p>
        </w:tc>
      </w:tr>
    </w:tbl>
    <w:p w14:paraId="03E26CF3" w14:textId="7610DE3A" w:rsidR="005C2E15" w:rsidRPr="005C2E15" w:rsidRDefault="005C2E15" w:rsidP="005C2E15">
      <w:pPr>
        <w:pStyle w:val="ListParagraph"/>
        <w:tabs>
          <w:tab w:val="left" w:pos="426"/>
        </w:tabs>
        <w:spacing w:after="120" w:line="360" w:lineRule="auto"/>
        <w:ind w:left="0" w:right="-99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11A36">
        <w:rPr>
          <w:rFonts w:ascii="Times New Roman" w:eastAsia="SimSun" w:hAnsi="Times New Roman"/>
          <w:i/>
          <w:color w:val="000000"/>
          <w:sz w:val="28"/>
          <w:szCs w:val="28"/>
          <w:lang w:eastAsia="ru-RU"/>
        </w:rPr>
        <w:t>Источник</w:t>
      </w:r>
      <w:r w:rsidRPr="00B11A36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B11A36">
        <w:rPr>
          <w:rFonts w:ascii="Times New Roman" w:hAnsi="Times New Roman"/>
          <w:i/>
          <w:color w:val="000000"/>
          <w:sz w:val="28"/>
          <w:szCs w:val="28"/>
          <w:lang w:val="en-US"/>
        </w:rPr>
        <w:t>Understanding</w:t>
      </w:r>
      <w:r w:rsidRPr="00B11A3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1A36">
        <w:rPr>
          <w:rFonts w:ascii="Times New Roman" w:hAnsi="Times New Roman"/>
          <w:i/>
          <w:color w:val="000000"/>
          <w:sz w:val="28"/>
          <w:szCs w:val="28"/>
          <w:lang w:val="en-US"/>
        </w:rPr>
        <w:t>the</w:t>
      </w:r>
      <w:r w:rsidRPr="00B11A3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1A36">
        <w:rPr>
          <w:rFonts w:ascii="Times New Roman" w:hAnsi="Times New Roman"/>
          <w:i/>
          <w:color w:val="000000"/>
          <w:sz w:val="28"/>
          <w:szCs w:val="28"/>
          <w:lang w:val="en-US"/>
        </w:rPr>
        <w:t>Chinese</w:t>
      </w:r>
      <w:r w:rsidRPr="00B11A3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B11A36">
        <w:rPr>
          <w:rFonts w:ascii="Times New Roman" w:hAnsi="Times New Roman"/>
          <w:i/>
          <w:color w:val="000000"/>
          <w:sz w:val="28"/>
          <w:szCs w:val="28"/>
          <w:lang w:val="en-US"/>
        </w:rPr>
        <w:t>Economies</w:t>
      </w:r>
      <w:r w:rsidRPr="00B11A36">
        <w:rPr>
          <w:rFonts w:ascii="Times New Roman" w:hAnsi="Times New Roman"/>
          <w:i/>
          <w:color w:val="000000"/>
          <w:sz w:val="28"/>
          <w:szCs w:val="28"/>
        </w:rPr>
        <w:t>, 2013, Государственное статистическое управление КНР</w:t>
      </w:r>
      <w:r>
        <w:rPr>
          <w:rFonts w:ascii="Times New Roman" w:hAnsi="Times New Roman"/>
          <w:i/>
          <w:color w:val="000000"/>
          <w:sz w:val="28"/>
          <w:szCs w:val="28"/>
        </w:rPr>
        <w:t>, собственные расчеты</w:t>
      </w:r>
    </w:p>
    <w:p w14:paraId="4AB120EE" w14:textId="1D429DBD" w:rsidR="00B11A36" w:rsidRDefault="000B0BB5" w:rsidP="002B5778">
      <w:pPr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TW"/>
        </w:rPr>
        <w:t>В отношении наличия энергетических ресурсов провинции также занимают неравное</w:t>
      </w:r>
      <w:r w:rsidR="00B11A36">
        <w:rPr>
          <w:sz w:val="28"/>
          <w:szCs w:val="28"/>
          <w:lang w:eastAsia="zh-TW"/>
        </w:rPr>
        <w:t xml:space="preserve"> положение, однако оно не</w:t>
      </w:r>
      <w:r>
        <w:rPr>
          <w:sz w:val="28"/>
          <w:szCs w:val="28"/>
          <w:lang w:eastAsia="zh-TW"/>
        </w:rPr>
        <w:t xml:space="preserve"> соответствует представленной выше классификации по уровню жизни</w:t>
      </w:r>
      <w:r w:rsidR="00B11A36">
        <w:rPr>
          <w:sz w:val="28"/>
          <w:szCs w:val="28"/>
          <w:lang w:eastAsia="zh-TW"/>
        </w:rPr>
        <w:t xml:space="preserve"> </w:t>
      </w:r>
      <w:r w:rsidR="00B11A36" w:rsidRPr="00B11A36">
        <w:rPr>
          <w:color w:val="000000"/>
          <w:sz w:val="28"/>
          <w:szCs w:val="28"/>
        </w:rPr>
        <w:t>(см. Табл.</w:t>
      </w:r>
      <w:r w:rsidR="00877033">
        <w:rPr>
          <w:color w:val="000000"/>
          <w:sz w:val="28"/>
          <w:szCs w:val="28"/>
        </w:rPr>
        <w:t xml:space="preserve"> 4</w:t>
      </w:r>
      <w:r w:rsidR="00B11A36" w:rsidRPr="00B11A36">
        <w:rPr>
          <w:color w:val="000000"/>
          <w:sz w:val="28"/>
          <w:szCs w:val="28"/>
        </w:rPr>
        <w:t>)</w:t>
      </w:r>
      <w:r>
        <w:rPr>
          <w:sz w:val="28"/>
          <w:szCs w:val="28"/>
          <w:lang w:eastAsia="zh-TW"/>
        </w:rPr>
        <w:t>.</w:t>
      </w:r>
      <w:r w:rsidR="00B11A36">
        <w:rPr>
          <w:sz w:val="28"/>
          <w:szCs w:val="28"/>
          <w:lang w:eastAsia="zh-TW"/>
        </w:rPr>
        <w:t xml:space="preserve"> Развитые восточные провинции производят только 6% энергии, а отстающие юго-западные – 28,6%, где сосредоточена большая часть гидроэнергетического производства. </w:t>
      </w:r>
      <w:r w:rsidR="00A040E6">
        <w:rPr>
          <w:color w:val="000000"/>
          <w:sz w:val="28"/>
          <w:szCs w:val="28"/>
        </w:rPr>
        <w:t xml:space="preserve">Больше всего энергии производится в северной части Китая, где происходит более </w:t>
      </w:r>
      <w:r w:rsidR="00B11A36" w:rsidRPr="00B11A36">
        <w:rPr>
          <w:color w:val="000000"/>
          <w:sz w:val="28"/>
          <w:szCs w:val="28"/>
        </w:rPr>
        <w:t xml:space="preserve">60% добычи угля. </w:t>
      </w:r>
      <w:r w:rsidR="00A040E6">
        <w:rPr>
          <w:color w:val="000000"/>
          <w:sz w:val="28"/>
          <w:szCs w:val="28"/>
        </w:rPr>
        <w:t>В</w:t>
      </w:r>
      <w:r w:rsidR="00B11A36" w:rsidRPr="00B11A36">
        <w:rPr>
          <w:color w:val="000000"/>
          <w:sz w:val="28"/>
          <w:szCs w:val="28"/>
        </w:rPr>
        <w:t xml:space="preserve">нутри </w:t>
      </w:r>
      <w:r w:rsidR="00A040E6">
        <w:rPr>
          <w:color w:val="000000"/>
          <w:sz w:val="28"/>
          <w:szCs w:val="28"/>
        </w:rPr>
        <w:t xml:space="preserve">самих </w:t>
      </w:r>
      <w:r w:rsidR="00B11A36" w:rsidRPr="00B11A36">
        <w:rPr>
          <w:color w:val="000000"/>
          <w:sz w:val="28"/>
          <w:szCs w:val="28"/>
        </w:rPr>
        <w:t xml:space="preserve">регионов </w:t>
      </w:r>
      <w:r w:rsidR="00A040E6">
        <w:rPr>
          <w:color w:val="000000"/>
          <w:sz w:val="28"/>
          <w:szCs w:val="28"/>
        </w:rPr>
        <w:t xml:space="preserve">ресурсы </w:t>
      </w:r>
      <w:r w:rsidR="00B11A36" w:rsidRPr="00B11A36">
        <w:rPr>
          <w:color w:val="000000"/>
          <w:sz w:val="28"/>
          <w:szCs w:val="28"/>
        </w:rPr>
        <w:t xml:space="preserve">также </w:t>
      </w:r>
      <w:r w:rsidR="00A040E6">
        <w:rPr>
          <w:color w:val="000000"/>
          <w:sz w:val="28"/>
          <w:szCs w:val="28"/>
        </w:rPr>
        <w:t>представлены не равномерно</w:t>
      </w:r>
      <w:r w:rsidR="00B11A36" w:rsidRPr="00B11A36">
        <w:rPr>
          <w:color w:val="000000"/>
          <w:sz w:val="28"/>
          <w:szCs w:val="28"/>
        </w:rPr>
        <w:t xml:space="preserve">: в северном регионе </w:t>
      </w:r>
      <w:r w:rsidR="00A040E6">
        <w:rPr>
          <w:color w:val="000000"/>
          <w:sz w:val="28"/>
          <w:szCs w:val="28"/>
        </w:rPr>
        <w:t>преобладает производство угля</w:t>
      </w:r>
      <w:r w:rsidR="00B11A36" w:rsidRPr="00B11A36">
        <w:rPr>
          <w:color w:val="000000"/>
          <w:sz w:val="28"/>
          <w:szCs w:val="28"/>
        </w:rPr>
        <w:t xml:space="preserve">, </w:t>
      </w:r>
      <w:r w:rsidR="00A040E6">
        <w:rPr>
          <w:color w:val="000000"/>
          <w:sz w:val="28"/>
          <w:szCs w:val="28"/>
        </w:rPr>
        <w:t>в северо-</w:t>
      </w:r>
      <w:r w:rsidR="00A040E6">
        <w:rPr>
          <w:color w:val="000000"/>
          <w:sz w:val="28"/>
          <w:szCs w:val="28"/>
        </w:rPr>
        <w:lastRenderedPageBreak/>
        <w:t xml:space="preserve">восточном и восточном – нефти, </w:t>
      </w:r>
      <w:r w:rsidR="00B11A36" w:rsidRPr="00B11A36">
        <w:rPr>
          <w:color w:val="000000"/>
          <w:sz w:val="28"/>
          <w:szCs w:val="28"/>
        </w:rPr>
        <w:t>в юго-западном и</w:t>
      </w:r>
      <w:r w:rsidR="00A040E6">
        <w:rPr>
          <w:color w:val="000000"/>
          <w:sz w:val="28"/>
          <w:szCs w:val="28"/>
        </w:rPr>
        <w:t xml:space="preserve"> центрально-южном – гидроэнергии</w:t>
      </w:r>
      <w:r w:rsidR="00B11A36" w:rsidRPr="00B11A36">
        <w:rPr>
          <w:color w:val="000000"/>
          <w:sz w:val="28"/>
          <w:szCs w:val="28"/>
        </w:rPr>
        <w:t xml:space="preserve">. Только </w:t>
      </w:r>
      <w:r w:rsidR="00A040E6">
        <w:rPr>
          <w:color w:val="000000"/>
          <w:sz w:val="28"/>
          <w:szCs w:val="28"/>
        </w:rPr>
        <w:t>в северо-западном</w:t>
      </w:r>
      <w:r w:rsidR="00B11A36" w:rsidRPr="00B11A36">
        <w:rPr>
          <w:color w:val="000000"/>
          <w:sz w:val="28"/>
          <w:szCs w:val="28"/>
        </w:rPr>
        <w:t xml:space="preserve"> регион</w:t>
      </w:r>
      <w:r w:rsidR="00A040E6">
        <w:rPr>
          <w:color w:val="000000"/>
          <w:sz w:val="28"/>
          <w:szCs w:val="28"/>
        </w:rPr>
        <w:t>е</w:t>
      </w:r>
      <w:r w:rsidR="00B11A36" w:rsidRPr="00B11A36">
        <w:rPr>
          <w:color w:val="000000"/>
          <w:sz w:val="28"/>
          <w:szCs w:val="28"/>
        </w:rPr>
        <w:t xml:space="preserve"> относительно о</w:t>
      </w:r>
      <w:r w:rsidR="00A040E6">
        <w:rPr>
          <w:color w:val="000000"/>
          <w:sz w:val="28"/>
          <w:szCs w:val="28"/>
        </w:rPr>
        <w:t>динаково</w:t>
      </w:r>
      <w:r w:rsidR="00B11A36" w:rsidRPr="00B11A36">
        <w:rPr>
          <w:color w:val="000000"/>
          <w:sz w:val="28"/>
          <w:szCs w:val="28"/>
        </w:rPr>
        <w:t xml:space="preserve"> </w:t>
      </w:r>
      <w:r w:rsidR="00A040E6">
        <w:rPr>
          <w:color w:val="000000"/>
          <w:sz w:val="28"/>
          <w:szCs w:val="28"/>
        </w:rPr>
        <w:t>представлено производство угля, нефти и гидроресурсов</w:t>
      </w:r>
      <w:r w:rsidR="00B11A36" w:rsidRPr="00B11A36">
        <w:rPr>
          <w:color w:val="000000"/>
          <w:sz w:val="28"/>
          <w:szCs w:val="28"/>
        </w:rPr>
        <w:t xml:space="preserve">. </w:t>
      </w:r>
    </w:p>
    <w:p w14:paraId="4D89764E" w14:textId="14E637BD" w:rsidR="002B5778" w:rsidRDefault="00A040E6" w:rsidP="002B5778">
      <w:pPr>
        <w:spacing w:after="12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производимой и потребляемой энергии не соответствуют друг другу. Самый </w:t>
      </w:r>
      <w:proofErr w:type="spellStart"/>
      <w:r>
        <w:rPr>
          <w:color w:val="000000"/>
          <w:sz w:val="28"/>
          <w:szCs w:val="28"/>
        </w:rPr>
        <w:t>энергоинтенсивный</w:t>
      </w:r>
      <w:proofErr w:type="spellEnd"/>
      <w:r>
        <w:rPr>
          <w:color w:val="000000"/>
          <w:sz w:val="28"/>
          <w:szCs w:val="28"/>
        </w:rPr>
        <w:t xml:space="preserve"> восточный регион потребляет в 5 раз больше энергии, чем производит, а </w:t>
      </w:r>
      <w:r w:rsidR="007825D6">
        <w:rPr>
          <w:color w:val="000000"/>
          <w:sz w:val="28"/>
          <w:szCs w:val="28"/>
        </w:rPr>
        <w:t>потреблении энергии самым богатым ресурсами</w:t>
      </w:r>
      <w:r>
        <w:rPr>
          <w:color w:val="000000"/>
          <w:sz w:val="28"/>
          <w:szCs w:val="28"/>
        </w:rPr>
        <w:t xml:space="preserve"> северный </w:t>
      </w:r>
      <w:r w:rsidR="007825D6">
        <w:rPr>
          <w:color w:val="000000"/>
          <w:sz w:val="28"/>
          <w:szCs w:val="28"/>
        </w:rPr>
        <w:t xml:space="preserve">регионом в </w:t>
      </w:r>
      <w:r>
        <w:rPr>
          <w:color w:val="000000"/>
          <w:sz w:val="28"/>
          <w:szCs w:val="28"/>
        </w:rPr>
        <w:t xml:space="preserve">2,5 раза меньше </w:t>
      </w:r>
      <w:r w:rsidR="007825D6">
        <w:rPr>
          <w:color w:val="000000"/>
          <w:sz w:val="28"/>
          <w:szCs w:val="28"/>
        </w:rPr>
        <w:t>его производства.</w:t>
      </w:r>
    </w:p>
    <w:p w14:paraId="6BEA72C1" w14:textId="1C4152F2" w:rsidR="002B5778" w:rsidRDefault="002B5778" w:rsidP="00F65A03">
      <w:pPr>
        <w:pStyle w:val="ListParagraph"/>
        <w:tabs>
          <w:tab w:val="left" w:pos="426"/>
        </w:tabs>
        <w:spacing w:after="120" w:line="360" w:lineRule="auto"/>
        <w:ind w:left="0" w:right="-99" w:firstLine="567"/>
        <w:contextualSpacing w:val="0"/>
        <w:jc w:val="both"/>
        <w:rPr>
          <w:rFonts w:ascii="Times New Roman" w:eastAsia="新細明體" w:hAnsi="Times New Roman"/>
          <w:color w:val="000000"/>
          <w:sz w:val="28"/>
          <w:szCs w:val="28"/>
          <w:lang w:eastAsia="zh-TW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данным по доказанным запасам источников энергии на 2011 г., на суше и прибрежных территориях Китая находится 32,4 млрд. тонн нефти, 4021 млрд. м</w:t>
      </w:r>
      <w:r w:rsidRPr="00E669F1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природного газа, 215,8 млрд. тонн угля, 19,3 млрд. тонн железа.  </w:t>
      </w:r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>Половина каждого вида из этих ресурсов сконцентрирована в 2-4 провинциях (см. Табл. 5).</w:t>
      </w:r>
    </w:p>
    <w:p w14:paraId="26465545" w14:textId="77777777" w:rsidR="000F2EB7" w:rsidRPr="000F2EB7" w:rsidRDefault="00877033" w:rsidP="000F2EB7">
      <w:pPr>
        <w:pStyle w:val="ListParagraph"/>
        <w:tabs>
          <w:tab w:val="left" w:pos="426"/>
        </w:tabs>
        <w:spacing w:after="120" w:line="360" w:lineRule="auto"/>
        <w:ind w:left="0" w:right="-99"/>
        <w:contextualSpacing w:val="0"/>
        <w:jc w:val="both"/>
        <w:rPr>
          <w:rFonts w:ascii="Times New Roman" w:eastAsia="新細明體" w:hAnsi="Times New Roman"/>
          <w:b/>
          <w:color w:val="000000"/>
          <w:sz w:val="28"/>
          <w:szCs w:val="28"/>
          <w:lang w:eastAsia="zh-TW"/>
        </w:rPr>
      </w:pPr>
      <w:r>
        <w:rPr>
          <w:rFonts w:ascii="Times New Roman" w:eastAsia="新細明體" w:hAnsi="Times New Roman"/>
          <w:b/>
          <w:color w:val="000000"/>
          <w:sz w:val="28"/>
          <w:szCs w:val="28"/>
          <w:lang w:eastAsia="zh-TW"/>
        </w:rPr>
        <w:t>Таблица 5</w:t>
      </w:r>
      <w:r w:rsidR="000F2EB7" w:rsidRPr="000F2EB7">
        <w:rPr>
          <w:rFonts w:ascii="Times New Roman" w:eastAsia="新細明體" w:hAnsi="Times New Roman"/>
          <w:b/>
          <w:color w:val="000000"/>
          <w:sz w:val="28"/>
          <w:szCs w:val="28"/>
          <w:lang w:eastAsia="zh-TW"/>
        </w:rPr>
        <w:t>. Доли отдельных провинциях в доказанных запасах источников энергии в 2011 г., 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1276"/>
        <w:gridCol w:w="1240"/>
      </w:tblGrid>
      <w:tr w:rsidR="00AB44BD" w:rsidRPr="00AB44BD" w14:paraId="41384A19" w14:textId="77777777" w:rsidTr="00AB44BD">
        <w:tc>
          <w:tcPr>
            <w:tcW w:w="4077" w:type="dxa"/>
          </w:tcPr>
          <w:p w14:paraId="7341F0EF" w14:textId="77777777" w:rsidR="0016485A" w:rsidRPr="00AB44BD" w:rsidRDefault="0016485A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560" w:type="dxa"/>
          </w:tcPr>
          <w:p w14:paraId="43C4FBDB" w14:textId="77777777" w:rsidR="0016485A" w:rsidRPr="00AB44BD" w:rsidRDefault="0016485A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 w:rsidRPr="00AB44BD">
              <w:rPr>
                <w:rFonts w:ascii="Times New Roman" w:eastAsia="新細明體" w:hAnsi="Times New Roman"/>
                <w:color w:val="000000"/>
                <w:lang w:eastAsia="zh-TW"/>
              </w:rPr>
              <w:t>Нефть</w:t>
            </w:r>
          </w:p>
        </w:tc>
        <w:tc>
          <w:tcPr>
            <w:tcW w:w="1417" w:type="dxa"/>
          </w:tcPr>
          <w:p w14:paraId="76FEE449" w14:textId="77777777" w:rsidR="0016485A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 w:rsidRPr="00AB44BD">
              <w:rPr>
                <w:rFonts w:ascii="Times New Roman" w:eastAsia="新細明體" w:hAnsi="Times New Roman"/>
                <w:color w:val="000000"/>
                <w:lang w:eastAsia="zh-TW"/>
              </w:rPr>
              <w:t>Газ</w:t>
            </w:r>
          </w:p>
        </w:tc>
        <w:tc>
          <w:tcPr>
            <w:tcW w:w="1276" w:type="dxa"/>
          </w:tcPr>
          <w:p w14:paraId="2B88BBA8" w14:textId="77777777" w:rsidR="0016485A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 w:rsidRPr="00AB44BD">
              <w:rPr>
                <w:rFonts w:ascii="Times New Roman" w:eastAsia="新細明體" w:hAnsi="Times New Roman"/>
                <w:color w:val="000000"/>
                <w:lang w:eastAsia="zh-TW"/>
              </w:rPr>
              <w:t>Уголь</w:t>
            </w:r>
          </w:p>
        </w:tc>
        <w:tc>
          <w:tcPr>
            <w:tcW w:w="1240" w:type="dxa"/>
          </w:tcPr>
          <w:p w14:paraId="3793EEAE" w14:textId="77777777" w:rsidR="0016485A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 w:rsidRPr="00AB44BD">
              <w:rPr>
                <w:rFonts w:ascii="Times New Roman" w:eastAsia="新細明體" w:hAnsi="Times New Roman"/>
                <w:color w:val="000000"/>
                <w:lang w:eastAsia="zh-TW"/>
              </w:rPr>
              <w:t>Железо</w:t>
            </w:r>
          </w:p>
        </w:tc>
      </w:tr>
      <w:tr w:rsidR="00AB44BD" w:rsidRPr="00AB44BD" w14:paraId="12925115" w14:textId="77777777" w:rsidTr="00AB44BD">
        <w:tc>
          <w:tcPr>
            <w:tcW w:w="4077" w:type="dxa"/>
          </w:tcPr>
          <w:p w14:paraId="277F8676" w14:textId="77777777" w:rsidR="0016485A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proofErr w:type="spellStart"/>
            <w:r>
              <w:rPr>
                <w:rFonts w:ascii="Times New Roman" w:eastAsia="新細明體" w:hAnsi="Times New Roman"/>
                <w:color w:val="000000"/>
                <w:lang w:eastAsia="zh-TW"/>
              </w:rPr>
              <w:t>Хэйлунцзян</w:t>
            </w:r>
            <w:proofErr w:type="spellEnd"/>
            <w:r>
              <w:rPr>
                <w:rFonts w:ascii="Times New Roman" w:eastAsia="新細明體" w:hAnsi="Times New Roman"/>
                <w:color w:val="000000"/>
                <w:lang w:eastAsia="zh-TW"/>
              </w:rPr>
              <w:t xml:space="preserve"> </w:t>
            </w:r>
          </w:p>
        </w:tc>
        <w:tc>
          <w:tcPr>
            <w:tcW w:w="1560" w:type="dxa"/>
          </w:tcPr>
          <w:p w14:paraId="62562D7D" w14:textId="77777777" w:rsidR="0016485A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15,8</w:t>
            </w:r>
          </w:p>
        </w:tc>
        <w:tc>
          <w:tcPr>
            <w:tcW w:w="1417" w:type="dxa"/>
          </w:tcPr>
          <w:p w14:paraId="1F1BFF56" w14:textId="77777777" w:rsidR="0016485A" w:rsidRPr="00AB44BD" w:rsidRDefault="0016485A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76" w:type="dxa"/>
          </w:tcPr>
          <w:p w14:paraId="101F4170" w14:textId="77777777" w:rsidR="0016485A" w:rsidRPr="00AB44BD" w:rsidRDefault="0016485A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40" w:type="dxa"/>
          </w:tcPr>
          <w:p w14:paraId="1A1E2C33" w14:textId="77777777" w:rsidR="0016485A" w:rsidRPr="00AB44BD" w:rsidRDefault="0016485A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</w:tr>
      <w:tr w:rsidR="00AB44BD" w:rsidRPr="00AB44BD" w14:paraId="10B9C653" w14:textId="77777777" w:rsidTr="00AB44BD">
        <w:tc>
          <w:tcPr>
            <w:tcW w:w="4077" w:type="dxa"/>
          </w:tcPr>
          <w:p w14:paraId="123D6115" w14:textId="77777777" w:rsidR="0016485A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proofErr w:type="spellStart"/>
            <w:r>
              <w:rPr>
                <w:rFonts w:ascii="Times New Roman" w:eastAsia="新細明體" w:hAnsi="Times New Roman"/>
                <w:color w:val="000000"/>
                <w:lang w:eastAsia="zh-TW"/>
              </w:rPr>
              <w:t>Шаньдун</w:t>
            </w:r>
            <w:proofErr w:type="spellEnd"/>
          </w:p>
        </w:tc>
        <w:tc>
          <w:tcPr>
            <w:tcW w:w="1560" w:type="dxa"/>
          </w:tcPr>
          <w:p w14:paraId="57C21CEC" w14:textId="77777777" w:rsidR="0016485A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10,6</w:t>
            </w:r>
          </w:p>
        </w:tc>
        <w:tc>
          <w:tcPr>
            <w:tcW w:w="1417" w:type="dxa"/>
          </w:tcPr>
          <w:p w14:paraId="4CDC6FB6" w14:textId="77777777" w:rsidR="0016485A" w:rsidRPr="00AB44BD" w:rsidRDefault="0016485A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76" w:type="dxa"/>
          </w:tcPr>
          <w:p w14:paraId="3FB67B20" w14:textId="77777777" w:rsidR="0016485A" w:rsidRPr="00AB44BD" w:rsidRDefault="0016485A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40" w:type="dxa"/>
          </w:tcPr>
          <w:p w14:paraId="569E4494" w14:textId="77777777" w:rsidR="0016485A" w:rsidRPr="00AB44BD" w:rsidRDefault="0016485A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</w:tr>
      <w:tr w:rsidR="00AB44BD" w:rsidRPr="00AB44BD" w14:paraId="7282AC15" w14:textId="77777777" w:rsidTr="00AB44BD">
        <w:tc>
          <w:tcPr>
            <w:tcW w:w="4077" w:type="dxa"/>
          </w:tcPr>
          <w:p w14:paraId="41FA087D" w14:textId="77777777" w:rsidR="0016485A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 xml:space="preserve">Синьцзян-Уйгурский </w:t>
            </w:r>
            <w:proofErr w:type="spellStart"/>
            <w:r>
              <w:rPr>
                <w:rFonts w:ascii="Times New Roman" w:eastAsia="新細明體" w:hAnsi="Times New Roman"/>
                <w:color w:val="000000"/>
                <w:lang w:eastAsia="zh-TW"/>
              </w:rPr>
              <w:t>а.р</w:t>
            </w:r>
            <w:proofErr w:type="spellEnd"/>
            <w:r>
              <w:rPr>
                <w:rFonts w:ascii="Times New Roman" w:eastAsia="新細明體" w:hAnsi="Times New Roman"/>
                <w:color w:val="000000"/>
                <w:lang w:eastAsia="zh-TW"/>
              </w:rPr>
              <w:t>.</w:t>
            </w:r>
          </w:p>
        </w:tc>
        <w:tc>
          <w:tcPr>
            <w:tcW w:w="1560" w:type="dxa"/>
          </w:tcPr>
          <w:p w14:paraId="30246EF0" w14:textId="77777777" w:rsidR="0016485A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17,4</w:t>
            </w:r>
          </w:p>
        </w:tc>
        <w:tc>
          <w:tcPr>
            <w:tcW w:w="1417" w:type="dxa"/>
          </w:tcPr>
          <w:p w14:paraId="00C0CAA1" w14:textId="77777777" w:rsidR="0016485A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21,9</w:t>
            </w:r>
          </w:p>
        </w:tc>
        <w:tc>
          <w:tcPr>
            <w:tcW w:w="1276" w:type="dxa"/>
          </w:tcPr>
          <w:p w14:paraId="7F2A2301" w14:textId="77777777" w:rsidR="0016485A" w:rsidRPr="00AB44BD" w:rsidRDefault="0016485A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40" w:type="dxa"/>
          </w:tcPr>
          <w:p w14:paraId="0E8DD720" w14:textId="77777777" w:rsidR="0016485A" w:rsidRPr="00AB44BD" w:rsidRDefault="0016485A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</w:tr>
      <w:tr w:rsidR="00AB44BD" w:rsidRPr="00AB44BD" w14:paraId="3003E88A" w14:textId="77777777" w:rsidTr="00AB44BD">
        <w:tc>
          <w:tcPr>
            <w:tcW w:w="4077" w:type="dxa"/>
          </w:tcPr>
          <w:p w14:paraId="1A108A15" w14:textId="77777777" w:rsid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Морские территории</w:t>
            </w:r>
          </w:p>
        </w:tc>
        <w:tc>
          <w:tcPr>
            <w:tcW w:w="1560" w:type="dxa"/>
          </w:tcPr>
          <w:p w14:paraId="078E0333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13,9</w:t>
            </w:r>
          </w:p>
        </w:tc>
        <w:tc>
          <w:tcPr>
            <w:tcW w:w="1417" w:type="dxa"/>
          </w:tcPr>
          <w:p w14:paraId="6E1D7E83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76" w:type="dxa"/>
          </w:tcPr>
          <w:p w14:paraId="7C8B5043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40" w:type="dxa"/>
          </w:tcPr>
          <w:p w14:paraId="0793111B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</w:tr>
      <w:tr w:rsidR="00AB44BD" w:rsidRPr="00AB44BD" w14:paraId="700FE3A6" w14:textId="77777777" w:rsidTr="00AB44BD">
        <w:tc>
          <w:tcPr>
            <w:tcW w:w="4077" w:type="dxa"/>
          </w:tcPr>
          <w:p w14:paraId="20FCC4A9" w14:textId="77777777" w:rsid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Внутренняя Монголия</w:t>
            </w:r>
          </w:p>
        </w:tc>
        <w:tc>
          <w:tcPr>
            <w:tcW w:w="1560" w:type="dxa"/>
          </w:tcPr>
          <w:p w14:paraId="1C1148A9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417" w:type="dxa"/>
          </w:tcPr>
          <w:p w14:paraId="5E1D36E3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20</w:t>
            </w:r>
          </w:p>
        </w:tc>
        <w:tc>
          <w:tcPr>
            <w:tcW w:w="1276" w:type="dxa"/>
          </w:tcPr>
          <w:p w14:paraId="21CF84D9" w14:textId="77777777" w:rsidR="00AB44BD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17,1</w:t>
            </w:r>
          </w:p>
        </w:tc>
        <w:tc>
          <w:tcPr>
            <w:tcW w:w="1240" w:type="dxa"/>
          </w:tcPr>
          <w:p w14:paraId="31283F44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</w:tr>
      <w:tr w:rsidR="00AB44BD" w:rsidRPr="00AB44BD" w14:paraId="5227C52B" w14:textId="77777777" w:rsidTr="00AB44BD">
        <w:tc>
          <w:tcPr>
            <w:tcW w:w="4077" w:type="dxa"/>
          </w:tcPr>
          <w:p w14:paraId="2C9D503E" w14:textId="77777777" w:rsid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Сычуань</w:t>
            </w:r>
          </w:p>
        </w:tc>
        <w:tc>
          <w:tcPr>
            <w:tcW w:w="1560" w:type="dxa"/>
          </w:tcPr>
          <w:p w14:paraId="2A1C1498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417" w:type="dxa"/>
          </w:tcPr>
          <w:p w14:paraId="124EDC4B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19,8</w:t>
            </w:r>
          </w:p>
        </w:tc>
        <w:tc>
          <w:tcPr>
            <w:tcW w:w="1276" w:type="dxa"/>
          </w:tcPr>
          <w:p w14:paraId="7665F140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40" w:type="dxa"/>
          </w:tcPr>
          <w:p w14:paraId="3FE51372" w14:textId="77777777" w:rsidR="00AB44BD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15,1</w:t>
            </w:r>
          </w:p>
        </w:tc>
      </w:tr>
      <w:tr w:rsidR="00AB44BD" w:rsidRPr="00AB44BD" w14:paraId="0D15A161" w14:textId="77777777" w:rsidTr="00AB44BD">
        <w:tc>
          <w:tcPr>
            <w:tcW w:w="4077" w:type="dxa"/>
          </w:tcPr>
          <w:p w14:paraId="5AC3EAC5" w14:textId="77777777" w:rsid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proofErr w:type="spellStart"/>
            <w:r>
              <w:rPr>
                <w:rFonts w:ascii="Times New Roman" w:eastAsia="新細明體" w:hAnsi="Times New Roman"/>
                <w:color w:val="000000"/>
                <w:lang w:eastAsia="zh-TW"/>
              </w:rPr>
              <w:t>Шэньси</w:t>
            </w:r>
            <w:proofErr w:type="spellEnd"/>
          </w:p>
        </w:tc>
        <w:tc>
          <w:tcPr>
            <w:tcW w:w="1560" w:type="dxa"/>
          </w:tcPr>
          <w:p w14:paraId="291273D7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417" w:type="dxa"/>
          </w:tcPr>
          <w:p w14:paraId="43F2C4A4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13,6</w:t>
            </w:r>
          </w:p>
        </w:tc>
        <w:tc>
          <w:tcPr>
            <w:tcW w:w="1276" w:type="dxa"/>
          </w:tcPr>
          <w:p w14:paraId="536E90A2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40" w:type="dxa"/>
          </w:tcPr>
          <w:p w14:paraId="53AF7483" w14:textId="77777777" w:rsidR="00AB44BD" w:rsidRPr="00AB44BD" w:rsidRDefault="00AB44BD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</w:tr>
      <w:tr w:rsidR="000F2EB7" w:rsidRPr="00AB44BD" w14:paraId="00BA7E02" w14:textId="77777777" w:rsidTr="00AB44BD">
        <w:tc>
          <w:tcPr>
            <w:tcW w:w="4077" w:type="dxa"/>
          </w:tcPr>
          <w:p w14:paraId="11DCCD46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proofErr w:type="spellStart"/>
            <w:r>
              <w:rPr>
                <w:rFonts w:ascii="Times New Roman" w:eastAsia="新細明體" w:hAnsi="Times New Roman"/>
                <w:color w:val="000000"/>
                <w:lang w:eastAsia="zh-TW"/>
              </w:rPr>
              <w:t>Шаньси</w:t>
            </w:r>
            <w:proofErr w:type="spellEnd"/>
          </w:p>
        </w:tc>
        <w:tc>
          <w:tcPr>
            <w:tcW w:w="1560" w:type="dxa"/>
          </w:tcPr>
          <w:p w14:paraId="5EBBB166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417" w:type="dxa"/>
          </w:tcPr>
          <w:p w14:paraId="61916E05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76" w:type="dxa"/>
          </w:tcPr>
          <w:p w14:paraId="23369919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38,7</w:t>
            </w:r>
          </w:p>
        </w:tc>
        <w:tc>
          <w:tcPr>
            <w:tcW w:w="1240" w:type="dxa"/>
          </w:tcPr>
          <w:p w14:paraId="009C216A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</w:tr>
      <w:tr w:rsidR="000F2EB7" w:rsidRPr="00AB44BD" w14:paraId="68A05C6F" w14:textId="77777777" w:rsidTr="00AB44BD">
        <w:tc>
          <w:tcPr>
            <w:tcW w:w="4077" w:type="dxa"/>
          </w:tcPr>
          <w:p w14:paraId="0D80C36F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proofErr w:type="spellStart"/>
            <w:r>
              <w:rPr>
                <w:rFonts w:ascii="Times New Roman" w:eastAsia="新細明體" w:hAnsi="Times New Roman"/>
                <w:color w:val="000000"/>
                <w:lang w:eastAsia="zh-TW"/>
              </w:rPr>
              <w:t>Ляонин</w:t>
            </w:r>
            <w:proofErr w:type="spellEnd"/>
          </w:p>
        </w:tc>
        <w:tc>
          <w:tcPr>
            <w:tcW w:w="1560" w:type="dxa"/>
          </w:tcPr>
          <w:p w14:paraId="1FD63AD9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417" w:type="dxa"/>
          </w:tcPr>
          <w:p w14:paraId="789C66E4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76" w:type="dxa"/>
          </w:tcPr>
          <w:p w14:paraId="23242909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40" w:type="dxa"/>
          </w:tcPr>
          <w:p w14:paraId="3D47053A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27</w:t>
            </w:r>
          </w:p>
        </w:tc>
      </w:tr>
      <w:tr w:rsidR="000F2EB7" w:rsidRPr="00AB44BD" w14:paraId="77CD52D2" w14:textId="77777777" w:rsidTr="00AB44BD">
        <w:tc>
          <w:tcPr>
            <w:tcW w:w="4077" w:type="dxa"/>
          </w:tcPr>
          <w:p w14:paraId="6B06EA69" w14:textId="77777777" w:rsidR="000F2EB7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proofErr w:type="spellStart"/>
            <w:r>
              <w:rPr>
                <w:rFonts w:ascii="Times New Roman" w:eastAsia="新細明體" w:hAnsi="Times New Roman"/>
                <w:color w:val="000000"/>
                <w:lang w:eastAsia="zh-TW"/>
              </w:rPr>
              <w:t>Хэбэй</w:t>
            </w:r>
            <w:proofErr w:type="spellEnd"/>
          </w:p>
        </w:tc>
        <w:tc>
          <w:tcPr>
            <w:tcW w:w="1560" w:type="dxa"/>
          </w:tcPr>
          <w:p w14:paraId="035BA10E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417" w:type="dxa"/>
          </w:tcPr>
          <w:p w14:paraId="6D3E4091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76" w:type="dxa"/>
          </w:tcPr>
          <w:p w14:paraId="083FFA82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</w:p>
        </w:tc>
        <w:tc>
          <w:tcPr>
            <w:tcW w:w="1240" w:type="dxa"/>
          </w:tcPr>
          <w:p w14:paraId="1979FC36" w14:textId="77777777" w:rsidR="000F2EB7" w:rsidRPr="00AB44BD" w:rsidRDefault="000F2EB7" w:rsidP="00AB44BD">
            <w:pPr>
              <w:pStyle w:val="ListParagraph"/>
              <w:tabs>
                <w:tab w:val="left" w:pos="426"/>
              </w:tabs>
              <w:spacing w:line="360" w:lineRule="auto"/>
              <w:ind w:left="0" w:right="-96"/>
              <w:contextualSpacing w:val="0"/>
              <w:jc w:val="both"/>
              <w:rPr>
                <w:rFonts w:ascii="Times New Roman" w:eastAsia="新細明體" w:hAnsi="Times New Roman"/>
                <w:color w:val="000000"/>
                <w:lang w:eastAsia="zh-TW"/>
              </w:rPr>
            </w:pPr>
            <w:r>
              <w:rPr>
                <w:rFonts w:ascii="Times New Roman" w:eastAsia="新細明體" w:hAnsi="Times New Roman"/>
                <w:color w:val="000000"/>
                <w:lang w:eastAsia="zh-TW"/>
              </w:rPr>
              <w:t>13,9</w:t>
            </w:r>
          </w:p>
        </w:tc>
      </w:tr>
    </w:tbl>
    <w:p w14:paraId="1AEF2CC4" w14:textId="77777777" w:rsidR="000F2EB7" w:rsidRPr="000F2EB7" w:rsidRDefault="000F2EB7" w:rsidP="000F2EB7">
      <w:pPr>
        <w:pStyle w:val="ListParagraph"/>
        <w:tabs>
          <w:tab w:val="left" w:pos="426"/>
        </w:tabs>
        <w:spacing w:after="120" w:line="360" w:lineRule="auto"/>
        <w:ind w:left="0" w:right="-99"/>
        <w:contextualSpacing w:val="0"/>
        <w:jc w:val="both"/>
        <w:rPr>
          <w:rFonts w:ascii="Times New Roman" w:eastAsia="新細明體" w:hAnsi="Times New Roman"/>
          <w:i/>
          <w:color w:val="000000"/>
          <w:sz w:val="28"/>
          <w:szCs w:val="28"/>
          <w:lang w:eastAsia="zh-TW"/>
        </w:rPr>
      </w:pPr>
      <w:r w:rsidRPr="000F2EB7">
        <w:rPr>
          <w:rFonts w:ascii="Times New Roman" w:eastAsia="新細明體" w:hAnsi="Times New Roman"/>
          <w:i/>
          <w:color w:val="000000"/>
          <w:sz w:val="28"/>
          <w:szCs w:val="28"/>
          <w:lang w:eastAsia="zh-TW"/>
        </w:rPr>
        <w:t>Источник: Государственное статистическое управление КНР</w:t>
      </w:r>
      <w:r>
        <w:rPr>
          <w:rFonts w:ascii="Times New Roman" w:eastAsia="新細明體" w:hAnsi="Times New Roman"/>
          <w:i/>
          <w:color w:val="000000"/>
          <w:sz w:val="28"/>
          <w:szCs w:val="28"/>
          <w:lang w:eastAsia="zh-TW"/>
        </w:rPr>
        <w:t>, собственные расчеты</w:t>
      </w:r>
    </w:p>
    <w:p w14:paraId="421CB28F" w14:textId="77777777" w:rsidR="002B5778" w:rsidRDefault="002B5778" w:rsidP="002B5778">
      <w:pPr>
        <w:pStyle w:val="ListParagraph"/>
        <w:tabs>
          <w:tab w:val="left" w:pos="426"/>
        </w:tabs>
        <w:spacing w:after="120" w:line="360" w:lineRule="auto"/>
        <w:ind w:left="0" w:right="-99" w:firstLine="567"/>
        <w:contextualSpacing w:val="0"/>
        <w:jc w:val="both"/>
        <w:rPr>
          <w:rFonts w:ascii="Times New Roman" w:eastAsia="新細明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 xml:space="preserve">Самыми богатыми ресурсами провинциями, очевидно, являются Внутренняя Монголия, где сосредоточено 20% запасов газа и 17,1% запасов угля, Синьцзян-Уйгурский автономный район – 17,4% нефти и 21,9% газа и </w:t>
      </w:r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lastRenderedPageBreak/>
        <w:t xml:space="preserve">Сычуань – 19,8% газа и 15,1% железа. Главной «угольной» провинцией является </w:t>
      </w:r>
      <w:proofErr w:type="spellStart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>Шаньси</w:t>
      </w:r>
      <w:proofErr w:type="spellEnd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>, «нефтяной» и «газовой» – Синьцзян-Уйгурский автономный район.</w:t>
      </w:r>
    </w:p>
    <w:p w14:paraId="3086E56F" w14:textId="72544CFA" w:rsidR="002B5778" w:rsidRPr="002B5778" w:rsidRDefault="002B5778" w:rsidP="002B5778">
      <w:pPr>
        <w:pStyle w:val="ListParagraph"/>
        <w:tabs>
          <w:tab w:val="left" w:pos="426"/>
        </w:tabs>
        <w:spacing w:after="120" w:line="360" w:lineRule="auto"/>
        <w:ind w:left="0" w:right="-99" w:firstLine="567"/>
        <w:contextualSpacing w:val="0"/>
        <w:jc w:val="both"/>
        <w:rPr>
          <w:rFonts w:ascii="Times New Roman" w:eastAsia="新細明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 xml:space="preserve">Самыми бедными ископаемыми ресурсами провинциями являются </w:t>
      </w:r>
      <w:proofErr w:type="spellStart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>Цзянсу</w:t>
      </w:r>
      <w:proofErr w:type="spellEnd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 xml:space="preserve">, </w:t>
      </w:r>
      <w:proofErr w:type="spellStart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>Чжэцзян</w:t>
      </w:r>
      <w:proofErr w:type="spellEnd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 xml:space="preserve">, </w:t>
      </w:r>
      <w:proofErr w:type="spellStart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>Цзянси</w:t>
      </w:r>
      <w:proofErr w:type="spellEnd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 xml:space="preserve">, </w:t>
      </w:r>
      <w:proofErr w:type="spellStart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>Хунань</w:t>
      </w:r>
      <w:proofErr w:type="spellEnd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 xml:space="preserve">, </w:t>
      </w:r>
      <w:proofErr w:type="spellStart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>Гуандун</w:t>
      </w:r>
      <w:proofErr w:type="spellEnd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 xml:space="preserve">, </w:t>
      </w:r>
      <w:proofErr w:type="spellStart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>Гуанси</w:t>
      </w:r>
      <w:proofErr w:type="spellEnd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 xml:space="preserve">, </w:t>
      </w:r>
      <w:proofErr w:type="spellStart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>Хайнань</w:t>
      </w:r>
      <w:proofErr w:type="spellEnd"/>
      <w:r>
        <w:rPr>
          <w:rFonts w:ascii="Times New Roman" w:eastAsia="新細明體" w:hAnsi="Times New Roman"/>
          <w:color w:val="000000"/>
          <w:sz w:val="28"/>
          <w:szCs w:val="28"/>
          <w:lang w:eastAsia="zh-TW"/>
        </w:rPr>
        <w:t xml:space="preserve"> и Тибет, так как там находится менее одного процента по каждому виду выше перечисленных ресурсов.</w:t>
      </w:r>
    </w:p>
    <w:p w14:paraId="64951306" w14:textId="77777777" w:rsidR="005673D3" w:rsidRPr="003F0512" w:rsidRDefault="0069275A" w:rsidP="005673D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TW"/>
        </w:rPr>
        <w:t xml:space="preserve">Существует большое количество классификаций регионов Китая по </w:t>
      </w:r>
      <w:proofErr w:type="spellStart"/>
      <w:r>
        <w:rPr>
          <w:sz w:val="28"/>
          <w:szCs w:val="28"/>
          <w:lang w:eastAsia="zh-TW"/>
        </w:rPr>
        <w:t>энерго</w:t>
      </w:r>
      <w:proofErr w:type="spellEnd"/>
      <w:r w:rsidR="00946272">
        <w:rPr>
          <w:sz w:val="28"/>
          <w:szCs w:val="28"/>
          <w:lang w:eastAsia="zh-TW"/>
        </w:rPr>
        <w:t>-</w:t>
      </w:r>
      <w:r>
        <w:rPr>
          <w:sz w:val="28"/>
          <w:szCs w:val="28"/>
          <w:lang w:eastAsia="zh-TW"/>
        </w:rPr>
        <w:t xml:space="preserve"> </w:t>
      </w:r>
      <w:r w:rsidR="00946272">
        <w:rPr>
          <w:sz w:val="28"/>
          <w:szCs w:val="28"/>
          <w:lang w:eastAsia="zh-TW"/>
        </w:rPr>
        <w:t xml:space="preserve">и </w:t>
      </w:r>
      <w:proofErr w:type="spellStart"/>
      <w:r w:rsidR="00946272">
        <w:rPr>
          <w:sz w:val="28"/>
          <w:szCs w:val="28"/>
          <w:lang w:eastAsia="zh-TW"/>
        </w:rPr>
        <w:t>экоэффективности</w:t>
      </w:r>
      <w:proofErr w:type="spellEnd"/>
      <w:r w:rsidR="00946272">
        <w:rPr>
          <w:sz w:val="28"/>
          <w:szCs w:val="28"/>
          <w:lang w:eastAsia="zh-TW"/>
        </w:rPr>
        <w:t xml:space="preserve"> ВРП.</w:t>
      </w:r>
      <w:r>
        <w:rPr>
          <w:sz w:val="28"/>
          <w:szCs w:val="28"/>
          <w:lang w:eastAsia="zh-TW"/>
        </w:rPr>
        <w:t xml:space="preserve"> </w:t>
      </w:r>
      <w:r w:rsidR="00946272">
        <w:rPr>
          <w:sz w:val="28"/>
          <w:szCs w:val="28"/>
          <w:lang w:eastAsia="zh-TW"/>
        </w:rPr>
        <w:t>В одном из таких исследований китайские специалисты выделяют 3 группы провинций на основе их вклада в ВВП и доли в потреблении энергии, а также учитывая исторические результаты и приоритеты на будущее</w:t>
      </w:r>
      <w:r w:rsidR="00A27922">
        <w:rPr>
          <w:rStyle w:val="FootnoteReference"/>
          <w:sz w:val="28"/>
          <w:szCs w:val="28"/>
          <w:lang w:eastAsia="zh-TW"/>
        </w:rPr>
        <w:footnoteReference w:id="30"/>
      </w:r>
      <w:r w:rsidR="00946272">
        <w:rPr>
          <w:sz w:val="28"/>
          <w:szCs w:val="28"/>
          <w:lang w:eastAsia="zh-TW"/>
        </w:rPr>
        <w:t>.</w:t>
      </w:r>
      <w:r w:rsidR="00A27922">
        <w:rPr>
          <w:sz w:val="28"/>
          <w:szCs w:val="28"/>
          <w:lang w:eastAsia="zh-TW"/>
        </w:rPr>
        <w:t xml:space="preserve"> </w:t>
      </w:r>
      <w:r w:rsidR="00946272">
        <w:rPr>
          <w:sz w:val="28"/>
          <w:szCs w:val="28"/>
          <w:lang w:eastAsia="zh-TW"/>
        </w:rPr>
        <w:t xml:space="preserve">Согласно этой классификации, самой эффективной является группа восточных провинций и городов центрального подчинения, которые отвечали за 60% ВВП Китая и 50% потребления энергии в 2010 г. В остальных двух группах – </w:t>
      </w:r>
      <w:r w:rsidR="00F32203">
        <w:rPr>
          <w:sz w:val="28"/>
          <w:szCs w:val="28"/>
          <w:lang w:eastAsia="zh-TW"/>
        </w:rPr>
        <w:t xml:space="preserve">центральной и западной – </w:t>
      </w:r>
      <w:r w:rsidR="00946272">
        <w:rPr>
          <w:sz w:val="28"/>
          <w:szCs w:val="28"/>
          <w:lang w:eastAsia="zh-TW"/>
        </w:rPr>
        <w:t>доля в потреблении</w:t>
      </w:r>
      <w:r w:rsidR="00F32203">
        <w:rPr>
          <w:sz w:val="28"/>
          <w:szCs w:val="28"/>
          <w:lang w:eastAsia="zh-TW"/>
        </w:rPr>
        <w:t xml:space="preserve"> энергии</w:t>
      </w:r>
      <w:r w:rsidR="00946272">
        <w:rPr>
          <w:sz w:val="28"/>
          <w:szCs w:val="28"/>
          <w:lang w:eastAsia="zh-TW"/>
        </w:rPr>
        <w:t xml:space="preserve"> превышает долю в ВВП, 25% ВВП против 30% потребления </w:t>
      </w:r>
      <w:r w:rsidR="00F32203">
        <w:rPr>
          <w:sz w:val="28"/>
          <w:szCs w:val="28"/>
          <w:lang w:eastAsia="zh-TW"/>
        </w:rPr>
        <w:t>и 15% против 20% соответственно</w:t>
      </w:r>
      <w:r w:rsidR="009569A5">
        <w:rPr>
          <w:rStyle w:val="FootnoteReference"/>
          <w:sz w:val="28"/>
          <w:szCs w:val="28"/>
          <w:lang w:eastAsia="zh-TW"/>
        </w:rPr>
        <w:footnoteReference w:id="31"/>
      </w:r>
      <w:r w:rsidR="00F32203">
        <w:rPr>
          <w:sz w:val="28"/>
          <w:szCs w:val="28"/>
          <w:lang w:eastAsia="zh-TW"/>
        </w:rPr>
        <w:t>. Западная группа названа наименее развитой, несмотря на то, что занимает половину территории Китая.</w:t>
      </w:r>
      <w:r w:rsidR="00A27922" w:rsidRPr="003F0512">
        <w:rPr>
          <w:sz w:val="28"/>
          <w:szCs w:val="28"/>
        </w:rPr>
        <w:t xml:space="preserve"> </w:t>
      </w:r>
    </w:p>
    <w:p w14:paraId="4607B362" w14:textId="77777777" w:rsidR="00717E99" w:rsidRDefault="00F32203" w:rsidP="004C574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Такая классификация является вполне релевантной и актуальной. Для более полного анализа хотелось бы дополнить ее данными по</w:t>
      </w:r>
      <w:r w:rsidR="005673D3">
        <w:rPr>
          <w:color w:val="000000"/>
          <w:sz w:val="28"/>
          <w:szCs w:val="28"/>
        </w:rPr>
        <w:t xml:space="preserve"> </w:t>
      </w:r>
      <w:proofErr w:type="spellStart"/>
      <w:r w:rsidR="005673D3">
        <w:rPr>
          <w:color w:val="000000"/>
          <w:sz w:val="28"/>
          <w:szCs w:val="28"/>
        </w:rPr>
        <w:t>энергоэффективности</w:t>
      </w:r>
      <w:proofErr w:type="spellEnd"/>
      <w:r w:rsidR="005673D3">
        <w:rPr>
          <w:color w:val="000000"/>
          <w:sz w:val="28"/>
          <w:szCs w:val="28"/>
        </w:rPr>
        <w:t xml:space="preserve"> ВРП и потреблению электричества</w:t>
      </w:r>
      <w:r w:rsidR="005E0CBC">
        <w:rPr>
          <w:color w:val="000000"/>
          <w:sz w:val="28"/>
          <w:szCs w:val="28"/>
        </w:rPr>
        <w:t xml:space="preserve"> (см. Приложения, Табл. 3)</w:t>
      </w:r>
      <w:r w:rsidR="005673D3">
        <w:rPr>
          <w:color w:val="000000"/>
          <w:sz w:val="28"/>
          <w:szCs w:val="28"/>
        </w:rPr>
        <w:t>.</w:t>
      </w:r>
    </w:p>
    <w:p w14:paraId="1F4E0BE4" w14:textId="5830EC84" w:rsidR="00E54B3D" w:rsidRPr="003F0512" w:rsidRDefault="00E54B3D" w:rsidP="00E54B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Относительные показатели потребления свидетельствуют о том, что самой энергетически эффективной является группа восточных провинций </w:t>
      </w:r>
      <w:r>
        <w:rPr>
          <w:color w:val="000000"/>
          <w:sz w:val="28"/>
          <w:szCs w:val="28"/>
        </w:rPr>
        <w:lastRenderedPageBreak/>
        <w:t xml:space="preserve">(см. Рис. 6). Она обладает самыми низкими относительными показателями потребления энергии и электричества к ВРП. Среднее по группе отношение потребления энергии к ВРП на 30% меньше, чем у второй по эффективности группы центральных провинций и на 50% – чем у самой низкоэффективной группы западных. Больше Восток опережает остальные провинции по соотношению потребления энергии к региональной добавленной стоимости в промышленности: на 50% эффективнее Запада и на 40% – Центра. Дисперсия всех трех признаков возрастает по мере снижения </w:t>
      </w:r>
      <w:proofErr w:type="spellStart"/>
      <w:r>
        <w:rPr>
          <w:color w:val="000000"/>
          <w:sz w:val="28"/>
          <w:szCs w:val="28"/>
        </w:rPr>
        <w:t>энергоэффективности</w:t>
      </w:r>
      <w:proofErr w:type="spellEnd"/>
      <w:r>
        <w:rPr>
          <w:color w:val="000000"/>
          <w:sz w:val="28"/>
          <w:szCs w:val="28"/>
        </w:rPr>
        <w:t xml:space="preserve"> в группах. Например, по показателю потребления энергии к ВРП для Востока дисперсия составляет 14%, для Центра – 38%, а для Запада – 87%.  </w:t>
      </w:r>
    </w:p>
    <w:p w14:paraId="44D0F4D9" w14:textId="77777777" w:rsidR="00E54B3D" w:rsidRDefault="00E54B3D" w:rsidP="004C5747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30798727" w14:textId="0A013D84" w:rsidR="00E44221" w:rsidRDefault="00E44221" w:rsidP="00E44221">
      <w:pPr>
        <w:spacing w:after="120" w:line="360" w:lineRule="auto"/>
        <w:jc w:val="both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66318CA6" wp14:editId="07DC35C6">
            <wp:extent cx="5940002" cy="3687445"/>
            <wp:effectExtent l="0" t="0" r="29210" b="2095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E44221">
        <w:rPr>
          <w:b/>
          <w:color w:val="000000"/>
          <w:sz w:val="28"/>
          <w:szCs w:val="28"/>
        </w:rPr>
        <w:t xml:space="preserve">Рисунок 6. </w:t>
      </w:r>
      <w:r w:rsidR="00A164D1">
        <w:rPr>
          <w:b/>
          <w:sz w:val="28"/>
          <w:szCs w:val="28"/>
        </w:rPr>
        <w:t>Среднее п</w:t>
      </w:r>
      <w:r w:rsidRPr="00E44221">
        <w:rPr>
          <w:b/>
          <w:sz w:val="28"/>
          <w:szCs w:val="28"/>
        </w:rPr>
        <w:t>отребление</w:t>
      </w:r>
      <w:r>
        <w:rPr>
          <w:b/>
          <w:sz w:val="28"/>
          <w:szCs w:val="28"/>
        </w:rPr>
        <w:t xml:space="preserve"> энергии и электричества к ВРП и региональной добавленной стоимости в промышленности по группам регионов Китая, </w:t>
      </w:r>
      <w:proofErr w:type="spellStart"/>
      <w:r>
        <w:rPr>
          <w:b/>
          <w:sz w:val="28"/>
          <w:szCs w:val="28"/>
        </w:rPr>
        <w:t>туэ</w:t>
      </w:r>
      <w:proofErr w:type="spellEnd"/>
      <w:r w:rsidR="0082252D">
        <w:rPr>
          <w:b/>
          <w:sz w:val="28"/>
          <w:szCs w:val="28"/>
        </w:rPr>
        <w:t xml:space="preserve"> и квтч/</w:t>
      </w:r>
      <w:r>
        <w:rPr>
          <w:b/>
          <w:sz w:val="28"/>
          <w:szCs w:val="28"/>
        </w:rPr>
        <w:t>10000 юаней, 2006 год</w:t>
      </w:r>
    </w:p>
    <w:p w14:paraId="4142A0C2" w14:textId="77777777" w:rsidR="00A164D1" w:rsidRPr="00A164D1" w:rsidRDefault="00A164D1" w:rsidP="00E44221">
      <w:pPr>
        <w:spacing w:after="120" w:line="360" w:lineRule="auto"/>
        <w:jc w:val="both"/>
        <w:rPr>
          <w:i/>
          <w:sz w:val="28"/>
          <w:szCs w:val="28"/>
        </w:rPr>
      </w:pPr>
      <w:r w:rsidRPr="00A164D1">
        <w:rPr>
          <w:i/>
          <w:sz w:val="28"/>
          <w:szCs w:val="28"/>
        </w:rPr>
        <w:t>Источник</w:t>
      </w:r>
      <w:r>
        <w:rPr>
          <w:i/>
          <w:sz w:val="28"/>
          <w:szCs w:val="28"/>
        </w:rPr>
        <w:t>: Государственное статистическое управление КНР, собственные расчеты</w:t>
      </w:r>
    </w:p>
    <w:p w14:paraId="01917CAB" w14:textId="06E61634" w:rsidR="0069275A" w:rsidRDefault="00E54B3D" w:rsidP="0069275A">
      <w:pPr>
        <w:tabs>
          <w:tab w:val="left" w:pos="426"/>
        </w:tabs>
        <w:spacing w:after="120" w:line="360" w:lineRule="auto"/>
        <w:ind w:right="-9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Концепции регионального развития Китая менялись с течением времени. Например, в</w:t>
      </w:r>
      <w:r w:rsidR="0069275A">
        <w:rPr>
          <w:color w:val="000000"/>
          <w:sz w:val="28"/>
          <w:szCs w:val="28"/>
        </w:rPr>
        <w:t xml:space="preserve"> </w:t>
      </w:r>
      <w:r w:rsidR="000130F0">
        <w:rPr>
          <w:color w:val="000000"/>
          <w:sz w:val="28"/>
          <w:szCs w:val="28"/>
        </w:rPr>
        <w:t>период обострения</w:t>
      </w:r>
      <w:r w:rsidR="001E2373">
        <w:rPr>
          <w:color w:val="000000"/>
          <w:sz w:val="28"/>
          <w:szCs w:val="28"/>
        </w:rPr>
        <w:t xml:space="preserve"> китайско-советских отношений </w:t>
      </w:r>
      <w:r w:rsidR="000130F0">
        <w:rPr>
          <w:color w:val="000000"/>
          <w:sz w:val="28"/>
          <w:szCs w:val="28"/>
        </w:rPr>
        <w:t>конца 195</w:t>
      </w:r>
      <w:r w:rsidR="0069275A">
        <w:rPr>
          <w:color w:val="000000"/>
          <w:sz w:val="28"/>
          <w:szCs w:val="28"/>
        </w:rPr>
        <w:t>0-х</w:t>
      </w:r>
      <w:r w:rsidR="001E2373">
        <w:rPr>
          <w:color w:val="000000"/>
          <w:sz w:val="28"/>
          <w:szCs w:val="28"/>
        </w:rPr>
        <w:t>-начала 1960-х</w:t>
      </w:r>
      <w:r w:rsidR="0069275A">
        <w:rPr>
          <w:color w:val="000000"/>
          <w:sz w:val="28"/>
          <w:szCs w:val="28"/>
        </w:rPr>
        <w:t xml:space="preserve"> в Китае </w:t>
      </w:r>
      <w:r w:rsidR="000130F0">
        <w:rPr>
          <w:color w:val="000000"/>
          <w:sz w:val="28"/>
          <w:szCs w:val="28"/>
        </w:rPr>
        <w:t xml:space="preserve">начали реализовывать </w:t>
      </w:r>
      <w:r w:rsidR="001E2373">
        <w:rPr>
          <w:color w:val="000000"/>
          <w:sz w:val="28"/>
          <w:szCs w:val="28"/>
        </w:rPr>
        <w:t>стратегию</w:t>
      </w:r>
      <w:r w:rsidR="000130F0">
        <w:rPr>
          <w:color w:val="000000"/>
          <w:sz w:val="28"/>
          <w:szCs w:val="28"/>
        </w:rPr>
        <w:t xml:space="preserve"> опоры </w:t>
      </w:r>
      <w:r w:rsidR="001E2373">
        <w:rPr>
          <w:color w:val="000000"/>
          <w:sz w:val="28"/>
          <w:szCs w:val="28"/>
        </w:rPr>
        <w:t xml:space="preserve">регионов </w:t>
      </w:r>
      <w:r w:rsidR="000130F0">
        <w:rPr>
          <w:color w:val="000000"/>
          <w:sz w:val="28"/>
          <w:szCs w:val="28"/>
        </w:rPr>
        <w:t xml:space="preserve">на собственные силы </w:t>
      </w:r>
      <w:r w:rsidR="001E2373">
        <w:rPr>
          <w:color w:val="000000"/>
          <w:sz w:val="28"/>
          <w:szCs w:val="28"/>
        </w:rPr>
        <w:t xml:space="preserve">или идею </w:t>
      </w:r>
      <w:r w:rsidR="000130F0">
        <w:rPr>
          <w:color w:val="000000"/>
          <w:sz w:val="28"/>
          <w:szCs w:val="28"/>
        </w:rPr>
        <w:t>«трех фронтов</w:t>
      </w:r>
      <w:r w:rsidR="0069275A">
        <w:rPr>
          <w:color w:val="000000"/>
          <w:sz w:val="28"/>
          <w:szCs w:val="28"/>
        </w:rPr>
        <w:t>»</w:t>
      </w:r>
      <w:r w:rsidR="001E2373">
        <w:rPr>
          <w:rStyle w:val="FootnoteReference"/>
          <w:color w:val="000000"/>
          <w:sz w:val="28"/>
          <w:szCs w:val="28"/>
        </w:rPr>
        <w:footnoteReference w:id="32"/>
      </w:r>
      <w:r w:rsidR="00954602">
        <w:rPr>
          <w:color w:val="000000"/>
          <w:sz w:val="28"/>
          <w:szCs w:val="28"/>
        </w:rPr>
        <w:t>.</w:t>
      </w:r>
      <w:r w:rsidR="001E2373">
        <w:rPr>
          <w:color w:val="000000"/>
          <w:sz w:val="28"/>
          <w:szCs w:val="28"/>
        </w:rPr>
        <w:t xml:space="preserve"> Три части Китая должны были стать незави</w:t>
      </w:r>
      <w:r>
        <w:rPr>
          <w:color w:val="000000"/>
          <w:sz w:val="28"/>
          <w:szCs w:val="28"/>
        </w:rPr>
        <w:t>симыми друг от друга в ресурсном</w:t>
      </w:r>
      <w:r w:rsidR="001E2373">
        <w:rPr>
          <w:color w:val="000000"/>
          <w:sz w:val="28"/>
          <w:szCs w:val="28"/>
        </w:rPr>
        <w:t xml:space="preserve"> и промышленном плане. Основным пунктом стало </w:t>
      </w:r>
      <w:r w:rsidR="000130F0">
        <w:rPr>
          <w:color w:val="000000"/>
          <w:sz w:val="28"/>
          <w:szCs w:val="28"/>
        </w:rPr>
        <w:t>строительство военно-промышленной</w:t>
      </w:r>
      <w:r w:rsidR="001E2373">
        <w:rPr>
          <w:color w:val="000000"/>
          <w:sz w:val="28"/>
          <w:szCs w:val="28"/>
        </w:rPr>
        <w:t xml:space="preserve"> базы в горных и отдаленных местах третьего фронта</w:t>
      </w:r>
      <w:r w:rsidR="000130F0">
        <w:rPr>
          <w:color w:val="000000"/>
          <w:sz w:val="28"/>
          <w:szCs w:val="28"/>
        </w:rPr>
        <w:t xml:space="preserve">. После смерти Мао </w:t>
      </w:r>
      <w:proofErr w:type="spellStart"/>
      <w:r w:rsidR="004C5877">
        <w:rPr>
          <w:color w:val="000000"/>
          <w:sz w:val="28"/>
          <w:szCs w:val="28"/>
        </w:rPr>
        <w:t>Цзедуна</w:t>
      </w:r>
      <w:proofErr w:type="spellEnd"/>
      <w:r w:rsidR="004C5877">
        <w:rPr>
          <w:color w:val="000000"/>
          <w:sz w:val="28"/>
          <w:szCs w:val="28"/>
        </w:rPr>
        <w:t xml:space="preserve"> от этой идеи отказались, многие созданные предприятия были передислоцированы в другие регионы и переоборудованы для гражданских целей. С тех пор Китай пропагандирует политику устранения региональных дисбалансов, а не опоры на собственные силы.</w:t>
      </w:r>
    </w:p>
    <w:p w14:paraId="45686032" w14:textId="3E5D266D" w:rsidR="0069275A" w:rsidRDefault="0069275A" w:rsidP="0069275A">
      <w:pPr>
        <w:tabs>
          <w:tab w:val="left" w:pos="426"/>
        </w:tabs>
        <w:spacing w:after="120" w:line="360" w:lineRule="auto"/>
        <w:ind w:right="-9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отметить меры китайского правительства, направленные на сглаживание</w:t>
      </w:r>
      <w:r w:rsidR="00B11A36" w:rsidRPr="00B11A36">
        <w:rPr>
          <w:color w:val="000000"/>
          <w:sz w:val="28"/>
          <w:szCs w:val="28"/>
        </w:rPr>
        <w:t xml:space="preserve"> неравномерности распределения </w:t>
      </w:r>
      <w:r>
        <w:rPr>
          <w:color w:val="000000"/>
          <w:sz w:val="28"/>
          <w:szCs w:val="28"/>
        </w:rPr>
        <w:t xml:space="preserve">энергетических ресурсов. Первая группа мер направлена на поддержку </w:t>
      </w:r>
      <w:r w:rsidR="00F234C4">
        <w:rPr>
          <w:color w:val="000000"/>
          <w:sz w:val="28"/>
          <w:szCs w:val="28"/>
        </w:rPr>
        <w:t xml:space="preserve">местных </w:t>
      </w:r>
      <w:r>
        <w:rPr>
          <w:color w:val="000000"/>
          <w:sz w:val="28"/>
          <w:szCs w:val="28"/>
        </w:rPr>
        <w:t>компаний</w:t>
      </w:r>
      <w:r w:rsidR="00F234C4">
        <w:rPr>
          <w:color w:val="000000"/>
          <w:sz w:val="28"/>
          <w:szCs w:val="28"/>
        </w:rPr>
        <w:t xml:space="preserve"> по переработке нефти и газа, производству электричества</w:t>
      </w:r>
      <w:r>
        <w:rPr>
          <w:color w:val="000000"/>
          <w:sz w:val="28"/>
          <w:szCs w:val="28"/>
        </w:rPr>
        <w:t>. Они включают</w:t>
      </w:r>
      <w:r w:rsidR="00B11A36" w:rsidRPr="00B11A36">
        <w:rPr>
          <w:color w:val="000000"/>
          <w:sz w:val="28"/>
          <w:szCs w:val="28"/>
        </w:rPr>
        <w:t xml:space="preserve"> возмещение импортного налога на нефть и газ. </w:t>
      </w:r>
      <w:r w:rsidR="00F234C4">
        <w:rPr>
          <w:color w:val="000000"/>
          <w:sz w:val="28"/>
          <w:szCs w:val="28"/>
        </w:rPr>
        <w:t>Такие меры, например, позволяют удерживать цену на бензин стабильной и примерно одинаковой для всех провинций – 7 юаней/литр для 90-й марки бензина</w:t>
      </w:r>
      <w:r w:rsidR="0082252D">
        <w:rPr>
          <w:rStyle w:val="FootnoteReference"/>
          <w:color w:val="000000"/>
          <w:sz w:val="28"/>
          <w:szCs w:val="28"/>
        </w:rPr>
        <w:footnoteReference w:id="33"/>
      </w:r>
      <w:r w:rsidR="00F234C4">
        <w:rPr>
          <w:color w:val="000000"/>
          <w:sz w:val="28"/>
          <w:szCs w:val="28"/>
        </w:rPr>
        <w:t>.</w:t>
      </w:r>
    </w:p>
    <w:p w14:paraId="503F4138" w14:textId="587B67D6" w:rsidR="00361432" w:rsidRDefault="0069275A" w:rsidP="0069275A">
      <w:pPr>
        <w:tabs>
          <w:tab w:val="left" w:pos="426"/>
        </w:tabs>
        <w:spacing w:after="120" w:line="360" w:lineRule="auto"/>
        <w:ind w:right="-9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Вторая группа мер представляет собой инфраструктурные проекты, позволяющие эффективно транспортировать ресурсы из одной части Китая в другую. </w:t>
      </w:r>
      <w:r w:rsidR="00361432">
        <w:rPr>
          <w:color w:val="000000"/>
          <w:sz w:val="28"/>
          <w:szCs w:val="28"/>
        </w:rPr>
        <w:t xml:space="preserve">Проект транспортировки электричества с Запада на Восток был запущен  в рамках 10-го пятилетнего плана (2000-2005гг.) и предполагает строительство нескольких </w:t>
      </w:r>
      <w:r w:rsidR="00C51C77">
        <w:rPr>
          <w:color w:val="000000"/>
          <w:sz w:val="28"/>
          <w:szCs w:val="28"/>
        </w:rPr>
        <w:t>транзитных коридоров</w:t>
      </w:r>
      <w:r w:rsidR="00361432">
        <w:rPr>
          <w:color w:val="000000"/>
          <w:sz w:val="28"/>
          <w:szCs w:val="28"/>
        </w:rPr>
        <w:t xml:space="preserve"> электропередачи мощностью 40 </w:t>
      </w:r>
      <w:r w:rsidR="00C51C77">
        <w:rPr>
          <w:color w:val="000000"/>
          <w:sz w:val="28"/>
          <w:szCs w:val="28"/>
        </w:rPr>
        <w:t>ГВт</w:t>
      </w:r>
      <w:r w:rsidR="00361432">
        <w:rPr>
          <w:color w:val="000000"/>
          <w:sz w:val="28"/>
          <w:szCs w:val="28"/>
        </w:rPr>
        <w:t xml:space="preserve"> </w:t>
      </w:r>
      <w:r w:rsidR="00C51C77">
        <w:rPr>
          <w:color w:val="000000"/>
          <w:sz w:val="28"/>
          <w:szCs w:val="28"/>
        </w:rPr>
        <w:t xml:space="preserve">каждый </w:t>
      </w:r>
      <w:r w:rsidR="00361432">
        <w:rPr>
          <w:color w:val="000000"/>
          <w:sz w:val="28"/>
          <w:szCs w:val="28"/>
        </w:rPr>
        <w:t>к 2020 г. Также реализуется проект по транспортировке воды с Юга на Север, в будущем до 35 млн. м</w:t>
      </w:r>
      <w:r w:rsidR="00361432" w:rsidRPr="00361432">
        <w:rPr>
          <w:color w:val="000000"/>
          <w:sz w:val="28"/>
          <w:szCs w:val="28"/>
          <w:vertAlign w:val="superscript"/>
        </w:rPr>
        <w:t>3</w:t>
      </w:r>
      <w:r w:rsidR="00361432">
        <w:rPr>
          <w:color w:val="000000"/>
          <w:sz w:val="28"/>
          <w:szCs w:val="28"/>
        </w:rPr>
        <w:t xml:space="preserve"> воды ежегодно. В 2012 году</w:t>
      </w:r>
      <w:r w:rsidR="00361432" w:rsidRPr="00B11A36">
        <w:rPr>
          <w:color w:val="000000"/>
          <w:sz w:val="28"/>
          <w:szCs w:val="28"/>
        </w:rPr>
        <w:t xml:space="preserve"> началось строительство новой железной дороги, </w:t>
      </w:r>
      <w:r w:rsidR="00361432">
        <w:rPr>
          <w:color w:val="000000"/>
          <w:sz w:val="28"/>
          <w:szCs w:val="28"/>
        </w:rPr>
        <w:lastRenderedPageBreak/>
        <w:t>соединяющей северные провинции (</w:t>
      </w:r>
      <w:proofErr w:type="spellStart"/>
      <w:r w:rsidR="00361432">
        <w:rPr>
          <w:color w:val="000000"/>
          <w:sz w:val="28"/>
          <w:szCs w:val="28"/>
        </w:rPr>
        <w:t>Шаньси</w:t>
      </w:r>
      <w:proofErr w:type="spellEnd"/>
      <w:r w:rsidR="00361432">
        <w:rPr>
          <w:color w:val="000000"/>
          <w:sz w:val="28"/>
          <w:szCs w:val="28"/>
        </w:rPr>
        <w:t xml:space="preserve">, Внутреннюю </w:t>
      </w:r>
      <w:proofErr w:type="spellStart"/>
      <w:r w:rsidR="00361432">
        <w:rPr>
          <w:color w:val="000000"/>
          <w:sz w:val="28"/>
          <w:szCs w:val="28"/>
        </w:rPr>
        <w:t>Монглию</w:t>
      </w:r>
      <w:proofErr w:type="spellEnd"/>
      <w:r w:rsidR="00361432">
        <w:rPr>
          <w:color w:val="000000"/>
          <w:sz w:val="28"/>
          <w:szCs w:val="28"/>
        </w:rPr>
        <w:t>) с южными (</w:t>
      </w:r>
      <w:proofErr w:type="spellStart"/>
      <w:r w:rsidR="00361432">
        <w:rPr>
          <w:color w:val="000000"/>
          <w:sz w:val="28"/>
          <w:szCs w:val="28"/>
        </w:rPr>
        <w:t>Хэнань</w:t>
      </w:r>
      <w:proofErr w:type="spellEnd"/>
      <w:r w:rsidR="00361432">
        <w:rPr>
          <w:color w:val="000000"/>
          <w:sz w:val="28"/>
          <w:szCs w:val="28"/>
        </w:rPr>
        <w:t xml:space="preserve">, </w:t>
      </w:r>
      <w:proofErr w:type="spellStart"/>
      <w:r w:rsidR="00361432">
        <w:rPr>
          <w:color w:val="000000"/>
          <w:sz w:val="28"/>
          <w:szCs w:val="28"/>
        </w:rPr>
        <w:t>Хубэй</w:t>
      </w:r>
      <w:proofErr w:type="spellEnd"/>
      <w:r w:rsidR="00361432">
        <w:rPr>
          <w:color w:val="000000"/>
          <w:sz w:val="28"/>
          <w:szCs w:val="28"/>
        </w:rPr>
        <w:t xml:space="preserve"> и т.д.), для перевозок угля</w:t>
      </w:r>
      <w:r w:rsidR="00D53EB8">
        <w:rPr>
          <w:rStyle w:val="FootnoteReference"/>
          <w:color w:val="000000"/>
          <w:sz w:val="28"/>
          <w:szCs w:val="28"/>
        </w:rPr>
        <w:footnoteReference w:id="34"/>
      </w:r>
      <w:r w:rsidR="00361432">
        <w:rPr>
          <w:color w:val="000000"/>
          <w:sz w:val="28"/>
          <w:szCs w:val="28"/>
        </w:rPr>
        <w:t>.</w:t>
      </w:r>
      <w:r w:rsidR="00361432" w:rsidRPr="0069275A">
        <w:rPr>
          <w:color w:val="000000"/>
          <w:sz w:val="28"/>
          <w:szCs w:val="28"/>
        </w:rPr>
        <w:t xml:space="preserve"> </w:t>
      </w:r>
    </w:p>
    <w:p w14:paraId="25B5EB98" w14:textId="02CC8971" w:rsidR="0069275A" w:rsidRDefault="0069275A" w:rsidP="0069275A">
      <w:pPr>
        <w:tabs>
          <w:tab w:val="left" w:pos="426"/>
        </w:tabs>
        <w:spacing w:after="120" w:line="360" w:lineRule="auto"/>
        <w:ind w:right="-9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Наконец, третья группа мер нацелена на потребительский рынок.</w:t>
      </w:r>
      <w:r w:rsidR="00BC73C6">
        <w:rPr>
          <w:color w:val="000000"/>
          <w:sz w:val="28"/>
          <w:szCs w:val="28"/>
        </w:rPr>
        <w:t xml:space="preserve"> Так как себестоимость электричества и газа в регионах сильно отличается, правительство устанавливает потолки </w:t>
      </w:r>
      <w:r w:rsidR="00954602">
        <w:rPr>
          <w:color w:val="000000"/>
          <w:sz w:val="28"/>
          <w:szCs w:val="28"/>
        </w:rPr>
        <w:t xml:space="preserve">конечных </w:t>
      </w:r>
      <w:r w:rsidR="00BC73C6">
        <w:rPr>
          <w:color w:val="000000"/>
          <w:sz w:val="28"/>
          <w:szCs w:val="28"/>
        </w:rPr>
        <w:t>цен для</w:t>
      </w:r>
      <w:r w:rsidR="00954602">
        <w:rPr>
          <w:color w:val="000000"/>
          <w:sz w:val="28"/>
          <w:szCs w:val="28"/>
        </w:rPr>
        <w:t xml:space="preserve"> разных групп потребителей</w:t>
      </w:r>
      <w:r w:rsidR="00BC73C6">
        <w:rPr>
          <w:color w:val="000000"/>
          <w:sz w:val="28"/>
          <w:szCs w:val="28"/>
        </w:rPr>
        <w:t>. В среднем цена электричества составляет 0,46 юаней/кв</w:t>
      </w:r>
      <w:r w:rsidR="00954602">
        <w:rPr>
          <w:color w:val="000000"/>
          <w:sz w:val="28"/>
          <w:szCs w:val="28"/>
        </w:rPr>
        <w:t>т</w:t>
      </w:r>
      <w:r w:rsidR="00BC73C6">
        <w:rPr>
          <w:color w:val="000000"/>
          <w:sz w:val="28"/>
          <w:szCs w:val="28"/>
        </w:rPr>
        <w:t>ч для сельского хозяйства,  0,50 – для домохозяйств, 0,58 – для крупной промышленности, 0,85 – для другой промышленности и торгового сектора и не сильно разнится</w:t>
      </w:r>
      <w:r w:rsidR="005B2679">
        <w:rPr>
          <w:color w:val="000000"/>
          <w:sz w:val="28"/>
          <w:szCs w:val="28"/>
        </w:rPr>
        <w:t xml:space="preserve"> от региона к региону</w:t>
      </w:r>
      <w:r w:rsidR="00BC73C6">
        <w:rPr>
          <w:color w:val="000000"/>
          <w:sz w:val="28"/>
          <w:szCs w:val="28"/>
        </w:rPr>
        <w:t>. Разброс цены на газ несколько выше</w:t>
      </w:r>
      <w:r w:rsidR="005B2679">
        <w:rPr>
          <w:color w:val="000000"/>
          <w:sz w:val="28"/>
          <w:szCs w:val="28"/>
        </w:rPr>
        <w:t xml:space="preserve"> от 1,5 до 3,5 юаней/м</w:t>
      </w:r>
      <w:r w:rsidR="005B2679" w:rsidRPr="005B2679">
        <w:rPr>
          <w:color w:val="000000"/>
          <w:sz w:val="28"/>
          <w:szCs w:val="28"/>
          <w:vertAlign w:val="superscript"/>
        </w:rPr>
        <w:t>3</w:t>
      </w:r>
      <w:r w:rsidR="005B2679">
        <w:rPr>
          <w:color w:val="000000"/>
          <w:sz w:val="28"/>
          <w:szCs w:val="28"/>
        </w:rPr>
        <w:t xml:space="preserve"> для домохозяйств, от 2 до 5 для промышленности</w:t>
      </w:r>
      <w:r w:rsidR="0082252D">
        <w:rPr>
          <w:rStyle w:val="FootnoteReference"/>
          <w:color w:val="000000"/>
          <w:sz w:val="28"/>
          <w:szCs w:val="28"/>
        </w:rPr>
        <w:footnoteReference w:id="35"/>
      </w:r>
      <w:r w:rsidR="005B2679">
        <w:rPr>
          <w:color w:val="000000"/>
          <w:sz w:val="28"/>
          <w:szCs w:val="28"/>
        </w:rPr>
        <w:t xml:space="preserve">. Естественно, дешевле всего газ стоит в </w:t>
      </w:r>
      <w:r w:rsidR="00C500CF">
        <w:rPr>
          <w:color w:val="000000"/>
          <w:sz w:val="28"/>
          <w:szCs w:val="28"/>
        </w:rPr>
        <w:t>крупнейшем регионе</w:t>
      </w:r>
      <w:r w:rsidR="005B2679">
        <w:rPr>
          <w:color w:val="000000"/>
          <w:sz w:val="28"/>
          <w:szCs w:val="28"/>
        </w:rPr>
        <w:t xml:space="preserve"> его добычи – Внутренней Монголии.</w:t>
      </w:r>
    </w:p>
    <w:p w14:paraId="2719FC05" w14:textId="7D636767" w:rsidR="002B5778" w:rsidRPr="00CA6CFA" w:rsidRDefault="002B5778" w:rsidP="0069275A">
      <w:pPr>
        <w:tabs>
          <w:tab w:val="left" w:pos="426"/>
        </w:tabs>
        <w:spacing w:after="120" w:line="360" w:lineRule="auto"/>
        <w:ind w:right="-99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Межтопливная</w:t>
      </w:r>
      <w:proofErr w:type="spellEnd"/>
      <w:r>
        <w:rPr>
          <w:color w:val="000000"/>
          <w:sz w:val="28"/>
          <w:szCs w:val="28"/>
        </w:rPr>
        <w:t xml:space="preserve"> конкуренция поддерживается как во всем Китае, так и по отдельным его регионам. Исходя из наличия собственных и близости импортных топливных источников, а также уровня </w:t>
      </w:r>
      <w:r w:rsidR="00CA6CFA">
        <w:rPr>
          <w:color w:val="000000"/>
          <w:sz w:val="28"/>
          <w:szCs w:val="28"/>
        </w:rPr>
        <w:t>экономического</w:t>
      </w:r>
      <w:r>
        <w:rPr>
          <w:color w:val="000000"/>
          <w:sz w:val="28"/>
          <w:szCs w:val="28"/>
        </w:rPr>
        <w:t xml:space="preserve"> развития </w:t>
      </w:r>
      <w:r w:rsidR="00CA6CFA">
        <w:rPr>
          <w:color w:val="000000"/>
          <w:sz w:val="28"/>
          <w:szCs w:val="28"/>
        </w:rPr>
        <w:t xml:space="preserve">и особенностей промышленных производств в отдельно взятых регионах, центральное и местные правительства решают вопросы ценообразования, инвестиций в оборудование под определенные виды топлива, поддержки энергетических компаний и т.д. Производственные компании, естественно, ориентируются на энергетическую обстановку прежде всего своей и соседних провинций при выборе топлива. </w:t>
      </w:r>
    </w:p>
    <w:p w14:paraId="7DBCEDD4" w14:textId="77777777" w:rsidR="006C659F" w:rsidRPr="00EA5FB6" w:rsidRDefault="006C659F" w:rsidP="00A362BA">
      <w:pPr>
        <w:pStyle w:val="Heading2"/>
      </w:pPr>
      <w:bookmarkStart w:id="8" w:name="_Toc229737127"/>
      <w:r w:rsidRPr="00EA5FB6">
        <w:t>2.3. Структура энергетического потребления  по отраслям</w:t>
      </w:r>
      <w:bookmarkEnd w:id="8"/>
    </w:p>
    <w:p w14:paraId="53FCD7EC" w14:textId="77777777" w:rsidR="00015384" w:rsidRDefault="00911D52" w:rsidP="00015FB7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дальнейшего анализа является целесообразным рассмотреть все энергетическое потребление Китая по отдельным группам потребителей. Прежде всего</w:t>
      </w:r>
      <w:r w:rsidR="00954602">
        <w:rPr>
          <w:sz w:val="28"/>
          <w:szCs w:val="28"/>
        </w:rPr>
        <w:t>,</w:t>
      </w:r>
      <w:r>
        <w:rPr>
          <w:sz w:val="28"/>
          <w:szCs w:val="28"/>
        </w:rPr>
        <w:t xml:space="preserve"> выделяют конечных потребителей энергетических источников (</w:t>
      </w:r>
      <w:r w:rsidR="00FC5C6C">
        <w:rPr>
          <w:sz w:val="28"/>
          <w:szCs w:val="28"/>
        </w:rPr>
        <w:t xml:space="preserve">сырьевых источников, а также бензина, </w:t>
      </w:r>
      <w:r>
        <w:rPr>
          <w:sz w:val="28"/>
          <w:szCs w:val="28"/>
        </w:rPr>
        <w:t xml:space="preserve">электричества, отопления) в лице домохозяйств, промышленных и коммерческих предприятий, и </w:t>
      </w:r>
      <w:r w:rsidR="00FC5C6C">
        <w:rPr>
          <w:sz w:val="28"/>
          <w:szCs w:val="28"/>
        </w:rPr>
        <w:t>компаний-</w:t>
      </w:r>
      <w:r>
        <w:rPr>
          <w:sz w:val="28"/>
          <w:szCs w:val="28"/>
        </w:rPr>
        <w:lastRenderedPageBreak/>
        <w:t>п</w:t>
      </w:r>
      <w:r w:rsidR="00FC5C6C">
        <w:rPr>
          <w:sz w:val="28"/>
          <w:szCs w:val="28"/>
        </w:rPr>
        <w:t>ереработчиков первичной энергии</w:t>
      </w:r>
      <w:r>
        <w:rPr>
          <w:sz w:val="28"/>
          <w:szCs w:val="28"/>
        </w:rPr>
        <w:t xml:space="preserve"> в лице электрогенерирующих  </w:t>
      </w:r>
      <w:r w:rsidR="00FC5C6C">
        <w:rPr>
          <w:sz w:val="28"/>
          <w:szCs w:val="28"/>
        </w:rPr>
        <w:t>предприятий.</w:t>
      </w:r>
      <w:r>
        <w:rPr>
          <w:sz w:val="28"/>
          <w:szCs w:val="28"/>
        </w:rPr>
        <w:t xml:space="preserve"> </w:t>
      </w:r>
      <w:r w:rsidR="00015384">
        <w:rPr>
          <w:sz w:val="28"/>
          <w:szCs w:val="28"/>
        </w:rPr>
        <w:t xml:space="preserve">Согласно </w:t>
      </w:r>
      <w:r w:rsidR="001B6C3C">
        <w:rPr>
          <w:sz w:val="28"/>
          <w:szCs w:val="28"/>
        </w:rPr>
        <w:t xml:space="preserve">топливно-энергетическому балансу </w:t>
      </w:r>
      <w:r w:rsidR="00812DBA">
        <w:rPr>
          <w:sz w:val="28"/>
          <w:szCs w:val="28"/>
        </w:rPr>
        <w:t>Китая</w:t>
      </w:r>
      <w:r w:rsidR="003743C7">
        <w:rPr>
          <w:sz w:val="28"/>
          <w:szCs w:val="28"/>
        </w:rPr>
        <w:t xml:space="preserve"> (см. Приложения, Табл. 1)</w:t>
      </w:r>
      <w:r w:rsidR="00FC5C6C">
        <w:rPr>
          <w:sz w:val="28"/>
          <w:szCs w:val="28"/>
        </w:rPr>
        <w:t xml:space="preserve">, на первую группу в 2010 г. пришлось 62% валового потребления всех энергетических ресурсов, а на вторую – 23%. Это соотношение сильно отличается в зависимости от вида топлива. Так </w:t>
      </w:r>
      <w:r w:rsidR="007B6C85">
        <w:rPr>
          <w:sz w:val="28"/>
          <w:szCs w:val="28"/>
        </w:rPr>
        <w:t xml:space="preserve">вся </w:t>
      </w:r>
      <w:r w:rsidR="00FC5C6C">
        <w:rPr>
          <w:sz w:val="28"/>
          <w:szCs w:val="28"/>
        </w:rPr>
        <w:t xml:space="preserve">атомная и гидроэнергия используется в производстве электричества и тепла, </w:t>
      </w:r>
      <w:r w:rsidR="007B6C85">
        <w:rPr>
          <w:sz w:val="28"/>
          <w:szCs w:val="28"/>
        </w:rPr>
        <w:t xml:space="preserve">нефть и возобновляемые источники практически полностью идут на конечное потребление, более 50% газа представлено в конечном потреблении, более 50% угля – в тепло- и электроэнергетике. </w:t>
      </w:r>
    </w:p>
    <w:p w14:paraId="25F466F5" w14:textId="77777777" w:rsidR="00BA5B1F" w:rsidRDefault="00BA5B1F" w:rsidP="00FC5C6C">
      <w:pPr>
        <w:spacing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отличительных особенностей Китая является преобладание </w:t>
      </w:r>
      <w:r w:rsidR="00A6402D">
        <w:rPr>
          <w:sz w:val="28"/>
          <w:szCs w:val="28"/>
        </w:rPr>
        <w:t xml:space="preserve">промышленности в конечном потреблении энергии. В 2010 г. На промышленность пришлась почти половина всей конечной энергии (см. </w:t>
      </w:r>
      <w:proofErr w:type="spellStart"/>
      <w:r w:rsidR="00A6402D">
        <w:rPr>
          <w:sz w:val="28"/>
          <w:szCs w:val="28"/>
        </w:rPr>
        <w:t>Диагр</w:t>
      </w:r>
      <w:proofErr w:type="spellEnd"/>
      <w:r w:rsidR="00A6402D">
        <w:rPr>
          <w:sz w:val="28"/>
          <w:szCs w:val="28"/>
        </w:rPr>
        <w:t xml:space="preserve">. 3). Вторым по величине потребителем являются домохозяйства, третьим – транспорт.  </w:t>
      </w:r>
      <w:r w:rsidR="001E7F74">
        <w:rPr>
          <w:sz w:val="28"/>
          <w:szCs w:val="28"/>
        </w:rPr>
        <w:t>Более 60% потреблени</w:t>
      </w:r>
      <w:r w:rsidR="003B50A7">
        <w:rPr>
          <w:sz w:val="28"/>
          <w:szCs w:val="28"/>
        </w:rPr>
        <w:t>я энергии домохозяйствами приходится на жителей городов, тогда как урбанизация населения составляет</w:t>
      </w:r>
      <w:r w:rsidR="006F5E0D">
        <w:rPr>
          <w:sz w:val="28"/>
          <w:szCs w:val="28"/>
        </w:rPr>
        <w:t xml:space="preserve"> чуть больше 50%.</w:t>
      </w:r>
      <w:r w:rsidR="00115295">
        <w:rPr>
          <w:sz w:val="28"/>
          <w:szCs w:val="28"/>
        </w:rPr>
        <w:t xml:space="preserve"> </w:t>
      </w:r>
      <w:r w:rsidR="001C7D9A">
        <w:rPr>
          <w:sz w:val="28"/>
          <w:szCs w:val="28"/>
        </w:rPr>
        <w:t>По мере роста урбанизации с 20% в 1980-х, общее потребление электроэнергии домохозяйствами также выросло в 3 раза.</w:t>
      </w:r>
    </w:p>
    <w:p w14:paraId="2C1E7FE6" w14:textId="302F99FB" w:rsidR="007B6C85" w:rsidRPr="00BA5B1F" w:rsidRDefault="007B6C85" w:rsidP="007B6C85">
      <w:pPr>
        <w:spacing w:after="100" w:afterAutospacing="1" w:line="360" w:lineRule="auto"/>
        <w:jc w:val="both"/>
        <w:rPr>
          <w:b/>
          <w:sz w:val="28"/>
          <w:szCs w:val="28"/>
        </w:rPr>
      </w:pPr>
      <w:r w:rsidRPr="00BA5B1F">
        <w:rPr>
          <w:b/>
          <w:sz w:val="28"/>
          <w:szCs w:val="28"/>
        </w:rPr>
        <w:t xml:space="preserve">Диаграмма </w:t>
      </w:r>
      <w:r w:rsidR="00BA5B1F" w:rsidRPr="00BA5B1F">
        <w:rPr>
          <w:b/>
          <w:sz w:val="28"/>
          <w:szCs w:val="28"/>
        </w:rPr>
        <w:t>3. Структура конечного потребления энергии Китая</w:t>
      </w:r>
      <w:r w:rsidR="00CA6CFA">
        <w:rPr>
          <w:b/>
          <w:sz w:val="28"/>
          <w:szCs w:val="28"/>
        </w:rPr>
        <w:t xml:space="preserve">, </w:t>
      </w:r>
      <w:r w:rsidR="006F5E0D">
        <w:rPr>
          <w:b/>
          <w:sz w:val="28"/>
          <w:szCs w:val="28"/>
        </w:rPr>
        <w:t>2010 г.</w:t>
      </w:r>
    </w:p>
    <w:p w14:paraId="291D6B8E" w14:textId="77777777" w:rsidR="007B6C85" w:rsidRDefault="007B6C85" w:rsidP="007B6C85">
      <w:pPr>
        <w:spacing w:after="100" w:afterAutospacing="1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5721758D" wp14:editId="39A78A39">
            <wp:extent cx="4805045" cy="2400723"/>
            <wp:effectExtent l="50800" t="0" r="20955" b="127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8B3E79F" w14:textId="77777777" w:rsidR="00911D52" w:rsidRPr="00BA5B1F" w:rsidRDefault="00BA5B1F" w:rsidP="00015FB7">
      <w:pPr>
        <w:spacing w:after="120" w:line="360" w:lineRule="auto"/>
        <w:jc w:val="both"/>
        <w:rPr>
          <w:i/>
          <w:sz w:val="28"/>
          <w:szCs w:val="28"/>
        </w:rPr>
      </w:pPr>
      <w:r w:rsidRPr="00BA5B1F">
        <w:rPr>
          <w:i/>
          <w:sz w:val="28"/>
          <w:szCs w:val="28"/>
        </w:rPr>
        <w:t>Источник: МЭА, собственные расчеты</w:t>
      </w:r>
    </w:p>
    <w:p w14:paraId="58C9B213" w14:textId="25E5F8C9" w:rsidR="00A6402D" w:rsidRDefault="00A6402D" w:rsidP="002B7CDA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промышленность также является лидером потребления угля, электричества и тепла, транспорт, естественно</w:t>
      </w:r>
      <w:r w:rsidR="00954602">
        <w:rPr>
          <w:sz w:val="28"/>
          <w:szCs w:val="28"/>
        </w:rPr>
        <w:t>,</w:t>
      </w:r>
      <w:r>
        <w:rPr>
          <w:sz w:val="28"/>
          <w:szCs w:val="28"/>
        </w:rPr>
        <w:t xml:space="preserve"> потребляет наибольшую долю нефти, а домохозяйства – газа и возобновляемых источников. Важно отметить, что высокий уровень потребления возобновляемой энергии – 211 млн. </w:t>
      </w:r>
      <w:proofErr w:type="spellStart"/>
      <w:r>
        <w:rPr>
          <w:sz w:val="28"/>
          <w:szCs w:val="28"/>
        </w:rPr>
        <w:t>тнэ</w:t>
      </w:r>
      <w:proofErr w:type="spellEnd"/>
      <w:r>
        <w:rPr>
          <w:sz w:val="28"/>
          <w:szCs w:val="28"/>
        </w:rPr>
        <w:t xml:space="preserve"> (для сравнения конечное потребление газа составляет 57,2 млн. </w:t>
      </w:r>
      <w:proofErr w:type="spellStart"/>
      <w:r>
        <w:rPr>
          <w:sz w:val="28"/>
          <w:szCs w:val="28"/>
        </w:rPr>
        <w:t>тнэ</w:t>
      </w:r>
      <w:proofErr w:type="spellEnd"/>
      <w:r>
        <w:rPr>
          <w:sz w:val="28"/>
          <w:szCs w:val="28"/>
        </w:rPr>
        <w:t>) объясняется</w:t>
      </w:r>
      <w:r w:rsidR="00A02C50">
        <w:rPr>
          <w:sz w:val="28"/>
          <w:szCs w:val="28"/>
        </w:rPr>
        <w:t xml:space="preserve"> не развитием ветровой или солн</w:t>
      </w:r>
      <w:r w:rsidR="00954602">
        <w:rPr>
          <w:sz w:val="28"/>
          <w:szCs w:val="28"/>
        </w:rPr>
        <w:t>ечной энергетики, а традиционным</w:t>
      </w:r>
      <w:r w:rsidR="00A02C50">
        <w:rPr>
          <w:sz w:val="28"/>
          <w:szCs w:val="28"/>
        </w:rPr>
        <w:t xml:space="preserve"> использованием биомассы – сжиганием древесины и отходов от выращивания</w:t>
      </w:r>
      <w:r>
        <w:rPr>
          <w:sz w:val="28"/>
          <w:szCs w:val="28"/>
        </w:rPr>
        <w:t xml:space="preserve"> </w:t>
      </w:r>
      <w:r w:rsidR="00A02C50">
        <w:rPr>
          <w:sz w:val="28"/>
          <w:szCs w:val="28"/>
        </w:rPr>
        <w:t>сельскохозяйственных культур. Согласно последнему отчету МЭА</w:t>
      </w:r>
      <w:r w:rsidR="00D53EB8">
        <w:rPr>
          <w:sz w:val="28"/>
          <w:szCs w:val="28"/>
        </w:rPr>
        <w:t xml:space="preserve"> о развитии мировой энергетики</w:t>
      </w:r>
      <w:r>
        <w:rPr>
          <w:sz w:val="28"/>
          <w:szCs w:val="28"/>
        </w:rPr>
        <w:t>, около 30% населения Китая не имеют доступ к современному оборудованию для приготовления пищи – электрическим и газовым плитам.</w:t>
      </w:r>
    </w:p>
    <w:p w14:paraId="2B9A38C4" w14:textId="77777777" w:rsidR="002857B8" w:rsidRPr="000165D5" w:rsidRDefault="002857B8" w:rsidP="002857B8">
      <w:pPr>
        <w:spacing w:after="100" w:afterAutospacing="1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6. Энергетическое потребление, </w:t>
      </w:r>
      <w:r w:rsidRPr="000165D5">
        <w:rPr>
          <w:b/>
          <w:sz w:val="28"/>
          <w:szCs w:val="28"/>
        </w:rPr>
        <w:t xml:space="preserve">доли в общем </w:t>
      </w:r>
      <w:r>
        <w:rPr>
          <w:b/>
          <w:sz w:val="28"/>
          <w:szCs w:val="28"/>
        </w:rPr>
        <w:t xml:space="preserve">и </w:t>
      </w:r>
      <w:r w:rsidRPr="000165D5">
        <w:rPr>
          <w:b/>
          <w:sz w:val="28"/>
          <w:szCs w:val="28"/>
        </w:rPr>
        <w:t xml:space="preserve">промышленном потреблении энергии, угля и электричества самых </w:t>
      </w:r>
      <w:proofErr w:type="spellStart"/>
      <w:r w:rsidRPr="000165D5">
        <w:rPr>
          <w:b/>
          <w:sz w:val="28"/>
          <w:szCs w:val="28"/>
        </w:rPr>
        <w:t>энергозат</w:t>
      </w:r>
      <w:r>
        <w:rPr>
          <w:b/>
          <w:sz w:val="28"/>
          <w:szCs w:val="28"/>
        </w:rPr>
        <w:t>ратных</w:t>
      </w:r>
      <w:proofErr w:type="spellEnd"/>
      <w:r>
        <w:rPr>
          <w:b/>
          <w:sz w:val="28"/>
          <w:szCs w:val="28"/>
        </w:rPr>
        <w:t xml:space="preserve"> производств Китая, 10000</w:t>
      </w:r>
      <w:r>
        <w:rPr>
          <w:b/>
          <w:sz w:val="28"/>
          <w:szCs w:val="28"/>
          <w:lang w:eastAsia="zh-TW"/>
        </w:rPr>
        <w:t xml:space="preserve"> </w:t>
      </w:r>
      <w:proofErr w:type="spellStart"/>
      <w:r>
        <w:rPr>
          <w:b/>
          <w:sz w:val="28"/>
          <w:szCs w:val="28"/>
          <w:lang w:eastAsia="zh-TW"/>
        </w:rPr>
        <w:t>туэ</w:t>
      </w:r>
      <w:proofErr w:type="spellEnd"/>
      <w:r>
        <w:rPr>
          <w:b/>
          <w:sz w:val="28"/>
          <w:szCs w:val="28"/>
        </w:rPr>
        <w:t xml:space="preserve"> </w:t>
      </w:r>
      <w:r w:rsidRPr="000165D5">
        <w:rPr>
          <w:b/>
          <w:sz w:val="28"/>
          <w:szCs w:val="28"/>
        </w:rPr>
        <w:t>и % соответственно, 2006 г.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76"/>
        <w:gridCol w:w="1134"/>
        <w:gridCol w:w="1701"/>
        <w:gridCol w:w="1276"/>
        <w:gridCol w:w="1843"/>
      </w:tblGrid>
      <w:tr w:rsidR="002857B8" w:rsidRPr="009D474A" w14:paraId="2C321E35" w14:textId="77777777" w:rsidTr="006B2657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FFF" w14:textId="77777777" w:rsidR="002857B8" w:rsidRPr="009D474A" w:rsidRDefault="002857B8" w:rsidP="006B2657">
            <w:pPr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7DB4" w14:textId="77777777" w:rsidR="002857B8" w:rsidRPr="009D474A" w:rsidRDefault="002857B8" w:rsidP="006B265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9D474A">
              <w:rPr>
                <w:rFonts w:eastAsia="Times New Roman"/>
                <w:lang w:eastAsia="en-US"/>
              </w:rPr>
              <w:t xml:space="preserve">отребление энергии </w:t>
            </w:r>
            <w:r>
              <w:rPr>
                <w:rFonts w:eastAsia="Times New Roman"/>
                <w:lang w:eastAsia="en-US"/>
              </w:rPr>
              <w:t>производством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423BB" w14:textId="77777777" w:rsidR="002857B8" w:rsidRPr="009D474A" w:rsidRDefault="002857B8" w:rsidP="006B2657">
            <w:pPr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 xml:space="preserve">Доля в общем </w:t>
            </w:r>
            <w:r>
              <w:rPr>
                <w:rFonts w:eastAsia="Times New Roman"/>
                <w:lang w:eastAsia="en-US"/>
              </w:rPr>
              <w:t>потреблении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7F65" w14:textId="77777777" w:rsidR="002857B8" w:rsidRPr="009D474A" w:rsidRDefault="002857B8" w:rsidP="006B2657">
            <w:pPr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Доля в общем про</w:t>
            </w:r>
            <w:r>
              <w:rPr>
                <w:rFonts w:eastAsia="Times New Roman"/>
                <w:lang w:eastAsia="en-US"/>
              </w:rPr>
              <w:t>мышленном потреблении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23F4" w14:textId="77777777" w:rsidR="002857B8" w:rsidRPr="009D474A" w:rsidRDefault="002857B8" w:rsidP="006B2657">
            <w:pPr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 xml:space="preserve">Доля в </w:t>
            </w:r>
            <w:r>
              <w:rPr>
                <w:rFonts w:eastAsia="Times New Roman"/>
                <w:lang w:eastAsia="en-US"/>
              </w:rPr>
              <w:t>промышленном потреблении угля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0E74" w14:textId="77777777" w:rsidR="002857B8" w:rsidRPr="009D474A" w:rsidRDefault="002857B8" w:rsidP="006B2657">
            <w:pPr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Доля в промышле</w:t>
            </w:r>
            <w:r>
              <w:rPr>
                <w:rFonts w:eastAsia="Times New Roman"/>
                <w:lang w:eastAsia="en-US"/>
              </w:rPr>
              <w:t>нном потреблении электричества</w:t>
            </w:r>
          </w:p>
        </w:tc>
      </w:tr>
      <w:tr w:rsidR="002857B8" w:rsidRPr="009D474A" w14:paraId="168D9A22" w14:textId="77777777" w:rsidTr="006B2657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9539" w14:textId="77777777" w:rsidR="002857B8" w:rsidRPr="009D474A" w:rsidRDefault="002857B8" w:rsidP="006B2657">
            <w:pPr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Выплавка и прессование стали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6781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42812,32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7163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E5A4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9606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24%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4F07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20%</w:t>
            </w:r>
          </w:p>
        </w:tc>
      </w:tr>
      <w:tr w:rsidR="002857B8" w:rsidRPr="009D474A" w14:paraId="377FC1AD" w14:textId="77777777" w:rsidTr="006B2657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D4FB" w14:textId="77777777" w:rsidR="002857B8" w:rsidRPr="009D474A" w:rsidRDefault="002857B8" w:rsidP="006B2657">
            <w:pPr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Производство химического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77BA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24779,04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EC8C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5F65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89CC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13%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245D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16%</w:t>
            </w:r>
          </w:p>
        </w:tc>
      </w:tr>
      <w:tr w:rsidR="002857B8" w:rsidRPr="009D474A" w14:paraId="419D037E" w14:textId="77777777" w:rsidTr="006B2657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E50A" w14:textId="77777777" w:rsidR="002857B8" w:rsidRPr="009D474A" w:rsidRDefault="002857B8" w:rsidP="006B2657">
            <w:pPr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Производство неметаллических минералов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D49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19948,40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32C64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CE1E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14%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5446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19%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F98A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11%</w:t>
            </w:r>
          </w:p>
        </w:tc>
      </w:tr>
      <w:tr w:rsidR="002857B8" w:rsidRPr="009D474A" w14:paraId="0DB58925" w14:textId="77777777" w:rsidTr="006B2657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C2E1" w14:textId="77777777" w:rsidR="002857B8" w:rsidRPr="009D474A" w:rsidRDefault="002857B8" w:rsidP="006B265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Нефтепереработка, коксо</w:t>
            </w:r>
            <w:r w:rsidRPr="009D474A">
              <w:rPr>
                <w:rFonts w:eastAsia="Times New Roman"/>
                <w:lang w:eastAsia="en-US"/>
              </w:rPr>
              <w:t>вание и переработка атома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FDDD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12360,11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AF61B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3617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C063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26%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5A00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2%</w:t>
            </w:r>
          </w:p>
        </w:tc>
      </w:tr>
      <w:tr w:rsidR="002857B8" w:rsidRPr="009D474A" w14:paraId="4C4D6D8D" w14:textId="77777777" w:rsidTr="006B2657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0D70" w14:textId="77777777" w:rsidR="002857B8" w:rsidRPr="009D474A" w:rsidRDefault="002857B8" w:rsidP="006B2657">
            <w:pPr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Выплавка и прессование цветных металлов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2F9F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8633,32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A780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B0F0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E66A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5AD5" w14:textId="77777777" w:rsidR="002857B8" w:rsidRPr="009D474A" w:rsidRDefault="002857B8" w:rsidP="006B2657">
            <w:pPr>
              <w:jc w:val="center"/>
              <w:rPr>
                <w:rFonts w:eastAsia="Times New Roman"/>
                <w:lang w:eastAsia="en-US"/>
              </w:rPr>
            </w:pPr>
            <w:r w:rsidRPr="009D474A">
              <w:rPr>
                <w:rFonts w:eastAsia="Times New Roman"/>
                <w:lang w:eastAsia="en-US"/>
              </w:rPr>
              <w:t>12%</w:t>
            </w:r>
          </w:p>
        </w:tc>
      </w:tr>
    </w:tbl>
    <w:p w14:paraId="0D26FBE5" w14:textId="68F823F2" w:rsidR="002857B8" w:rsidRPr="002857B8" w:rsidRDefault="002857B8" w:rsidP="002857B8">
      <w:pPr>
        <w:spacing w:after="120" w:line="360" w:lineRule="auto"/>
        <w:jc w:val="both"/>
        <w:rPr>
          <w:i/>
          <w:sz w:val="28"/>
          <w:szCs w:val="28"/>
        </w:rPr>
      </w:pPr>
      <w:r w:rsidRPr="000165D5">
        <w:rPr>
          <w:i/>
          <w:sz w:val="28"/>
          <w:szCs w:val="28"/>
        </w:rPr>
        <w:t>Источник: Государственное статистическое управление КНР</w:t>
      </w:r>
    </w:p>
    <w:p w14:paraId="4CC171A5" w14:textId="17AC1A95" w:rsidR="000165D5" w:rsidRPr="002857B8" w:rsidRDefault="000165D5" w:rsidP="002857B8">
      <w:pPr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Локомотивами промышленного потребления энергии являются производства металлов, химического сырья и нефтепереработка. Их суммарная доля в </w:t>
      </w:r>
      <w:r w:rsidR="00576CE2">
        <w:rPr>
          <w:sz w:val="28"/>
          <w:szCs w:val="28"/>
        </w:rPr>
        <w:t xml:space="preserve">общем потреблении энергии составляет 44%, </w:t>
      </w:r>
      <w:r>
        <w:rPr>
          <w:sz w:val="28"/>
          <w:szCs w:val="28"/>
        </w:rPr>
        <w:t xml:space="preserve">общем </w:t>
      </w:r>
      <w:r w:rsidR="00576CE2">
        <w:rPr>
          <w:sz w:val="28"/>
          <w:szCs w:val="28"/>
        </w:rPr>
        <w:lastRenderedPageBreak/>
        <w:t xml:space="preserve">промышленном – </w:t>
      </w:r>
      <w:r>
        <w:rPr>
          <w:sz w:val="28"/>
          <w:szCs w:val="28"/>
        </w:rPr>
        <w:t>76%</w:t>
      </w:r>
      <w:r w:rsidR="00576C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6CE2">
        <w:rPr>
          <w:sz w:val="28"/>
          <w:szCs w:val="28"/>
        </w:rPr>
        <w:t xml:space="preserve">Они отвечают за </w:t>
      </w:r>
      <w:r>
        <w:rPr>
          <w:sz w:val="28"/>
          <w:szCs w:val="28"/>
        </w:rPr>
        <w:t xml:space="preserve">85% </w:t>
      </w:r>
      <w:r w:rsidR="00576CE2">
        <w:rPr>
          <w:sz w:val="28"/>
          <w:szCs w:val="28"/>
        </w:rPr>
        <w:t xml:space="preserve">потребления </w:t>
      </w:r>
      <w:r>
        <w:rPr>
          <w:sz w:val="28"/>
          <w:szCs w:val="28"/>
        </w:rPr>
        <w:t>угля</w:t>
      </w:r>
      <w:r w:rsidR="00877033">
        <w:rPr>
          <w:sz w:val="28"/>
          <w:szCs w:val="28"/>
        </w:rPr>
        <w:t>, 61% электричества (см. Табл. 6</w:t>
      </w:r>
      <w:r>
        <w:rPr>
          <w:sz w:val="28"/>
          <w:szCs w:val="28"/>
        </w:rPr>
        <w:t>)</w:t>
      </w:r>
      <w:r w:rsidR="005501DD">
        <w:rPr>
          <w:sz w:val="28"/>
          <w:szCs w:val="28"/>
        </w:rPr>
        <w:t>. В пр</w:t>
      </w:r>
      <w:r w:rsidR="008E3F34">
        <w:rPr>
          <w:sz w:val="28"/>
          <w:szCs w:val="28"/>
        </w:rPr>
        <w:t>омышленном потреблении газа, по</w:t>
      </w:r>
      <w:r w:rsidR="005501DD">
        <w:rPr>
          <w:sz w:val="28"/>
          <w:szCs w:val="28"/>
        </w:rPr>
        <w:t>мимо данных производств</w:t>
      </w:r>
      <w:r w:rsidR="00523EAB">
        <w:rPr>
          <w:sz w:val="28"/>
          <w:szCs w:val="28"/>
        </w:rPr>
        <w:t>,</w:t>
      </w:r>
      <w:r w:rsidR="005501DD">
        <w:rPr>
          <w:sz w:val="28"/>
          <w:szCs w:val="28"/>
        </w:rPr>
        <w:t xml:space="preserve"> лидирует</w:t>
      </w:r>
      <w:r w:rsidR="008E3F34">
        <w:rPr>
          <w:sz w:val="28"/>
          <w:szCs w:val="28"/>
        </w:rPr>
        <w:t xml:space="preserve"> добыча и обработка черных металлов.</w:t>
      </w:r>
      <w:r w:rsidR="00432DA3">
        <w:rPr>
          <w:sz w:val="28"/>
          <w:szCs w:val="28"/>
        </w:rPr>
        <w:t xml:space="preserve"> Развитие </w:t>
      </w:r>
      <w:r w:rsidR="002857B8">
        <w:rPr>
          <w:sz w:val="28"/>
          <w:szCs w:val="28"/>
        </w:rPr>
        <w:t xml:space="preserve">именно </w:t>
      </w:r>
      <w:r w:rsidR="00432DA3">
        <w:rPr>
          <w:sz w:val="28"/>
          <w:szCs w:val="28"/>
        </w:rPr>
        <w:t xml:space="preserve">этих производств </w:t>
      </w:r>
      <w:r w:rsidR="00D928B1">
        <w:rPr>
          <w:sz w:val="28"/>
          <w:szCs w:val="28"/>
        </w:rPr>
        <w:t xml:space="preserve">во многом </w:t>
      </w:r>
      <w:r w:rsidR="00432DA3">
        <w:rPr>
          <w:sz w:val="28"/>
          <w:szCs w:val="28"/>
        </w:rPr>
        <w:t xml:space="preserve">определяет </w:t>
      </w:r>
      <w:r w:rsidR="00D928B1">
        <w:rPr>
          <w:sz w:val="28"/>
          <w:szCs w:val="28"/>
        </w:rPr>
        <w:t>рост и изменение структуры потребления энергии. При замедлении их темпов роста очевидно падение темпов роста потребления элект</w:t>
      </w:r>
      <w:r w:rsidR="002857B8">
        <w:rPr>
          <w:sz w:val="28"/>
          <w:szCs w:val="28"/>
        </w:rPr>
        <w:t xml:space="preserve">ричества и топливных источников, особенно угля. Они являются одной из важных платформ </w:t>
      </w:r>
      <w:proofErr w:type="spellStart"/>
      <w:r w:rsidR="002857B8">
        <w:rPr>
          <w:sz w:val="28"/>
          <w:szCs w:val="28"/>
        </w:rPr>
        <w:t>межтопливной</w:t>
      </w:r>
      <w:proofErr w:type="spellEnd"/>
      <w:r w:rsidR="002857B8">
        <w:rPr>
          <w:sz w:val="28"/>
          <w:szCs w:val="28"/>
        </w:rPr>
        <w:t xml:space="preserve"> конкуренции и переключения в дальнейшем с угля на газ.</w:t>
      </w:r>
    </w:p>
    <w:p w14:paraId="6EEF6F03" w14:textId="3DA0BA1D" w:rsidR="002E2921" w:rsidRDefault="00D13577" w:rsidP="00877033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электричества и тепла также входит в топ самых </w:t>
      </w:r>
      <w:proofErr w:type="spellStart"/>
      <w:r>
        <w:rPr>
          <w:sz w:val="28"/>
          <w:szCs w:val="28"/>
        </w:rPr>
        <w:t>энергоинтенсивных</w:t>
      </w:r>
      <w:proofErr w:type="spellEnd"/>
      <w:r>
        <w:rPr>
          <w:sz w:val="28"/>
          <w:szCs w:val="28"/>
        </w:rPr>
        <w:t xml:space="preserve"> отраслей и является, вероятно, основным </w:t>
      </w:r>
      <w:r w:rsidR="006B2657">
        <w:rPr>
          <w:sz w:val="28"/>
          <w:szCs w:val="28"/>
        </w:rPr>
        <w:t xml:space="preserve">драйвером </w:t>
      </w:r>
      <w:proofErr w:type="spellStart"/>
      <w:r w:rsidR="006B2657">
        <w:rPr>
          <w:sz w:val="28"/>
          <w:szCs w:val="28"/>
        </w:rPr>
        <w:t>межтопливной</w:t>
      </w:r>
      <w:proofErr w:type="spellEnd"/>
      <w:r w:rsidR="006B2657">
        <w:rPr>
          <w:sz w:val="28"/>
          <w:szCs w:val="28"/>
        </w:rPr>
        <w:t xml:space="preserve"> конкуренции между углем и его альтернативами</w:t>
      </w:r>
      <w:r w:rsidR="002E2921">
        <w:rPr>
          <w:sz w:val="28"/>
          <w:szCs w:val="28"/>
        </w:rPr>
        <w:t>.</w:t>
      </w:r>
      <w:r w:rsidR="006B2657">
        <w:rPr>
          <w:sz w:val="28"/>
          <w:szCs w:val="28"/>
        </w:rPr>
        <w:t xml:space="preserve"> В 2012 г. о</w:t>
      </w:r>
      <w:r w:rsidR="00914033">
        <w:rPr>
          <w:sz w:val="28"/>
          <w:szCs w:val="28"/>
        </w:rPr>
        <w:t xml:space="preserve">бщий объем произведенного электричества составил 4938 млрд. квтч (см. Рис. 7), из которых 80% получено на топливных станциях, 17% – на гидравлических, 2% – на ядерных, 1% – при помощи альтернативных источников.  </w:t>
      </w:r>
      <w:r w:rsidR="007D76D6">
        <w:rPr>
          <w:sz w:val="28"/>
          <w:szCs w:val="28"/>
        </w:rPr>
        <w:t>Самый высокий рост в 2012 г. показали ГЭС, ТЭС выросли меньше, чем производство электричества в целом.</w:t>
      </w:r>
    </w:p>
    <w:p w14:paraId="7282BF8C" w14:textId="77777777" w:rsidR="007D76D6" w:rsidRDefault="007D76D6" w:rsidP="007D76D6">
      <w:pPr>
        <w:spacing w:after="12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6B6E8B0A" wp14:editId="15B511CB">
            <wp:extent cx="5940002" cy="2963545"/>
            <wp:effectExtent l="0" t="0" r="29210" b="3365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CFB48A2" w14:textId="4270BACA" w:rsidR="002518D5" w:rsidRPr="00510A19" w:rsidRDefault="002518D5" w:rsidP="00794968">
      <w:pPr>
        <w:spacing w:after="120" w:line="360" w:lineRule="auto"/>
        <w:jc w:val="both"/>
        <w:rPr>
          <w:b/>
          <w:sz w:val="28"/>
          <w:szCs w:val="28"/>
        </w:rPr>
      </w:pPr>
      <w:r w:rsidRPr="00510A19">
        <w:rPr>
          <w:b/>
          <w:sz w:val="28"/>
          <w:szCs w:val="28"/>
        </w:rPr>
        <w:t>Рисунок 7</w:t>
      </w:r>
      <w:r w:rsidR="00794968" w:rsidRPr="00510A19">
        <w:rPr>
          <w:b/>
          <w:sz w:val="28"/>
          <w:szCs w:val="28"/>
        </w:rPr>
        <w:t xml:space="preserve">. Структура производства электроэнергии по видам станций, 2012 г. </w:t>
      </w:r>
    </w:p>
    <w:p w14:paraId="6F1E428B" w14:textId="79BAA621" w:rsidR="002518D5" w:rsidRPr="002518D5" w:rsidRDefault="002518D5" w:rsidP="00794968">
      <w:pPr>
        <w:spacing w:after="120" w:line="360" w:lineRule="auto"/>
        <w:jc w:val="both"/>
        <w:rPr>
          <w:i/>
          <w:sz w:val="28"/>
          <w:szCs w:val="28"/>
        </w:rPr>
      </w:pPr>
      <w:r w:rsidRPr="00510A19">
        <w:rPr>
          <w:i/>
          <w:sz w:val="28"/>
          <w:szCs w:val="28"/>
        </w:rPr>
        <w:t>Источник:</w:t>
      </w:r>
      <w:r w:rsidR="00510A19" w:rsidRPr="00510A19">
        <w:rPr>
          <w:i/>
          <w:sz w:val="28"/>
          <w:szCs w:val="28"/>
        </w:rPr>
        <w:t xml:space="preserve"> Государственное статистическое управление КНР</w:t>
      </w:r>
    </w:p>
    <w:p w14:paraId="22EC3EB1" w14:textId="3E92ADE2" w:rsidR="00510A19" w:rsidRDefault="00510A19" w:rsidP="00510A19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 в Китае среди котельно-печного топлива электростанций, особенно в северных районах, преобладает уголь. Однако ввиду относительно ли</w:t>
      </w:r>
      <w:r w:rsidR="00310949">
        <w:rPr>
          <w:sz w:val="28"/>
          <w:szCs w:val="28"/>
        </w:rPr>
        <w:t>б</w:t>
      </w:r>
      <w:r>
        <w:rPr>
          <w:sz w:val="28"/>
          <w:szCs w:val="28"/>
        </w:rPr>
        <w:t xml:space="preserve">ерального рынка угля и </w:t>
      </w:r>
      <w:r w:rsidR="00310949">
        <w:rPr>
          <w:sz w:val="28"/>
          <w:szCs w:val="28"/>
        </w:rPr>
        <w:t>растущих</w:t>
      </w:r>
      <w:r>
        <w:rPr>
          <w:sz w:val="28"/>
          <w:szCs w:val="28"/>
        </w:rPr>
        <w:t xml:space="preserve"> цен на нем</w:t>
      </w:r>
      <w:r w:rsidR="00310949">
        <w:rPr>
          <w:sz w:val="28"/>
          <w:szCs w:val="28"/>
        </w:rPr>
        <w:t>,</w:t>
      </w:r>
      <w:r>
        <w:rPr>
          <w:sz w:val="28"/>
          <w:szCs w:val="28"/>
        </w:rPr>
        <w:t xml:space="preserve"> издержки угольных электростанций не всегда являются самыми низкими. Например, в 2010 г. </w:t>
      </w:r>
      <w:r w:rsidR="00310949">
        <w:rPr>
          <w:sz w:val="28"/>
          <w:szCs w:val="28"/>
        </w:rPr>
        <w:t xml:space="preserve">средняя оптовая цена электричества на угольных станциях составила 0,35 юаней/квтч, а цены гидроэлектростанций оказались намного ниже: 0,16 в провинции </w:t>
      </w:r>
      <w:proofErr w:type="spellStart"/>
      <w:r w:rsidR="00310949">
        <w:rPr>
          <w:sz w:val="28"/>
          <w:szCs w:val="28"/>
        </w:rPr>
        <w:t>Гуанси</w:t>
      </w:r>
      <w:proofErr w:type="spellEnd"/>
      <w:r w:rsidR="00310949">
        <w:rPr>
          <w:sz w:val="28"/>
          <w:szCs w:val="28"/>
        </w:rPr>
        <w:t xml:space="preserve">, 0,25 на </w:t>
      </w:r>
      <w:r w:rsidR="00310949">
        <w:rPr>
          <w:sz w:val="28"/>
          <w:szCs w:val="28"/>
          <w:lang w:eastAsia="zh-TW"/>
        </w:rPr>
        <w:t>электростанции «Три ущелья»</w:t>
      </w:r>
      <w:r w:rsidR="00310949">
        <w:rPr>
          <w:sz w:val="28"/>
          <w:szCs w:val="28"/>
        </w:rPr>
        <w:t xml:space="preserve">, 0,30 в провинции </w:t>
      </w:r>
      <w:proofErr w:type="spellStart"/>
      <w:r w:rsidR="00310949">
        <w:rPr>
          <w:sz w:val="28"/>
          <w:szCs w:val="28"/>
        </w:rPr>
        <w:t>Гуйчжоу</w:t>
      </w:r>
      <w:proofErr w:type="spellEnd"/>
      <w:r w:rsidR="00310949">
        <w:rPr>
          <w:rStyle w:val="FootnoteReference"/>
          <w:sz w:val="28"/>
          <w:szCs w:val="28"/>
        </w:rPr>
        <w:footnoteReference w:id="36"/>
      </w:r>
      <w:r w:rsidR="00310949">
        <w:rPr>
          <w:sz w:val="28"/>
          <w:szCs w:val="28"/>
        </w:rPr>
        <w:t>.</w:t>
      </w:r>
    </w:p>
    <w:p w14:paraId="428FD507" w14:textId="0DD8B148" w:rsidR="00510A19" w:rsidRDefault="00162996" w:rsidP="00510A19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510A19">
        <w:rPr>
          <w:sz w:val="28"/>
          <w:szCs w:val="28"/>
        </w:rPr>
        <w:t xml:space="preserve">, ввиду больших возможностей государственного регулирования производства электричества, особенностей ценообразования видов топлива и экологической политики, именно электрогенерирующий сектор может стать главным драйвером роста потребления газа (см. Главу 3). </w:t>
      </w:r>
    </w:p>
    <w:p w14:paraId="4EC761D0" w14:textId="57A26C44" w:rsidR="002977E0" w:rsidRDefault="00402675" w:rsidP="00310949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 w:rsidR="00B86951">
        <w:rPr>
          <w:sz w:val="28"/>
          <w:szCs w:val="28"/>
        </w:rPr>
        <w:t xml:space="preserve">из секторов и отраслей промышленности имеет свои </w:t>
      </w:r>
      <w:r w:rsidR="00523EAB">
        <w:rPr>
          <w:sz w:val="28"/>
          <w:szCs w:val="28"/>
        </w:rPr>
        <w:t>стимулы к росту</w:t>
      </w:r>
      <w:r w:rsidR="00B86951">
        <w:rPr>
          <w:sz w:val="28"/>
          <w:szCs w:val="28"/>
        </w:rPr>
        <w:t xml:space="preserve"> потребления энергии. Так потребительский и коммерческий сектор наращивает потребление за счет расширения площадей и покупки нового </w:t>
      </w:r>
      <w:proofErr w:type="spellStart"/>
      <w:r w:rsidR="00B86951">
        <w:rPr>
          <w:sz w:val="28"/>
          <w:szCs w:val="28"/>
        </w:rPr>
        <w:t>энергозатратного</w:t>
      </w:r>
      <w:proofErr w:type="spellEnd"/>
      <w:r w:rsidR="00B86951">
        <w:rPr>
          <w:sz w:val="28"/>
          <w:szCs w:val="28"/>
        </w:rPr>
        <w:t xml:space="preserve"> оборудования</w:t>
      </w:r>
      <w:r w:rsidR="00C608C8">
        <w:rPr>
          <w:sz w:val="28"/>
          <w:szCs w:val="28"/>
        </w:rPr>
        <w:t xml:space="preserve"> и автомобилей</w:t>
      </w:r>
      <w:r w:rsidR="00B86951">
        <w:rPr>
          <w:sz w:val="28"/>
          <w:szCs w:val="28"/>
        </w:rPr>
        <w:t xml:space="preserve"> по мере увеличения доходов.</w:t>
      </w:r>
      <w:r w:rsidR="00C608C8">
        <w:rPr>
          <w:sz w:val="28"/>
          <w:szCs w:val="28"/>
        </w:rPr>
        <w:t xml:space="preserve"> В промышленном секторе рост потребления энергоресурсов </w:t>
      </w:r>
      <w:r w:rsidR="00423B27">
        <w:rPr>
          <w:sz w:val="28"/>
          <w:szCs w:val="28"/>
        </w:rPr>
        <w:t xml:space="preserve">во многом </w:t>
      </w:r>
      <w:r w:rsidR="00C608C8">
        <w:rPr>
          <w:sz w:val="28"/>
          <w:szCs w:val="28"/>
        </w:rPr>
        <w:t>связан с развитием строительства и необходимостью производства большего количества конструкционных материало</w:t>
      </w:r>
      <w:r w:rsidR="00877033">
        <w:rPr>
          <w:sz w:val="28"/>
          <w:szCs w:val="28"/>
        </w:rPr>
        <w:t>в и химикатов, используемых там</w:t>
      </w:r>
      <w:r w:rsidR="00D53EB8">
        <w:rPr>
          <w:rStyle w:val="FootnoteReference"/>
          <w:sz w:val="28"/>
          <w:szCs w:val="28"/>
        </w:rPr>
        <w:footnoteReference w:id="37"/>
      </w:r>
      <w:r w:rsidR="00695637">
        <w:rPr>
          <w:sz w:val="28"/>
          <w:szCs w:val="28"/>
        </w:rPr>
        <w:t>.</w:t>
      </w:r>
    </w:p>
    <w:p w14:paraId="52003E81" w14:textId="5FEBDC88" w:rsidR="00523EAB" w:rsidRPr="005C2E15" w:rsidRDefault="005C2E15" w:rsidP="005C2E15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B2657">
        <w:rPr>
          <w:sz w:val="28"/>
          <w:szCs w:val="28"/>
        </w:rPr>
        <w:t xml:space="preserve">екоторые сектора экономики Китая, например, тяжелая промышленность и производство электроэнергии,  подвержены большему влиянию </w:t>
      </w:r>
      <w:proofErr w:type="spellStart"/>
      <w:r w:rsidR="006B2657">
        <w:rPr>
          <w:sz w:val="28"/>
          <w:szCs w:val="28"/>
        </w:rPr>
        <w:t>межтопливной</w:t>
      </w:r>
      <w:proofErr w:type="spellEnd"/>
      <w:r w:rsidR="006B2657">
        <w:rPr>
          <w:sz w:val="28"/>
          <w:szCs w:val="28"/>
        </w:rPr>
        <w:t xml:space="preserve"> конкуренции, некоторые – меньшему или почти нулевому (</w:t>
      </w:r>
      <w:proofErr w:type="spellStart"/>
      <w:r w:rsidR="006B2657">
        <w:rPr>
          <w:sz w:val="28"/>
          <w:szCs w:val="28"/>
        </w:rPr>
        <w:t>нефтепеработка</w:t>
      </w:r>
      <w:proofErr w:type="spellEnd"/>
      <w:r w:rsidR="006B2657">
        <w:rPr>
          <w:sz w:val="28"/>
          <w:szCs w:val="28"/>
        </w:rPr>
        <w:t xml:space="preserve">). С изменением структуры </w:t>
      </w:r>
      <w:r w:rsidR="00A55FD4">
        <w:rPr>
          <w:sz w:val="28"/>
          <w:szCs w:val="28"/>
        </w:rPr>
        <w:t>производства</w:t>
      </w:r>
      <w:r w:rsidR="006B2657">
        <w:rPr>
          <w:sz w:val="28"/>
          <w:szCs w:val="28"/>
        </w:rPr>
        <w:t xml:space="preserve"> Китая, реализацией планов по переходу к сервисной экономике, ростом потребления электроэнергии</w:t>
      </w:r>
      <w:r w:rsidR="00A55FD4">
        <w:rPr>
          <w:sz w:val="28"/>
          <w:szCs w:val="28"/>
        </w:rPr>
        <w:t xml:space="preserve"> и т.п.</w:t>
      </w:r>
      <w:r w:rsidR="006B2657">
        <w:rPr>
          <w:sz w:val="28"/>
          <w:szCs w:val="28"/>
        </w:rPr>
        <w:t xml:space="preserve">, потребность в эффективном и чистом топливе растет, а </w:t>
      </w:r>
      <w:proofErr w:type="spellStart"/>
      <w:r w:rsidR="006B2657">
        <w:rPr>
          <w:sz w:val="28"/>
          <w:szCs w:val="28"/>
        </w:rPr>
        <w:t>межтопливная</w:t>
      </w:r>
      <w:proofErr w:type="spellEnd"/>
      <w:r w:rsidR="006B2657">
        <w:rPr>
          <w:sz w:val="28"/>
          <w:szCs w:val="28"/>
        </w:rPr>
        <w:t xml:space="preserve"> конкуренция проявляется </w:t>
      </w:r>
      <w:r w:rsidR="00A55FD4">
        <w:rPr>
          <w:sz w:val="28"/>
          <w:szCs w:val="28"/>
        </w:rPr>
        <w:t>все сильнее.</w:t>
      </w:r>
      <w:bookmarkStart w:id="9" w:name="_Toc229737128"/>
    </w:p>
    <w:p w14:paraId="6E6AC1D0" w14:textId="77777777" w:rsidR="006C659F" w:rsidRDefault="006C659F" w:rsidP="00A362BA">
      <w:pPr>
        <w:pStyle w:val="Heading1"/>
        <w:spacing w:before="0" w:after="120" w:line="360" w:lineRule="auto"/>
        <w:rPr>
          <w:rFonts w:ascii="Times New Roman" w:hAnsi="Times New Roman"/>
          <w:sz w:val="28"/>
          <w:szCs w:val="28"/>
          <w:lang w:eastAsia="zh-TW"/>
        </w:rPr>
      </w:pPr>
      <w:r w:rsidRPr="00723F9E">
        <w:rPr>
          <w:rFonts w:ascii="Times New Roman" w:hAnsi="Times New Roman"/>
          <w:sz w:val="28"/>
          <w:szCs w:val="28"/>
          <w:lang w:eastAsia="zh-TW"/>
        </w:rPr>
        <w:lastRenderedPageBreak/>
        <w:t>3. Ценовая конкуренция видов топлива</w:t>
      </w:r>
      <w:bookmarkEnd w:id="9"/>
    </w:p>
    <w:p w14:paraId="109A386F" w14:textId="0DC06A23" w:rsidR="00E52328" w:rsidRPr="00E52328" w:rsidRDefault="00E52328" w:rsidP="00E52328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потребление энергии в Китае многообразно и не однозначно как с точки зрения регионов, так и по секторам и отраслям. Различные топливные и не топливные источники энергии связаны между собой и при определенных условиях могут быть субститутами друг для друга. Наиболее интересной и актуальной</w:t>
      </w:r>
      <w:r w:rsidR="0023015C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для России</w:t>
      </w:r>
      <w:r w:rsidR="0023015C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представляется </w:t>
      </w:r>
      <w:proofErr w:type="spellStart"/>
      <w:r>
        <w:rPr>
          <w:sz w:val="28"/>
          <w:szCs w:val="28"/>
        </w:rPr>
        <w:t>межтопливная</w:t>
      </w:r>
      <w:proofErr w:type="spellEnd"/>
      <w:r>
        <w:rPr>
          <w:sz w:val="28"/>
          <w:szCs w:val="28"/>
        </w:rPr>
        <w:t xml:space="preserve"> конкуренция угля и газа как в роли промышленного сырья, так и для производства электричества. Рассмотрим подробнее особенности производства и потребления, регулирования и ценообра</w:t>
      </w:r>
      <w:r w:rsidR="0023015C">
        <w:rPr>
          <w:sz w:val="28"/>
          <w:szCs w:val="28"/>
        </w:rPr>
        <w:t xml:space="preserve">зования на рынках угля и газа, а также </w:t>
      </w:r>
      <w:r>
        <w:rPr>
          <w:sz w:val="28"/>
          <w:szCs w:val="28"/>
        </w:rPr>
        <w:t>возможности российской стороны в рамках переключения с одного вида топлива на другое.</w:t>
      </w:r>
    </w:p>
    <w:p w14:paraId="0773B526" w14:textId="77777777" w:rsidR="00C771DE" w:rsidRPr="00EA5FB6" w:rsidRDefault="006C659F" w:rsidP="00A362BA">
      <w:pPr>
        <w:pStyle w:val="Heading2"/>
      </w:pPr>
      <w:bookmarkStart w:id="10" w:name="_Toc229737129"/>
      <w:r w:rsidRPr="00EA5FB6">
        <w:t>3.1. Конкуренция на китайском рынке угля</w:t>
      </w:r>
      <w:bookmarkEnd w:id="10"/>
    </w:p>
    <w:p w14:paraId="7CF91678" w14:textId="77777777" w:rsidR="00E52328" w:rsidRDefault="00E52328" w:rsidP="00423B27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 w:rsidRPr="00467FF4">
        <w:rPr>
          <w:sz w:val="28"/>
          <w:szCs w:val="28"/>
          <w:lang w:eastAsia="zh-TW"/>
        </w:rPr>
        <w:t xml:space="preserve">Китай невероятно богат углем. </w:t>
      </w:r>
      <w:r w:rsidR="00E409CD">
        <w:rPr>
          <w:sz w:val="28"/>
          <w:szCs w:val="28"/>
          <w:lang w:eastAsia="zh-TW"/>
        </w:rPr>
        <w:t>Согласно данным китайской статистики 2011</w:t>
      </w:r>
      <w:r w:rsidR="00467FF4" w:rsidRPr="00467FF4">
        <w:rPr>
          <w:sz w:val="28"/>
          <w:szCs w:val="28"/>
          <w:lang w:eastAsia="zh-TW"/>
        </w:rPr>
        <w:t xml:space="preserve"> года,</w:t>
      </w:r>
      <w:r w:rsidRPr="00467FF4">
        <w:rPr>
          <w:sz w:val="28"/>
          <w:szCs w:val="28"/>
          <w:lang w:eastAsia="zh-TW"/>
        </w:rPr>
        <w:t xml:space="preserve"> на территории Китая находится </w:t>
      </w:r>
      <w:r w:rsidR="00E409CD">
        <w:rPr>
          <w:sz w:val="28"/>
          <w:szCs w:val="28"/>
          <w:lang w:eastAsia="zh-TW"/>
        </w:rPr>
        <w:t>более 215</w:t>
      </w:r>
      <w:r w:rsidRPr="00467FF4">
        <w:rPr>
          <w:sz w:val="28"/>
          <w:szCs w:val="28"/>
          <w:lang w:eastAsia="zh-TW"/>
        </w:rPr>
        <w:t xml:space="preserve"> млрд. тонн </w:t>
      </w:r>
      <w:r w:rsidR="00467FF4" w:rsidRPr="00467FF4">
        <w:rPr>
          <w:sz w:val="28"/>
          <w:szCs w:val="28"/>
          <w:lang w:eastAsia="zh-TW"/>
        </w:rPr>
        <w:t xml:space="preserve">доказанных запасов </w:t>
      </w:r>
      <w:r w:rsidRPr="00467FF4">
        <w:rPr>
          <w:sz w:val="28"/>
          <w:szCs w:val="28"/>
          <w:lang w:eastAsia="zh-TW"/>
        </w:rPr>
        <w:t>угля, правда в основном в западных и северных районах – слабо развитых и уязвимых с точки зрения экологии</w:t>
      </w:r>
      <w:r w:rsidR="00467FF4" w:rsidRPr="00467FF4">
        <w:rPr>
          <w:sz w:val="28"/>
          <w:szCs w:val="28"/>
          <w:lang w:eastAsia="zh-TW"/>
        </w:rPr>
        <w:t>.</w:t>
      </w:r>
    </w:p>
    <w:p w14:paraId="7ADFE51D" w14:textId="77777777" w:rsidR="002518D5" w:rsidRDefault="002518D5" w:rsidP="002518D5">
      <w:pPr>
        <w:spacing w:after="120" w:line="360" w:lineRule="auto"/>
        <w:jc w:val="both"/>
        <w:rPr>
          <w:sz w:val="28"/>
          <w:szCs w:val="28"/>
          <w:lang w:eastAsia="zh-TW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3FE65E63" wp14:editId="0F62EC79">
            <wp:extent cx="5939790" cy="2671657"/>
            <wp:effectExtent l="0" t="0" r="29210" b="2095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A657C8C" w14:textId="77777777" w:rsidR="002518D5" w:rsidRPr="006D1BF5" w:rsidRDefault="002518D5" w:rsidP="002518D5">
      <w:pPr>
        <w:spacing w:after="120" w:line="360" w:lineRule="auto"/>
        <w:rPr>
          <w:b/>
          <w:sz w:val="28"/>
          <w:szCs w:val="28"/>
          <w:lang w:eastAsia="zh-TW"/>
        </w:rPr>
      </w:pPr>
      <w:r w:rsidRPr="006D1BF5">
        <w:rPr>
          <w:b/>
          <w:sz w:val="28"/>
          <w:szCs w:val="28"/>
          <w:lang w:eastAsia="zh-TW"/>
        </w:rPr>
        <w:t xml:space="preserve">Рисунок </w:t>
      </w:r>
      <w:r w:rsidR="00794968">
        <w:rPr>
          <w:b/>
          <w:sz w:val="28"/>
          <w:szCs w:val="28"/>
          <w:lang w:eastAsia="zh-TW"/>
        </w:rPr>
        <w:t>8</w:t>
      </w:r>
      <w:r w:rsidRPr="006D1BF5">
        <w:rPr>
          <w:b/>
          <w:sz w:val="28"/>
          <w:szCs w:val="28"/>
          <w:lang w:eastAsia="zh-TW"/>
        </w:rPr>
        <w:t>. Потребление прир</w:t>
      </w:r>
      <w:r>
        <w:rPr>
          <w:b/>
          <w:sz w:val="28"/>
          <w:szCs w:val="28"/>
          <w:lang w:eastAsia="zh-TW"/>
        </w:rPr>
        <w:t xml:space="preserve">одного угля в Китае 2007-2011, млрд. </w:t>
      </w:r>
      <w:r w:rsidRPr="006D1BF5">
        <w:rPr>
          <w:b/>
          <w:sz w:val="28"/>
          <w:szCs w:val="28"/>
          <w:lang w:eastAsia="zh-TW"/>
        </w:rPr>
        <w:t>м</w:t>
      </w:r>
      <w:r w:rsidRPr="006D1BF5">
        <w:rPr>
          <w:b/>
          <w:sz w:val="28"/>
          <w:szCs w:val="28"/>
          <w:vertAlign w:val="superscript"/>
          <w:lang w:eastAsia="zh-TW"/>
        </w:rPr>
        <w:t>3</w:t>
      </w:r>
      <w:r w:rsidRPr="006D1BF5">
        <w:rPr>
          <w:b/>
          <w:sz w:val="28"/>
          <w:szCs w:val="28"/>
          <w:lang w:eastAsia="zh-TW"/>
        </w:rPr>
        <w:t>, %</w:t>
      </w:r>
    </w:p>
    <w:p w14:paraId="2268002C" w14:textId="77777777" w:rsidR="002518D5" w:rsidRPr="003F0512" w:rsidRDefault="002518D5" w:rsidP="00794968">
      <w:pPr>
        <w:spacing w:after="120" w:line="360" w:lineRule="auto"/>
        <w:rPr>
          <w:i/>
          <w:sz w:val="28"/>
          <w:szCs w:val="28"/>
          <w:lang w:eastAsia="zh-TW"/>
        </w:rPr>
      </w:pPr>
      <w:r w:rsidRPr="00794968">
        <w:rPr>
          <w:i/>
          <w:sz w:val="28"/>
          <w:szCs w:val="28"/>
          <w:lang w:eastAsia="zh-TW"/>
        </w:rPr>
        <w:t>Источник: Государственное статистическое управление КНР</w:t>
      </w:r>
    </w:p>
    <w:p w14:paraId="0ADB4E76" w14:textId="77777777" w:rsidR="00BA5023" w:rsidRPr="00BA5023" w:rsidRDefault="00BA5023" w:rsidP="00423B27">
      <w:pPr>
        <w:spacing w:after="120" w:line="360" w:lineRule="auto"/>
        <w:ind w:firstLine="709"/>
        <w:jc w:val="both"/>
        <w:rPr>
          <w:sz w:val="28"/>
          <w:szCs w:val="28"/>
        </w:rPr>
      </w:pPr>
      <w:r w:rsidRPr="00090884">
        <w:rPr>
          <w:sz w:val="28"/>
          <w:szCs w:val="28"/>
        </w:rPr>
        <w:lastRenderedPageBreak/>
        <w:t>Между 2007 и 2011 гг. потребление угля выросло на 39%, пик прироста пришелся на 2009 г., когда кризис вынудил Китай переключиться на более дешевый вид топлива (см. Рис. 8).</w:t>
      </w:r>
      <w:r w:rsidR="00E409CD" w:rsidRPr="00090884">
        <w:rPr>
          <w:sz w:val="28"/>
          <w:szCs w:val="28"/>
        </w:rPr>
        <w:t xml:space="preserve"> В этот </w:t>
      </w:r>
      <w:r w:rsidRPr="00090884">
        <w:rPr>
          <w:sz w:val="28"/>
          <w:szCs w:val="28"/>
        </w:rPr>
        <w:t>год Китай импортировал в 3 раза больше угля, чем в 2008 г. Нельзя сказать, что в Китае усиливается зависимость от импорта угля, так как колебания темпов его прироста значительны, как и колебания цен на международном и местном рынках.</w:t>
      </w:r>
    </w:p>
    <w:p w14:paraId="1A5DBA5E" w14:textId="16ACA5F2" w:rsidR="00AD6835" w:rsidRDefault="006547C9" w:rsidP="00354455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Ценообразование на рынке угля начало претерпевать изменения с 1983 г., когда угледобывающим компаниям было разрешено продавать излишки производства по более высоким, чем установленные административно, ценам, а государственным и частным компаниям – инвестировать в сферу добычи угля. </w:t>
      </w:r>
      <w:r w:rsidR="00B55201">
        <w:rPr>
          <w:sz w:val="28"/>
          <w:szCs w:val="28"/>
        </w:rPr>
        <w:t>В 1993 г. прекратилось регулирование продажных цен угля, использующегося не д</w:t>
      </w:r>
      <w:r w:rsidR="00AD6835">
        <w:rPr>
          <w:sz w:val="28"/>
          <w:szCs w:val="28"/>
        </w:rPr>
        <w:t>ля электроэнергетики, в 2001 г.</w:t>
      </w:r>
      <w:r w:rsidR="00B55201">
        <w:rPr>
          <w:sz w:val="28"/>
          <w:szCs w:val="28"/>
        </w:rPr>
        <w:t xml:space="preserve"> – электроэнергетического угля</w:t>
      </w:r>
      <w:r w:rsidR="00D53EB8">
        <w:rPr>
          <w:rStyle w:val="FootnoteReference"/>
          <w:sz w:val="28"/>
          <w:szCs w:val="28"/>
        </w:rPr>
        <w:footnoteReference w:id="38"/>
      </w:r>
      <w:r w:rsidR="00B55201">
        <w:rPr>
          <w:sz w:val="28"/>
          <w:szCs w:val="28"/>
        </w:rPr>
        <w:t xml:space="preserve">. </w:t>
      </w:r>
      <w:r w:rsidR="00AD6835">
        <w:rPr>
          <w:sz w:val="28"/>
          <w:szCs w:val="28"/>
        </w:rPr>
        <w:t>Как следствие, рынок угля в Китае со временем превратился в  сильно фрагмен</w:t>
      </w:r>
      <w:r w:rsidR="00E409CD">
        <w:rPr>
          <w:sz w:val="28"/>
          <w:szCs w:val="28"/>
        </w:rPr>
        <w:t>тированный и высоко конкурентный</w:t>
      </w:r>
      <w:r w:rsidR="00AD6835">
        <w:rPr>
          <w:sz w:val="28"/>
          <w:szCs w:val="28"/>
        </w:rPr>
        <w:t xml:space="preserve">. </w:t>
      </w:r>
      <w:r w:rsidR="008536CE">
        <w:rPr>
          <w:sz w:val="28"/>
          <w:szCs w:val="28"/>
        </w:rPr>
        <w:t>В 2005 г. мощность государственных угледобывающих предприятий составляла не более 60% общих (см. Диагр.4), что является довольно невысоким показателем для этой сферы.</w:t>
      </w:r>
    </w:p>
    <w:p w14:paraId="18C37627" w14:textId="77777777" w:rsidR="004771E0" w:rsidRPr="004771E0" w:rsidRDefault="004771E0" w:rsidP="004771E0">
      <w:pPr>
        <w:spacing w:after="120" w:line="360" w:lineRule="auto"/>
        <w:rPr>
          <w:sz w:val="28"/>
          <w:szCs w:val="28"/>
        </w:rPr>
      </w:pPr>
      <w:r>
        <w:rPr>
          <w:rFonts w:eastAsia="MS Gothic"/>
          <w:b/>
          <w:bCs/>
          <w:iCs/>
          <w:sz w:val="28"/>
          <w:szCs w:val="28"/>
          <w:lang w:eastAsia="zh-TW"/>
        </w:rPr>
        <w:t>Диаграмма</w:t>
      </w:r>
      <w:r w:rsidR="00156BD7">
        <w:rPr>
          <w:rFonts w:eastAsia="MS Gothic"/>
          <w:b/>
          <w:bCs/>
          <w:iCs/>
          <w:sz w:val="28"/>
          <w:szCs w:val="28"/>
          <w:lang w:eastAsia="zh-TW"/>
        </w:rPr>
        <w:t xml:space="preserve"> 4</w:t>
      </w:r>
      <w:r>
        <w:rPr>
          <w:rFonts w:eastAsia="MS Gothic"/>
          <w:b/>
          <w:bCs/>
          <w:iCs/>
          <w:sz w:val="28"/>
          <w:szCs w:val="28"/>
          <w:lang w:eastAsia="zh-TW"/>
        </w:rPr>
        <w:t>. Доля компаний по добыче угля в зависимости от вида собственности в общей мощности 2005 г., %</w:t>
      </w:r>
      <w:r>
        <w:rPr>
          <w:rFonts w:eastAsia="MS Gothic"/>
          <w:b/>
          <w:bCs/>
          <w:iCs/>
          <w:noProof/>
          <w:sz w:val="28"/>
          <w:szCs w:val="28"/>
          <w:lang w:val="en-US" w:eastAsia="en-US"/>
        </w:rPr>
        <w:drawing>
          <wp:inline distT="0" distB="0" distL="0" distR="0" wp14:anchorId="6F71C8EA" wp14:editId="44F22DA8">
            <wp:extent cx="5546302" cy="2023957"/>
            <wp:effectExtent l="0" t="0" r="16510" b="3365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D986D05" w14:textId="06C6D838" w:rsidR="004771E0" w:rsidRPr="003F0512" w:rsidRDefault="004771E0" w:rsidP="004771E0">
      <w:pPr>
        <w:spacing w:after="120" w:line="360" w:lineRule="auto"/>
        <w:rPr>
          <w:rFonts w:eastAsia="MS Gothic"/>
          <w:bCs/>
          <w:i/>
          <w:iCs/>
          <w:sz w:val="28"/>
          <w:szCs w:val="28"/>
          <w:lang w:eastAsia="zh-TW"/>
        </w:rPr>
      </w:pPr>
      <w:r w:rsidRPr="00135374">
        <w:rPr>
          <w:rFonts w:eastAsia="MS Gothic"/>
          <w:bCs/>
          <w:i/>
          <w:iCs/>
          <w:sz w:val="28"/>
          <w:szCs w:val="28"/>
          <w:lang w:eastAsia="zh-TW"/>
        </w:rPr>
        <w:t>Источник:</w:t>
      </w:r>
      <w:r>
        <w:rPr>
          <w:rFonts w:eastAsia="MS Gothic"/>
          <w:bCs/>
          <w:i/>
          <w:iCs/>
          <w:sz w:val="28"/>
          <w:szCs w:val="28"/>
          <w:lang w:eastAsia="zh-TW"/>
        </w:rPr>
        <w:t xml:space="preserve"> </w:t>
      </w:r>
      <w:r w:rsidR="00162996">
        <w:rPr>
          <w:rFonts w:eastAsia="MS Gothic"/>
          <w:bCs/>
          <w:i/>
          <w:iCs/>
          <w:sz w:val="28"/>
          <w:szCs w:val="28"/>
          <w:lang w:eastAsia="zh-TW"/>
        </w:rPr>
        <w:t>МЭА</w:t>
      </w:r>
      <w:r w:rsidRPr="003F0512">
        <w:rPr>
          <w:rFonts w:eastAsia="MS Gothic"/>
          <w:bCs/>
          <w:i/>
          <w:iCs/>
          <w:sz w:val="28"/>
          <w:szCs w:val="28"/>
          <w:lang w:eastAsia="zh-TW"/>
        </w:rPr>
        <w:t xml:space="preserve"> </w:t>
      </w:r>
    </w:p>
    <w:p w14:paraId="7B9B0ACA" w14:textId="58C555CD" w:rsidR="004771E0" w:rsidRDefault="00162996" w:rsidP="004771E0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</w:t>
      </w:r>
      <w:r w:rsidR="00AD6835">
        <w:rPr>
          <w:sz w:val="28"/>
          <w:szCs w:val="28"/>
        </w:rPr>
        <w:t xml:space="preserve">ены на уголь непосредственно связаны с ценами на электричество. Ранее угледобывающие компании вынуждены были продавать сырье по заниженным ценам, нести финансовые потери, чтобы дать возможность электроэнергетическим компаниям получать прибыль. </w:t>
      </w:r>
      <w:r w:rsidR="004771E0">
        <w:rPr>
          <w:sz w:val="28"/>
          <w:szCs w:val="28"/>
        </w:rPr>
        <w:t xml:space="preserve">После </w:t>
      </w:r>
      <w:proofErr w:type="spellStart"/>
      <w:r w:rsidR="004771E0">
        <w:rPr>
          <w:sz w:val="28"/>
          <w:szCs w:val="28"/>
        </w:rPr>
        <w:t>дерегулирования</w:t>
      </w:r>
      <w:proofErr w:type="spellEnd"/>
      <w:r w:rsidR="004771E0">
        <w:rPr>
          <w:sz w:val="28"/>
          <w:szCs w:val="28"/>
        </w:rPr>
        <w:t xml:space="preserve"> цен на уголь происходит обратный процесс – электрогенерирующие компании несут потери, вплоть до появления дефицита мощностей в 2011 г.</w:t>
      </w:r>
      <w:r w:rsidR="000C74B1">
        <w:rPr>
          <w:rStyle w:val="FootnoteReference"/>
          <w:sz w:val="28"/>
          <w:szCs w:val="28"/>
        </w:rPr>
        <w:footnoteReference w:id="39"/>
      </w:r>
      <w:r w:rsidR="00AD6835">
        <w:rPr>
          <w:sz w:val="28"/>
          <w:szCs w:val="28"/>
        </w:rPr>
        <w:t xml:space="preserve"> </w:t>
      </w:r>
      <w:r w:rsidR="004771E0">
        <w:rPr>
          <w:sz w:val="28"/>
          <w:szCs w:val="28"/>
        </w:rPr>
        <w:t>В связи с таким конфликтом интересов угледобывающих и электрогенерирующих компаний Государственный комитет КНР по развитию и реформе вновь установил потолок цен для электроэнергетическо</w:t>
      </w:r>
      <w:r w:rsidR="00A163A8">
        <w:rPr>
          <w:sz w:val="28"/>
          <w:szCs w:val="28"/>
        </w:rPr>
        <w:t>го угля.</w:t>
      </w:r>
    </w:p>
    <w:p w14:paraId="60194D18" w14:textId="77777777" w:rsidR="004771E0" w:rsidRPr="00455ED3" w:rsidRDefault="004771E0" w:rsidP="004771E0">
      <w:pPr>
        <w:spacing w:after="120" w:line="360" w:lineRule="auto"/>
        <w:rPr>
          <w:b/>
          <w:sz w:val="28"/>
          <w:szCs w:val="28"/>
        </w:rPr>
      </w:pPr>
      <w:r w:rsidRPr="00455ED3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7. Средние цены на местный и импортный уголь в КНР, 2012 г.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1560"/>
        <w:gridCol w:w="1417"/>
        <w:gridCol w:w="1559"/>
      </w:tblGrid>
      <w:tr w:rsidR="004771E0" w:rsidRPr="00393FA4" w14:paraId="7AB78554" w14:textId="77777777" w:rsidTr="004771E0">
        <w:trPr>
          <w:trHeight w:val="300"/>
        </w:trPr>
        <w:tc>
          <w:tcPr>
            <w:tcW w:w="9087" w:type="dxa"/>
            <w:gridSpan w:val="4"/>
            <w:shd w:val="clear" w:color="auto" w:fill="auto"/>
            <w:noWrap/>
            <w:vAlign w:val="bottom"/>
            <w:hideMark/>
          </w:tcPr>
          <w:p w14:paraId="45AF8CC0" w14:textId="77777777" w:rsidR="004771E0" w:rsidRPr="00393FA4" w:rsidRDefault="004771E0" w:rsidP="004771E0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393FA4">
              <w:rPr>
                <w:rFonts w:eastAsia="Times New Roman"/>
                <w:bCs/>
                <w:color w:val="000000"/>
                <w:lang w:eastAsia="en-US"/>
              </w:rPr>
              <w:t>Средние цен</w:t>
            </w:r>
            <w:r>
              <w:rPr>
                <w:rFonts w:eastAsia="Times New Roman"/>
                <w:bCs/>
                <w:color w:val="000000"/>
                <w:lang w:eastAsia="en-US"/>
              </w:rPr>
              <w:t>ы на импортируемый уголь 2012</w:t>
            </w:r>
          </w:p>
        </w:tc>
      </w:tr>
      <w:tr w:rsidR="004771E0" w:rsidRPr="00393FA4" w14:paraId="41D2A787" w14:textId="77777777" w:rsidTr="004771E0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6D82D0B6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C</w:t>
            </w:r>
            <w:r w:rsidRPr="00393FA4">
              <w:rPr>
                <w:rFonts w:eastAsia="Times New Roman"/>
                <w:color w:val="000000"/>
                <w:lang w:eastAsia="en-US"/>
              </w:rPr>
              <w:t>трана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8DD738" w14:textId="77777777" w:rsidR="004771E0" w:rsidRPr="00393FA4" w:rsidRDefault="004771E0" w:rsidP="004771E0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долл./тонна</w:t>
            </w:r>
          </w:p>
        </w:tc>
        <w:tc>
          <w:tcPr>
            <w:tcW w:w="1417" w:type="dxa"/>
            <w:vAlign w:val="bottom"/>
          </w:tcPr>
          <w:p w14:paraId="328657FC" w14:textId="77777777" w:rsidR="004771E0" w:rsidRDefault="004771E0" w:rsidP="004771E0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мбте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/тонна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EA33D0" w14:textId="77777777" w:rsidR="004771E0" w:rsidRPr="00393FA4" w:rsidRDefault="004771E0" w:rsidP="004771E0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долл./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мбте</w:t>
            </w:r>
            <w:proofErr w:type="spellEnd"/>
          </w:p>
        </w:tc>
      </w:tr>
      <w:tr w:rsidR="004771E0" w:rsidRPr="00393FA4" w14:paraId="6200307D" w14:textId="77777777" w:rsidTr="004771E0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4971AE46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  <w:r w:rsidRPr="00393FA4">
              <w:rPr>
                <w:rFonts w:eastAsia="Times New Roman"/>
                <w:color w:val="000000"/>
                <w:lang w:eastAsia="en-US"/>
              </w:rPr>
              <w:t>Австралия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37912B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114,3</w:t>
            </w:r>
          </w:p>
        </w:tc>
        <w:tc>
          <w:tcPr>
            <w:tcW w:w="1417" w:type="dxa"/>
            <w:vAlign w:val="bottom"/>
          </w:tcPr>
          <w:p w14:paraId="53C8DB03" w14:textId="77777777" w:rsidR="004771E0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19,83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B86EB5D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5,76</w:t>
            </w:r>
          </w:p>
        </w:tc>
      </w:tr>
      <w:tr w:rsidR="004771E0" w:rsidRPr="00393FA4" w14:paraId="2408824F" w14:textId="77777777" w:rsidTr="004771E0">
        <w:trPr>
          <w:trHeight w:val="300"/>
        </w:trPr>
        <w:tc>
          <w:tcPr>
            <w:tcW w:w="4551" w:type="dxa"/>
            <w:vMerge w:val="restart"/>
            <w:shd w:val="clear" w:color="auto" w:fill="auto"/>
            <w:noWrap/>
            <w:vAlign w:val="center"/>
            <w:hideMark/>
          </w:tcPr>
          <w:p w14:paraId="3C512638" w14:textId="77777777" w:rsidR="004771E0" w:rsidRPr="004771E0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  <w:r w:rsidRPr="004771E0">
              <w:rPr>
                <w:rFonts w:eastAsia="Times New Roman"/>
                <w:color w:val="000000"/>
                <w:lang w:eastAsia="en-US"/>
              </w:rPr>
              <w:t>Индонезия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340106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90,4</w:t>
            </w:r>
          </w:p>
        </w:tc>
        <w:tc>
          <w:tcPr>
            <w:tcW w:w="1417" w:type="dxa"/>
            <w:vAlign w:val="bottom"/>
          </w:tcPr>
          <w:p w14:paraId="3617EC04" w14:textId="77777777" w:rsidR="004771E0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19,03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C62F11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4,75</w:t>
            </w:r>
          </w:p>
        </w:tc>
      </w:tr>
      <w:tr w:rsidR="004771E0" w:rsidRPr="00393FA4" w14:paraId="3699BFFF" w14:textId="77777777" w:rsidTr="004771E0">
        <w:trPr>
          <w:trHeight w:val="300"/>
        </w:trPr>
        <w:tc>
          <w:tcPr>
            <w:tcW w:w="4551" w:type="dxa"/>
            <w:vMerge/>
            <w:shd w:val="clear" w:color="auto" w:fill="auto"/>
            <w:noWrap/>
            <w:vAlign w:val="bottom"/>
            <w:hideMark/>
          </w:tcPr>
          <w:p w14:paraId="757BD016" w14:textId="77777777" w:rsidR="004771E0" w:rsidRPr="004771E0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EACF75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60,0</w:t>
            </w:r>
          </w:p>
        </w:tc>
        <w:tc>
          <w:tcPr>
            <w:tcW w:w="1417" w:type="dxa"/>
            <w:vAlign w:val="bottom"/>
          </w:tcPr>
          <w:p w14:paraId="302591E6" w14:textId="77777777" w:rsidR="004771E0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15,07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C5AE897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3,98</w:t>
            </w:r>
          </w:p>
        </w:tc>
      </w:tr>
      <w:tr w:rsidR="004771E0" w:rsidRPr="00393FA4" w14:paraId="7432F091" w14:textId="77777777" w:rsidTr="004771E0">
        <w:trPr>
          <w:trHeight w:val="300"/>
        </w:trPr>
        <w:tc>
          <w:tcPr>
            <w:tcW w:w="9087" w:type="dxa"/>
            <w:gridSpan w:val="4"/>
            <w:shd w:val="clear" w:color="auto" w:fill="auto"/>
            <w:noWrap/>
            <w:vAlign w:val="bottom"/>
            <w:hideMark/>
          </w:tcPr>
          <w:p w14:paraId="43677CFE" w14:textId="25797AE2" w:rsidR="004771E0" w:rsidRPr="004771E0" w:rsidRDefault="004771E0" w:rsidP="00B409FF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4771E0">
              <w:rPr>
                <w:rFonts w:eastAsia="Times New Roman"/>
                <w:bCs/>
                <w:color w:val="000000"/>
                <w:lang w:eastAsia="en-US"/>
              </w:rPr>
              <w:t>Местный энергетический уголь, апрель 2012</w:t>
            </w:r>
          </w:p>
        </w:tc>
      </w:tr>
      <w:tr w:rsidR="004771E0" w:rsidRPr="00393FA4" w14:paraId="55488DF2" w14:textId="77777777" w:rsidTr="004771E0">
        <w:trPr>
          <w:trHeight w:val="300"/>
        </w:trPr>
        <w:tc>
          <w:tcPr>
            <w:tcW w:w="4551" w:type="dxa"/>
            <w:vMerge w:val="restart"/>
            <w:shd w:val="clear" w:color="auto" w:fill="auto"/>
            <w:noWrap/>
            <w:vAlign w:val="bottom"/>
            <w:hideMark/>
          </w:tcPr>
          <w:p w14:paraId="6143D1C7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393FA4">
              <w:rPr>
                <w:rFonts w:eastAsia="Times New Roman"/>
                <w:color w:val="000000"/>
                <w:lang w:eastAsia="en-US"/>
              </w:rPr>
              <w:t>Шаньси</w:t>
            </w:r>
            <w:proofErr w:type="spellEnd"/>
          </w:p>
          <w:p w14:paraId="01D396BD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  <w:r w:rsidRPr="00393FA4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4A832A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85,7</w:t>
            </w:r>
          </w:p>
        </w:tc>
        <w:tc>
          <w:tcPr>
            <w:tcW w:w="1417" w:type="dxa"/>
            <w:vAlign w:val="bottom"/>
          </w:tcPr>
          <w:p w14:paraId="1E96A613" w14:textId="77777777" w:rsidR="004771E0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19,83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6DD9C8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4,32</w:t>
            </w:r>
          </w:p>
        </w:tc>
      </w:tr>
      <w:tr w:rsidR="004771E0" w:rsidRPr="00393FA4" w14:paraId="53BE0A5A" w14:textId="77777777" w:rsidTr="004771E0">
        <w:trPr>
          <w:trHeight w:val="300"/>
        </w:trPr>
        <w:tc>
          <w:tcPr>
            <w:tcW w:w="4551" w:type="dxa"/>
            <w:vMerge/>
            <w:shd w:val="clear" w:color="auto" w:fill="auto"/>
            <w:noWrap/>
            <w:vAlign w:val="bottom"/>
            <w:hideMark/>
          </w:tcPr>
          <w:p w14:paraId="5B7A50E8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7EC5DE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119,0</w:t>
            </w:r>
          </w:p>
        </w:tc>
        <w:tc>
          <w:tcPr>
            <w:tcW w:w="1417" w:type="dxa"/>
            <w:vAlign w:val="bottom"/>
          </w:tcPr>
          <w:p w14:paraId="6079E3F0" w14:textId="77777777" w:rsidR="004771E0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23,79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F2A45A1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5,00</w:t>
            </w:r>
          </w:p>
        </w:tc>
      </w:tr>
      <w:tr w:rsidR="004771E0" w:rsidRPr="00393FA4" w14:paraId="552CA171" w14:textId="77777777" w:rsidTr="004771E0">
        <w:trPr>
          <w:trHeight w:val="300"/>
        </w:trPr>
        <w:tc>
          <w:tcPr>
            <w:tcW w:w="4551" w:type="dxa"/>
            <w:vMerge w:val="restart"/>
            <w:shd w:val="clear" w:color="auto" w:fill="auto"/>
            <w:noWrap/>
            <w:vAlign w:val="bottom"/>
            <w:hideMark/>
          </w:tcPr>
          <w:p w14:paraId="3CA008DF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393FA4">
              <w:rPr>
                <w:rFonts w:eastAsia="Times New Roman"/>
                <w:color w:val="000000"/>
                <w:lang w:eastAsia="en-US"/>
              </w:rPr>
              <w:t>Шаньдун</w:t>
            </w:r>
            <w:proofErr w:type="spellEnd"/>
          </w:p>
          <w:p w14:paraId="6281153F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  <w:r w:rsidRPr="00393FA4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19019C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68,3</w:t>
            </w:r>
          </w:p>
        </w:tc>
        <w:tc>
          <w:tcPr>
            <w:tcW w:w="1417" w:type="dxa"/>
            <w:vAlign w:val="bottom"/>
          </w:tcPr>
          <w:p w14:paraId="135F6A7B" w14:textId="77777777" w:rsidR="004771E0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19,83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E84BBFC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3,44</w:t>
            </w:r>
          </w:p>
        </w:tc>
      </w:tr>
      <w:tr w:rsidR="004771E0" w:rsidRPr="00393FA4" w14:paraId="753C115D" w14:textId="77777777" w:rsidTr="004771E0">
        <w:trPr>
          <w:trHeight w:val="300"/>
        </w:trPr>
        <w:tc>
          <w:tcPr>
            <w:tcW w:w="4551" w:type="dxa"/>
            <w:vMerge/>
            <w:shd w:val="clear" w:color="auto" w:fill="auto"/>
            <w:noWrap/>
            <w:vAlign w:val="bottom"/>
            <w:hideMark/>
          </w:tcPr>
          <w:p w14:paraId="2C3A3F4C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9B18E1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142,9</w:t>
            </w:r>
          </w:p>
        </w:tc>
        <w:tc>
          <w:tcPr>
            <w:tcW w:w="1417" w:type="dxa"/>
            <w:vAlign w:val="bottom"/>
          </w:tcPr>
          <w:p w14:paraId="46165A83" w14:textId="77777777" w:rsidR="004771E0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23,79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29B2735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6,00</w:t>
            </w:r>
          </w:p>
        </w:tc>
      </w:tr>
      <w:tr w:rsidR="004771E0" w:rsidRPr="00393FA4" w14:paraId="5FDC778C" w14:textId="77777777" w:rsidTr="004771E0">
        <w:trPr>
          <w:trHeight w:val="300"/>
        </w:trPr>
        <w:tc>
          <w:tcPr>
            <w:tcW w:w="4551" w:type="dxa"/>
            <w:vMerge w:val="restart"/>
            <w:shd w:val="clear" w:color="auto" w:fill="auto"/>
            <w:noWrap/>
            <w:vAlign w:val="bottom"/>
            <w:hideMark/>
          </w:tcPr>
          <w:p w14:paraId="1C731952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  <w:r w:rsidRPr="00393FA4">
              <w:rPr>
                <w:rFonts w:eastAsia="Times New Roman"/>
                <w:color w:val="000000"/>
                <w:lang w:eastAsia="en-US"/>
              </w:rPr>
              <w:t>Внутр</w:t>
            </w:r>
            <w:r>
              <w:rPr>
                <w:rFonts w:eastAsia="Times New Roman"/>
                <w:color w:val="000000"/>
                <w:lang w:eastAsia="en-US"/>
              </w:rPr>
              <w:t>енняя</w:t>
            </w:r>
            <w:r w:rsidRPr="00393FA4">
              <w:rPr>
                <w:rFonts w:eastAsia="Times New Roman"/>
                <w:color w:val="000000"/>
                <w:lang w:eastAsia="en-US"/>
              </w:rPr>
              <w:t xml:space="preserve"> Монголия</w:t>
            </w:r>
          </w:p>
          <w:p w14:paraId="069F0E13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  <w:r w:rsidRPr="00393FA4">
              <w:rPr>
                <w:rFonts w:eastAsia="Times New Roman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B939F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63,5</w:t>
            </w:r>
          </w:p>
        </w:tc>
        <w:tc>
          <w:tcPr>
            <w:tcW w:w="1417" w:type="dxa"/>
            <w:vAlign w:val="bottom"/>
          </w:tcPr>
          <w:p w14:paraId="4E8AEE63" w14:textId="77777777" w:rsidR="004771E0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21,81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2E82B93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2,91</w:t>
            </w:r>
          </w:p>
        </w:tc>
      </w:tr>
      <w:tr w:rsidR="004771E0" w:rsidRPr="00393FA4" w14:paraId="2479E542" w14:textId="77777777" w:rsidTr="004771E0">
        <w:trPr>
          <w:trHeight w:val="300"/>
        </w:trPr>
        <w:tc>
          <w:tcPr>
            <w:tcW w:w="4551" w:type="dxa"/>
            <w:vMerge/>
            <w:shd w:val="clear" w:color="auto" w:fill="auto"/>
            <w:noWrap/>
            <w:vAlign w:val="bottom"/>
            <w:hideMark/>
          </w:tcPr>
          <w:p w14:paraId="27E32B33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FD083C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73,0</w:t>
            </w:r>
          </w:p>
        </w:tc>
        <w:tc>
          <w:tcPr>
            <w:tcW w:w="1417" w:type="dxa"/>
            <w:vAlign w:val="bottom"/>
          </w:tcPr>
          <w:p w14:paraId="1631D54B" w14:textId="77777777" w:rsidR="004771E0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23,79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0D05C84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3,07</w:t>
            </w:r>
          </w:p>
        </w:tc>
      </w:tr>
      <w:tr w:rsidR="004771E0" w:rsidRPr="00393FA4" w14:paraId="2F5A698E" w14:textId="77777777" w:rsidTr="004771E0">
        <w:trPr>
          <w:trHeight w:val="300"/>
        </w:trPr>
        <w:tc>
          <w:tcPr>
            <w:tcW w:w="4551" w:type="dxa"/>
            <w:shd w:val="clear" w:color="auto" w:fill="auto"/>
            <w:noWrap/>
            <w:vAlign w:val="bottom"/>
            <w:hideMark/>
          </w:tcPr>
          <w:p w14:paraId="735CDC61" w14:textId="77777777" w:rsidR="004771E0" w:rsidRPr="00393FA4" w:rsidRDefault="004771E0" w:rsidP="004771E0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393FA4">
              <w:rPr>
                <w:rFonts w:eastAsia="Times New Roman"/>
                <w:color w:val="000000"/>
                <w:lang w:eastAsia="en-US"/>
              </w:rPr>
              <w:t>Шэньси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7F7969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85,7</w:t>
            </w:r>
          </w:p>
        </w:tc>
        <w:tc>
          <w:tcPr>
            <w:tcW w:w="1417" w:type="dxa"/>
            <w:vAlign w:val="bottom"/>
          </w:tcPr>
          <w:p w14:paraId="51619ADE" w14:textId="77777777" w:rsidR="004771E0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23,79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7F1BCE" w14:textId="77777777" w:rsidR="004771E0" w:rsidRPr="00393FA4" w:rsidRDefault="004771E0" w:rsidP="004771E0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3,60</w:t>
            </w:r>
          </w:p>
        </w:tc>
      </w:tr>
    </w:tbl>
    <w:p w14:paraId="3A903D82" w14:textId="77C07053" w:rsidR="004771E0" w:rsidRPr="008536CE" w:rsidRDefault="004771E0" w:rsidP="008536CE">
      <w:pPr>
        <w:spacing w:after="120" w:line="360" w:lineRule="auto"/>
        <w:rPr>
          <w:i/>
          <w:sz w:val="28"/>
          <w:szCs w:val="28"/>
          <w:lang w:eastAsia="zh-TW"/>
        </w:rPr>
      </w:pPr>
      <w:r w:rsidRPr="00BB24C6">
        <w:rPr>
          <w:i/>
          <w:sz w:val="28"/>
          <w:szCs w:val="28"/>
          <w:lang w:eastAsia="zh-TW"/>
        </w:rPr>
        <w:t>Источник:</w:t>
      </w:r>
      <w:r w:rsidR="00162996" w:rsidRPr="00BB24C6">
        <w:rPr>
          <w:i/>
          <w:sz w:val="28"/>
          <w:szCs w:val="28"/>
          <w:lang w:eastAsia="zh-TW"/>
        </w:rPr>
        <w:t xml:space="preserve"> Таможенная статистика КНР, </w:t>
      </w:r>
      <w:r w:rsidR="00BB24C6" w:rsidRPr="00BB24C6">
        <w:rPr>
          <w:i/>
          <w:sz w:val="28"/>
          <w:szCs w:val="28"/>
          <w:lang w:val="en-US" w:eastAsia="zh-TW"/>
        </w:rPr>
        <w:t xml:space="preserve">China coal resource, </w:t>
      </w:r>
      <w:r w:rsidR="00B409FF" w:rsidRPr="00BB24C6">
        <w:rPr>
          <w:i/>
          <w:sz w:val="28"/>
          <w:szCs w:val="28"/>
          <w:lang w:eastAsia="zh-TW"/>
        </w:rPr>
        <w:t>собственные</w:t>
      </w:r>
      <w:r w:rsidR="00B409FF">
        <w:rPr>
          <w:i/>
          <w:sz w:val="28"/>
          <w:szCs w:val="28"/>
          <w:lang w:eastAsia="zh-TW"/>
        </w:rPr>
        <w:t xml:space="preserve"> расчеты</w:t>
      </w:r>
    </w:p>
    <w:p w14:paraId="4A9484A9" w14:textId="056F403F" w:rsidR="00AD6835" w:rsidRDefault="004771E0" w:rsidP="00AD6835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Цены на уголь в Китае сильно отличаются в зависимости от провинции (самый дорогой уголь добывается в провинции </w:t>
      </w:r>
      <w:proofErr w:type="spellStart"/>
      <w:r>
        <w:rPr>
          <w:sz w:val="28"/>
          <w:szCs w:val="28"/>
        </w:rPr>
        <w:t>Шаньдун</w:t>
      </w:r>
      <w:proofErr w:type="spellEnd"/>
      <w:r>
        <w:rPr>
          <w:sz w:val="28"/>
          <w:szCs w:val="28"/>
        </w:rPr>
        <w:t>, а самый дешевый во Внутренней Монголии), но при этом вполне соответствуют международному рыночному уровню</w:t>
      </w:r>
      <w:r>
        <w:rPr>
          <w:rStyle w:val="FootnoteReference"/>
          <w:sz w:val="28"/>
          <w:szCs w:val="28"/>
          <w:lang w:val="en-US"/>
        </w:rPr>
        <w:footnoteReference w:id="40"/>
      </w:r>
      <w:r>
        <w:rPr>
          <w:sz w:val="28"/>
          <w:szCs w:val="28"/>
        </w:rPr>
        <w:t xml:space="preserve"> (см. Табл.7). С 2003 г. ц</w:t>
      </w:r>
      <w:r w:rsidR="00AD6835">
        <w:rPr>
          <w:sz w:val="28"/>
          <w:szCs w:val="28"/>
        </w:rPr>
        <w:t>ена на уголь выросла более, чем в 3 раза</w:t>
      </w:r>
      <w:r>
        <w:rPr>
          <w:sz w:val="28"/>
          <w:szCs w:val="28"/>
        </w:rPr>
        <w:t xml:space="preserve">. Значительные колебания цены на уголь в Китае можно объяснить спецификой его потребления – не электроэнергетическое </w:t>
      </w:r>
      <w:r>
        <w:rPr>
          <w:sz w:val="28"/>
          <w:szCs w:val="28"/>
        </w:rPr>
        <w:lastRenderedPageBreak/>
        <w:t>использование составляет около 50% и сильно влияет на рыночную цену.</w:t>
      </w:r>
      <w:r w:rsidR="0032485C">
        <w:rPr>
          <w:sz w:val="28"/>
          <w:szCs w:val="28"/>
        </w:rPr>
        <w:t xml:space="preserve"> В основном эта часть потребления представлена химической и цементной промышленностью</w:t>
      </w:r>
      <w:r w:rsidR="000C74B1">
        <w:rPr>
          <w:rStyle w:val="FootnoteReference"/>
          <w:sz w:val="28"/>
          <w:szCs w:val="28"/>
        </w:rPr>
        <w:footnoteReference w:id="41"/>
      </w:r>
      <w:r w:rsidR="0032485C">
        <w:rPr>
          <w:sz w:val="28"/>
          <w:szCs w:val="28"/>
        </w:rPr>
        <w:t>.</w:t>
      </w:r>
    </w:p>
    <w:p w14:paraId="3EB21878" w14:textId="77777777" w:rsidR="008536CE" w:rsidRPr="00354455" w:rsidRDefault="008536CE" w:rsidP="00AD6835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сравнения цен, еще одним важным пунктом с точки зрения выбора между углем и другим</w:t>
      </w:r>
      <w:r w:rsidR="00E409CD">
        <w:rPr>
          <w:sz w:val="28"/>
          <w:szCs w:val="28"/>
        </w:rPr>
        <w:t>и вида</w:t>
      </w:r>
      <w:r>
        <w:rPr>
          <w:sz w:val="28"/>
          <w:szCs w:val="28"/>
        </w:rPr>
        <w:t>м</w:t>
      </w:r>
      <w:r w:rsidR="00E409CD">
        <w:rPr>
          <w:sz w:val="28"/>
          <w:szCs w:val="28"/>
        </w:rPr>
        <w:t>и</w:t>
      </w:r>
      <w:r>
        <w:rPr>
          <w:sz w:val="28"/>
          <w:szCs w:val="28"/>
        </w:rPr>
        <w:t xml:space="preserve"> топлива является объем выбросов загрязняющих веществ</w:t>
      </w:r>
      <w:r w:rsidR="00E409CD">
        <w:rPr>
          <w:sz w:val="28"/>
          <w:szCs w:val="28"/>
        </w:rPr>
        <w:t xml:space="preserve"> при сжигании единицы вещества</w:t>
      </w:r>
      <w:r>
        <w:rPr>
          <w:sz w:val="28"/>
          <w:szCs w:val="28"/>
        </w:rPr>
        <w:t>. Чем меньше использование угля в кач</w:t>
      </w:r>
      <w:r w:rsidR="00E409CD">
        <w:rPr>
          <w:sz w:val="28"/>
          <w:szCs w:val="28"/>
        </w:rPr>
        <w:t>естве сырья для генерации электричества</w:t>
      </w:r>
      <w:r>
        <w:rPr>
          <w:sz w:val="28"/>
          <w:szCs w:val="28"/>
        </w:rPr>
        <w:t>, тем ниже уровень эмиссии СО</w:t>
      </w:r>
      <w:r w:rsidRPr="008536C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(см. Табл.8)</w:t>
      </w:r>
    </w:p>
    <w:p w14:paraId="51617B99" w14:textId="77777777" w:rsidR="00455ED3" w:rsidRPr="00455ED3" w:rsidRDefault="00455ED3" w:rsidP="00455ED3">
      <w:pPr>
        <w:spacing w:after="120" w:line="360" w:lineRule="auto"/>
        <w:rPr>
          <w:b/>
          <w:sz w:val="28"/>
          <w:szCs w:val="28"/>
          <w:lang w:eastAsia="zh-TW"/>
        </w:rPr>
      </w:pPr>
      <w:r w:rsidRPr="00455ED3">
        <w:rPr>
          <w:b/>
          <w:sz w:val="28"/>
          <w:szCs w:val="28"/>
          <w:lang w:eastAsia="zh-TW"/>
        </w:rPr>
        <w:t>Таблица</w:t>
      </w:r>
      <w:r w:rsidR="00877033">
        <w:rPr>
          <w:b/>
          <w:sz w:val="28"/>
          <w:szCs w:val="28"/>
          <w:lang w:eastAsia="zh-TW"/>
        </w:rPr>
        <w:t xml:space="preserve"> 8</w:t>
      </w:r>
      <w:r w:rsidRPr="00455ED3">
        <w:rPr>
          <w:b/>
          <w:sz w:val="28"/>
          <w:szCs w:val="28"/>
          <w:lang w:eastAsia="zh-TW"/>
        </w:rPr>
        <w:t>. Выбросы СО</w:t>
      </w:r>
      <w:r w:rsidRPr="00455ED3">
        <w:rPr>
          <w:b/>
          <w:sz w:val="28"/>
          <w:szCs w:val="28"/>
          <w:vertAlign w:val="subscript"/>
          <w:lang w:eastAsia="zh-TW"/>
        </w:rPr>
        <w:t>2</w:t>
      </w:r>
      <w:r w:rsidRPr="00455ED3">
        <w:rPr>
          <w:b/>
          <w:sz w:val="28"/>
          <w:szCs w:val="28"/>
          <w:lang w:eastAsia="zh-TW"/>
        </w:rPr>
        <w:t xml:space="preserve"> от </w:t>
      </w:r>
      <w:r w:rsidR="00E409CD">
        <w:rPr>
          <w:b/>
          <w:sz w:val="28"/>
          <w:szCs w:val="28"/>
          <w:lang w:eastAsia="zh-TW"/>
        </w:rPr>
        <w:t>генерации электричества</w:t>
      </w:r>
      <w:r w:rsidRPr="00455ED3">
        <w:rPr>
          <w:b/>
          <w:sz w:val="28"/>
          <w:szCs w:val="28"/>
          <w:lang w:eastAsia="zh-TW"/>
        </w:rPr>
        <w:t xml:space="preserve"> по провинциям и видам используемого топлива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2127"/>
        <w:gridCol w:w="1560"/>
      </w:tblGrid>
      <w:tr w:rsidR="00455ED3" w:rsidRPr="00455ED3" w14:paraId="59EEF4C6" w14:textId="77777777" w:rsidTr="00455ED3">
        <w:trPr>
          <w:trHeight w:val="600"/>
        </w:trPr>
        <w:tc>
          <w:tcPr>
            <w:tcW w:w="4111" w:type="dxa"/>
            <w:shd w:val="clear" w:color="auto" w:fill="auto"/>
            <w:vAlign w:val="bottom"/>
            <w:hideMark/>
          </w:tcPr>
          <w:p w14:paraId="23CF8BC7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Регион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C321A0C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Угольное топливо, %</w:t>
            </w:r>
          </w:p>
        </w:tc>
        <w:tc>
          <w:tcPr>
            <w:tcW w:w="2127" w:type="dxa"/>
            <w:vAlign w:val="bottom"/>
          </w:tcPr>
          <w:p w14:paraId="591E2682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Гидро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>- и атомная энергия, %</w:t>
            </w:r>
          </w:p>
        </w:tc>
        <w:tc>
          <w:tcPr>
            <w:tcW w:w="1560" w:type="dxa"/>
          </w:tcPr>
          <w:p w14:paraId="74B835A5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СО</w:t>
            </w:r>
            <w:r w:rsidRPr="00455ED3">
              <w:rPr>
                <w:rFonts w:eastAsia="Times New Roman"/>
                <w:color w:val="000000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color w:val="000000"/>
                <w:lang w:eastAsia="en-US"/>
              </w:rPr>
              <w:t>, тонн/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мв</w:t>
            </w:r>
            <w:r w:rsidR="00E409CD">
              <w:rPr>
                <w:rFonts w:eastAsia="Times New Roman"/>
                <w:color w:val="000000"/>
                <w:lang w:eastAsia="en-US"/>
              </w:rPr>
              <w:t>т</w:t>
            </w:r>
            <w:r>
              <w:rPr>
                <w:rFonts w:eastAsia="Times New Roman"/>
                <w:color w:val="000000"/>
                <w:lang w:eastAsia="en-US"/>
              </w:rPr>
              <w:t>ч</w:t>
            </w:r>
            <w:proofErr w:type="spellEnd"/>
          </w:p>
        </w:tc>
      </w:tr>
      <w:tr w:rsidR="00455ED3" w:rsidRPr="00455ED3" w14:paraId="3B7D19F3" w14:textId="77777777" w:rsidTr="00455ED3">
        <w:trPr>
          <w:trHeight w:val="600"/>
        </w:trPr>
        <w:tc>
          <w:tcPr>
            <w:tcW w:w="4111" w:type="dxa"/>
            <w:shd w:val="clear" w:color="auto" w:fill="auto"/>
            <w:vAlign w:val="bottom"/>
            <w:hideMark/>
          </w:tcPr>
          <w:p w14:paraId="3F313742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 xml:space="preserve">Пекин,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Тяньцзинь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 ,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Хэбэй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Ляонин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Шаньдун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Цзилинь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Хэйлунцзян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E21A4F5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99</w:t>
            </w:r>
          </w:p>
        </w:tc>
        <w:tc>
          <w:tcPr>
            <w:tcW w:w="2127" w:type="dxa"/>
            <w:vAlign w:val="bottom"/>
          </w:tcPr>
          <w:p w14:paraId="4BC23DDE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1560" w:type="dxa"/>
            <w:vAlign w:val="bottom"/>
          </w:tcPr>
          <w:p w14:paraId="75CC58F1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1,17414</w:t>
            </w:r>
          </w:p>
        </w:tc>
      </w:tr>
      <w:tr w:rsidR="00455ED3" w:rsidRPr="00455ED3" w14:paraId="73504ECF" w14:textId="77777777" w:rsidTr="00455ED3">
        <w:trPr>
          <w:trHeight w:val="300"/>
        </w:trPr>
        <w:tc>
          <w:tcPr>
            <w:tcW w:w="4111" w:type="dxa"/>
            <w:shd w:val="clear" w:color="auto" w:fill="auto"/>
            <w:vAlign w:val="bottom"/>
            <w:hideMark/>
          </w:tcPr>
          <w:p w14:paraId="4959579E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 xml:space="preserve">Шанхай,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Цзянсу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Чжэцзян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3832829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94</w:t>
            </w:r>
          </w:p>
        </w:tc>
        <w:tc>
          <w:tcPr>
            <w:tcW w:w="2127" w:type="dxa"/>
            <w:vAlign w:val="bottom"/>
          </w:tcPr>
          <w:p w14:paraId="59A8659D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6</w:t>
            </w:r>
          </w:p>
        </w:tc>
        <w:tc>
          <w:tcPr>
            <w:tcW w:w="1560" w:type="dxa"/>
            <w:vAlign w:val="bottom"/>
          </w:tcPr>
          <w:p w14:paraId="2C4F2522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1,11484</w:t>
            </w:r>
          </w:p>
        </w:tc>
      </w:tr>
      <w:tr w:rsidR="00455ED3" w:rsidRPr="00455ED3" w14:paraId="0C25B944" w14:textId="77777777" w:rsidTr="00455ED3">
        <w:trPr>
          <w:trHeight w:val="600"/>
        </w:trPr>
        <w:tc>
          <w:tcPr>
            <w:tcW w:w="4111" w:type="dxa"/>
            <w:shd w:val="clear" w:color="auto" w:fill="auto"/>
            <w:vAlign w:val="bottom"/>
            <w:hideMark/>
          </w:tcPr>
          <w:p w14:paraId="6AEC43A6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Шэньси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Ганьсу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Цинха</w:t>
            </w:r>
            <w:r w:rsidRPr="00455ED3">
              <w:rPr>
                <w:rFonts w:eastAsia="Times New Roman"/>
                <w:color w:val="000000"/>
                <w:lang w:eastAsia="en-US"/>
              </w:rPr>
              <w:t>й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Нинся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>, Синьцзян, Внутренняя Монголия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EC193D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80</w:t>
            </w:r>
          </w:p>
        </w:tc>
        <w:tc>
          <w:tcPr>
            <w:tcW w:w="2127" w:type="dxa"/>
            <w:vAlign w:val="bottom"/>
          </w:tcPr>
          <w:p w14:paraId="7090FC38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20</w:t>
            </w:r>
          </w:p>
        </w:tc>
        <w:tc>
          <w:tcPr>
            <w:tcW w:w="1560" w:type="dxa"/>
            <w:vAlign w:val="bottom"/>
          </w:tcPr>
          <w:p w14:paraId="0528DFFE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0,9488</w:t>
            </w:r>
          </w:p>
        </w:tc>
      </w:tr>
      <w:tr w:rsidR="00455ED3" w:rsidRPr="00455ED3" w14:paraId="48E2E998" w14:textId="77777777" w:rsidTr="00455ED3">
        <w:trPr>
          <w:trHeight w:val="300"/>
        </w:trPr>
        <w:tc>
          <w:tcPr>
            <w:tcW w:w="4111" w:type="dxa"/>
            <w:shd w:val="clear" w:color="auto" w:fill="auto"/>
            <w:vAlign w:val="bottom"/>
            <w:hideMark/>
          </w:tcPr>
          <w:p w14:paraId="1E411CB4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Фуцзянь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Гуандун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Хайнань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2F6E54E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77</w:t>
            </w:r>
          </w:p>
        </w:tc>
        <w:tc>
          <w:tcPr>
            <w:tcW w:w="2127" w:type="dxa"/>
            <w:vAlign w:val="bottom"/>
          </w:tcPr>
          <w:p w14:paraId="14C7B8DB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23</w:t>
            </w:r>
          </w:p>
        </w:tc>
        <w:tc>
          <w:tcPr>
            <w:tcW w:w="1560" w:type="dxa"/>
            <w:vAlign w:val="bottom"/>
          </w:tcPr>
          <w:p w14:paraId="4D0B6307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0,91322</w:t>
            </w:r>
          </w:p>
        </w:tc>
      </w:tr>
      <w:tr w:rsidR="00455ED3" w:rsidRPr="00455ED3" w14:paraId="65AF7A7B" w14:textId="77777777" w:rsidTr="00455ED3">
        <w:trPr>
          <w:trHeight w:val="600"/>
        </w:trPr>
        <w:tc>
          <w:tcPr>
            <w:tcW w:w="4111" w:type="dxa"/>
            <w:shd w:val="clear" w:color="auto" w:fill="auto"/>
            <w:vAlign w:val="bottom"/>
            <w:hideMark/>
          </w:tcPr>
          <w:p w14:paraId="44285531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Шаньси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Аньхой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Цзянси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Хэнань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Хубэй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Хунань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5A5924FF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70</w:t>
            </w:r>
          </w:p>
        </w:tc>
        <w:tc>
          <w:tcPr>
            <w:tcW w:w="2127" w:type="dxa"/>
            <w:vAlign w:val="bottom"/>
          </w:tcPr>
          <w:p w14:paraId="28ED2F91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30</w:t>
            </w:r>
          </w:p>
        </w:tc>
        <w:tc>
          <w:tcPr>
            <w:tcW w:w="1560" w:type="dxa"/>
            <w:vAlign w:val="bottom"/>
          </w:tcPr>
          <w:p w14:paraId="2E469ADA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0,8302</w:t>
            </w:r>
          </w:p>
        </w:tc>
      </w:tr>
      <w:tr w:rsidR="00455ED3" w:rsidRPr="00455ED3" w14:paraId="0FB5CA09" w14:textId="77777777" w:rsidTr="00455ED3">
        <w:trPr>
          <w:trHeight w:val="600"/>
        </w:trPr>
        <w:tc>
          <w:tcPr>
            <w:tcW w:w="4111" w:type="dxa"/>
            <w:shd w:val="clear" w:color="auto" w:fill="auto"/>
            <w:vAlign w:val="bottom"/>
            <w:hideMark/>
          </w:tcPr>
          <w:p w14:paraId="17FA9FFF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 xml:space="preserve">Сычуань,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Чунцин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Гуйчжоу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Юньнань</w:t>
            </w:r>
            <w:proofErr w:type="spellEnd"/>
            <w:r w:rsidRPr="00455ED3"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 w:rsidRPr="00455ED3">
              <w:rPr>
                <w:rFonts w:eastAsia="Times New Roman"/>
                <w:color w:val="000000"/>
                <w:lang w:eastAsia="en-US"/>
              </w:rPr>
              <w:t>Гуанси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4D8AEEA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55</w:t>
            </w:r>
          </w:p>
        </w:tc>
        <w:tc>
          <w:tcPr>
            <w:tcW w:w="2127" w:type="dxa"/>
            <w:vAlign w:val="bottom"/>
          </w:tcPr>
          <w:p w14:paraId="07BB001B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45</w:t>
            </w:r>
          </w:p>
        </w:tc>
        <w:tc>
          <w:tcPr>
            <w:tcW w:w="1560" w:type="dxa"/>
            <w:vAlign w:val="bottom"/>
          </w:tcPr>
          <w:p w14:paraId="2BFFCF05" w14:textId="77777777" w:rsidR="00455ED3" w:rsidRPr="00455ED3" w:rsidRDefault="00455ED3" w:rsidP="00455ED3">
            <w:pPr>
              <w:rPr>
                <w:rFonts w:eastAsia="Times New Roman"/>
                <w:color w:val="000000"/>
                <w:lang w:eastAsia="en-US"/>
              </w:rPr>
            </w:pPr>
            <w:r w:rsidRPr="00455ED3">
              <w:rPr>
                <w:rFonts w:eastAsia="Times New Roman"/>
                <w:color w:val="000000"/>
                <w:lang w:eastAsia="en-US"/>
              </w:rPr>
              <w:t>0,6523</w:t>
            </w:r>
          </w:p>
        </w:tc>
      </w:tr>
    </w:tbl>
    <w:p w14:paraId="4C147F3B" w14:textId="0032DB9F" w:rsidR="00D10EE4" w:rsidRPr="003F0512" w:rsidRDefault="00455ED3" w:rsidP="00455ED3">
      <w:pPr>
        <w:spacing w:after="120" w:line="360" w:lineRule="auto"/>
        <w:rPr>
          <w:i/>
          <w:sz w:val="28"/>
          <w:szCs w:val="28"/>
          <w:lang w:val="en-US" w:eastAsia="zh-TW"/>
        </w:rPr>
      </w:pPr>
      <w:r w:rsidRPr="00455ED3">
        <w:rPr>
          <w:i/>
          <w:sz w:val="28"/>
          <w:szCs w:val="28"/>
          <w:lang w:eastAsia="zh-TW"/>
        </w:rPr>
        <w:t>Источник</w:t>
      </w:r>
      <w:r w:rsidRPr="003F0512">
        <w:rPr>
          <w:i/>
          <w:sz w:val="28"/>
          <w:szCs w:val="28"/>
          <w:lang w:val="en-US" w:eastAsia="zh-TW"/>
        </w:rPr>
        <w:t xml:space="preserve">: </w:t>
      </w:r>
      <w:r>
        <w:rPr>
          <w:i/>
          <w:sz w:val="28"/>
          <w:szCs w:val="28"/>
          <w:lang w:val="en-US" w:eastAsia="zh-TW"/>
        </w:rPr>
        <w:t xml:space="preserve">H. </w:t>
      </w:r>
      <w:r w:rsidR="00A163A8">
        <w:rPr>
          <w:i/>
          <w:sz w:val="28"/>
          <w:szCs w:val="28"/>
          <w:lang w:val="en-US" w:eastAsia="zh-TW"/>
        </w:rPr>
        <w:t xml:space="preserve">Wang, T. Nakata, </w:t>
      </w:r>
      <w:r w:rsidRPr="003F0512">
        <w:rPr>
          <w:i/>
          <w:sz w:val="28"/>
          <w:szCs w:val="28"/>
          <w:lang w:val="en-US" w:eastAsia="zh-TW"/>
        </w:rPr>
        <w:t>Analysis of the market penetration of clean coal technologies and its impacts in China’s electricity secto</w:t>
      </w:r>
      <w:r>
        <w:rPr>
          <w:i/>
          <w:sz w:val="28"/>
          <w:szCs w:val="28"/>
          <w:lang w:val="en-US" w:eastAsia="zh-TW"/>
        </w:rPr>
        <w:t>r//</w:t>
      </w:r>
      <w:r w:rsidRPr="003F0512">
        <w:rPr>
          <w:i/>
          <w:sz w:val="28"/>
          <w:szCs w:val="28"/>
          <w:lang w:val="en-US" w:eastAsia="zh-TW"/>
        </w:rPr>
        <w:t xml:space="preserve"> Energy Policy </w:t>
      </w:r>
      <w:r w:rsidR="00A163A8" w:rsidRPr="003F0512">
        <w:rPr>
          <w:i/>
          <w:sz w:val="28"/>
          <w:szCs w:val="28"/>
          <w:lang w:val="en-US" w:eastAsia="zh-TW"/>
        </w:rPr>
        <w:t>№37 (</w:t>
      </w:r>
      <w:r w:rsidRPr="003F0512">
        <w:rPr>
          <w:i/>
          <w:sz w:val="28"/>
          <w:szCs w:val="28"/>
          <w:lang w:val="en-US" w:eastAsia="zh-TW"/>
        </w:rPr>
        <w:t>1), 2009</w:t>
      </w:r>
    </w:p>
    <w:p w14:paraId="4961CA9B" w14:textId="77777777" w:rsidR="001C7D9A" w:rsidRPr="001C7D9A" w:rsidRDefault="007C6805" w:rsidP="0032485C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Весь масштаб экологической пользы</w:t>
      </w:r>
      <w:r w:rsidR="0032485C">
        <w:rPr>
          <w:sz w:val="28"/>
          <w:szCs w:val="28"/>
          <w:lang w:eastAsia="zh-TW"/>
        </w:rPr>
        <w:t xml:space="preserve"> от переключения потребления </w:t>
      </w:r>
      <w:r>
        <w:rPr>
          <w:sz w:val="28"/>
          <w:szCs w:val="28"/>
          <w:lang w:eastAsia="zh-TW"/>
        </w:rPr>
        <w:t xml:space="preserve">энергии с </w:t>
      </w:r>
      <w:r w:rsidR="0032485C">
        <w:rPr>
          <w:sz w:val="28"/>
          <w:szCs w:val="28"/>
          <w:lang w:eastAsia="zh-TW"/>
        </w:rPr>
        <w:t xml:space="preserve">угля на другие источники трудно оценить в денежном выражении, особенно в краткосрочном периоде. </w:t>
      </w:r>
      <w:r w:rsidR="005904EE">
        <w:rPr>
          <w:sz w:val="28"/>
          <w:szCs w:val="28"/>
          <w:lang w:eastAsia="zh-TW"/>
        </w:rPr>
        <w:t xml:space="preserve"> Выгода может измеряться разными факторам</w:t>
      </w:r>
      <w:r w:rsidR="00E409CD">
        <w:rPr>
          <w:sz w:val="28"/>
          <w:szCs w:val="28"/>
          <w:lang w:eastAsia="zh-TW"/>
        </w:rPr>
        <w:t>и</w:t>
      </w:r>
      <w:r w:rsidR="005904EE">
        <w:rPr>
          <w:sz w:val="28"/>
          <w:szCs w:val="28"/>
          <w:lang w:eastAsia="zh-TW"/>
        </w:rPr>
        <w:t xml:space="preserve">, начиная от сокращения издержек на очистительные сооружения, заканчивая повышением уровня здоровья населения. </w:t>
      </w:r>
      <w:r>
        <w:rPr>
          <w:sz w:val="28"/>
          <w:szCs w:val="28"/>
          <w:lang w:eastAsia="zh-TW"/>
        </w:rPr>
        <w:t>Учитывая мировой опыт и последние тенденции экономики Китая, необходимо прежде всего сравнить рынок угля с рынком природного газа.</w:t>
      </w:r>
    </w:p>
    <w:p w14:paraId="47A683C9" w14:textId="77777777" w:rsidR="00FF5AD3" w:rsidRPr="00EA5FB6" w:rsidRDefault="006C659F" w:rsidP="008A6BA4">
      <w:pPr>
        <w:pStyle w:val="Heading2"/>
      </w:pPr>
      <w:bookmarkStart w:id="11" w:name="_Toc229737130"/>
      <w:r w:rsidRPr="00EA5FB6">
        <w:lastRenderedPageBreak/>
        <w:t>3.2. Конкуренция на китайском рынке газа</w:t>
      </w:r>
      <w:bookmarkEnd w:id="11"/>
    </w:p>
    <w:p w14:paraId="5A1A89F0" w14:textId="6A377F77" w:rsidR="00042FFF" w:rsidRDefault="00E27853" w:rsidP="00042FFF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</w:t>
      </w:r>
      <w:r w:rsidR="00042FFF">
        <w:rPr>
          <w:sz w:val="28"/>
          <w:szCs w:val="28"/>
        </w:rPr>
        <w:t xml:space="preserve"> газа Китаем увеличилось в 2 раза между 2007 и </w:t>
      </w:r>
      <w:r>
        <w:rPr>
          <w:sz w:val="28"/>
          <w:szCs w:val="28"/>
        </w:rPr>
        <w:t xml:space="preserve">2011 гг., импорт </w:t>
      </w:r>
      <w:r w:rsidR="00042FFF">
        <w:rPr>
          <w:sz w:val="28"/>
          <w:szCs w:val="28"/>
        </w:rPr>
        <w:t xml:space="preserve">за этот период </w:t>
      </w:r>
      <w:r>
        <w:rPr>
          <w:sz w:val="28"/>
          <w:szCs w:val="28"/>
        </w:rPr>
        <w:t xml:space="preserve">вырос еще значительнее  – с  </w:t>
      </w:r>
      <w:r w:rsidR="00042FFF">
        <w:rPr>
          <w:sz w:val="28"/>
          <w:szCs w:val="28"/>
        </w:rPr>
        <w:t>4 до 31 млрд. м3 (см. Рис.</w:t>
      </w:r>
      <w:r w:rsidR="00794968">
        <w:rPr>
          <w:sz w:val="28"/>
          <w:szCs w:val="28"/>
        </w:rPr>
        <w:t xml:space="preserve"> 9</w:t>
      </w:r>
      <w:r w:rsidR="00042FFF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957612">
        <w:rPr>
          <w:sz w:val="28"/>
          <w:szCs w:val="28"/>
        </w:rPr>
        <w:t>В 2012 году темпы роста потребления природного газа опередили темпы роста общего потребления энергии, электричества и других топливных источников: 10,2% против 3,9% общих, 5,5% электричества, 2,5% угля и 6% нефти</w:t>
      </w:r>
      <w:r w:rsidR="000C74B1">
        <w:rPr>
          <w:rStyle w:val="FootnoteReference"/>
          <w:sz w:val="28"/>
          <w:szCs w:val="28"/>
        </w:rPr>
        <w:footnoteReference w:id="42"/>
      </w:r>
      <w:r w:rsidR="00957612" w:rsidRPr="00957612">
        <w:rPr>
          <w:sz w:val="28"/>
          <w:szCs w:val="28"/>
        </w:rPr>
        <w:t xml:space="preserve">. </w:t>
      </w:r>
      <w:r w:rsidR="00042FFF">
        <w:rPr>
          <w:sz w:val="28"/>
          <w:szCs w:val="28"/>
        </w:rPr>
        <w:t>Согласно</w:t>
      </w:r>
      <w:r w:rsidR="00042FFF" w:rsidRPr="00BF5D57">
        <w:rPr>
          <w:sz w:val="28"/>
          <w:szCs w:val="28"/>
        </w:rPr>
        <w:t xml:space="preserve"> 12-му пятилетнему плану</w:t>
      </w:r>
      <w:r w:rsidR="00042FFF">
        <w:rPr>
          <w:sz w:val="28"/>
          <w:szCs w:val="28"/>
        </w:rPr>
        <w:t>, китайское правительство намеревается к 2015 г. удвоить объем потребления газа до 260 млрд. м</w:t>
      </w:r>
      <w:r w:rsidR="00042FFF" w:rsidRPr="00452B52">
        <w:rPr>
          <w:sz w:val="28"/>
          <w:szCs w:val="28"/>
          <w:vertAlign w:val="superscript"/>
        </w:rPr>
        <w:t>3</w:t>
      </w:r>
      <w:r w:rsidR="00042FFF">
        <w:rPr>
          <w:sz w:val="28"/>
          <w:szCs w:val="28"/>
          <w:vertAlign w:val="superscript"/>
        </w:rPr>
        <w:t xml:space="preserve"> </w:t>
      </w:r>
      <w:r w:rsidR="00042FFF">
        <w:rPr>
          <w:sz w:val="28"/>
          <w:szCs w:val="28"/>
        </w:rPr>
        <w:t xml:space="preserve">по сравнению с уровнем 2011 года и его долю в суммарном потреблении первичных источников энергии. Это политическое начало открывает широкие перспективы как для освоения </w:t>
      </w:r>
      <w:r w:rsidR="00333A15">
        <w:rPr>
          <w:sz w:val="28"/>
          <w:szCs w:val="28"/>
        </w:rPr>
        <w:t>китайских</w:t>
      </w:r>
      <w:r w:rsidR="00042FFF">
        <w:rPr>
          <w:sz w:val="28"/>
          <w:szCs w:val="28"/>
        </w:rPr>
        <w:t xml:space="preserve"> месторождения, так и для развития импортных источников</w:t>
      </w:r>
      <w:r w:rsidR="0007392D">
        <w:rPr>
          <w:sz w:val="28"/>
          <w:szCs w:val="28"/>
        </w:rPr>
        <w:t xml:space="preserve">, усиления </w:t>
      </w:r>
      <w:proofErr w:type="spellStart"/>
      <w:r w:rsidR="0007392D">
        <w:rPr>
          <w:sz w:val="28"/>
          <w:szCs w:val="28"/>
        </w:rPr>
        <w:t>межтопливной</w:t>
      </w:r>
      <w:proofErr w:type="spellEnd"/>
      <w:r w:rsidR="0007392D">
        <w:rPr>
          <w:sz w:val="28"/>
          <w:szCs w:val="28"/>
        </w:rPr>
        <w:t xml:space="preserve"> конкуренции между углем и газом в китайской энергетике</w:t>
      </w:r>
      <w:r w:rsidR="00042FFF">
        <w:rPr>
          <w:sz w:val="28"/>
          <w:szCs w:val="28"/>
        </w:rPr>
        <w:t>.</w:t>
      </w:r>
    </w:p>
    <w:p w14:paraId="472AA6CF" w14:textId="77777777" w:rsidR="00BA4345" w:rsidRPr="00BA4345" w:rsidRDefault="00B752CB" w:rsidP="00B752CB">
      <w:pPr>
        <w:spacing w:after="12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53CAA3EC" wp14:editId="348B86A2">
            <wp:extent cx="5825490" cy="3365923"/>
            <wp:effectExtent l="0" t="0" r="16510" b="127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A4E3F3F" w14:textId="77777777" w:rsidR="00B752CB" w:rsidRPr="006D1BF5" w:rsidRDefault="00B752CB" w:rsidP="00B752CB">
      <w:pPr>
        <w:spacing w:after="120" w:line="360" w:lineRule="auto"/>
        <w:rPr>
          <w:b/>
          <w:sz w:val="28"/>
          <w:szCs w:val="28"/>
          <w:lang w:eastAsia="zh-TW"/>
        </w:rPr>
      </w:pPr>
      <w:r w:rsidRPr="006D1BF5">
        <w:rPr>
          <w:b/>
          <w:sz w:val="28"/>
          <w:szCs w:val="28"/>
          <w:lang w:eastAsia="zh-TW"/>
        </w:rPr>
        <w:t xml:space="preserve">Рисунок </w:t>
      </w:r>
      <w:r w:rsidR="00794968">
        <w:rPr>
          <w:b/>
          <w:sz w:val="28"/>
          <w:szCs w:val="28"/>
          <w:lang w:eastAsia="zh-TW"/>
        </w:rPr>
        <w:t>9</w:t>
      </w:r>
      <w:r w:rsidRPr="006D1BF5">
        <w:rPr>
          <w:b/>
          <w:sz w:val="28"/>
          <w:szCs w:val="28"/>
          <w:lang w:eastAsia="zh-TW"/>
        </w:rPr>
        <w:t>. Потребление прир</w:t>
      </w:r>
      <w:r w:rsidR="00452B52">
        <w:rPr>
          <w:b/>
          <w:sz w:val="28"/>
          <w:szCs w:val="28"/>
          <w:lang w:eastAsia="zh-TW"/>
        </w:rPr>
        <w:t xml:space="preserve">одного газа в Китае 2007-2011, млрд. </w:t>
      </w:r>
      <w:r w:rsidRPr="006D1BF5">
        <w:rPr>
          <w:b/>
          <w:sz w:val="28"/>
          <w:szCs w:val="28"/>
          <w:lang w:eastAsia="zh-TW"/>
        </w:rPr>
        <w:t>м</w:t>
      </w:r>
      <w:r w:rsidRPr="006D1BF5">
        <w:rPr>
          <w:b/>
          <w:sz w:val="28"/>
          <w:szCs w:val="28"/>
          <w:vertAlign w:val="superscript"/>
          <w:lang w:eastAsia="zh-TW"/>
        </w:rPr>
        <w:t>3</w:t>
      </w:r>
      <w:r w:rsidRPr="006D1BF5">
        <w:rPr>
          <w:b/>
          <w:sz w:val="28"/>
          <w:szCs w:val="28"/>
          <w:lang w:eastAsia="zh-TW"/>
        </w:rPr>
        <w:t>, %</w:t>
      </w:r>
    </w:p>
    <w:p w14:paraId="36DD2AE1" w14:textId="04C0EDF2" w:rsidR="00352797" w:rsidRPr="003F0512" w:rsidRDefault="00B752CB" w:rsidP="00B752CB">
      <w:pPr>
        <w:spacing w:after="120" w:line="360" w:lineRule="auto"/>
        <w:rPr>
          <w:i/>
          <w:sz w:val="28"/>
          <w:szCs w:val="28"/>
          <w:lang w:eastAsia="zh-TW"/>
        </w:rPr>
      </w:pPr>
      <w:r w:rsidRPr="00794968">
        <w:rPr>
          <w:i/>
          <w:sz w:val="28"/>
          <w:szCs w:val="28"/>
          <w:lang w:eastAsia="zh-TW"/>
        </w:rPr>
        <w:t xml:space="preserve">Источник: </w:t>
      </w:r>
      <w:r w:rsidRPr="00794968">
        <w:rPr>
          <w:i/>
          <w:sz w:val="28"/>
          <w:szCs w:val="28"/>
          <w:lang w:val="en-US" w:eastAsia="zh-TW"/>
        </w:rPr>
        <w:t>ICIS</w:t>
      </w:r>
    </w:p>
    <w:p w14:paraId="5DC2CF28" w14:textId="3D9188C0" w:rsidR="00333A15" w:rsidRDefault="00042FFF" w:rsidP="008A6BA4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A4345">
        <w:rPr>
          <w:sz w:val="28"/>
          <w:szCs w:val="28"/>
        </w:rPr>
        <w:lastRenderedPageBreak/>
        <w:t xml:space="preserve">В 2011 году структура потребления газа выглядела следующим образом: </w:t>
      </w:r>
      <w:r>
        <w:rPr>
          <w:sz w:val="28"/>
          <w:szCs w:val="28"/>
        </w:rPr>
        <w:t>36% был</w:t>
      </w:r>
      <w:r w:rsidR="00333A15">
        <w:rPr>
          <w:sz w:val="28"/>
          <w:szCs w:val="28"/>
        </w:rPr>
        <w:t>о</w:t>
      </w:r>
      <w:r>
        <w:rPr>
          <w:sz w:val="28"/>
          <w:szCs w:val="28"/>
        </w:rPr>
        <w:t xml:space="preserve"> потреблен</w:t>
      </w:r>
      <w:r w:rsidR="00333A15">
        <w:rPr>
          <w:sz w:val="28"/>
          <w:szCs w:val="28"/>
        </w:rPr>
        <w:t>о</w:t>
      </w:r>
      <w:r>
        <w:rPr>
          <w:sz w:val="28"/>
          <w:szCs w:val="28"/>
        </w:rPr>
        <w:t xml:space="preserve"> домохозяйствами, 25% - про</w:t>
      </w:r>
      <w:r w:rsidR="00333A15">
        <w:rPr>
          <w:sz w:val="28"/>
          <w:szCs w:val="28"/>
        </w:rPr>
        <w:t>мышленным и коммерческим сектора</w:t>
      </w:r>
      <w:r>
        <w:rPr>
          <w:sz w:val="28"/>
          <w:szCs w:val="28"/>
        </w:rPr>
        <w:t>м</w:t>
      </w:r>
      <w:r w:rsidR="00333A15">
        <w:rPr>
          <w:sz w:val="28"/>
          <w:szCs w:val="28"/>
        </w:rPr>
        <w:t>и</w:t>
      </w:r>
      <w:r>
        <w:rPr>
          <w:sz w:val="28"/>
          <w:szCs w:val="28"/>
        </w:rPr>
        <w:t>, 23% - генераторными станциями, 16% было использовано в качестве сырья</w:t>
      </w:r>
      <w:r w:rsidR="008A6BA4">
        <w:rPr>
          <w:sz w:val="28"/>
          <w:szCs w:val="28"/>
        </w:rPr>
        <w:t xml:space="preserve"> для химической промышленности</w:t>
      </w:r>
      <w:r w:rsidR="000C74B1">
        <w:rPr>
          <w:rStyle w:val="FootnoteReference"/>
          <w:sz w:val="28"/>
          <w:szCs w:val="28"/>
        </w:rPr>
        <w:footnoteReference w:id="43"/>
      </w:r>
      <w:r w:rsidR="008A6BA4">
        <w:rPr>
          <w:sz w:val="28"/>
          <w:szCs w:val="28"/>
        </w:rPr>
        <w:t>.</w:t>
      </w:r>
      <w:r w:rsidR="00106F1E">
        <w:rPr>
          <w:sz w:val="28"/>
          <w:szCs w:val="28"/>
        </w:rPr>
        <w:t xml:space="preserve"> </w:t>
      </w:r>
    </w:p>
    <w:p w14:paraId="15920E12" w14:textId="67B75784" w:rsidR="004B221F" w:rsidRDefault="00C11171" w:rsidP="00333A15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Потребление газа на душу населения в Китае </w:t>
      </w:r>
      <w:r w:rsidR="00333A15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ниже, чем во многих странах, например, в 35 раз меньше, чем в России</w:t>
      </w:r>
      <w:r w:rsidR="00E409CD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E409CD">
        <w:rPr>
          <w:sz w:val="28"/>
          <w:szCs w:val="28"/>
        </w:rPr>
        <w:t xml:space="preserve">в </w:t>
      </w:r>
      <w:r>
        <w:rPr>
          <w:sz w:val="28"/>
          <w:szCs w:val="28"/>
        </w:rPr>
        <w:t>25, чем в США</w:t>
      </w:r>
      <w:r>
        <w:rPr>
          <w:rStyle w:val="FootnoteReference"/>
          <w:rFonts w:eastAsia="MS Gothic"/>
          <w:bCs/>
          <w:iCs/>
          <w:sz w:val="28"/>
          <w:szCs w:val="28"/>
          <w:lang w:eastAsia="zh-TW"/>
        </w:rPr>
        <w:footnoteReference w:id="44"/>
      </w:r>
      <w:r>
        <w:rPr>
          <w:sz w:val="28"/>
          <w:szCs w:val="28"/>
        </w:rPr>
        <w:t>.</w:t>
      </w:r>
      <w:r w:rsidR="00333A15">
        <w:rPr>
          <w:sz w:val="28"/>
          <w:szCs w:val="28"/>
        </w:rPr>
        <w:t xml:space="preserve"> </w:t>
      </w:r>
      <w:r w:rsidR="00A83836">
        <w:rPr>
          <w:sz w:val="28"/>
          <w:szCs w:val="28"/>
        </w:rPr>
        <w:t>Существует три системы газоснабжения потребителей</w:t>
      </w:r>
      <w:r w:rsidR="009A1297">
        <w:rPr>
          <w:sz w:val="28"/>
          <w:szCs w:val="28"/>
        </w:rPr>
        <w:t xml:space="preserve">: угольный газ (100 городов), сжиженные углеводородные газы (117 городов), </w:t>
      </w:r>
      <w:r w:rsidR="008A6BA4">
        <w:rPr>
          <w:sz w:val="28"/>
          <w:szCs w:val="28"/>
        </w:rPr>
        <w:t xml:space="preserve">но преобладает </w:t>
      </w:r>
      <w:r w:rsidR="009A1297">
        <w:rPr>
          <w:sz w:val="28"/>
          <w:szCs w:val="28"/>
        </w:rPr>
        <w:t>природный газ (439 городов)</w:t>
      </w:r>
      <w:r w:rsidR="000C74B1">
        <w:rPr>
          <w:rStyle w:val="FootnoteReference"/>
          <w:sz w:val="28"/>
          <w:szCs w:val="28"/>
        </w:rPr>
        <w:footnoteReference w:id="45"/>
      </w:r>
      <w:r w:rsidR="009A1297">
        <w:rPr>
          <w:sz w:val="28"/>
          <w:szCs w:val="28"/>
        </w:rPr>
        <w:t>.</w:t>
      </w:r>
      <w:r w:rsidR="008A6BA4">
        <w:rPr>
          <w:sz w:val="28"/>
          <w:szCs w:val="28"/>
        </w:rPr>
        <w:t xml:space="preserve"> Урбанизация и растущие доходы населения стимулируют </w:t>
      </w:r>
      <w:r w:rsidR="00333A15">
        <w:rPr>
          <w:sz w:val="28"/>
          <w:szCs w:val="28"/>
        </w:rPr>
        <w:t xml:space="preserve">его </w:t>
      </w:r>
      <w:r w:rsidR="008A6BA4">
        <w:rPr>
          <w:sz w:val="28"/>
          <w:szCs w:val="28"/>
        </w:rPr>
        <w:t>дальнейшее потребление.</w:t>
      </w:r>
    </w:p>
    <w:p w14:paraId="1F328888" w14:textId="77777777" w:rsidR="00333A15" w:rsidRDefault="009A1297" w:rsidP="00333A15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Растет потребление природного газа в качестве автомобильного топлива. Количество автомобилей на газо</w:t>
      </w:r>
      <w:r w:rsidR="00E409CD">
        <w:rPr>
          <w:sz w:val="28"/>
          <w:szCs w:val="28"/>
        </w:rPr>
        <w:t>вом топливе возросло с 10 тыс. в</w:t>
      </w:r>
      <w:r>
        <w:rPr>
          <w:sz w:val="28"/>
          <w:szCs w:val="28"/>
        </w:rPr>
        <w:t xml:space="preserve"> 2000 г. до 1 млн. в 2011 г. Развивается соответствующая инфраструктура: на конец 2010 г. газозаправочные станции имелись в 88 городах Китая, АГНКС</w:t>
      </w:r>
      <w:r>
        <w:rPr>
          <w:rStyle w:val="FootnoteReference"/>
          <w:sz w:val="28"/>
          <w:szCs w:val="28"/>
        </w:rPr>
        <w:footnoteReference w:id="46"/>
      </w:r>
      <w:r>
        <w:rPr>
          <w:sz w:val="28"/>
          <w:szCs w:val="28"/>
        </w:rPr>
        <w:t xml:space="preserve"> в 267.</w:t>
      </w:r>
    </w:p>
    <w:p w14:paraId="70AC8186" w14:textId="3F4543D8" w:rsidR="00E27853" w:rsidRDefault="00A86B26" w:rsidP="00A83836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на рынке</w:t>
      </w:r>
      <w:r w:rsidR="00A163A8">
        <w:rPr>
          <w:sz w:val="28"/>
          <w:szCs w:val="28"/>
        </w:rPr>
        <w:t xml:space="preserve"> угля</w:t>
      </w:r>
      <w:r>
        <w:rPr>
          <w:sz w:val="28"/>
          <w:szCs w:val="28"/>
        </w:rPr>
        <w:t xml:space="preserve"> цена в целом определяется рыночными механизмами спроса и предложения, то </w:t>
      </w:r>
      <w:r w:rsidR="00A163A8">
        <w:rPr>
          <w:sz w:val="28"/>
          <w:szCs w:val="28"/>
        </w:rPr>
        <w:t>с</w:t>
      </w:r>
      <w:r w:rsidR="00E27853">
        <w:rPr>
          <w:sz w:val="28"/>
          <w:szCs w:val="28"/>
        </w:rPr>
        <w:t>истема ценообразования газов</w:t>
      </w:r>
      <w:r w:rsidR="00E409CD">
        <w:rPr>
          <w:sz w:val="28"/>
          <w:szCs w:val="28"/>
        </w:rPr>
        <w:t xml:space="preserve">ого рынка </w:t>
      </w:r>
      <w:r>
        <w:rPr>
          <w:sz w:val="28"/>
          <w:szCs w:val="28"/>
        </w:rPr>
        <w:t xml:space="preserve">Китая довольно </w:t>
      </w:r>
      <w:r w:rsidR="00E409CD">
        <w:rPr>
          <w:sz w:val="28"/>
          <w:szCs w:val="28"/>
        </w:rPr>
        <w:t>сложна</w:t>
      </w:r>
      <w:r w:rsidR="00E27853">
        <w:rPr>
          <w:sz w:val="28"/>
          <w:szCs w:val="28"/>
        </w:rPr>
        <w:t xml:space="preserve"> и </w:t>
      </w:r>
      <w:r w:rsidR="00E409CD">
        <w:rPr>
          <w:sz w:val="28"/>
          <w:szCs w:val="28"/>
        </w:rPr>
        <w:t xml:space="preserve">сейчас </w:t>
      </w:r>
      <w:r w:rsidR="00E27853">
        <w:rPr>
          <w:sz w:val="28"/>
          <w:szCs w:val="28"/>
        </w:rPr>
        <w:t xml:space="preserve">находится в процессе реформирования. </w:t>
      </w:r>
      <w:r w:rsidR="00947C26">
        <w:rPr>
          <w:sz w:val="28"/>
          <w:szCs w:val="28"/>
        </w:rPr>
        <w:t xml:space="preserve">Существует </w:t>
      </w:r>
      <w:r w:rsidR="00830666">
        <w:rPr>
          <w:sz w:val="28"/>
          <w:szCs w:val="28"/>
        </w:rPr>
        <w:t>три компонента цен:</w:t>
      </w:r>
    </w:p>
    <w:p w14:paraId="24F1F3C2" w14:textId="77777777" w:rsidR="00947C26" w:rsidRDefault="00947C26" w:rsidP="00A83836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75875">
        <w:rPr>
          <w:i/>
          <w:sz w:val="28"/>
          <w:szCs w:val="28"/>
        </w:rPr>
        <w:t>Отпускная ц</w:t>
      </w:r>
      <w:r w:rsidR="00830666" w:rsidRPr="00830666">
        <w:rPr>
          <w:i/>
          <w:sz w:val="28"/>
          <w:szCs w:val="28"/>
        </w:rPr>
        <w:t xml:space="preserve">ена </w:t>
      </w:r>
      <w:r w:rsidR="00B75875">
        <w:rPr>
          <w:i/>
          <w:sz w:val="28"/>
          <w:szCs w:val="28"/>
        </w:rPr>
        <w:t>месторождения или завода</w:t>
      </w:r>
      <w:r w:rsidR="00830666" w:rsidRPr="00830666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Она контролируется центральным правительством и определяется</w:t>
      </w:r>
      <w:r w:rsidR="00830666">
        <w:rPr>
          <w:sz w:val="28"/>
          <w:szCs w:val="28"/>
        </w:rPr>
        <w:t xml:space="preserve"> с учетом издержек добычи и нормы прибыльности (12%).</w:t>
      </w:r>
      <w:r w:rsidR="00DE71FE">
        <w:rPr>
          <w:sz w:val="28"/>
          <w:szCs w:val="28"/>
        </w:rPr>
        <w:t xml:space="preserve"> По состоянию на март 2012 г., с</w:t>
      </w:r>
      <w:r w:rsidR="00333A15">
        <w:rPr>
          <w:sz w:val="28"/>
          <w:szCs w:val="28"/>
        </w:rPr>
        <w:t>редняя отпускная цена газа составила 6,1 долл./</w:t>
      </w:r>
      <w:proofErr w:type="spellStart"/>
      <w:r w:rsidR="00333A15">
        <w:rPr>
          <w:sz w:val="28"/>
          <w:szCs w:val="28"/>
        </w:rPr>
        <w:t>мбте</w:t>
      </w:r>
      <w:proofErr w:type="spellEnd"/>
      <w:r w:rsidR="00333A15">
        <w:rPr>
          <w:sz w:val="28"/>
          <w:szCs w:val="28"/>
        </w:rPr>
        <w:t xml:space="preserve"> для промышленного и 4,6 долл./</w:t>
      </w:r>
      <w:proofErr w:type="spellStart"/>
      <w:r w:rsidR="00333A15">
        <w:rPr>
          <w:sz w:val="28"/>
          <w:szCs w:val="28"/>
        </w:rPr>
        <w:t>мбте</w:t>
      </w:r>
      <w:proofErr w:type="spellEnd"/>
      <w:r w:rsidR="00333A15">
        <w:rPr>
          <w:sz w:val="28"/>
          <w:szCs w:val="28"/>
        </w:rPr>
        <w:t xml:space="preserve"> для непромышленного использования (см. Табл.</w:t>
      </w:r>
      <w:r w:rsidR="00DE71FE">
        <w:rPr>
          <w:sz w:val="28"/>
          <w:szCs w:val="28"/>
        </w:rPr>
        <w:t xml:space="preserve"> 9</w:t>
      </w:r>
      <w:r w:rsidR="00333A15">
        <w:rPr>
          <w:sz w:val="28"/>
          <w:szCs w:val="28"/>
        </w:rPr>
        <w:t>).</w:t>
      </w:r>
    </w:p>
    <w:p w14:paraId="117CFBEE" w14:textId="77777777" w:rsidR="00A86B26" w:rsidRDefault="00A86B2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121198A" w14:textId="654E8CD0" w:rsidR="00333A15" w:rsidRPr="00333A15" w:rsidRDefault="00333A15" w:rsidP="00333A15">
      <w:pPr>
        <w:spacing w:after="120" w:line="360" w:lineRule="auto"/>
        <w:jc w:val="both"/>
        <w:rPr>
          <w:b/>
          <w:sz w:val="28"/>
          <w:szCs w:val="28"/>
        </w:rPr>
      </w:pPr>
      <w:r w:rsidRPr="00333A15">
        <w:rPr>
          <w:b/>
          <w:sz w:val="28"/>
          <w:szCs w:val="28"/>
        </w:rPr>
        <w:lastRenderedPageBreak/>
        <w:t>Таблица</w:t>
      </w:r>
      <w:r w:rsidR="00877033">
        <w:rPr>
          <w:b/>
          <w:sz w:val="28"/>
          <w:szCs w:val="28"/>
        </w:rPr>
        <w:t xml:space="preserve"> 9</w:t>
      </w:r>
      <w:r w:rsidRPr="00333A15">
        <w:rPr>
          <w:b/>
          <w:sz w:val="28"/>
          <w:szCs w:val="28"/>
        </w:rPr>
        <w:t>. Отпускные цены на газ отдельных месторождений Китая, долл./</w:t>
      </w:r>
      <w:proofErr w:type="spellStart"/>
      <w:r w:rsidRPr="00333A15">
        <w:rPr>
          <w:b/>
          <w:sz w:val="28"/>
          <w:szCs w:val="28"/>
        </w:rPr>
        <w:t>мбте</w:t>
      </w:r>
      <w:proofErr w:type="spellEnd"/>
      <w:r w:rsidRPr="00333A15">
        <w:rPr>
          <w:b/>
          <w:sz w:val="28"/>
          <w:szCs w:val="28"/>
        </w:rPr>
        <w:t xml:space="preserve">, март 2012 г. </w:t>
      </w:r>
    </w:p>
    <w:tbl>
      <w:tblPr>
        <w:tblW w:w="9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2633"/>
        <w:gridCol w:w="4140"/>
      </w:tblGrid>
      <w:tr w:rsidR="00333A15" w:rsidRPr="00333A15" w14:paraId="772037AC" w14:textId="77777777" w:rsidTr="00333A15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A897" w14:textId="77777777" w:rsidR="00333A15" w:rsidRPr="00333A15" w:rsidRDefault="00333A15" w:rsidP="00333A15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A3B" w14:textId="77777777" w:rsidR="00333A15" w:rsidRPr="00333A15" w:rsidRDefault="00333A15" w:rsidP="00333A15">
            <w:pPr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Цена промышленности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7E2D" w14:textId="77777777" w:rsidR="00333A15" w:rsidRPr="00333A15" w:rsidRDefault="00333A15" w:rsidP="00333A15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Цена не</w:t>
            </w:r>
            <w:r w:rsidRPr="00333A15">
              <w:rPr>
                <w:rFonts w:eastAsia="Times New Roman"/>
                <w:color w:val="000000"/>
                <w:lang w:eastAsia="en-US"/>
              </w:rPr>
              <w:t>промышленных потребителей</w:t>
            </w:r>
          </w:p>
        </w:tc>
      </w:tr>
      <w:tr w:rsidR="00333A15" w:rsidRPr="00333A15" w14:paraId="76B61838" w14:textId="77777777" w:rsidTr="00333A1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AB96" w14:textId="77777777" w:rsidR="00333A15" w:rsidRPr="00333A15" w:rsidRDefault="00333A15" w:rsidP="00333A15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333A15">
              <w:rPr>
                <w:rFonts w:eastAsia="Times New Roman"/>
                <w:color w:val="000000"/>
                <w:lang w:eastAsia="en-US"/>
              </w:rPr>
              <w:t>Чуанью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54C4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6,9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A51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5,1</w:t>
            </w:r>
          </w:p>
        </w:tc>
      </w:tr>
      <w:tr w:rsidR="00333A15" w:rsidRPr="00333A15" w14:paraId="4D091C87" w14:textId="77777777" w:rsidTr="00333A1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1188" w14:textId="77777777" w:rsidR="00333A15" w:rsidRPr="00333A15" w:rsidRDefault="00333A15" w:rsidP="00333A15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333A15">
              <w:rPr>
                <w:rFonts w:eastAsia="Times New Roman"/>
                <w:color w:val="000000"/>
                <w:lang w:eastAsia="en-US"/>
              </w:rPr>
              <w:t>Цинхай</w:t>
            </w:r>
            <w:proofErr w:type="spellEnd"/>
            <w:r w:rsidRPr="00333A15">
              <w:rPr>
                <w:rFonts w:eastAsia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6B8B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5,7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84DF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3,9</w:t>
            </w:r>
          </w:p>
        </w:tc>
      </w:tr>
      <w:tr w:rsidR="00333A15" w:rsidRPr="00333A15" w14:paraId="69804D23" w14:textId="77777777" w:rsidTr="00333A1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45C0" w14:textId="77777777" w:rsidR="00333A15" w:rsidRPr="00333A15" w:rsidRDefault="00333A15" w:rsidP="00333A15">
            <w:pPr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Синьцзян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C75D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3B4A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3,5</w:t>
            </w:r>
          </w:p>
        </w:tc>
      </w:tr>
      <w:tr w:rsidR="00333A15" w:rsidRPr="00333A15" w14:paraId="28782018" w14:textId="77777777" w:rsidTr="00333A1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2DF3" w14:textId="77777777" w:rsidR="00333A15" w:rsidRPr="00333A15" w:rsidRDefault="00333A15" w:rsidP="00333A15">
            <w:pPr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Запад-Восток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B53F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F001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3,5</w:t>
            </w:r>
          </w:p>
        </w:tc>
      </w:tr>
      <w:tr w:rsidR="00333A15" w:rsidRPr="00333A15" w14:paraId="7543B4D0" w14:textId="77777777" w:rsidTr="00333A1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085F" w14:textId="77777777" w:rsidR="00333A15" w:rsidRPr="00333A15" w:rsidRDefault="00333A15" w:rsidP="00333A15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 w:rsidRPr="00333A15">
              <w:rPr>
                <w:rFonts w:eastAsia="Times New Roman"/>
                <w:color w:val="000000"/>
                <w:lang w:eastAsia="en-US"/>
              </w:rPr>
              <w:t>Шэньси</w:t>
            </w:r>
            <w:proofErr w:type="spellEnd"/>
            <w:r w:rsidRPr="00333A15">
              <w:rPr>
                <w:rFonts w:eastAsia="Times New Roman"/>
                <w:color w:val="000000"/>
                <w:lang w:eastAsia="en-US"/>
              </w:rPr>
              <w:t>-Пекин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B36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6,5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7105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4,7</w:t>
            </w:r>
          </w:p>
        </w:tc>
      </w:tr>
      <w:tr w:rsidR="00333A15" w:rsidRPr="00333A15" w14:paraId="50A2607C" w14:textId="77777777" w:rsidTr="00333A1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9443" w14:textId="77777777" w:rsidR="00333A15" w:rsidRPr="00333A15" w:rsidRDefault="00333A15" w:rsidP="00333A15">
            <w:pPr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Сычуань-Шанхай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C30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6,7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314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6,7</w:t>
            </w:r>
          </w:p>
        </w:tc>
      </w:tr>
      <w:tr w:rsidR="00333A15" w:rsidRPr="00333A15" w14:paraId="0246CA6A" w14:textId="77777777" w:rsidTr="00333A15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40F" w14:textId="77777777" w:rsidR="00333A15" w:rsidRPr="00333A15" w:rsidRDefault="00333A15" w:rsidP="00333A15">
            <w:pPr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В среднем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336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6,1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9E90" w14:textId="77777777" w:rsidR="00333A15" w:rsidRPr="00333A15" w:rsidRDefault="00333A15" w:rsidP="00333A15">
            <w:pPr>
              <w:jc w:val="right"/>
              <w:rPr>
                <w:rFonts w:eastAsia="Times New Roman"/>
                <w:color w:val="000000"/>
                <w:lang w:eastAsia="en-US"/>
              </w:rPr>
            </w:pPr>
            <w:r w:rsidRPr="00333A15">
              <w:rPr>
                <w:rFonts w:eastAsia="Times New Roman"/>
                <w:color w:val="000000"/>
                <w:lang w:eastAsia="en-US"/>
              </w:rPr>
              <w:t>4,6</w:t>
            </w:r>
          </w:p>
        </w:tc>
      </w:tr>
    </w:tbl>
    <w:p w14:paraId="70CFFEA6" w14:textId="77777777" w:rsidR="00333A15" w:rsidRPr="009810F8" w:rsidRDefault="00333A15" w:rsidP="009810F8">
      <w:pPr>
        <w:spacing w:after="120" w:line="360" w:lineRule="auto"/>
        <w:jc w:val="both"/>
        <w:rPr>
          <w:i/>
          <w:sz w:val="28"/>
          <w:szCs w:val="28"/>
        </w:rPr>
      </w:pPr>
      <w:r w:rsidRPr="00333A15">
        <w:rPr>
          <w:i/>
          <w:sz w:val="28"/>
          <w:szCs w:val="28"/>
        </w:rPr>
        <w:t>Источник</w:t>
      </w:r>
      <w:r>
        <w:rPr>
          <w:i/>
          <w:sz w:val="28"/>
          <w:szCs w:val="28"/>
        </w:rPr>
        <w:t xml:space="preserve">: </w:t>
      </w:r>
      <w:r w:rsidRPr="00333A15">
        <w:rPr>
          <w:i/>
          <w:sz w:val="28"/>
          <w:szCs w:val="28"/>
        </w:rPr>
        <w:t xml:space="preserve">ICIS, C1 </w:t>
      </w:r>
      <w:proofErr w:type="spellStart"/>
      <w:r w:rsidRPr="00333A15">
        <w:rPr>
          <w:i/>
          <w:sz w:val="28"/>
          <w:szCs w:val="28"/>
        </w:rPr>
        <w:t>Energy</w:t>
      </w:r>
      <w:proofErr w:type="spellEnd"/>
    </w:p>
    <w:p w14:paraId="766924B5" w14:textId="77777777" w:rsidR="00830666" w:rsidRDefault="00830666" w:rsidP="00A83836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47C26" w:rsidRPr="00830666">
        <w:rPr>
          <w:i/>
          <w:sz w:val="28"/>
          <w:szCs w:val="28"/>
        </w:rPr>
        <w:t>Транспортировочный тариф.</w:t>
      </w:r>
      <w:r w:rsidR="00947C26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947C26">
        <w:rPr>
          <w:sz w:val="28"/>
          <w:szCs w:val="28"/>
        </w:rPr>
        <w:t xml:space="preserve"> также регулируется центральным правительством и</w:t>
      </w:r>
      <w:r>
        <w:rPr>
          <w:sz w:val="28"/>
          <w:szCs w:val="28"/>
        </w:rPr>
        <w:t xml:space="preserve"> определяется исходя из затрат на строительство и поддержание трубопроводов и нормы прибыльности (12%). </w:t>
      </w:r>
    </w:p>
    <w:p w14:paraId="3AB23502" w14:textId="46F23782" w:rsidR="00947C26" w:rsidRPr="009818C5" w:rsidRDefault="00830666" w:rsidP="00A83836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цены с </w:t>
      </w:r>
      <w:r w:rsidR="00B75875">
        <w:rPr>
          <w:sz w:val="28"/>
          <w:szCs w:val="28"/>
        </w:rPr>
        <w:t>месторождения/</w:t>
      </w:r>
      <w:r>
        <w:rPr>
          <w:sz w:val="28"/>
          <w:szCs w:val="28"/>
        </w:rPr>
        <w:t xml:space="preserve">завода и транспортировочного тарифа </w:t>
      </w:r>
      <w:r w:rsidR="009818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818C5">
        <w:rPr>
          <w:sz w:val="28"/>
          <w:szCs w:val="28"/>
          <w:lang w:val="en-US"/>
        </w:rPr>
        <w:t>city</w:t>
      </w:r>
      <w:r w:rsidR="009818C5" w:rsidRPr="003F0512">
        <w:rPr>
          <w:sz w:val="28"/>
          <w:szCs w:val="28"/>
        </w:rPr>
        <w:t xml:space="preserve"> </w:t>
      </w:r>
      <w:r w:rsidR="009818C5">
        <w:rPr>
          <w:sz w:val="28"/>
          <w:szCs w:val="28"/>
          <w:lang w:val="en-US"/>
        </w:rPr>
        <w:t>gate</w:t>
      </w:r>
      <w:r w:rsidR="009818C5" w:rsidRPr="003F0512">
        <w:rPr>
          <w:sz w:val="28"/>
          <w:szCs w:val="28"/>
        </w:rPr>
        <w:t xml:space="preserve"> </w:t>
      </w:r>
      <w:r w:rsidR="009818C5">
        <w:rPr>
          <w:sz w:val="28"/>
          <w:szCs w:val="28"/>
          <w:lang w:val="en-US"/>
        </w:rPr>
        <w:t>price</w:t>
      </w:r>
      <w:r w:rsidR="009818C5" w:rsidRPr="003F0512">
        <w:rPr>
          <w:sz w:val="28"/>
          <w:szCs w:val="28"/>
        </w:rPr>
        <w:t xml:space="preserve"> – </w:t>
      </w:r>
      <w:r w:rsidR="009818C5">
        <w:rPr>
          <w:sz w:val="28"/>
          <w:szCs w:val="28"/>
        </w:rPr>
        <w:t xml:space="preserve">представляет собой фиксированную цену, компоненты которой могут быть пересмотрены, </w:t>
      </w:r>
      <w:r w:rsidR="00333A15">
        <w:rPr>
          <w:sz w:val="28"/>
          <w:szCs w:val="28"/>
        </w:rPr>
        <w:t xml:space="preserve">но </w:t>
      </w:r>
      <w:r w:rsidR="009818C5">
        <w:rPr>
          <w:sz w:val="28"/>
          <w:szCs w:val="28"/>
        </w:rPr>
        <w:t>как правило, это происходит нечасто</w:t>
      </w:r>
      <w:r w:rsidR="0012537E">
        <w:rPr>
          <w:rStyle w:val="FootnoteReference"/>
          <w:sz w:val="28"/>
          <w:szCs w:val="28"/>
        </w:rPr>
        <w:footnoteReference w:id="47"/>
      </w:r>
      <w:r w:rsidR="009818C5">
        <w:rPr>
          <w:sz w:val="28"/>
          <w:szCs w:val="28"/>
        </w:rPr>
        <w:t>.</w:t>
      </w:r>
    </w:p>
    <w:p w14:paraId="61A84DF0" w14:textId="77777777" w:rsidR="00947C26" w:rsidRDefault="00830666" w:rsidP="00A83836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30666">
        <w:rPr>
          <w:i/>
          <w:sz w:val="28"/>
          <w:szCs w:val="28"/>
        </w:rPr>
        <w:t>К</w:t>
      </w:r>
      <w:r w:rsidR="00947C26" w:rsidRPr="00830666">
        <w:rPr>
          <w:i/>
          <w:sz w:val="28"/>
          <w:szCs w:val="28"/>
        </w:rPr>
        <w:t>онечная цена</w:t>
      </w:r>
      <w:r w:rsidRPr="00830666">
        <w:rPr>
          <w:i/>
          <w:sz w:val="28"/>
          <w:szCs w:val="28"/>
        </w:rPr>
        <w:t xml:space="preserve"> потребителей.</w:t>
      </w:r>
      <w:r>
        <w:rPr>
          <w:sz w:val="28"/>
          <w:szCs w:val="28"/>
        </w:rPr>
        <w:t xml:space="preserve"> В отличие от двух предыдущих, она контролируется региональными властями и учитывает </w:t>
      </w:r>
      <w:r w:rsidR="009818C5">
        <w:rPr>
          <w:sz w:val="28"/>
          <w:szCs w:val="28"/>
        </w:rPr>
        <w:t xml:space="preserve">издержки распределения, цену импортного газа и альтернативных источников топлива, а также другие факторы. Таким образом, конечная цена газа отличается от региона к региону, например, цена газа для промышленности в Пекине в 2 раза меньше, чем в </w:t>
      </w:r>
      <w:proofErr w:type="spellStart"/>
      <w:r w:rsidR="009818C5">
        <w:rPr>
          <w:sz w:val="28"/>
          <w:szCs w:val="28"/>
        </w:rPr>
        <w:t>Наньцзине</w:t>
      </w:r>
      <w:proofErr w:type="spellEnd"/>
      <w:r w:rsidR="009818C5">
        <w:rPr>
          <w:sz w:val="28"/>
          <w:szCs w:val="28"/>
        </w:rPr>
        <w:t xml:space="preserve"> (см. Табл.</w:t>
      </w:r>
      <w:r w:rsidR="00DE71FE">
        <w:rPr>
          <w:sz w:val="28"/>
          <w:szCs w:val="28"/>
        </w:rPr>
        <w:t xml:space="preserve"> 10</w:t>
      </w:r>
      <w:r w:rsidR="009818C5">
        <w:rPr>
          <w:sz w:val="28"/>
          <w:szCs w:val="28"/>
        </w:rPr>
        <w:t>).</w:t>
      </w:r>
    </w:p>
    <w:p w14:paraId="6F81FF09" w14:textId="77777777" w:rsidR="00A86B26" w:rsidRDefault="00A86B2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0C2E395" w14:textId="02D99050" w:rsidR="009818C5" w:rsidRPr="00393143" w:rsidRDefault="009818C5" w:rsidP="009818C5">
      <w:pPr>
        <w:widowControl w:val="0"/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 w:rsidRPr="00393143">
        <w:rPr>
          <w:b/>
          <w:sz w:val="28"/>
          <w:szCs w:val="28"/>
        </w:rPr>
        <w:lastRenderedPageBreak/>
        <w:t>Таблица</w:t>
      </w:r>
      <w:r w:rsidR="00877033">
        <w:rPr>
          <w:b/>
          <w:sz w:val="28"/>
          <w:szCs w:val="28"/>
        </w:rPr>
        <w:t xml:space="preserve"> 10</w:t>
      </w:r>
      <w:r w:rsidRPr="003931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Конечные цены газа отдельных городов Китая, </w:t>
      </w:r>
      <w:r w:rsidRPr="00393143">
        <w:rPr>
          <w:b/>
          <w:sz w:val="28"/>
          <w:szCs w:val="28"/>
        </w:rPr>
        <w:t>долл./</w:t>
      </w:r>
      <w:proofErr w:type="spellStart"/>
      <w:r w:rsidRPr="00393143">
        <w:rPr>
          <w:b/>
          <w:sz w:val="28"/>
          <w:szCs w:val="28"/>
        </w:rPr>
        <w:t>мбте</w:t>
      </w:r>
      <w:proofErr w:type="spellEnd"/>
      <w:r>
        <w:rPr>
          <w:b/>
          <w:sz w:val="28"/>
          <w:szCs w:val="28"/>
        </w:rPr>
        <w:t>, 2011 г.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81"/>
        <w:gridCol w:w="2148"/>
        <w:gridCol w:w="2480"/>
        <w:gridCol w:w="2240"/>
      </w:tblGrid>
      <w:tr w:rsidR="009818C5" w:rsidRPr="00E02065" w14:paraId="76074094" w14:textId="77777777" w:rsidTr="009818C5">
        <w:trPr>
          <w:trHeight w:hRule="exact" w:val="340"/>
        </w:trPr>
        <w:tc>
          <w:tcPr>
            <w:tcW w:w="2481" w:type="dxa"/>
          </w:tcPr>
          <w:p w14:paraId="1FA1741E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48" w:type="dxa"/>
          </w:tcPr>
          <w:p w14:paraId="0FF06417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2065">
              <w:rPr>
                <w:lang w:eastAsia="en-US"/>
              </w:rPr>
              <w:t>Домохозяйства</w:t>
            </w:r>
          </w:p>
        </w:tc>
        <w:tc>
          <w:tcPr>
            <w:tcW w:w="2480" w:type="dxa"/>
          </w:tcPr>
          <w:p w14:paraId="143C7AE2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2065">
              <w:rPr>
                <w:lang w:eastAsia="en-US"/>
              </w:rPr>
              <w:t>Промышленность</w:t>
            </w:r>
          </w:p>
        </w:tc>
        <w:tc>
          <w:tcPr>
            <w:tcW w:w="2240" w:type="dxa"/>
          </w:tcPr>
          <w:p w14:paraId="6F42F03D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eastAsia="en-US"/>
              </w:rPr>
              <w:t>Транспорт</w:t>
            </w:r>
          </w:p>
        </w:tc>
      </w:tr>
      <w:tr w:rsidR="009818C5" w:rsidRPr="00E02065" w14:paraId="58CD431D" w14:textId="77777777" w:rsidTr="009818C5">
        <w:trPr>
          <w:trHeight w:hRule="exact" w:val="340"/>
        </w:trPr>
        <w:tc>
          <w:tcPr>
            <w:tcW w:w="2481" w:type="dxa"/>
          </w:tcPr>
          <w:p w14:paraId="0F4567AD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2065">
              <w:rPr>
                <w:lang w:eastAsia="en-US"/>
              </w:rPr>
              <w:t>Пекин</w:t>
            </w:r>
          </w:p>
        </w:tc>
        <w:tc>
          <w:tcPr>
            <w:tcW w:w="2148" w:type="dxa"/>
          </w:tcPr>
          <w:p w14:paraId="74A71FB3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E02065">
              <w:rPr>
                <w:lang w:val="en-US" w:eastAsia="en-US"/>
              </w:rPr>
              <w:t>9,01</w:t>
            </w:r>
          </w:p>
        </w:tc>
        <w:tc>
          <w:tcPr>
            <w:tcW w:w="2480" w:type="dxa"/>
          </w:tcPr>
          <w:p w14:paraId="4A781DA6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12,48</w:t>
            </w:r>
          </w:p>
        </w:tc>
        <w:tc>
          <w:tcPr>
            <w:tcW w:w="2240" w:type="dxa"/>
          </w:tcPr>
          <w:p w14:paraId="7D163A73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20,79</w:t>
            </w:r>
          </w:p>
        </w:tc>
      </w:tr>
      <w:tr w:rsidR="009818C5" w:rsidRPr="00E02065" w14:paraId="1FA143AF" w14:textId="77777777" w:rsidTr="009818C5">
        <w:trPr>
          <w:trHeight w:hRule="exact" w:val="340"/>
        </w:trPr>
        <w:tc>
          <w:tcPr>
            <w:tcW w:w="2481" w:type="dxa"/>
          </w:tcPr>
          <w:p w14:paraId="55949AC2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2065">
              <w:rPr>
                <w:lang w:eastAsia="en-US"/>
              </w:rPr>
              <w:t>Тяньцзинь</w:t>
            </w:r>
            <w:proofErr w:type="spellEnd"/>
          </w:p>
        </w:tc>
        <w:tc>
          <w:tcPr>
            <w:tcW w:w="2148" w:type="dxa"/>
          </w:tcPr>
          <w:p w14:paraId="4101DB8B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9,67</w:t>
            </w:r>
          </w:p>
        </w:tc>
        <w:tc>
          <w:tcPr>
            <w:tcW w:w="2480" w:type="dxa"/>
          </w:tcPr>
          <w:p w14:paraId="7F503FE1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13,85</w:t>
            </w:r>
          </w:p>
        </w:tc>
        <w:tc>
          <w:tcPr>
            <w:tcW w:w="2240" w:type="dxa"/>
          </w:tcPr>
          <w:p w14:paraId="44AF9984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17,36</w:t>
            </w:r>
          </w:p>
        </w:tc>
      </w:tr>
      <w:tr w:rsidR="009818C5" w:rsidRPr="00E02065" w14:paraId="7787B6D8" w14:textId="77777777" w:rsidTr="009818C5">
        <w:trPr>
          <w:trHeight w:hRule="exact" w:val="340"/>
        </w:trPr>
        <w:tc>
          <w:tcPr>
            <w:tcW w:w="2481" w:type="dxa"/>
          </w:tcPr>
          <w:p w14:paraId="08AE452D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02065">
              <w:rPr>
                <w:lang w:eastAsia="en-US"/>
              </w:rPr>
              <w:t>Шанхай</w:t>
            </w:r>
          </w:p>
        </w:tc>
        <w:tc>
          <w:tcPr>
            <w:tcW w:w="2148" w:type="dxa"/>
          </w:tcPr>
          <w:p w14:paraId="20A09675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10,99</w:t>
            </w:r>
          </w:p>
        </w:tc>
        <w:tc>
          <w:tcPr>
            <w:tcW w:w="2480" w:type="dxa"/>
          </w:tcPr>
          <w:p w14:paraId="4BB8C871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17,10</w:t>
            </w:r>
          </w:p>
        </w:tc>
        <w:tc>
          <w:tcPr>
            <w:tcW w:w="2240" w:type="dxa"/>
          </w:tcPr>
          <w:p w14:paraId="0AEE6AE6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20,66</w:t>
            </w:r>
          </w:p>
        </w:tc>
      </w:tr>
      <w:tr w:rsidR="009818C5" w:rsidRPr="00E02065" w14:paraId="5C19925B" w14:textId="77777777" w:rsidTr="009818C5">
        <w:trPr>
          <w:trHeight w:hRule="exact" w:val="340"/>
        </w:trPr>
        <w:tc>
          <w:tcPr>
            <w:tcW w:w="2481" w:type="dxa"/>
          </w:tcPr>
          <w:p w14:paraId="2C7E6CA3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2065">
              <w:rPr>
                <w:lang w:eastAsia="en-US"/>
              </w:rPr>
              <w:t>Наньцзин</w:t>
            </w:r>
            <w:proofErr w:type="spellEnd"/>
            <w:r w:rsidRPr="00E02065">
              <w:rPr>
                <w:lang w:eastAsia="en-US"/>
              </w:rPr>
              <w:t xml:space="preserve">, </w:t>
            </w:r>
            <w:proofErr w:type="spellStart"/>
            <w:r w:rsidRPr="00E02065">
              <w:rPr>
                <w:lang w:eastAsia="en-US"/>
              </w:rPr>
              <w:t>Гуанси</w:t>
            </w:r>
            <w:proofErr w:type="spellEnd"/>
          </w:p>
        </w:tc>
        <w:tc>
          <w:tcPr>
            <w:tcW w:w="2148" w:type="dxa"/>
          </w:tcPr>
          <w:p w14:paraId="091A7FE9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19,21</w:t>
            </w:r>
          </w:p>
        </w:tc>
        <w:tc>
          <w:tcPr>
            <w:tcW w:w="2480" w:type="dxa"/>
          </w:tcPr>
          <w:p w14:paraId="58A9C730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25,19</w:t>
            </w:r>
          </w:p>
        </w:tc>
        <w:tc>
          <w:tcPr>
            <w:tcW w:w="2240" w:type="dxa"/>
          </w:tcPr>
          <w:p w14:paraId="044B6976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21,76</w:t>
            </w:r>
          </w:p>
        </w:tc>
      </w:tr>
      <w:tr w:rsidR="009818C5" w:rsidRPr="00E02065" w14:paraId="48EB4CB8" w14:textId="77777777" w:rsidTr="009818C5">
        <w:trPr>
          <w:trHeight w:hRule="exact" w:val="340"/>
        </w:trPr>
        <w:tc>
          <w:tcPr>
            <w:tcW w:w="2481" w:type="dxa"/>
          </w:tcPr>
          <w:p w14:paraId="5C1099A1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2065">
              <w:rPr>
                <w:lang w:eastAsia="en-US"/>
              </w:rPr>
              <w:t>Шеньян</w:t>
            </w:r>
            <w:proofErr w:type="spellEnd"/>
            <w:r w:rsidRPr="00E02065">
              <w:rPr>
                <w:lang w:eastAsia="en-US"/>
              </w:rPr>
              <w:t xml:space="preserve">, </w:t>
            </w:r>
            <w:proofErr w:type="spellStart"/>
            <w:r w:rsidRPr="00E02065">
              <w:rPr>
                <w:lang w:eastAsia="en-US"/>
              </w:rPr>
              <w:t>Ляонин</w:t>
            </w:r>
            <w:proofErr w:type="spellEnd"/>
          </w:p>
        </w:tc>
        <w:tc>
          <w:tcPr>
            <w:tcW w:w="2148" w:type="dxa"/>
          </w:tcPr>
          <w:p w14:paraId="03E296E6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13,80</w:t>
            </w:r>
          </w:p>
        </w:tc>
        <w:tc>
          <w:tcPr>
            <w:tcW w:w="2480" w:type="dxa"/>
          </w:tcPr>
          <w:p w14:paraId="26C3AE21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16,31</w:t>
            </w:r>
          </w:p>
        </w:tc>
        <w:tc>
          <w:tcPr>
            <w:tcW w:w="2240" w:type="dxa"/>
          </w:tcPr>
          <w:p w14:paraId="3BFBE0C9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16,31</w:t>
            </w:r>
          </w:p>
        </w:tc>
      </w:tr>
      <w:tr w:rsidR="009818C5" w:rsidRPr="00E02065" w14:paraId="255071D6" w14:textId="77777777" w:rsidTr="009818C5">
        <w:trPr>
          <w:trHeight w:hRule="exact" w:val="340"/>
        </w:trPr>
        <w:tc>
          <w:tcPr>
            <w:tcW w:w="2481" w:type="dxa"/>
          </w:tcPr>
          <w:p w14:paraId="05EB168C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2065">
              <w:rPr>
                <w:lang w:eastAsia="en-US"/>
              </w:rPr>
              <w:t>Хэфэй</w:t>
            </w:r>
            <w:proofErr w:type="spellEnd"/>
            <w:r w:rsidRPr="00E02065">
              <w:rPr>
                <w:lang w:eastAsia="en-US"/>
              </w:rPr>
              <w:t xml:space="preserve">, </w:t>
            </w:r>
            <w:proofErr w:type="spellStart"/>
            <w:r w:rsidRPr="00E02065">
              <w:rPr>
                <w:lang w:eastAsia="en-US"/>
              </w:rPr>
              <w:t>Аньхой</w:t>
            </w:r>
            <w:proofErr w:type="spellEnd"/>
          </w:p>
        </w:tc>
        <w:tc>
          <w:tcPr>
            <w:tcW w:w="2148" w:type="dxa"/>
          </w:tcPr>
          <w:p w14:paraId="26CCBB53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8,78</w:t>
            </w:r>
          </w:p>
        </w:tc>
        <w:tc>
          <w:tcPr>
            <w:tcW w:w="2480" w:type="dxa"/>
          </w:tcPr>
          <w:p w14:paraId="173B170D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10,37</w:t>
            </w:r>
          </w:p>
        </w:tc>
        <w:tc>
          <w:tcPr>
            <w:tcW w:w="2240" w:type="dxa"/>
          </w:tcPr>
          <w:p w14:paraId="50F01487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14,97</w:t>
            </w:r>
          </w:p>
        </w:tc>
      </w:tr>
      <w:tr w:rsidR="009818C5" w:rsidRPr="00E02065" w14:paraId="62A53E13" w14:textId="77777777" w:rsidTr="009818C5">
        <w:trPr>
          <w:trHeight w:hRule="exact" w:val="340"/>
        </w:trPr>
        <w:tc>
          <w:tcPr>
            <w:tcW w:w="2481" w:type="dxa"/>
          </w:tcPr>
          <w:p w14:paraId="1A2BDCB6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2065">
              <w:rPr>
                <w:lang w:eastAsia="en-US"/>
              </w:rPr>
              <w:t>Вухань</w:t>
            </w:r>
            <w:proofErr w:type="spellEnd"/>
            <w:r w:rsidRPr="00E02065">
              <w:rPr>
                <w:lang w:eastAsia="en-US"/>
              </w:rPr>
              <w:t xml:space="preserve">, </w:t>
            </w:r>
            <w:proofErr w:type="spellStart"/>
            <w:r w:rsidRPr="00E02065">
              <w:rPr>
                <w:lang w:eastAsia="en-US"/>
              </w:rPr>
              <w:t>Хубэй</w:t>
            </w:r>
            <w:proofErr w:type="spellEnd"/>
          </w:p>
        </w:tc>
        <w:tc>
          <w:tcPr>
            <w:tcW w:w="2148" w:type="dxa"/>
          </w:tcPr>
          <w:p w14:paraId="1FBEEDEA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10,58</w:t>
            </w:r>
          </w:p>
        </w:tc>
        <w:tc>
          <w:tcPr>
            <w:tcW w:w="2480" w:type="dxa"/>
          </w:tcPr>
          <w:p w14:paraId="7AB9DB88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12,55</w:t>
            </w:r>
          </w:p>
        </w:tc>
        <w:tc>
          <w:tcPr>
            <w:tcW w:w="2240" w:type="dxa"/>
          </w:tcPr>
          <w:p w14:paraId="4727F315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19,82</w:t>
            </w:r>
          </w:p>
        </w:tc>
      </w:tr>
      <w:tr w:rsidR="009818C5" w:rsidRPr="00E02065" w14:paraId="2F3A5657" w14:textId="77777777" w:rsidTr="009818C5">
        <w:trPr>
          <w:trHeight w:hRule="exact" w:val="340"/>
        </w:trPr>
        <w:tc>
          <w:tcPr>
            <w:tcW w:w="2481" w:type="dxa"/>
          </w:tcPr>
          <w:p w14:paraId="784B49BF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02065">
              <w:rPr>
                <w:lang w:eastAsia="en-US"/>
              </w:rPr>
              <w:t>Чунцин</w:t>
            </w:r>
            <w:proofErr w:type="spellEnd"/>
          </w:p>
        </w:tc>
        <w:tc>
          <w:tcPr>
            <w:tcW w:w="2148" w:type="dxa"/>
          </w:tcPr>
          <w:p w14:paraId="7B592556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7,19</w:t>
            </w:r>
          </w:p>
        </w:tc>
        <w:tc>
          <w:tcPr>
            <w:tcW w:w="2480" w:type="dxa"/>
          </w:tcPr>
          <w:p w14:paraId="25FA4550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9,37</w:t>
            </w:r>
          </w:p>
        </w:tc>
        <w:tc>
          <w:tcPr>
            <w:tcW w:w="2240" w:type="dxa"/>
          </w:tcPr>
          <w:p w14:paraId="0D41C54A" w14:textId="77777777" w:rsidR="009818C5" w:rsidRPr="00E02065" w:rsidRDefault="009818C5" w:rsidP="009818C5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19,24</w:t>
            </w:r>
          </w:p>
        </w:tc>
      </w:tr>
    </w:tbl>
    <w:p w14:paraId="6C0F12C2" w14:textId="77777777" w:rsidR="009A1297" w:rsidRPr="009818C5" w:rsidRDefault="009818C5" w:rsidP="00A83873">
      <w:pPr>
        <w:spacing w:after="120" w:line="360" w:lineRule="auto"/>
        <w:rPr>
          <w:rFonts w:eastAsia="MS Gothic"/>
          <w:bCs/>
          <w:i/>
          <w:iCs/>
          <w:sz w:val="28"/>
          <w:szCs w:val="28"/>
          <w:lang w:val="en-US" w:eastAsia="zh-TW"/>
        </w:rPr>
      </w:pPr>
      <w:proofErr w:type="spellStart"/>
      <w:r w:rsidRPr="00393143">
        <w:rPr>
          <w:rFonts w:eastAsia="MS Gothic"/>
          <w:bCs/>
          <w:i/>
          <w:iCs/>
          <w:sz w:val="28"/>
          <w:szCs w:val="28"/>
          <w:lang w:val="en-US" w:eastAsia="zh-TW"/>
        </w:rPr>
        <w:t>Источник</w:t>
      </w:r>
      <w:proofErr w:type="spellEnd"/>
      <w:r w:rsidRPr="00393143">
        <w:rPr>
          <w:rFonts w:eastAsia="MS Gothic"/>
          <w:bCs/>
          <w:i/>
          <w:iCs/>
          <w:sz w:val="28"/>
          <w:szCs w:val="28"/>
          <w:lang w:val="en-US" w:eastAsia="zh-TW"/>
        </w:rPr>
        <w:t>:</w:t>
      </w:r>
      <w:r>
        <w:rPr>
          <w:rFonts w:eastAsia="MS Gothic"/>
          <w:bCs/>
          <w:i/>
          <w:iCs/>
          <w:sz w:val="28"/>
          <w:szCs w:val="28"/>
          <w:lang w:val="en-US" w:eastAsia="zh-TW"/>
        </w:rPr>
        <w:t xml:space="preserve"> </w:t>
      </w:r>
      <w:r w:rsidRPr="00393143">
        <w:rPr>
          <w:rFonts w:eastAsia="MS Gothic"/>
          <w:bCs/>
          <w:i/>
          <w:iCs/>
          <w:sz w:val="28"/>
          <w:szCs w:val="28"/>
          <w:lang w:val="en-US" w:eastAsia="zh-TW"/>
        </w:rPr>
        <w:t>CNPC Research Institute, 2012</w:t>
      </w:r>
    </w:p>
    <w:p w14:paraId="194F7D70" w14:textId="7C4E4FF6" w:rsidR="005C0C0C" w:rsidRDefault="008A6BA4" w:rsidP="005C0C0C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Стимулом для развития газового потребления в целом стал открытый в 2004 г. местный газопровод длиной около 4000 км «Запад-Восток»</w:t>
      </w:r>
      <w:r w:rsidR="00DE71FE">
        <w:rPr>
          <w:sz w:val="28"/>
          <w:szCs w:val="28"/>
        </w:rPr>
        <w:t>, берущий начало в Синьцзян-Уйг</w:t>
      </w:r>
      <w:r>
        <w:rPr>
          <w:sz w:val="28"/>
          <w:szCs w:val="28"/>
        </w:rPr>
        <w:t>у</w:t>
      </w:r>
      <w:r w:rsidR="00DE71FE">
        <w:rPr>
          <w:sz w:val="28"/>
          <w:szCs w:val="28"/>
        </w:rPr>
        <w:t>р</w:t>
      </w:r>
      <w:r>
        <w:rPr>
          <w:sz w:val="28"/>
          <w:szCs w:val="28"/>
        </w:rPr>
        <w:t xml:space="preserve">ском автономном районе и проходящий через провинции </w:t>
      </w:r>
      <w:proofErr w:type="spellStart"/>
      <w:r>
        <w:rPr>
          <w:sz w:val="28"/>
          <w:szCs w:val="28"/>
        </w:rPr>
        <w:t>Нинся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Ганьсу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Цзянсу</w:t>
      </w:r>
      <w:proofErr w:type="spellEnd"/>
      <w:r>
        <w:rPr>
          <w:sz w:val="28"/>
          <w:szCs w:val="28"/>
        </w:rPr>
        <w:t xml:space="preserve"> и др. Д</w:t>
      </w:r>
      <w:r w:rsidR="005C0C0C">
        <w:rPr>
          <w:sz w:val="28"/>
          <w:szCs w:val="28"/>
        </w:rPr>
        <w:t>о 2006 г. Китай самостоятельно обеспечивал потребление газа</w:t>
      </w:r>
      <w:r>
        <w:rPr>
          <w:sz w:val="28"/>
          <w:szCs w:val="28"/>
        </w:rPr>
        <w:t>, поэтому</w:t>
      </w:r>
      <w:r w:rsidRPr="008A6BA4">
        <w:rPr>
          <w:sz w:val="28"/>
          <w:szCs w:val="28"/>
        </w:rPr>
        <w:t xml:space="preserve"> </w:t>
      </w:r>
      <w:r>
        <w:rPr>
          <w:sz w:val="28"/>
          <w:szCs w:val="28"/>
        </w:rPr>
        <w:t>импортные проекты являются довольно новым направлением.</w:t>
      </w:r>
      <w:r w:rsidR="005C0C0C">
        <w:rPr>
          <w:sz w:val="28"/>
          <w:szCs w:val="28"/>
        </w:rPr>
        <w:t xml:space="preserve"> Сейчас импорт осуществляется </w:t>
      </w:r>
      <w:r w:rsidR="00CD1709">
        <w:rPr>
          <w:sz w:val="28"/>
          <w:szCs w:val="28"/>
        </w:rPr>
        <w:t>из нескольких</w:t>
      </w:r>
      <w:r w:rsidR="005C0C0C">
        <w:rPr>
          <w:sz w:val="28"/>
          <w:szCs w:val="28"/>
        </w:rPr>
        <w:t xml:space="preserve"> </w:t>
      </w:r>
      <w:r w:rsidR="00CD1709">
        <w:rPr>
          <w:sz w:val="28"/>
          <w:szCs w:val="28"/>
        </w:rPr>
        <w:t>стран</w:t>
      </w:r>
      <w:r w:rsidR="005C0C0C">
        <w:rPr>
          <w:sz w:val="28"/>
          <w:szCs w:val="28"/>
        </w:rPr>
        <w:t xml:space="preserve">: </w:t>
      </w:r>
      <w:r w:rsidR="00CD1709">
        <w:rPr>
          <w:sz w:val="28"/>
          <w:szCs w:val="28"/>
        </w:rPr>
        <w:t xml:space="preserve">СПГ из Австралии, Индонезии, Малайзии и Катара, </w:t>
      </w:r>
      <w:r w:rsidR="005C0C0C">
        <w:rPr>
          <w:sz w:val="28"/>
          <w:szCs w:val="28"/>
        </w:rPr>
        <w:t xml:space="preserve">по </w:t>
      </w:r>
      <w:r w:rsidR="00CD1709">
        <w:rPr>
          <w:sz w:val="28"/>
          <w:szCs w:val="28"/>
        </w:rPr>
        <w:t>газопроводу</w:t>
      </w:r>
      <w:r w:rsidR="005C0C0C">
        <w:rPr>
          <w:sz w:val="28"/>
          <w:szCs w:val="28"/>
        </w:rPr>
        <w:t xml:space="preserve"> </w:t>
      </w:r>
      <w:r w:rsidR="00CD1709">
        <w:rPr>
          <w:sz w:val="28"/>
          <w:szCs w:val="28"/>
        </w:rPr>
        <w:t>из Туркменистана.</w:t>
      </w:r>
      <w:r w:rsidR="00DE71FE">
        <w:rPr>
          <w:sz w:val="28"/>
          <w:szCs w:val="28"/>
        </w:rPr>
        <w:t xml:space="preserve"> В 2013 г.</w:t>
      </w:r>
      <w:r w:rsidR="005C0C0C">
        <w:rPr>
          <w:sz w:val="28"/>
          <w:szCs w:val="28"/>
        </w:rPr>
        <w:t xml:space="preserve"> планируется начать поставки газа по трубопроводу из Бирмы в южные провинции Китая</w:t>
      </w:r>
      <w:r w:rsidR="0012537E">
        <w:rPr>
          <w:rStyle w:val="FootnoteReference"/>
          <w:sz w:val="28"/>
          <w:szCs w:val="28"/>
        </w:rPr>
        <w:footnoteReference w:id="48"/>
      </w:r>
      <w:r w:rsidR="005C0C0C">
        <w:rPr>
          <w:sz w:val="28"/>
          <w:szCs w:val="28"/>
        </w:rPr>
        <w:t xml:space="preserve">. </w:t>
      </w:r>
    </w:p>
    <w:p w14:paraId="198BE6F7" w14:textId="6E21F6B5" w:rsidR="004B221F" w:rsidRDefault="005C0C0C" w:rsidP="00A83873">
      <w:pPr>
        <w:spacing w:after="120" w:line="360" w:lineRule="auto"/>
        <w:ind w:firstLine="709"/>
        <w:jc w:val="both"/>
        <w:rPr>
          <w:rFonts w:eastAsia="MS Gothic"/>
          <w:bCs/>
          <w:iCs/>
          <w:sz w:val="28"/>
          <w:szCs w:val="28"/>
          <w:lang w:eastAsia="zh-TW"/>
        </w:rPr>
      </w:pPr>
      <w:r>
        <w:rPr>
          <w:rFonts w:eastAsia="MS Gothic"/>
          <w:bCs/>
          <w:iCs/>
          <w:sz w:val="28"/>
          <w:szCs w:val="28"/>
          <w:lang w:eastAsia="zh-TW"/>
        </w:rPr>
        <w:t xml:space="preserve">Зависимость от импортных поставок газа, безусловно, имеет негативные последствия. Например, в 2009 г. из-за нехватки </w:t>
      </w:r>
      <w:r w:rsidR="0093381F">
        <w:rPr>
          <w:rFonts w:eastAsia="MS Gothic"/>
          <w:bCs/>
          <w:iCs/>
          <w:sz w:val="28"/>
          <w:szCs w:val="28"/>
          <w:lang w:eastAsia="zh-TW"/>
        </w:rPr>
        <w:t xml:space="preserve">природного </w:t>
      </w:r>
      <w:r>
        <w:rPr>
          <w:rFonts w:eastAsia="MS Gothic"/>
          <w:bCs/>
          <w:iCs/>
          <w:sz w:val="28"/>
          <w:szCs w:val="28"/>
          <w:lang w:eastAsia="zh-TW"/>
        </w:rPr>
        <w:t xml:space="preserve">газа китайским компаниям пришлось импортировать СПГ по </w:t>
      </w:r>
      <w:r w:rsidR="0093381F">
        <w:rPr>
          <w:rFonts w:eastAsia="MS Gothic"/>
          <w:bCs/>
          <w:iCs/>
          <w:sz w:val="28"/>
          <w:szCs w:val="28"/>
          <w:lang w:eastAsia="zh-TW"/>
        </w:rPr>
        <w:t>более высоким ценам. Цены импортируемого газа значительно выше регулируемых правительством цен на местных месторождениях</w:t>
      </w:r>
      <w:r w:rsidR="003F2BC9">
        <w:rPr>
          <w:rFonts w:eastAsia="MS Gothic"/>
          <w:bCs/>
          <w:iCs/>
          <w:sz w:val="28"/>
          <w:szCs w:val="28"/>
          <w:lang w:eastAsia="zh-TW"/>
        </w:rPr>
        <w:t xml:space="preserve"> (см. Табл.</w:t>
      </w:r>
      <w:r w:rsidR="00A8383C">
        <w:rPr>
          <w:rFonts w:eastAsia="MS Gothic"/>
          <w:bCs/>
          <w:iCs/>
          <w:sz w:val="28"/>
          <w:szCs w:val="28"/>
          <w:lang w:eastAsia="zh-TW"/>
        </w:rPr>
        <w:t xml:space="preserve"> 11</w:t>
      </w:r>
      <w:r w:rsidR="003F2BC9">
        <w:rPr>
          <w:rFonts w:eastAsia="MS Gothic"/>
          <w:bCs/>
          <w:iCs/>
          <w:sz w:val="28"/>
          <w:szCs w:val="28"/>
          <w:lang w:eastAsia="zh-TW"/>
        </w:rPr>
        <w:t>)</w:t>
      </w:r>
      <w:r w:rsidR="0093381F">
        <w:rPr>
          <w:rFonts w:eastAsia="MS Gothic"/>
          <w:bCs/>
          <w:iCs/>
          <w:sz w:val="28"/>
          <w:szCs w:val="28"/>
          <w:lang w:eastAsia="zh-TW"/>
        </w:rPr>
        <w:t>.</w:t>
      </w:r>
      <w:r w:rsidR="0007392D">
        <w:rPr>
          <w:rFonts w:eastAsia="MS Gothic"/>
          <w:bCs/>
          <w:iCs/>
          <w:sz w:val="28"/>
          <w:szCs w:val="28"/>
          <w:lang w:eastAsia="zh-TW"/>
        </w:rPr>
        <w:t xml:space="preserve"> </w:t>
      </w:r>
    </w:p>
    <w:p w14:paraId="58C2AC7D" w14:textId="77777777" w:rsidR="00A86B26" w:rsidRDefault="00A86B26">
      <w:pPr>
        <w:rPr>
          <w:b/>
          <w:color w:val="1A1818"/>
          <w:sz w:val="28"/>
          <w:szCs w:val="28"/>
          <w:lang w:eastAsia="en-US"/>
        </w:rPr>
      </w:pPr>
      <w:r>
        <w:rPr>
          <w:b/>
          <w:color w:val="1A1818"/>
          <w:sz w:val="28"/>
          <w:szCs w:val="28"/>
          <w:lang w:eastAsia="en-US"/>
        </w:rPr>
        <w:br w:type="page"/>
      </w:r>
    </w:p>
    <w:p w14:paraId="27284AD4" w14:textId="69220264" w:rsidR="0093381F" w:rsidRPr="0093381F" w:rsidRDefault="0093381F" w:rsidP="0093381F">
      <w:pPr>
        <w:widowControl w:val="0"/>
        <w:autoSpaceDE w:val="0"/>
        <w:autoSpaceDN w:val="0"/>
        <w:adjustRightInd w:val="0"/>
        <w:spacing w:after="240"/>
        <w:rPr>
          <w:b/>
          <w:sz w:val="28"/>
          <w:szCs w:val="28"/>
          <w:lang w:eastAsia="en-US"/>
        </w:rPr>
      </w:pPr>
      <w:r w:rsidRPr="00B36F21">
        <w:rPr>
          <w:b/>
          <w:color w:val="1A1818"/>
          <w:sz w:val="28"/>
          <w:szCs w:val="28"/>
          <w:lang w:eastAsia="en-US"/>
        </w:rPr>
        <w:lastRenderedPageBreak/>
        <w:t xml:space="preserve">Таблица </w:t>
      </w:r>
      <w:r w:rsidR="00877033" w:rsidRPr="00B36F21">
        <w:rPr>
          <w:b/>
          <w:color w:val="1A1818"/>
          <w:sz w:val="28"/>
          <w:szCs w:val="28"/>
          <w:lang w:eastAsia="en-US"/>
        </w:rPr>
        <w:t>11</w:t>
      </w:r>
      <w:r w:rsidRPr="00B36F21">
        <w:rPr>
          <w:b/>
          <w:color w:val="1A1818"/>
          <w:sz w:val="28"/>
          <w:szCs w:val="28"/>
          <w:lang w:eastAsia="en-US"/>
        </w:rPr>
        <w:t xml:space="preserve">. </w:t>
      </w:r>
      <w:r w:rsidRPr="00B36F21">
        <w:rPr>
          <w:b/>
          <w:bCs/>
          <w:color w:val="1A1818"/>
          <w:sz w:val="28"/>
          <w:szCs w:val="28"/>
          <w:lang w:eastAsia="en-US"/>
        </w:rPr>
        <w:t xml:space="preserve">Средние цены </w:t>
      </w:r>
      <w:r w:rsidRPr="0093381F">
        <w:rPr>
          <w:b/>
          <w:bCs/>
          <w:color w:val="1A1818"/>
          <w:sz w:val="28"/>
          <w:szCs w:val="28"/>
          <w:lang w:eastAsia="en-US"/>
        </w:rPr>
        <w:t xml:space="preserve">импортного газа </w:t>
      </w:r>
      <w:r w:rsidRPr="00B36F21">
        <w:rPr>
          <w:b/>
          <w:bCs/>
          <w:color w:val="1A1818"/>
          <w:sz w:val="28"/>
          <w:szCs w:val="28"/>
          <w:lang w:eastAsia="en-US"/>
        </w:rPr>
        <w:t>в Кита</w:t>
      </w:r>
      <w:r>
        <w:rPr>
          <w:b/>
          <w:bCs/>
          <w:color w:val="1A1818"/>
          <w:sz w:val="28"/>
          <w:szCs w:val="28"/>
          <w:lang w:eastAsia="en-US"/>
        </w:rPr>
        <w:t>е</w:t>
      </w:r>
      <w:r w:rsidR="009262A5">
        <w:rPr>
          <w:b/>
          <w:bCs/>
          <w:color w:val="1A1818"/>
          <w:sz w:val="28"/>
          <w:szCs w:val="28"/>
          <w:lang w:eastAsia="en-US"/>
        </w:rPr>
        <w:t>, долл./</w:t>
      </w:r>
      <w:proofErr w:type="spellStart"/>
      <w:r w:rsidR="009262A5">
        <w:rPr>
          <w:b/>
          <w:bCs/>
          <w:color w:val="1A1818"/>
          <w:sz w:val="28"/>
          <w:szCs w:val="28"/>
          <w:lang w:eastAsia="en-US"/>
        </w:rPr>
        <w:t>мбте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2693"/>
        <w:gridCol w:w="1559"/>
        <w:gridCol w:w="1382"/>
      </w:tblGrid>
      <w:tr w:rsidR="0093381F" w:rsidRPr="00A61701" w14:paraId="769A2614" w14:textId="77777777" w:rsidTr="00A60339">
        <w:trPr>
          <w:trHeight w:hRule="exact" w:val="340"/>
        </w:trPr>
        <w:tc>
          <w:tcPr>
            <w:tcW w:w="2235" w:type="dxa"/>
          </w:tcPr>
          <w:p w14:paraId="4FCB6A3A" w14:textId="77777777" w:rsidR="0093381F" w:rsidRPr="00A61701" w:rsidRDefault="0093381F" w:rsidP="00B766E7">
            <w:pPr>
              <w:rPr>
                <w:lang w:eastAsia="zh-TW"/>
              </w:rPr>
            </w:pPr>
            <w:r w:rsidRPr="00A61701">
              <w:rPr>
                <w:lang w:eastAsia="zh-TW"/>
              </w:rPr>
              <w:t>Провинция</w:t>
            </w:r>
          </w:p>
        </w:tc>
        <w:tc>
          <w:tcPr>
            <w:tcW w:w="1701" w:type="dxa"/>
          </w:tcPr>
          <w:p w14:paraId="49B70A49" w14:textId="77777777" w:rsidR="0093381F" w:rsidRPr="00A61701" w:rsidRDefault="0093381F" w:rsidP="00B766E7">
            <w:pPr>
              <w:rPr>
                <w:lang w:eastAsia="zh-TW"/>
              </w:rPr>
            </w:pPr>
            <w:r w:rsidRPr="00A61701">
              <w:rPr>
                <w:lang w:eastAsia="zh-TW"/>
              </w:rPr>
              <w:t>Год запуска</w:t>
            </w:r>
          </w:p>
        </w:tc>
        <w:tc>
          <w:tcPr>
            <w:tcW w:w="2693" w:type="dxa"/>
          </w:tcPr>
          <w:p w14:paraId="0E127CD9" w14:textId="77777777" w:rsidR="0093381F" w:rsidRPr="00A61701" w:rsidRDefault="0093381F" w:rsidP="00B766E7">
            <w:pPr>
              <w:rPr>
                <w:lang w:eastAsia="zh-TW"/>
              </w:rPr>
            </w:pPr>
            <w:r>
              <w:rPr>
                <w:lang w:eastAsia="zh-TW"/>
              </w:rPr>
              <w:t>Страна-экспортер</w:t>
            </w:r>
          </w:p>
        </w:tc>
        <w:tc>
          <w:tcPr>
            <w:tcW w:w="1559" w:type="dxa"/>
          </w:tcPr>
          <w:p w14:paraId="764C3AA4" w14:textId="77777777" w:rsidR="0093381F" w:rsidRPr="00A61701" w:rsidRDefault="0093381F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2010</w:t>
            </w:r>
          </w:p>
        </w:tc>
        <w:tc>
          <w:tcPr>
            <w:tcW w:w="1382" w:type="dxa"/>
          </w:tcPr>
          <w:p w14:paraId="65728D0D" w14:textId="77777777" w:rsidR="0093381F" w:rsidRPr="00A61701" w:rsidRDefault="0093381F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2011</w:t>
            </w:r>
          </w:p>
        </w:tc>
      </w:tr>
      <w:tr w:rsidR="0093381F" w:rsidRPr="00A61701" w14:paraId="32605658" w14:textId="77777777" w:rsidTr="00A60339">
        <w:trPr>
          <w:trHeight w:hRule="exact" w:val="340"/>
        </w:trPr>
        <w:tc>
          <w:tcPr>
            <w:tcW w:w="2235" w:type="dxa"/>
          </w:tcPr>
          <w:p w14:paraId="12B3BEDC" w14:textId="77777777" w:rsidR="0093381F" w:rsidRPr="00A61701" w:rsidRDefault="0093381F" w:rsidP="00A60339">
            <w:pPr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Гуандун</w:t>
            </w:r>
            <w:proofErr w:type="spellEnd"/>
          </w:p>
        </w:tc>
        <w:tc>
          <w:tcPr>
            <w:tcW w:w="1701" w:type="dxa"/>
          </w:tcPr>
          <w:p w14:paraId="14ADBF7D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2006</w:t>
            </w:r>
          </w:p>
        </w:tc>
        <w:tc>
          <w:tcPr>
            <w:tcW w:w="2693" w:type="dxa"/>
          </w:tcPr>
          <w:p w14:paraId="6897CF69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Австралия</w:t>
            </w:r>
          </w:p>
        </w:tc>
        <w:tc>
          <w:tcPr>
            <w:tcW w:w="1559" w:type="dxa"/>
          </w:tcPr>
          <w:p w14:paraId="22FCE768" w14:textId="77777777" w:rsidR="0093381F" w:rsidRPr="00A61701" w:rsidRDefault="0093381F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3,35</w:t>
            </w:r>
          </w:p>
        </w:tc>
        <w:tc>
          <w:tcPr>
            <w:tcW w:w="1382" w:type="dxa"/>
          </w:tcPr>
          <w:p w14:paraId="5B4648B6" w14:textId="77777777" w:rsidR="0093381F" w:rsidRPr="00A61701" w:rsidRDefault="0093381F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3,35</w:t>
            </w:r>
          </w:p>
        </w:tc>
      </w:tr>
      <w:tr w:rsidR="0093381F" w:rsidRPr="00A61701" w14:paraId="3F8A3CD4" w14:textId="77777777" w:rsidTr="00A60339">
        <w:trPr>
          <w:trHeight w:hRule="exact" w:val="340"/>
        </w:trPr>
        <w:tc>
          <w:tcPr>
            <w:tcW w:w="2235" w:type="dxa"/>
          </w:tcPr>
          <w:p w14:paraId="34DD3AD9" w14:textId="77777777" w:rsidR="0093381F" w:rsidRPr="00A61701" w:rsidRDefault="0093381F" w:rsidP="00A60339">
            <w:pPr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Фуцзянь</w:t>
            </w:r>
            <w:proofErr w:type="spellEnd"/>
          </w:p>
        </w:tc>
        <w:tc>
          <w:tcPr>
            <w:tcW w:w="1701" w:type="dxa"/>
          </w:tcPr>
          <w:p w14:paraId="2627583F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2009</w:t>
            </w:r>
          </w:p>
        </w:tc>
        <w:tc>
          <w:tcPr>
            <w:tcW w:w="2693" w:type="dxa"/>
          </w:tcPr>
          <w:p w14:paraId="4E713251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Индонезия</w:t>
            </w:r>
          </w:p>
        </w:tc>
        <w:tc>
          <w:tcPr>
            <w:tcW w:w="1559" w:type="dxa"/>
          </w:tcPr>
          <w:p w14:paraId="67A42790" w14:textId="77777777" w:rsidR="0093381F" w:rsidRPr="00A61701" w:rsidRDefault="0093381F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4,19</w:t>
            </w:r>
          </w:p>
        </w:tc>
        <w:tc>
          <w:tcPr>
            <w:tcW w:w="1382" w:type="dxa"/>
          </w:tcPr>
          <w:p w14:paraId="1F8EACDC" w14:textId="77777777" w:rsidR="0093381F" w:rsidRPr="00A61701" w:rsidRDefault="0093381F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4,19</w:t>
            </w:r>
          </w:p>
        </w:tc>
      </w:tr>
      <w:tr w:rsidR="0093381F" w:rsidRPr="00A61701" w14:paraId="61834D40" w14:textId="77777777" w:rsidTr="00A60339">
        <w:trPr>
          <w:trHeight w:hRule="exact" w:val="340"/>
        </w:trPr>
        <w:tc>
          <w:tcPr>
            <w:tcW w:w="2235" w:type="dxa"/>
            <w:vMerge w:val="restart"/>
            <w:vAlign w:val="center"/>
          </w:tcPr>
          <w:p w14:paraId="354C60BE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Шанхай</w:t>
            </w:r>
          </w:p>
        </w:tc>
        <w:tc>
          <w:tcPr>
            <w:tcW w:w="1701" w:type="dxa"/>
          </w:tcPr>
          <w:p w14:paraId="4E2816B0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2009</w:t>
            </w:r>
          </w:p>
        </w:tc>
        <w:tc>
          <w:tcPr>
            <w:tcW w:w="2693" w:type="dxa"/>
          </w:tcPr>
          <w:p w14:paraId="72FB4A95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Малайзия</w:t>
            </w:r>
          </w:p>
        </w:tc>
        <w:tc>
          <w:tcPr>
            <w:tcW w:w="1559" w:type="dxa"/>
          </w:tcPr>
          <w:p w14:paraId="2D691E81" w14:textId="77777777" w:rsidR="0093381F" w:rsidRPr="00A61701" w:rsidRDefault="0093381F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6,98</w:t>
            </w:r>
          </w:p>
        </w:tc>
        <w:tc>
          <w:tcPr>
            <w:tcW w:w="1382" w:type="dxa"/>
          </w:tcPr>
          <w:p w14:paraId="34C415C1" w14:textId="77777777" w:rsidR="0093381F" w:rsidRPr="00A61701" w:rsidRDefault="009262A5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9,78</w:t>
            </w:r>
          </w:p>
        </w:tc>
      </w:tr>
      <w:tr w:rsidR="0093381F" w:rsidRPr="00A61701" w14:paraId="7944E12B" w14:textId="77777777" w:rsidTr="00A60339">
        <w:trPr>
          <w:trHeight w:hRule="exact" w:val="340"/>
        </w:trPr>
        <w:tc>
          <w:tcPr>
            <w:tcW w:w="2235" w:type="dxa"/>
            <w:vMerge/>
          </w:tcPr>
          <w:p w14:paraId="05377CAD" w14:textId="77777777" w:rsidR="0093381F" w:rsidRPr="00A61701" w:rsidRDefault="0093381F" w:rsidP="00A60339">
            <w:pPr>
              <w:rPr>
                <w:lang w:eastAsia="zh-TW"/>
              </w:rPr>
            </w:pPr>
          </w:p>
        </w:tc>
        <w:tc>
          <w:tcPr>
            <w:tcW w:w="1701" w:type="dxa"/>
          </w:tcPr>
          <w:p w14:paraId="3CB6A5F4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2009</w:t>
            </w:r>
          </w:p>
        </w:tc>
        <w:tc>
          <w:tcPr>
            <w:tcW w:w="2693" w:type="dxa"/>
          </w:tcPr>
          <w:p w14:paraId="460968D1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Катар</w:t>
            </w:r>
          </w:p>
        </w:tc>
        <w:tc>
          <w:tcPr>
            <w:tcW w:w="1559" w:type="dxa"/>
          </w:tcPr>
          <w:p w14:paraId="7206F855" w14:textId="77777777" w:rsidR="0093381F" w:rsidRPr="00A61701" w:rsidRDefault="009262A5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10,89</w:t>
            </w:r>
          </w:p>
        </w:tc>
        <w:tc>
          <w:tcPr>
            <w:tcW w:w="1382" w:type="dxa"/>
          </w:tcPr>
          <w:p w14:paraId="1071CFFD" w14:textId="77777777" w:rsidR="0093381F" w:rsidRPr="00A61701" w:rsidRDefault="009262A5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19,27</w:t>
            </w:r>
          </w:p>
        </w:tc>
      </w:tr>
      <w:tr w:rsidR="0093381F" w:rsidRPr="00A61701" w14:paraId="53B4A340" w14:textId="77777777" w:rsidTr="00A60339">
        <w:trPr>
          <w:trHeight w:hRule="exact" w:val="340"/>
        </w:trPr>
        <w:tc>
          <w:tcPr>
            <w:tcW w:w="2235" w:type="dxa"/>
          </w:tcPr>
          <w:p w14:paraId="627F1AAA" w14:textId="77777777" w:rsidR="0093381F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Гонконг</w:t>
            </w:r>
          </w:p>
        </w:tc>
        <w:tc>
          <w:tcPr>
            <w:tcW w:w="1701" w:type="dxa"/>
          </w:tcPr>
          <w:p w14:paraId="412EE943" w14:textId="77777777" w:rsidR="0093381F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2009</w:t>
            </w:r>
          </w:p>
        </w:tc>
        <w:tc>
          <w:tcPr>
            <w:tcW w:w="2693" w:type="dxa"/>
          </w:tcPr>
          <w:p w14:paraId="3FB792B2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Туркменистан</w:t>
            </w:r>
          </w:p>
        </w:tc>
        <w:tc>
          <w:tcPr>
            <w:tcW w:w="1559" w:type="dxa"/>
          </w:tcPr>
          <w:p w14:paraId="00838AF6" w14:textId="77777777" w:rsidR="0093381F" w:rsidRPr="00A61701" w:rsidRDefault="009262A5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7,26</w:t>
            </w:r>
          </w:p>
        </w:tc>
        <w:tc>
          <w:tcPr>
            <w:tcW w:w="1382" w:type="dxa"/>
          </w:tcPr>
          <w:p w14:paraId="5176C01B" w14:textId="77777777" w:rsidR="0093381F" w:rsidRPr="00A61701" w:rsidRDefault="009262A5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8,94</w:t>
            </w:r>
          </w:p>
        </w:tc>
      </w:tr>
      <w:tr w:rsidR="0093381F" w:rsidRPr="00A61701" w14:paraId="47187717" w14:textId="77777777" w:rsidTr="00A60339">
        <w:trPr>
          <w:trHeight w:hRule="exact" w:val="340"/>
        </w:trPr>
        <w:tc>
          <w:tcPr>
            <w:tcW w:w="2235" w:type="dxa"/>
          </w:tcPr>
          <w:p w14:paraId="53E7B294" w14:textId="77777777" w:rsidR="0093381F" w:rsidRPr="00A61701" w:rsidRDefault="0093381F" w:rsidP="00A60339">
            <w:pPr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Ляонин</w:t>
            </w:r>
            <w:proofErr w:type="spellEnd"/>
          </w:p>
        </w:tc>
        <w:tc>
          <w:tcPr>
            <w:tcW w:w="1701" w:type="dxa"/>
          </w:tcPr>
          <w:p w14:paraId="7ABAB9EB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2011</w:t>
            </w:r>
          </w:p>
        </w:tc>
        <w:tc>
          <w:tcPr>
            <w:tcW w:w="2693" w:type="dxa"/>
          </w:tcPr>
          <w:p w14:paraId="687B6AA0" w14:textId="77777777" w:rsidR="0093381F" w:rsidRPr="00A61701" w:rsidRDefault="0093381F" w:rsidP="00A60339">
            <w:pPr>
              <w:rPr>
                <w:lang w:eastAsia="zh-TW"/>
              </w:rPr>
            </w:pPr>
            <w:r>
              <w:rPr>
                <w:lang w:eastAsia="zh-TW"/>
              </w:rPr>
              <w:t>Катар</w:t>
            </w:r>
          </w:p>
        </w:tc>
        <w:tc>
          <w:tcPr>
            <w:tcW w:w="1559" w:type="dxa"/>
          </w:tcPr>
          <w:p w14:paraId="61B65883" w14:textId="77777777" w:rsidR="0093381F" w:rsidRPr="00A61701" w:rsidRDefault="0093381F" w:rsidP="009262A5">
            <w:pPr>
              <w:jc w:val="center"/>
              <w:rPr>
                <w:lang w:eastAsia="zh-TW"/>
              </w:rPr>
            </w:pPr>
          </w:p>
        </w:tc>
        <w:tc>
          <w:tcPr>
            <w:tcW w:w="1382" w:type="dxa"/>
          </w:tcPr>
          <w:p w14:paraId="2B6E7202" w14:textId="77777777" w:rsidR="0093381F" w:rsidRPr="00A61701" w:rsidRDefault="009262A5" w:rsidP="009262A5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12,60</w:t>
            </w:r>
          </w:p>
        </w:tc>
      </w:tr>
    </w:tbl>
    <w:p w14:paraId="109D8852" w14:textId="77777777" w:rsidR="0093381F" w:rsidRDefault="0093381F" w:rsidP="00B766E7">
      <w:pPr>
        <w:spacing w:after="120" w:line="360" w:lineRule="auto"/>
        <w:rPr>
          <w:i/>
          <w:sz w:val="28"/>
          <w:szCs w:val="28"/>
          <w:lang w:eastAsia="zh-TW"/>
        </w:rPr>
      </w:pPr>
      <w:r w:rsidRPr="0093381F">
        <w:rPr>
          <w:i/>
          <w:sz w:val="28"/>
          <w:szCs w:val="28"/>
          <w:lang w:eastAsia="zh-TW"/>
        </w:rPr>
        <w:t xml:space="preserve"> Источник: Таможенная статистика Китая</w:t>
      </w:r>
    </w:p>
    <w:p w14:paraId="068378E6" w14:textId="77777777" w:rsidR="00D529BC" w:rsidRPr="00D529BC" w:rsidRDefault="00D529BC" w:rsidP="00D529BC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proofErr w:type="spellStart"/>
      <w:r>
        <w:rPr>
          <w:sz w:val="28"/>
          <w:szCs w:val="28"/>
          <w:lang w:eastAsia="zh-TW"/>
        </w:rPr>
        <w:t>City</w:t>
      </w:r>
      <w:proofErr w:type="spellEnd"/>
      <w:r>
        <w:rPr>
          <w:sz w:val="28"/>
          <w:szCs w:val="28"/>
          <w:lang w:eastAsia="zh-TW"/>
        </w:rPr>
        <w:t xml:space="preserve"> </w:t>
      </w:r>
      <w:proofErr w:type="spellStart"/>
      <w:r>
        <w:rPr>
          <w:sz w:val="28"/>
          <w:szCs w:val="28"/>
          <w:lang w:eastAsia="zh-TW"/>
        </w:rPr>
        <w:t>gate</w:t>
      </w:r>
      <w:proofErr w:type="spellEnd"/>
      <w:r>
        <w:rPr>
          <w:sz w:val="28"/>
          <w:szCs w:val="28"/>
          <w:lang w:eastAsia="zh-TW"/>
        </w:rPr>
        <w:t xml:space="preserve"> цены, очевидно, гораздо ниже цен на импортируемый газ, особенно, на СПГ. Например, в 2011 г. средняя </w:t>
      </w:r>
      <w:r>
        <w:rPr>
          <w:sz w:val="28"/>
          <w:szCs w:val="28"/>
          <w:lang w:val="en-US" w:eastAsia="zh-TW"/>
        </w:rPr>
        <w:t>city</w:t>
      </w:r>
      <w:r w:rsidRPr="003F0512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val="en-US" w:eastAsia="zh-TW"/>
        </w:rPr>
        <w:t>gate</w:t>
      </w:r>
      <w:r w:rsidRPr="003F0512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eastAsia="zh-TW"/>
        </w:rPr>
        <w:t>цена газа из газопровода «Запад-Восток» в Шанхае составляла 8 долл./</w:t>
      </w:r>
      <w:proofErr w:type="spellStart"/>
      <w:r>
        <w:rPr>
          <w:sz w:val="28"/>
          <w:szCs w:val="28"/>
          <w:lang w:eastAsia="zh-TW"/>
        </w:rPr>
        <w:t>мбте</w:t>
      </w:r>
      <w:proofErr w:type="spellEnd"/>
      <w:r>
        <w:rPr>
          <w:sz w:val="28"/>
          <w:szCs w:val="28"/>
          <w:lang w:eastAsia="zh-TW"/>
        </w:rPr>
        <w:t>, цена ту</w:t>
      </w:r>
      <w:r w:rsidR="00197ED0">
        <w:rPr>
          <w:sz w:val="28"/>
          <w:szCs w:val="28"/>
          <w:lang w:eastAsia="zh-TW"/>
        </w:rPr>
        <w:t>р</w:t>
      </w:r>
      <w:r>
        <w:rPr>
          <w:sz w:val="28"/>
          <w:szCs w:val="28"/>
          <w:lang w:eastAsia="zh-TW"/>
        </w:rPr>
        <w:t>кменского газа – 13 долл./</w:t>
      </w:r>
      <w:proofErr w:type="spellStart"/>
      <w:r>
        <w:rPr>
          <w:sz w:val="28"/>
          <w:szCs w:val="28"/>
          <w:lang w:eastAsia="zh-TW"/>
        </w:rPr>
        <w:t>мбте</w:t>
      </w:r>
      <w:proofErr w:type="spellEnd"/>
      <w:r>
        <w:rPr>
          <w:sz w:val="28"/>
          <w:szCs w:val="28"/>
          <w:lang w:eastAsia="zh-TW"/>
        </w:rPr>
        <w:t xml:space="preserve">, </w:t>
      </w:r>
      <w:proofErr w:type="spellStart"/>
      <w:r>
        <w:rPr>
          <w:sz w:val="28"/>
          <w:szCs w:val="28"/>
          <w:lang w:eastAsia="zh-TW"/>
        </w:rPr>
        <w:t>спотовая</w:t>
      </w:r>
      <w:proofErr w:type="spellEnd"/>
      <w:r>
        <w:rPr>
          <w:sz w:val="28"/>
          <w:szCs w:val="28"/>
          <w:lang w:eastAsia="zh-TW"/>
        </w:rPr>
        <w:t xml:space="preserve"> цена СПГ – 18 долл./</w:t>
      </w:r>
      <w:proofErr w:type="spellStart"/>
      <w:r>
        <w:rPr>
          <w:sz w:val="28"/>
          <w:szCs w:val="28"/>
          <w:lang w:eastAsia="zh-TW"/>
        </w:rPr>
        <w:t>мбте</w:t>
      </w:r>
      <w:proofErr w:type="spellEnd"/>
      <w:r w:rsidR="00197ED0" w:rsidRPr="00197ED0">
        <w:rPr>
          <w:sz w:val="28"/>
          <w:szCs w:val="28"/>
          <w:vertAlign w:val="superscript"/>
          <w:lang w:eastAsia="zh-TW"/>
        </w:rPr>
        <w:footnoteReference w:id="49"/>
      </w:r>
      <w:r w:rsidR="00197ED0">
        <w:rPr>
          <w:sz w:val="28"/>
          <w:szCs w:val="28"/>
          <w:lang w:eastAsia="zh-TW"/>
        </w:rPr>
        <w:t>. Несмотря на регулирование, цена конечного потребления в Шанхае в 2011 г. была также довольно высокой: 11 долл./</w:t>
      </w:r>
      <w:proofErr w:type="spellStart"/>
      <w:r w:rsidR="00197ED0">
        <w:rPr>
          <w:sz w:val="28"/>
          <w:szCs w:val="28"/>
          <w:lang w:eastAsia="zh-TW"/>
        </w:rPr>
        <w:t>мбте</w:t>
      </w:r>
      <w:proofErr w:type="spellEnd"/>
      <w:r w:rsidR="00197ED0">
        <w:rPr>
          <w:sz w:val="28"/>
          <w:szCs w:val="28"/>
          <w:lang w:eastAsia="zh-TW"/>
        </w:rPr>
        <w:t xml:space="preserve"> для домохозяйств, 17 долл./</w:t>
      </w:r>
      <w:proofErr w:type="spellStart"/>
      <w:r w:rsidR="00197ED0">
        <w:rPr>
          <w:sz w:val="28"/>
          <w:szCs w:val="28"/>
          <w:lang w:eastAsia="zh-TW"/>
        </w:rPr>
        <w:t>мбте</w:t>
      </w:r>
      <w:proofErr w:type="spellEnd"/>
      <w:r w:rsidR="00197ED0">
        <w:rPr>
          <w:sz w:val="28"/>
          <w:szCs w:val="28"/>
          <w:lang w:eastAsia="zh-TW"/>
        </w:rPr>
        <w:t xml:space="preserve"> – промышленност</w:t>
      </w:r>
      <w:r w:rsidR="00106F1E">
        <w:rPr>
          <w:sz w:val="28"/>
          <w:szCs w:val="28"/>
          <w:lang w:eastAsia="zh-TW"/>
        </w:rPr>
        <w:t>и, 21 долл./</w:t>
      </w:r>
      <w:proofErr w:type="spellStart"/>
      <w:r w:rsidR="00106F1E">
        <w:rPr>
          <w:sz w:val="28"/>
          <w:szCs w:val="28"/>
          <w:lang w:eastAsia="zh-TW"/>
        </w:rPr>
        <w:t>мбте</w:t>
      </w:r>
      <w:proofErr w:type="spellEnd"/>
      <w:r w:rsidR="00106F1E">
        <w:rPr>
          <w:sz w:val="28"/>
          <w:szCs w:val="28"/>
          <w:lang w:eastAsia="zh-TW"/>
        </w:rPr>
        <w:t xml:space="preserve"> – транспорта. В сравнение,</w:t>
      </w:r>
      <w:r w:rsidR="00197ED0">
        <w:rPr>
          <w:sz w:val="28"/>
          <w:szCs w:val="28"/>
          <w:lang w:eastAsia="zh-TW"/>
        </w:rPr>
        <w:t xml:space="preserve"> </w:t>
      </w:r>
      <w:r w:rsidR="00106F1E">
        <w:rPr>
          <w:sz w:val="28"/>
          <w:szCs w:val="28"/>
          <w:lang w:eastAsia="zh-TW"/>
        </w:rPr>
        <w:t>в США конечная цена промышленности в 2011 г. находилась на уровне 5 долл./</w:t>
      </w:r>
      <w:proofErr w:type="spellStart"/>
      <w:r w:rsidR="00106F1E">
        <w:rPr>
          <w:sz w:val="28"/>
          <w:szCs w:val="28"/>
          <w:lang w:eastAsia="zh-TW"/>
        </w:rPr>
        <w:t>мбте</w:t>
      </w:r>
      <w:proofErr w:type="spellEnd"/>
      <w:r w:rsidR="00106F1E">
        <w:rPr>
          <w:sz w:val="28"/>
          <w:szCs w:val="28"/>
          <w:lang w:eastAsia="zh-TW"/>
        </w:rPr>
        <w:t>.</w:t>
      </w:r>
    </w:p>
    <w:p w14:paraId="7CC1D17D" w14:textId="77777777" w:rsidR="00B766E7" w:rsidRPr="00B766E7" w:rsidRDefault="003F2BC9" w:rsidP="003F2BC9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В настоящее время</w:t>
      </w:r>
      <w:r w:rsidR="002B690A">
        <w:rPr>
          <w:sz w:val="28"/>
          <w:szCs w:val="28"/>
          <w:lang w:eastAsia="zh-TW"/>
        </w:rPr>
        <w:t xml:space="preserve"> удержание</w:t>
      </w:r>
      <w:r w:rsidR="00B766E7">
        <w:rPr>
          <w:sz w:val="28"/>
          <w:szCs w:val="28"/>
          <w:lang w:eastAsia="zh-TW"/>
        </w:rPr>
        <w:t xml:space="preserve"> цен на китайский газ </w:t>
      </w:r>
      <w:r>
        <w:rPr>
          <w:sz w:val="28"/>
          <w:szCs w:val="28"/>
          <w:lang w:eastAsia="zh-TW"/>
        </w:rPr>
        <w:t>низкими и возмещение убытков от импорт</w:t>
      </w:r>
      <w:r w:rsidR="002B690A">
        <w:rPr>
          <w:sz w:val="28"/>
          <w:szCs w:val="28"/>
          <w:lang w:eastAsia="zh-TW"/>
        </w:rPr>
        <w:t>а</w:t>
      </w:r>
      <w:r>
        <w:rPr>
          <w:sz w:val="28"/>
          <w:szCs w:val="28"/>
          <w:lang w:eastAsia="zh-TW"/>
        </w:rPr>
        <w:t xml:space="preserve"> иностранного газ</w:t>
      </w:r>
      <w:r w:rsidR="00E7522C">
        <w:rPr>
          <w:sz w:val="28"/>
          <w:szCs w:val="28"/>
          <w:lang w:eastAsia="zh-TW"/>
        </w:rPr>
        <w:t xml:space="preserve">а стимулирует его потребление и </w:t>
      </w:r>
      <w:r>
        <w:rPr>
          <w:sz w:val="28"/>
          <w:szCs w:val="28"/>
          <w:lang w:eastAsia="zh-TW"/>
        </w:rPr>
        <w:t>переключение с угля на газ. Однако в дальнейшем правительством планируется снизить контроль над рынком газа.</w:t>
      </w:r>
    </w:p>
    <w:p w14:paraId="328EA29F" w14:textId="345D5653" w:rsidR="00537EB3" w:rsidRDefault="00A86B26" w:rsidP="00D529BC">
      <w:pPr>
        <w:spacing w:after="120" w:line="360" w:lineRule="auto"/>
        <w:ind w:firstLine="709"/>
        <w:jc w:val="both"/>
        <w:rPr>
          <w:rFonts w:eastAsia="MS Gothic"/>
          <w:bCs/>
          <w:iCs/>
          <w:sz w:val="28"/>
          <w:szCs w:val="28"/>
          <w:lang w:eastAsia="zh-TW"/>
        </w:rPr>
      </w:pPr>
      <w:r>
        <w:rPr>
          <w:rFonts w:eastAsia="MS Gothic"/>
          <w:bCs/>
          <w:iCs/>
          <w:sz w:val="28"/>
          <w:szCs w:val="28"/>
          <w:lang w:eastAsia="zh-TW"/>
        </w:rPr>
        <w:t>Пока с</w:t>
      </w:r>
      <w:r w:rsidR="00E7522C">
        <w:rPr>
          <w:rFonts w:eastAsia="MS Gothic"/>
          <w:bCs/>
          <w:iCs/>
          <w:sz w:val="28"/>
          <w:szCs w:val="28"/>
          <w:lang w:eastAsia="zh-TW"/>
        </w:rPr>
        <w:t>тратегия</w:t>
      </w:r>
      <w:r w:rsidR="003F2BC9">
        <w:rPr>
          <w:rFonts w:eastAsia="MS Gothic"/>
          <w:bCs/>
          <w:iCs/>
          <w:sz w:val="28"/>
          <w:szCs w:val="28"/>
          <w:lang w:eastAsia="zh-TW"/>
        </w:rPr>
        <w:t xml:space="preserve"> </w:t>
      </w:r>
      <w:r w:rsidR="008A6BA4">
        <w:rPr>
          <w:rFonts w:eastAsia="MS Gothic"/>
          <w:bCs/>
          <w:iCs/>
          <w:sz w:val="28"/>
          <w:szCs w:val="28"/>
          <w:lang w:eastAsia="zh-TW"/>
        </w:rPr>
        <w:t xml:space="preserve">либерализации </w:t>
      </w:r>
      <w:r w:rsidR="003F2BC9">
        <w:rPr>
          <w:rFonts w:eastAsia="MS Gothic"/>
          <w:bCs/>
          <w:iCs/>
          <w:sz w:val="28"/>
          <w:szCs w:val="28"/>
          <w:lang w:eastAsia="zh-TW"/>
        </w:rPr>
        <w:t xml:space="preserve">включает два </w:t>
      </w:r>
      <w:proofErr w:type="spellStart"/>
      <w:r w:rsidR="003F2BC9">
        <w:rPr>
          <w:rFonts w:eastAsia="MS Gothic"/>
          <w:bCs/>
          <w:iCs/>
          <w:sz w:val="28"/>
          <w:szCs w:val="28"/>
          <w:lang w:eastAsia="zh-TW"/>
        </w:rPr>
        <w:t>эксперимент</w:t>
      </w:r>
      <w:r w:rsidR="00C00110">
        <w:rPr>
          <w:rFonts w:eastAsia="MS Gothic"/>
          <w:bCs/>
          <w:iCs/>
          <w:sz w:val="28"/>
          <w:szCs w:val="28"/>
          <w:lang w:eastAsia="zh-TW"/>
        </w:rPr>
        <w:t>н</w:t>
      </w:r>
      <w:r w:rsidR="003F2BC9">
        <w:rPr>
          <w:rFonts w:eastAsia="MS Gothic"/>
          <w:bCs/>
          <w:iCs/>
          <w:sz w:val="28"/>
          <w:szCs w:val="28"/>
          <w:lang w:eastAsia="zh-TW"/>
        </w:rPr>
        <w:t>ых</w:t>
      </w:r>
      <w:proofErr w:type="spellEnd"/>
      <w:r w:rsidR="003F2BC9">
        <w:rPr>
          <w:rFonts w:eastAsia="MS Gothic"/>
          <w:bCs/>
          <w:iCs/>
          <w:sz w:val="28"/>
          <w:szCs w:val="28"/>
          <w:lang w:eastAsia="zh-TW"/>
        </w:rPr>
        <w:t xml:space="preserve"> направления: </w:t>
      </w:r>
      <w:r w:rsidR="00D529BC">
        <w:rPr>
          <w:rFonts w:eastAsia="MS Gothic"/>
          <w:bCs/>
          <w:iCs/>
          <w:sz w:val="28"/>
          <w:szCs w:val="28"/>
          <w:lang w:eastAsia="zh-TW"/>
        </w:rPr>
        <w:t xml:space="preserve">открытие </w:t>
      </w:r>
      <w:r w:rsidR="00E7522C">
        <w:rPr>
          <w:rFonts w:eastAsia="MS Gothic"/>
          <w:bCs/>
          <w:iCs/>
          <w:sz w:val="28"/>
          <w:szCs w:val="28"/>
          <w:lang w:eastAsia="zh-TW"/>
        </w:rPr>
        <w:t>терминала</w:t>
      </w:r>
      <w:r w:rsidR="00D529BC">
        <w:rPr>
          <w:rFonts w:eastAsia="MS Gothic"/>
          <w:bCs/>
          <w:iCs/>
          <w:sz w:val="28"/>
          <w:szCs w:val="28"/>
          <w:lang w:eastAsia="zh-TW"/>
        </w:rPr>
        <w:t xml:space="preserve"> </w:t>
      </w:r>
      <w:proofErr w:type="spellStart"/>
      <w:r w:rsidR="00D529BC">
        <w:rPr>
          <w:rFonts w:eastAsia="MS Gothic"/>
          <w:bCs/>
          <w:iCs/>
          <w:sz w:val="28"/>
          <w:szCs w:val="28"/>
          <w:lang w:eastAsia="zh-TW"/>
        </w:rPr>
        <w:t>спотовой</w:t>
      </w:r>
      <w:proofErr w:type="spellEnd"/>
      <w:r w:rsidR="00D529BC">
        <w:rPr>
          <w:rFonts w:eastAsia="MS Gothic"/>
          <w:bCs/>
          <w:iCs/>
          <w:sz w:val="28"/>
          <w:szCs w:val="28"/>
          <w:lang w:eastAsia="zh-TW"/>
        </w:rPr>
        <w:t xml:space="preserve"> торговли СПГ и СНГ в Шанхае и </w:t>
      </w:r>
      <w:r w:rsidR="008A6BA4">
        <w:rPr>
          <w:rFonts w:eastAsia="MS Gothic"/>
          <w:bCs/>
          <w:iCs/>
          <w:sz w:val="28"/>
          <w:szCs w:val="28"/>
          <w:lang w:eastAsia="zh-TW"/>
        </w:rPr>
        <w:t>пилотные проекты определения конечных це</w:t>
      </w:r>
      <w:r w:rsidR="003F2BC9">
        <w:rPr>
          <w:rFonts w:eastAsia="MS Gothic"/>
          <w:bCs/>
          <w:iCs/>
          <w:sz w:val="28"/>
          <w:szCs w:val="28"/>
          <w:lang w:eastAsia="zh-TW"/>
        </w:rPr>
        <w:t xml:space="preserve">н в провинциях </w:t>
      </w:r>
      <w:proofErr w:type="spellStart"/>
      <w:r w:rsidR="003F2BC9">
        <w:rPr>
          <w:rFonts w:eastAsia="MS Gothic"/>
          <w:bCs/>
          <w:iCs/>
          <w:sz w:val="28"/>
          <w:szCs w:val="28"/>
          <w:lang w:eastAsia="zh-TW"/>
        </w:rPr>
        <w:t>Гуанси</w:t>
      </w:r>
      <w:proofErr w:type="spellEnd"/>
      <w:r w:rsidR="003F2BC9">
        <w:rPr>
          <w:rFonts w:eastAsia="MS Gothic"/>
          <w:bCs/>
          <w:iCs/>
          <w:sz w:val="28"/>
          <w:szCs w:val="28"/>
          <w:lang w:eastAsia="zh-TW"/>
        </w:rPr>
        <w:t xml:space="preserve"> и </w:t>
      </w:r>
      <w:proofErr w:type="spellStart"/>
      <w:r w:rsidR="003F2BC9">
        <w:rPr>
          <w:rFonts w:eastAsia="MS Gothic"/>
          <w:bCs/>
          <w:iCs/>
          <w:sz w:val="28"/>
          <w:szCs w:val="28"/>
          <w:lang w:eastAsia="zh-TW"/>
        </w:rPr>
        <w:t>Гуан</w:t>
      </w:r>
      <w:r w:rsidR="00D529BC">
        <w:rPr>
          <w:rFonts w:eastAsia="MS Gothic"/>
          <w:bCs/>
          <w:iCs/>
          <w:sz w:val="28"/>
          <w:szCs w:val="28"/>
          <w:lang w:eastAsia="zh-TW"/>
        </w:rPr>
        <w:t>дун</w:t>
      </w:r>
      <w:proofErr w:type="spellEnd"/>
      <w:r w:rsidR="003F2BC9">
        <w:rPr>
          <w:rFonts w:eastAsia="MS Gothic"/>
          <w:bCs/>
          <w:iCs/>
          <w:sz w:val="28"/>
          <w:szCs w:val="28"/>
          <w:lang w:eastAsia="zh-TW"/>
        </w:rPr>
        <w:t>.</w:t>
      </w:r>
      <w:r w:rsidR="00C00110">
        <w:rPr>
          <w:rFonts w:eastAsia="MS Gothic"/>
          <w:bCs/>
          <w:iCs/>
          <w:sz w:val="28"/>
          <w:szCs w:val="28"/>
          <w:lang w:eastAsia="zh-TW"/>
        </w:rPr>
        <w:t xml:space="preserve"> П</w:t>
      </w:r>
      <w:r w:rsidR="00D529BC">
        <w:rPr>
          <w:rFonts w:eastAsia="MS Gothic"/>
          <w:bCs/>
          <w:iCs/>
          <w:sz w:val="28"/>
          <w:szCs w:val="28"/>
          <w:lang w:eastAsia="zh-TW"/>
        </w:rPr>
        <w:t>оследний</w:t>
      </w:r>
      <w:r w:rsidR="00C00110">
        <w:rPr>
          <w:rFonts w:eastAsia="MS Gothic"/>
          <w:bCs/>
          <w:iCs/>
          <w:sz w:val="28"/>
          <w:szCs w:val="28"/>
          <w:lang w:eastAsia="zh-TW"/>
        </w:rPr>
        <w:t xml:space="preserve"> подразумевает привязку </w:t>
      </w:r>
      <w:r w:rsidR="00E7522C">
        <w:rPr>
          <w:rFonts w:eastAsia="MS Gothic"/>
          <w:bCs/>
          <w:iCs/>
          <w:sz w:val="28"/>
          <w:szCs w:val="28"/>
          <w:lang w:eastAsia="zh-TW"/>
        </w:rPr>
        <w:t xml:space="preserve">цены газа </w:t>
      </w:r>
      <w:r w:rsidR="00E7522C">
        <w:rPr>
          <w:rFonts w:eastAsia="MS Gothic"/>
          <w:bCs/>
          <w:iCs/>
          <w:sz w:val="28"/>
          <w:szCs w:val="28"/>
          <w:lang w:val="en-US" w:eastAsia="zh-TW"/>
        </w:rPr>
        <w:t>city</w:t>
      </w:r>
      <w:r w:rsidR="00E7522C" w:rsidRPr="003F0512">
        <w:rPr>
          <w:rFonts w:eastAsia="MS Gothic"/>
          <w:bCs/>
          <w:iCs/>
          <w:sz w:val="28"/>
          <w:szCs w:val="28"/>
          <w:lang w:eastAsia="zh-TW"/>
        </w:rPr>
        <w:t xml:space="preserve"> </w:t>
      </w:r>
      <w:r w:rsidR="00E7522C">
        <w:rPr>
          <w:rFonts w:eastAsia="MS Gothic"/>
          <w:bCs/>
          <w:iCs/>
          <w:sz w:val="28"/>
          <w:szCs w:val="28"/>
          <w:lang w:val="en-US" w:eastAsia="zh-TW"/>
        </w:rPr>
        <w:t>gate</w:t>
      </w:r>
      <w:r w:rsidR="00C00110" w:rsidRPr="003F0512">
        <w:rPr>
          <w:rFonts w:eastAsia="MS Gothic"/>
          <w:bCs/>
          <w:iCs/>
          <w:sz w:val="28"/>
          <w:szCs w:val="28"/>
          <w:lang w:eastAsia="zh-TW"/>
        </w:rPr>
        <w:t xml:space="preserve"> </w:t>
      </w:r>
      <w:r w:rsidR="00C00110">
        <w:rPr>
          <w:rFonts w:eastAsia="MS Gothic"/>
          <w:bCs/>
          <w:iCs/>
          <w:sz w:val="28"/>
          <w:szCs w:val="28"/>
          <w:lang w:eastAsia="zh-TW"/>
        </w:rPr>
        <w:t>на 60% к цене нефти и 40% – сжиженному нефтяному газу, что отражает конкуренцию газа с этими источниками в промышленном и потребительском</w:t>
      </w:r>
      <w:r w:rsidR="00537EB3">
        <w:rPr>
          <w:rFonts w:eastAsia="MS Gothic"/>
          <w:bCs/>
          <w:iCs/>
          <w:sz w:val="28"/>
          <w:szCs w:val="28"/>
          <w:lang w:eastAsia="zh-TW"/>
        </w:rPr>
        <w:t xml:space="preserve"> секторе соответственно, но не отражает конкуренцию </w:t>
      </w:r>
      <w:r w:rsidR="00D529BC">
        <w:rPr>
          <w:rFonts w:eastAsia="MS Gothic"/>
          <w:bCs/>
          <w:iCs/>
          <w:sz w:val="28"/>
          <w:szCs w:val="28"/>
          <w:lang w:eastAsia="zh-TW"/>
        </w:rPr>
        <w:t>с углем.</w:t>
      </w:r>
    </w:p>
    <w:p w14:paraId="25016B21" w14:textId="4DEAE2A2" w:rsidR="00333A15" w:rsidRDefault="004630FA" w:rsidP="00333A15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Итак, </w:t>
      </w:r>
      <w:proofErr w:type="spellStart"/>
      <w:r>
        <w:rPr>
          <w:sz w:val="28"/>
          <w:szCs w:val="28"/>
        </w:rPr>
        <w:t>межтопливная</w:t>
      </w:r>
      <w:proofErr w:type="spellEnd"/>
      <w:r>
        <w:rPr>
          <w:sz w:val="28"/>
          <w:szCs w:val="28"/>
        </w:rPr>
        <w:t xml:space="preserve"> конкуренция угля и газа проявляется прежде всего в электроэнергетике, так как </w:t>
      </w:r>
      <w:r w:rsidR="00333A15">
        <w:rPr>
          <w:sz w:val="28"/>
          <w:szCs w:val="28"/>
        </w:rPr>
        <w:t xml:space="preserve">тепловые электростанции используют как уголь, так и газ в качестве котельно-печного топлива. Это сильно зависит от региона их расположения. </w:t>
      </w:r>
      <w:r w:rsidR="00E7522C">
        <w:rPr>
          <w:sz w:val="28"/>
          <w:szCs w:val="28"/>
        </w:rPr>
        <w:t>Н</w:t>
      </w:r>
      <w:r w:rsidR="00333A15">
        <w:rPr>
          <w:sz w:val="28"/>
          <w:szCs w:val="28"/>
        </w:rPr>
        <w:t xml:space="preserve">а севере, где находится старая база тяжелой промышленности, отсутствуют источники природного газа и отопление осуществляется углем. На западе, напротив, доля газа высока, так как там находятся провинции </w:t>
      </w:r>
      <w:proofErr w:type="spellStart"/>
      <w:r w:rsidR="00333A15">
        <w:rPr>
          <w:sz w:val="28"/>
          <w:szCs w:val="28"/>
        </w:rPr>
        <w:t>Цинхай</w:t>
      </w:r>
      <w:proofErr w:type="spellEnd"/>
      <w:r w:rsidR="00333A15">
        <w:rPr>
          <w:sz w:val="28"/>
          <w:szCs w:val="28"/>
        </w:rPr>
        <w:t xml:space="preserve">, Сычуань и </w:t>
      </w:r>
      <w:proofErr w:type="spellStart"/>
      <w:r w:rsidR="00333A15">
        <w:rPr>
          <w:sz w:val="28"/>
          <w:szCs w:val="28"/>
        </w:rPr>
        <w:t>Синцзян</w:t>
      </w:r>
      <w:proofErr w:type="spellEnd"/>
      <w:r w:rsidR="00333A15">
        <w:rPr>
          <w:sz w:val="28"/>
          <w:szCs w:val="28"/>
        </w:rPr>
        <w:t>-Уйгурский авто</w:t>
      </w:r>
      <w:r w:rsidR="00CB0C3F">
        <w:rPr>
          <w:sz w:val="28"/>
          <w:szCs w:val="28"/>
        </w:rPr>
        <w:t>номный район, производящие газ.</w:t>
      </w:r>
      <w:r w:rsidR="00333A15">
        <w:rPr>
          <w:sz w:val="28"/>
          <w:szCs w:val="28"/>
        </w:rPr>
        <w:t xml:space="preserve"> В восточных провинциях высокий уровень экономического развития также позволяет повышать долю газа в производстве энергии</w:t>
      </w:r>
      <w:r w:rsidR="0012537E">
        <w:rPr>
          <w:rStyle w:val="FootnoteReference"/>
          <w:sz w:val="28"/>
          <w:szCs w:val="28"/>
        </w:rPr>
        <w:footnoteReference w:id="50"/>
      </w:r>
      <w:r w:rsidR="00333A15">
        <w:rPr>
          <w:sz w:val="28"/>
          <w:szCs w:val="28"/>
        </w:rPr>
        <w:t xml:space="preserve">. </w:t>
      </w:r>
    </w:p>
    <w:p w14:paraId="4277A1C3" w14:textId="3C7F0A8E" w:rsidR="00106F1E" w:rsidRDefault="004630FA" w:rsidP="00D529BC">
      <w:pPr>
        <w:spacing w:after="120" w:line="360" w:lineRule="auto"/>
        <w:ind w:firstLine="709"/>
        <w:jc w:val="both"/>
        <w:rPr>
          <w:rFonts w:eastAsia="MS Gothic"/>
          <w:bCs/>
          <w:iCs/>
          <w:sz w:val="28"/>
          <w:szCs w:val="28"/>
          <w:lang w:eastAsia="zh-TW"/>
        </w:rPr>
      </w:pPr>
      <w:r>
        <w:rPr>
          <w:rFonts w:eastAsia="MS Gothic"/>
          <w:bCs/>
          <w:iCs/>
          <w:sz w:val="28"/>
          <w:szCs w:val="28"/>
          <w:lang w:eastAsia="zh-TW"/>
        </w:rPr>
        <w:t>Электроэнергетический сектор признан драйвером роста потребления газа в Китае как в прогнозах МЭА, так и</w:t>
      </w:r>
      <w:r w:rsidR="00106F1E">
        <w:rPr>
          <w:rFonts w:eastAsia="MS Gothic"/>
          <w:bCs/>
          <w:iCs/>
          <w:sz w:val="28"/>
          <w:szCs w:val="28"/>
          <w:lang w:eastAsia="zh-TW"/>
        </w:rPr>
        <w:t xml:space="preserve"> в долгосрочной стратегии развития электроэнергетики Китая, согласно которой мощность газовых электростанций предполагается увеличить до 70 ГВт к 2020 году.</w:t>
      </w:r>
      <w:r w:rsidR="0051091F">
        <w:rPr>
          <w:rFonts w:eastAsia="MS Gothic"/>
          <w:bCs/>
          <w:iCs/>
          <w:sz w:val="28"/>
          <w:szCs w:val="28"/>
          <w:lang w:eastAsia="zh-TW"/>
        </w:rPr>
        <w:t xml:space="preserve"> </w:t>
      </w:r>
      <w:r w:rsidR="001E7F74">
        <w:rPr>
          <w:rFonts w:eastAsia="MS Gothic"/>
          <w:bCs/>
          <w:iCs/>
          <w:sz w:val="28"/>
          <w:szCs w:val="28"/>
          <w:lang w:eastAsia="zh-TW"/>
        </w:rPr>
        <w:t xml:space="preserve">Однако сейчас цена на электроэнергию, произведенную </w:t>
      </w:r>
      <w:r w:rsidR="001B4126">
        <w:rPr>
          <w:rFonts w:eastAsia="MS Gothic"/>
          <w:bCs/>
          <w:iCs/>
          <w:sz w:val="28"/>
          <w:szCs w:val="28"/>
          <w:lang w:eastAsia="zh-TW"/>
        </w:rPr>
        <w:t>на газовых станциях</w:t>
      </w:r>
      <w:r w:rsidR="00E7522C">
        <w:rPr>
          <w:rFonts w:eastAsia="MS Gothic"/>
          <w:bCs/>
          <w:iCs/>
          <w:sz w:val="28"/>
          <w:szCs w:val="28"/>
          <w:lang w:eastAsia="zh-TW"/>
        </w:rPr>
        <w:t>,</w:t>
      </w:r>
      <w:r w:rsidR="001B4126">
        <w:rPr>
          <w:rFonts w:eastAsia="MS Gothic"/>
          <w:bCs/>
          <w:iCs/>
          <w:sz w:val="28"/>
          <w:szCs w:val="28"/>
          <w:lang w:eastAsia="zh-TW"/>
        </w:rPr>
        <w:t xml:space="preserve"> </w:t>
      </w:r>
      <w:r w:rsidR="001E7F74">
        <w:rPr>
          <w:rFonts w:eastAsia="MS Gothic"/>
          <w:bCs/>
          <w:iCs/>
          <w:sz w:val="28"/>
          <w:szCs w:val="28"/>
          <w:lang w:eastAsia="zh-TW"/>
        </w:rPr>
        <w:t>в 2 раза выше цены электроэнергии, произведенной на угольных.</w:t>
      </w:r>
    </w:p>
    <w:p w14:paraId="02858857" w14:textId="77777777" w:rsidR="00393143" w:rsidRDefault="002B690A" w:rsidP="002B690A">
      <w:pPr>
        <w:spacing w:after="120" w:line="360" w:lineRule="auto"/>
        <w:ind w:firstLine="709"/>
        <w:jc w:val="both"/>
        <w:rPr>
          <w:rFonts w:eastAsia="MS Gothic"/>
          <w:bCs/>
          <w:iCs/>
          <w:sz w:val="28"/>
          <w:szCs w:val="28"/>
          <w:lang w:eastAsia="zh-TW"/>
        </w:rPr>
      </w:pPr>
      <w:r>
        <w:rPr>
          <w:rFonts w:eastAsia="MS Gothic"/>
          <w:bCs/>
          <w:iCs/>
          <w:sz w:val="28"/>
          <w:szCs w:val="28"/>
          <w:lang w:eastAsia="zh-TW"/>
        </w:rPr>
        <w:t>Развитие потреб</w:t>
      </w:r>
      <w:r w:rsidR="00E7522C">
        <w:rPr>
          <w:rFonts w:eastAsia="MS Gothic"/>
          <w:bCs/>
          <w:iCs/>
          <w:sz w:val="28"/>
          <w:szCs w:val="28"/>
          <w:lang w:eastAsia="zh-TW"/>
        </w:rPr>
        <w:t>ления</w:t>
      </w:r>
      <w:r>
        <w:rPr>
          <w:rFonts w:eastAsia="MS Gothic"/>
          <w:bCs/>
          <w:iCs/>
          <w:sz w:val="28"/>
          <w:szCs w:val="28"/>
          <w:lang w:eastAsia="zh-TW"/>
        </w:rPr>
        <w:t xml:space="preserve"> газа в Китае также будет зависе</w:t>
      </w:r>
      <w:r w:rsidR="00671910">
        <w:rPr>
          <w:rFonts w:eastAsia="MS Gothic"/>
          <w:bCs/>
          <w:iCs/>
          <w:sz w:val="28"/>
          <w:szCs w:val="28"/>
          <w:lang w:eastAsia="zh-TW"/>
        </w:rPr>
        <w:t>т</w:t>
      </w:r>
      <w:r>
        <w:rPr>
          <w:rFonts w:eastAsia="MS Gothic"/>
          <w:bCs/>
          <w:iCs/>
          <w:sz w:val="28"/>
          <w:szCs w:val="28"/>
          <w:lang w:eastAsia="zh-TW"/>
        </w:rPr>
        <w:t>ь</w:t>
      </w:r>
      <w:r w:rsidR="00671910">
        <w:rPr>
          <w:rFonts w:eastAsia="MS Gothic"/>
          <w:bCs/>
          <w:iCs/>
          <w:sz w:val="28"/>
          <w:szCs w:val="28"/>
          <w:lang w:eastAsia="zh-TW"/>
        </w:rPr>
        <w:t xml:space="preserve"> от возможности добычи сланцевого газа в Китае</w:t>
      </w:r>
      <w:r w:rsidR="007A7215">
        <w:rPr>
          <w:rFonts w:eastAsia="MS Gothic"/>
          <w:bCs/>
          <w:iCs/>
          <w:sz w:val="28"/>
          <w:szCs w:val="28"/>
          <w:lang w:eastAsia="zh-TW"/>
        </w:rPr>
        <w:t xml:space="preserve"> и его себестоимости</w:t>
      </w:r>
      <w:r w:rsidR="00671910">
        <w:rPr>
          <w:rFonts w:eastAsia="MS Gothic"/>
          <w:bCs/>
          <w:iCs/>
          <w:sz w:val="28"/>
          <w:szCs w:val="28"/>
          <w:lang w:eastAsia="zh-TW"/>
        </w:rPr>
        <w:t>. По экспертным оценкам,</w:t>
      </w:r>
      <w:r w:rsidR="007A7215">
        <w:rPr>
          <w:rFonts w:eastAsia="MS Gothic"/>
          <w:bCs/>
          <w:iCs/>
          <w:sz w:val="28"/>
          <w:szCs w:val="28"/>
          <w:lang w:eastAsia="zh-TW"/>
        </w:rPr>
        <w:t xml:space="preserve"> себестоимость сланцевого газа, например, в Сычуани составит от 6 до 12 долл./</w:t>
      </w:r>
      <w:proofErr w:type="spellStart"/>
      <w:r w:rsidR="007A7215">
        <w:rPr>
          <w:rFonts w:eastAsia="MS Gothic"/>
          <w:bCs/>
          <w:iCs/>
          <w:sz w:val="28"/>
          <w:szCs w:val="28"/>
          <w:lang w:eastAsia="zh-TW"/>
        </w:rPr>
        <w:t>мбте</w:t>
      </w:r>
      <w:proofErr w:type="spellEnd"/>
      <w:r w:rsidR="007A7215">
        <w:rPr>
          <w:rFonts w:eastAsia="MS Gothic"/>
          <w:bCs/>
          <w:iCs/>
          <w:sz w:val="28"/>
          <w:szCs w:val="28"/>
          <w:lang w:eastAsia="zh-TW"/>
        </w:rPr>
        <w:t xml:space="preserve"> (себестоимость традиционного газа в этой провинции равна 4-5 долл./</w:t>
      </w:r>
      <w:proofErr w:type="spellStart"/>
      <w:r w:rsidR="007A7215">
        <w:rPr>
          <w:rFonts w:eastAsia="MS Gothic"/>
          <w:bCs/>
          <w:iCs/>
          <w:sz w:val="28"/>
          <w:szCs w:val="28"/>
          <w:lang w:eastAsia="zh-TW"/>
        </w:rPr>
        <w:t>мбте</w:t>
      </w:r>
      <w:proofErr w:type="spellEnd"/>
      <w:r w:rsidR="007A7215">
        <w:rPr>
          <w:rFonts w:eastAsia="MS Gothic"/>
          <w:bCs/>
          <w:iCs/>
          <w:sz w:val="28"/>
          <w:szCs w:val="28"/>
          <w:lang w:eastAsia="zh-TW"/>
        </w:rPr>
        <w:t>),</w:t>
      </w:r>
      <w:r w:rsidR="00671910">
        <w:rPr>
          <w:rFonts w:eastAsia="MS Gothic"/>
          <w:bCs/>
          <w:iCs/>
          <w:sz w:val="28"/>
          <w:szCs w:val="28"/>
          <w:lang w:eastAsia="zh-TW"/>
        </w:rPr>
        <w:t xml:space="preserve"> </w:t>
      </w:r>
      <w:r>
        <w:rPr>
          <w:rFonts w:eastAsia="MS Gothic"/>
          <w:bCs/>
          <w:iCs/>
          <w:sz w:val="28"/>
          <w:szCs w:val="28"/>
          <w:lang w:eastAsia="zh-TW"/>
        </w:rPr>
        <w:t xml:space="preserve">и </w:t>
      </w:r>
      <w:r w:rsidR="007A7215">
        <w:rPr>
          <w:rFonts w:eastAsia="MS Gothic"/>
          <w:bCs/>
          <w:iCs/>
          <w:sz w:val="28"/>
          <w:szCs w:val="28"/>
          <w:lang w:eastAsia="zh-TW"/>
        </w:rPr>
        <w:t xml:space="preserve">как следствие, конкурентоспособная </w:t>
      </w:r>
      <w:r w:rsidR="00E7522C">
        <w:rPr>
          <w:rFonts w:eastAsia="MS Gothic"/>
          <w:bCs/>
          <w:iCs/>
          <w:sz w:val="28"/>
          <w:szCs w:val="28"/>
          <w:lang w:eastAsia="zh-TW"/>
        </w:rPr>
        <w:t xml:space="preserve">цена установится на уровне </w:t>
      </w:r>
      <w:r w:rsidR="00671910" w:rsidRPr="003F0512">
        <w:rPr>
          <w:rFonts w:eastAsia="MS Gothic"/>
          <w:bCs/>
          <w:iCs/>
          <w:sz w:val="28"/>
          <w:szCs w:val="28"/>
          <w:lang w:eastAsia="zh-TW"/>
        </w:rPr>
        <w:t>7-9</w:t>
      </w:r>
      <w:r w:rsidR="007A7215" w:rsidRPr="003F0512">
        <w:rPr>
          <w:rFonts w:eastAsia="MS Gothic"/>
          <w:bCs/>
          <w:iCs/>
          <w:sz w:val="28"/>
          <w:szCs w:val="28"/>
          <w:lang w:eastAsia="zh-TW"/>
        </w:rPr>
        <w:t xml:space="preserve"> долл./</w:t>
      </w:r>
      <w:proofErr w:type="spellStart"/>
      <w:r w:rsidR="007A7215" w:rsidRPr="003F0512">
        <w:rPr>
          <w:rFonts w:eastAsia="MS Gothic"/>
          <w:bCs/>
          <w:iCs/>
          <w:sz w:val="28"/>
          <w:szCs w:val="28"/>
          <w:lang w:eastAsia="zh-TW"/>
        </w:rPr>
        <w:t>мбте</w:t>
      </w:r>
      <w:proofErr w:type="spellEnd"/>
      <w:r w:rsidR="007A7215" w:rsidRPr="003F0512">
        <w:rPr>
          <w:rFonts w:eastAsia="MS Gothic"/>
          <w:bCs/>
          <w:iCs/>
          <w:sz w:val="28"/>
          <w:szCs w:val="28"/>
          <w:lang w:eastAsia="zh-TW"/>
        </w:rPr>
        <w:t>.</w:t>
      </w:r>
    </w:p>
    <w:p w14:paraId="6124CDCB" w14:textId="5E012EE1" w:rsidR="00A86B26" w:rsidRPr="004630FA" w:rsidRDefault="004630FA" w:rsidP="004630FA">
      <w:pPr>
        <w:spacing w:after="120" w:line="360" w:lineRule="auto"/>
        <w:ind w:firstLine="709"/>
        <w:jc w:val="both"/>
        <w:rPr>
          <w:rFonts w:eastAsia="MS Gothic"/>
          <w:bCs/>
          <w:iCs/>
          <w:sz w:val="28"/>
          <w:szCs w:val="28"/>
          <w:lang w:eastAsia="zh-TW"/>
        </w:rPr>
      </w:pPr>
      <w:r>
        <w:rPr>
          <w:rFonts w:eastAsia="MS Gothic"/>
          <w:bCs/>
          <w:iCs/>
          <w:sz w:val="28"/>
          <w:szCs w:val="28"/>
          <w:lang w:eastAsia="zh-TW"/>
        </w:rPr>
        <w:t xml:space="preserve">Для понимания масштабов </w:t>
      </w:r>
      <w:proofErr w:type="spellStart"/>
      <w:r>
        <w:rPr>
          <w:rFonts w:eastAsia="MS Gothic"/>
          <w:bCs/>
          <w:iCs/>
          <w:sz w:val="28"/>
          <w:szCs w:val="28"/>
          <w:lang w:eastAsia="zh-TW"/>
        </w:rPr>
        <w:t>межтопливной</w:t>
      </w:r>
      <w:proofErr w:type="spellEnd"/>
      <w:r>
        <w:rPr>
          <w:rFonts w:eastAsia="MS Gothic"/>
          <w:bCs/>
          <w:iCs/>
          <w:sz w:val="28"/>
          <w:szCs w:val="28"/>
          <w:lang w:eastAsia="zh-TW"/>
        </w:rPr>
        <w:t xml:space="preserve"> конкуренции между углем и газом, необходимо учитывать ряд ценовых и неценовых факторов (см. Табл. 12). Области применения газа включают многие области применения угля, самой перспективной для переключения считается электроэнергетика. Сжигание газа производит </w:t>
      </w:r>
      <w:r w:rsidR="00460AB9">
        <w:rPr>
          <w:rFonts w:eastAsia="MS Gothic"/>
          <w:bCs/>
          <w:iCs/>
          <w:sz w:val="28"/>
          <w:szCs w:val="28"/>
          <w:lang w:eastAsia="zh-TW"/>
        </w:rPr>
        <w:t>намного</w:t>
      </w:r>
      <w:r>
        <w:rPr>
          <w:rFonts w:eastAsia="MS Gothic"/>
          <w:bCs/>
          <w:iCs/>
          <w:sz w:val="28"/>
          <w:szCs w:val="28"/>
          <w:lang w:eastAsia="zh-TW"/>
        </w:rPr>
        <w:t xml:space="preserve"> больше энергии и меньше выбросов, чем сжигание угля, поэтому газ является более выгодным топливом с точки </w:t>
      </w:r>
      <w:r>
        <w:rPr>
          <w:rFonts w:eastAsia="MS Gothic"/>
          <w:bCs/>
          <w:iCs/>
          <w:sz w:val="28"/>
          <w:szCs w:val="28"/>
          <w:lang w:eastAsia="zh-TW"/>
        </w:rPr>
        <w:lastRenderedPageBreak/>
        <w:t xml:space="preserve">зрения качества и экологии, а также поощряется политическими инициативами. </w:t>
      </w:r>
    </w:p>
    <w:p w14:paraId="57CC248E" w14:textId="7BC574F5" w:rsidR="00974B0E" w:rsidRPr="00974B0E" w:rsidRDefault="00974B0E" w:rsidP="00974B0E">
      <w:pPr>
        <w:spacing w:after="120" w:line="360" w:lineRule="auto"/>
        <w:jc w:val="both"/>
        <w:rPr>
          <w:rFonts w:eastAsia="MS Gothic"/>
          <w:b/>
          <w:bCs/>
          <w:iCs/>
          <w:sz w:val="28"/>
          <w:szCs w:val="28"/>
          <w:lang w:eastAsia="zh-TW"/>
        </w:rPr>
      </w:pPr>
      <w:r w:rsidRPr="00974B0E">
        <w:rPr>
          <w:rFonts w:eastAsia="MS Gothic"/>
          <w:b/>
          <w:bCs/>
          <w:iCs/>
          <w:sz w:val="28"/>
          <w:szCs w:val="28"/>
          <w:lang w:eastAsia="zh-TW"/>
        </w:rPr>
        <w:t>Таблица</w:t>
      </w:r>
      <w:r>
        <w:rPr>
          <w:rFonts w:eastAsia="MS Gothic"/>
          <w:b/>
          <w:bCs/>
          <w:iCs/>
          <w:sz w:val="28"/>
          <w:szCs w:val="28"/>
          <w:lang w:eastAsia="zh-TW"/>
        </w:rPr>
        <w:t xml:space="preserve"> 12. Сравнительная</w:t>
      </w:r>
      <w:r w:rsidRPr="00974B0E">
        <w:rPr>
          <w:rFonts w:eastAsia="MS Gothic"/>
          <w:b/>
          <w:bCs/>
          <w:iCs/>
          <w:sz w:val="28"/>
          <w:szCs w:val="28"/>
          <w:lang w:eastAsia="zh-TW"/>
        </w:rPr>
        <w:t xml:space="preserve"> характеристика </w:t>
      </w:r>
      <w:r w:rsidR="00C0230F">
        <w:rPr>
          <w:rFonts w:eastAsia="MS Gothic"/>
          <w:b/>
          <w:bCs/>
          <w:iCs/>
          <w:sz w:val="28"/>
          <w:szCs w:val="28"/>
          <w:lang w:eastAsia="zh-TW"/>
        </w:rPr>
        <w:t>положения</w:t>
      </w:r>
      <w:r>
        <w:rPr>
          <w:rFonts w:eastAsia="MS Gothic"/>
          <w:b/>
          <w:bCs/>
          <w:iCs/>
          <w:sz w:val="28"/>
          <w:szCs w:val="28"/>
          <w:lang w:eastAsia="zh-TW"/>
        </w:rPr>
        <w:t xml:space="preserve"> </w:t>
      </w:r>
      <w:r w:rsidRPr="00974B0E">
        <w:rPr>
          <w:rFonts w:eastAsia="MS Gothic"/>
          <w:b/>
          <w:bCs/>
          <w:iCs/>
          <w:sz w:val="28"/>
          <w:szCs w:val="28"/>
          <w:lang w:eastAsia="zh-TW"/>
        </w:rPr>
        <w:t>газа и угля в китайской экономике</w:t>
      </w:r>
    </w:p>
    <w:tbl>
      <w:tblPr>
        <w:tblStyle w:val="TableGrid"/>
        <w:tblW w:w="9342" w:type="dxa"/>
        <w:tblInd w:w="108" w:type="dxa"/>
        <w:tblLook w:val="04A0" w:firstRow="1" w:lastRow="0" w:firstColumn="1" w:lastColumn="0" w:noHBand="0" w:noVBand="1"/>
      </w:tblPr>
      <w:tblGrid>
        <w:gridCol w:w="1985"/>
        <w:gridCol w:w="3260"/>
        <w:gridCol w:w="4097"/>
      </w:tblGrid>
      <w:tr w:rsidR="00974B0E" w:rsidRPr="007C6805" w14:paraId="261520B2" w14:textId="77777777" w:rsidTr="009D5D14">
        <w:trPr>
          <w:trHeight w:val="708"/>
        </w:trPr>
        <w:tc>
          <w:tcPr>
            <w:tcW w:w="1985" w:type="dxa"/>
          </w:tcPr>
          <w:p w14:paraId="4DA34935" w14:textId="77777777" w:rsidR="00974B0E" w:rsidRPr="007C6805" w:rsidRDefault="00974B0E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Параметр</w:t>
            </w:r>
          </w:p>
        </w:tc>
        <w:tc>
          <w:tcPr>
            <w:tcW w:w="3260" w:type="dxa"/>
          </w:tcPr>
          <w:p w14:paraId="0C3C5D22" w14:textId="77777777" w:rsidR="00974B0E" w:rsidRDefault="00974B0E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Уголь</w:t>
            </w:r>
          </w:p>
        </w:tc>
        <w:tc>
          <w:tcPr>
            <w:tcW w:w="4097" w:type="dxa"/>
          </w:tcPr>
          <w:p w14:paraId="02CDA3E4" w14:textId="77777777" w:rsidR="00974B0E" w:rsidRDefault="00974B0E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Газ</w:t>
            </w:r>
          </w:p>
        </w:tc>
      </w:tr>
      <w:tr w:rsidR="00974B0E" w:rsidRPr="007C6805" w14:paraId="01CDF1E7" w14:textId="77777777" w:rsidTr="009D5D14">
        <w:trPr>
          <w:trHeight w:val="708"/>
        </w:trPr>
        <w:tc>
          <w:tcPr>
            <w:tcW w:w="1985" w:type="dxa"/>
          </w:tcPr>
          <w:p w14:paraId="13940F5B" w14:textId="77777777" w:rsidR="00974B0E" w:rsidRPr="007C6805" w:rsidRDefault="00240314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О</w:t>
            </w:r>
            <w:r w:rsidR="00C0230F">
              <w:rPr>
                <w:rFonts w:eastAsia="MS Gothic"/>
                <w:bCs/>
                <w:iCs/>
                <w:lang w:eastAsia="zh-TW"/>
              </w:rPr>
              <w:t>сновные о</w:t>
            </w:r>
            <w:r>
              <w:rPr>
                <w:rFonts w:eastAsia="MS Gothic"/>
                <w:bCs/>
                <w:iCs/>
                <w:lang w:eastAsia="zh-TW"/>
              </w:rPr>
              <w:t xml:space="preserve">бласти </w:t>
            </w:r>
            <w:r w:rsidR="00974B0E">
              <w:rPr>
                <w:rFonts w:eastAsia="MS Gothic"/>
                <w:bCs/>
                <w:iCs/>
                <w:lang w:eastAsia="zh-TW"/>
              </w:rPr>
              <w:t>применения</w:t>
            </w:r>
          </w:p>
        </w:tc>
        <w:tc>
          <w:tcPr>
            <w:tcW w:w="3260" w:type="dxa"/>
          </w:tcPr>
          <w:p w14:paraId="321DD380" w14:textId="77777777" w:rsidR="00974B0E" w:rsidRPr="007C6805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 xml:space="preserve">Электроэнергия, химическая промышленность, металлургическая промышленность, строительство </w:t>
            </w:r>
          </w:p>
        </w:tc>
        <w:tc>
          <w:tcPr>
            <w:tcW w:w="4097" w:type="dxa"/>
          </w:tcPr>
          <w:p w14:paraId="3D47AD3E" w14:textId="77777777" w:rsidR="00974B0E" w:rsidRPr="007C6805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Электроэнергия, химическая промышленность, автомобильное топливо</w:t>
            </w:r>
          </w:p>
        </w:tc>
      </w:tr>
      <w:tr w:rsidR="00B84B81" w:rsidRPr="007C6805" w14:paraId="593AACF2" w14:textId="77777777" w:rsidTr="009D5D14">
        <w:trPr>
          <w:trHeight w:val="424"/>
        </w:trPr>
        <w:tc>
          <w:tcPr>
            <w:tcW w:w="1985" w:type="dxa"/>
          </w:tcPr>
          <w:p w14:paraId="54C5DE3E" w14:textId="7D5AE581" w:rsidR="00B84B81" w:rsidRPr="007C6805" w:rsidRDefault="00B84B81" w:rsidP="0007710C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Цена</w:t>
            </w:r>
            <w:r w:rsidR="005364D1">
              <w:rPr>
                <w:rFonts w:eastAsia="MS Gothic"/>
                <w:bCs/>
                <w:iCs/>
                <w:lang w:eastAsia="zh-TW"/>
              </w:rPr>
              <w:t xml:space="preserve"> </w:t>
            </w:r>
          </w:p>
        </w:tc>
        <w:tc>
          <w:tcPr>
            <w:tcW w:w="3260" w:type="dxa"/>
          </w:tcPr>
          <w:p w14:paraId="45EBDAA0" w14:textId="77777777" w:rsidR="00B84B81" w:rsidRDefault="00B84B81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 xml:space="preserve">Примерно одинаковы для местного и импортного угля: </w:t>
            </w:r>
          </w:p>
          <w:p w14:paraId="042EFE66" w14:textId="00D16D4D" w:rsidR="00B84B81" w:rsidRPr="007C6805" w:rsidRDefault="00B84B81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3-6 долл./</w:t>
            </w:r>
            <w:proofErr w:type="spellStart"/>
            <w:r>
              <w:rPr>
                <w:rFonts w:eastAsia="MS Gothic"/>
                <w:bCs/>
                <w:iCs/>
                <w:lang w:eastAsia="zh-TW"/>
              </w:rPr>
              <w:t>мбте</w:t>
            </w:r>
            <w:proofErr w:type="spellEnd"/>
            <w:r w:rsidR="004630FA">
              <w:rPr>
                <w:rFonts w:eastAsia="MS Gothic"/>
                <w:bCs/>
                <w:iCs/>
                <w:lang w:eastAsia="zh-TW"/>
              </w:rPr>
              <w:t xml:space="preserve"> (</w:t>
            </w:r>
            <w:r w:rsidR="0007710C">
              <w:rPr>
                <w:rFonts w:eastAsia="MS Gothic"/>
                <w:bCs/>
                <w:iCs/>
                <w:lang w:eastAsia="zh-TW"/>
              </w:rPr>
              <w:t xml:space="preserve">110-220 </w:t>
            </w:r>
            <w:r w:rsidR="004630FA">
              <w:rPr>
                <w:rFonts w:eastAsia="MS Gothic"/>
                <w:bCs/>
                <w:iCs/>
                <w:lang w:eastAsia="zh-TW"/>
              </w:rPr>
              <w:t>долл./м3)</w:t>
            </w:r>
          </w:p>
        </w:tc>
        <w:tc>
          <w:tcPr>
            <w:tcW w:w="4097" w:type="dxa"/>
          </w:tcPr>
          <w:p w14:paraId="19E25378" w14:textId="6FE37A35" w:rsidR="00B84B81" w:rsidRPr="003F0512" w:rsidRDefault="00B84B81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Местные промышленные цены на месторождениях регулируются и составляют 5-7 долл./</w:t>
            </w:r>
            <w:proofErr w:type="spellStart"/>
            <w:r>
              <w:rPr>
                <w:rFonts w:eastAsia="MS Gothic"/>
                <w:bCs/>
                <w:iCs/>
                <w:lang w:eastAsia="zh-TW"/>
              </w:rPr>
              <w:t>мбте</w:t>
            </w:r>
            <w:proofErr w:type="spellEnd"/>
            <w:r>
              <w:rPr>
                <w:rFonts w:eastAsia="MS Gothic"/>
                <w:bCs/>
                <w:iCs/>
                <w:lang w:eastAsia="zh-TW"/>
              </w:rPr>
              <w:t xml:space="preserve"> </w:t>
            </w:r>
            <w:r w:rsidR="004630FA">
              <w:rPr>
                <w:rFonts w:eastAsia="MS Gothic"/>
                <w:bCs/>
                <w:iCs/>
                <w:lang w:eastAsia="zh-TW"/>
              </w:rPr>
              <w:t>(</w:t>
            </w:r>
            <w:r w:rsidR="0007710C">
              <w:rPr>
                <w:rFonts w:eastAsia="MS Gothic"/>
                <w:bCs/>
                <w:iCs/>
                <w:lang w:eastAsia="zh-TW"/>
              </w:rPr>
              <w:t xml:space="preserve">180-250 </w:t>
            </w:r>
            <w:r w:rsidR="004630FA">
              <w:rPr>
                <w:rFonts w:eastAsia="MS Gothic"/>
                <w:bCs/>
                <w:iCs/>
                <w:lang w:eastAsia="zh-TW"/>
              </w:rPr>
              <w:t>долл./м3)</w:t>
            </w:r>
          </w:p>
          <w:p w14:paraId="1AA8CFDA" w14:textId="1D2FC47F" w:rsidR="00B84B81" w:rsidRPr="007C6805" w:rsidRDefault="00B84B81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Импортные цены сильно колеблются в пределах 4-20 долл./</w:t>
            </w:r>
            <w:proofErr w:type="spellStart"/>
            <w:r>
              <w:rPr>
                <w:rFonts w:eastAsia="MS Gothic"/>
                <w:bCs/>
                <w:iCs/>
                <w:lang w:eastAsia="zh-TW"/>
              </w:rPr>
              <w:t>мбте</w:t>
            </w:r>
            <w:proofErr w:type="spellEnd"/>
            <w:r w:rsidR="004630FA">
              <w:rPr>
                <w:rFonts w:eastAsia="MS Gothic"/>
                <w:bCs/>
                <w:iCs/>
                <w:lang w:eastAsia="zh-TW"/>
              </w:rPr>
              <w:t xml:space="preserve"> (</w:t>
            </w:r>
            <w:r w:rsidR="0007710C">
              <w:rPr>
                <w:rFonts w:eastAsia="MS Gothic"/>
                <w:bCs/>
                <w:iCs/>
                <w:lang w:eastAsia="zh-TW"/>
              </w:rPr>
              <w:t xml:space="preserve">140-720 </w:t>
            </w:r>
            <w:r w:rsidR="004630FA">
              <w:rPr>
                <w:rFonts w:eastAsia="MS Gothic"/>
                <w:bCs/>
                <w:iCs/>
                <w:lang w:eastAsia="zh-TW"/>
              </w:rPr>
              <w:t>долл./м3)</w:t>
            </w:r>
          </w:p>
        </w:tc>
      </w:tr>
      <w:tr w:rsidR="00B84B81" w:rsidRPr="007C6805" w14:paraId="21F3AA70" w14:textId="77777777" w:rsidTr="009D5D14">
        <w:trPr>
          <w:trHeight w:val="411"/>
        </w:trPr>
        <w:tc>
          <w:tcPr>
            <w:tcW w:w="1985" w:type="dxa"/>
          </w:tcPr>
          <w:p w14:paraId="3B099615" w14:textId="77777777" w:rsidR="00B84B81" w:rsidRDefault="00B84B81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Качество</w:t>
            </w:r>
          </w:p>
        </w:tc>
        <w:tc>
          <w:tcPr>
            <w:tcW w:w="3260" w:type="dxa"/>
          </w:tcPr>
          <w:p w14:paraId="79CF791E" w14:textId="77777777" w:rsidR="00B84B81" w:rsidRPr="007C6805" w:rsidRDefault="00B84B81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Качество угля (</w:t>
            </w:r>
            <w:proofErr w:type="spellStart"/>
            <w:r>
              <w:rPr>
                <w:rFonts w:eastAsia="MS Gothic"/>
                <w:bCs/>
                <w:iCs/>
                <w:lang w:eastAsia="zh-TW"/>
              </w:rPr>
              <w:t>мбте</w:t>
            </w:r>
            <w:proofErr w:type="spellEnd"/>
            <w:r>
              <w:rPr>
                <w:rFonts w:eastAsia="MS Gothic"/>
                <w:bCs/>
                <w:iCs/>
                <w:lang w:eastAsia="zh-TW"/>
              </w:rPr>
              <w:t>/тонна)  сильно отличается в зависимости от месторождения</w:t>
            </w:r>
          </w:p>
        </w:tc>
        <w:tc>
          <w:tcPr>
            <w:tcW w:w="4097" w:type="dxa"/>
          </w:tcPr>
          <w:p w14:paraId="27667DC5" w14:textId="77777777" w:rsidR="00B84B81" w:rsidRPr="007C6805" w:rsidRDefault="00B84B81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Качество природного газа и СПГ примерно однородно по всем источникам</w:t>
            </w:r>
          </w:p>
        </w:tc>
      </w:tr>
      <w:tr w:rsidR="00B84B81" w:rsidRPr="007C6805" w14:paraId="13AC4002" w14:textId="77777777" w:rsidTr="009D5D14">
        <w:trPr>
          <w:trHeight w:val="411"/>
        </w:trPr>
        <w:tc>
          <w:tcPr>
            <w:tcW w:w="1985" w:type="dxa"/>
          </w:tcPr>
          <w:p w14:paraId="1BDE4330" w14:textId="77777777" w:rsidR="00B84B81" w:rsidRPr="007C6805" w:rsidRDefault="00B84B81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Выбросы</w:t>
            </w:r>
          </w:p>
        </w:tc>
        <w:tc>
          <w:tcPr>
            <w:tcW w:w="3260" w:type="dxa"/>
          </w:tcPr>
          <w:p w14:paraId="38C43A44" w14:textId="77777777" w:rsidR="00B84B81" w:rsidRPr="007C6805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134 кг/ГДж</w:t>
            </w:r>
          </w:p>
        </w:tc>
        <w:tc>
          <w:tcPr>
            <w:tcW w:w="4097" w:type="dxa"/>
          </w:tcPr>
          <w:p w14:paraId="5AFC1486" w14:textId="77777777" w:rsidR="00B84B81" w:rsidRPr="007C6805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75 кг/ГДж</w:t>
            </w:r>
          </w:p>
        </w:tc>
      </w:tr>
      <w:tr w:rsidR="00C0230F" w:rsidRPr="007C6805" w14:paraId="2C747EB3" w14:textId="77777777" w:rsidTr="009D5D14">
        <w:trPr>
          <w:trHeight w:val="708"/>
        </w:trPr>
        <w:tc>
          <w:tcPr>
            <w:tcW w:w="1985" w:type="dxa"/>
          </w:tcPr>
          <w:p w14:paraId="522052B5" w14:textId="77777777" w:rsidR="00C0230F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Инфраструктура</w:t>
            </w:r>
          </w:p>
        </w:tc>
        <w:tc>
          <w:tcPr>
            <w:tcW w:w="3260" w:type="dxa"/>
          </w:tcPr>
          <w:p w14:paraId="3D11DC9F" w14:textId="77777777" w:rsidR="00C0230F" w:rsidRDefault="009D5D14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Старые углевые электростанции, развитая сеть железных дорог</w:t>
            </w:r>
          </w:p>
        </w:tc>
        <w:tc>
          <w:tcPr>
            <w:tcW w:w="4097" w:type="dxa"/>
          </w:tcPr>
          <w:p w14:paraId="714984B1" w14:textId="77777777" w:rsidR="00C0230F" w:rsidRDefault="009D5D14" w:rsidP="00C0230F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Маленький процент электростанций, способных перерабатывать газ, необходимость строительства новых газопроводов</w:t>
            </w:r>
          </w:p>
        </w:tc>
      </w:tr>
      <w:tr w:rsidR="00C0230F" w:rsidRPr="007C6805" w14:paraId="67D1A5E1" w14:textId="77777777" w:rsidTr="009D5D14">
        <w:trPr>
          <w:trHeight w:val="708"/>
        </w:trPr>
        <w:tc>
          <w:tcPr>
            <w:tcW w:w="1985" w:type="dxa"/>
          </w:tcPr>
          <w:p w14:paraId="0C2D715F" w14:textId="77777777" w:rsidR="00C0230F" w:rsidRPr="007C6805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 xml:space="preserve">Конкуренция </w:t>
            </w:r>
          </w:p>
        </w:tc>
        <w:tc>
          <w:tcPr>
            <w:tcW w:w="3260" w:type="dxa"/>
          </w:tcPr>
          <w:p w14:paraId="466302E8" w14:textId="77777777" w:rsidR="00C0230F" w:rsidRPr="007C6805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Большая степень конкуренции, государство периодически устанавливает потолки цен</w:t>
            </w:r>
          </w:p>
        </w:tc>
        <w:tc>
          <w:tcPr>
            <w:tcW w:w="4097" w:type="dxa"/>
          </w:tcPr>
          <w:p w14:paraId="5F735D5D" w14:textId="77777777" w:rsidR="00C0230F" w:rsidRPr="007C6805" w:rsidRDefault="00C0230F" w:rsidP="00C0230F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 xml:space="preserve">Регулируется государством, начальная стадия рыночных преобразований </w:t>
            </w:r>
          </w:p>
        </w:tc>
      </w:tr>
      <w:tr w:rsidR="00C0230F" w:rsidRPr="007C6805" w14:paraId="7FE958E4" w14:textId="77777777" w:rsidTr="009D5D14">
        <w:trPr>
          <w:trHeight w:val="411"/>
        </w:trPr>
        <w:tc>
          <w:tcPr>
            <w:tcW w:w="1985" w:type="dxa"/>
          </w:tcPr>
          <w:p w14:paraId="70D5948F" w14:textId="77777777" w:rsidR="00C0230F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Импортная зависимость</w:t>
            </w:r>
          </w:p>
        </w:tc>
        <w:tc>
          <w:tcPr>
            <w:tcW w:w="3260" w:type="dxa"/>
          </w:tcPr>
          <w:p w14:paraId="4CB11A66" w14:textId="77777777" w:rsidR="00C0230F" w:rsidRPr="007C6805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Менее вероятна в силу высокой степени конкуренции и наличия огромных собственных резервов</w:t>
            </w:r>
          </w:p>
        </w:tc>
        <w:tc>
          <w:tcPr>
            <w:tcW w:w="4097" w:type="dxa"/>
          </w:tcPr>
          <w:p w14:paraId="414E9CFC" w14:textId="77777777" w:rsidR="00C0230F" w:rsidRPr="007C6805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Усиливается с течением времени, происходит постоянная</w:t>
            </w:r>
          </w:p>
        </w:tc>
      </w:tr>
      <w:tr w:rsidR="00C0230F" w:rsidRPr="007C6805" w14:paraId="5A849CCB" w14:textId="77777777" w:rsidTr="009D5D14">
        <w:trPr>
          <w:trHeight w:val="411"/>
        </w:trPr>
        <w:tc>
          <w:tcPr>
            <w:tcW w:w="1985" w:type="dxa"/>
          </w:tcPr>
          <w:p w14:paraId="360431DE" w14:textId="77777777" w:rsidR="00C0230F" w:rsidRPr="007C6805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>Политические инициативы</w:t>
            </w:r>
          </w:p>
        </w:tc>
        <w:tc>
          <w:tcPr>
            <w:tcW w:w="3260" w:type="dxa"/>
          </w:tcPr>
          <w:p w14:paraId="59F9E20C" w14:textId="77777777" w:rsidR="00C0230F" w:rsidRPr="007C6805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 xml:space="preserve">Развитие высокотехнологичной добычи, закрытие старых и наиболее </w:t>
            </w:r>
            <w:proofErr w:type="spellStart"/>
            <w:r>
              <w:rPr>
                <w:rFonts w:eastAsia="MS Gothic"/>
                <w:bCs/>
                <w:iCs/>
                <w:lang w:eastAsia="zh-TW"/>
              </w:rPr>
              <w:t>энергоинтенсивных</w:t>
            </w:r>
            <w:proofErr w:type="spellEnd"/>
            <w:r>
              <w:rPr>
                <w:rFonts w:eastAsia="MS Gothic"/>
                <w:bCs/>
                <w:iCs/>
                <w:lang w:eastAsia="zh-TW"/>
              </w:rPr>
              <w:t xml:space="preserve"> производств</w:t>
            </w:r>
          </w:p>
        </w:tc>
        <w:tc>
          <w:tcPr>
            <w:tcW w:w="4097" w:type="dxa"/>
          </w:tcPr>
          <w:p w14:paraId="6261BC60" w14:textId="77777777" w:rsidR="00C0230F" w:rsidRPr="007C6805" w:rsidRDefault="00C0230F" w:rsidP="00B84B81">
            <w:pPr>
              <w:spacing w:after="120"/>
              <w:rPr>
                <w:rFonts w:eastAsia="MS Gothic"/>
                <w:bCs/>
                <w:iCs/>
                <w:lang w:eastAsia="zh-TW"/>
              </w:rPr>
            </w:pPr>
            <w:r>
              <w:rPr>
                <w:rFonts w:eastAsia="MS Gothic"/>
                <w:bCs/>
                <w:iCs/>
                <w:lang w:eastAsia="zh-TW"/>
              </w:rPr>
              <w:t xml:space="preserve">Удвоение потребления к 2015 г. (от уровня 2011 г.) и доли в общем потреблении, </w:t>
            </w:r>
            <w:proofErr w:type="spellStart"/>
            <w:r>
              <w:rPr>
                <w:rFonts w:eastAsia="MS Gothic"/>
                <w:bCs/>
                <w:iCs/>
                <w:lang w:eastAsia="zh-TW"/>
              </w:rPr>
              <w:t>экоцивилизованная</w:t>
            </w:r>
            <w:proofErr w:type="spellEnd"/>
            <w:r>
              <w:rPr>
                <w:rFonts w:eastAsia="MS Gothic"/>
                <w:bCs/>
                <w:iCs/>
                <w:lang w:eastAsia="zh-TW"/>
              </w:rPr>
              <w:t xml:space="preserve"> ориентация экономики</w:t>
            </w:r>
          </w:p>
        </w:tc>
      </w:tr>
    </w:tbl>
    <w:p w14:paraId="2C80037F" w14:textId="77777777" w:rsidR="004612B4" w:rsidRDefault="00974B0E" w:rsidP="00974B0E">
      <w:pPr>
        <w:spacing w:after="120" w:line="360" w:lineRule="auto"/>
        <w:jc w:val="both"/>
        <w:rPr>
          <w:rFonts w:eastAsia="MS Gothic"/>
          <w:bCs/>
          <w:i/>
          <w:iCs/>
          <w:sz w:val="28"/>
          <w:szCs w:val="28"/>
          <w:lang w:eastAsia="zh-TW"/>
        </w:rPr>
      </w:pPr>
      <w:r w:rsidRPr="00974B0E">
        <w:rPr>
          <w:rFonts w:eastAsia="MS Gothic"/>
          <w:bCs/>
          <w:i/>
          <w:iCs/>
          <w:sz w:val="28"/>
          <w:szCs w:val="28"/>
          <w:lang w:eastAsia="zh-TW"/>
        </w:rPr>
        <w:t>Источник</w:t>
      </w:r>
      <w:r>
        <w:rPr>
          <w:rFonts w:eastAsia="MS Gothic"/>
          <w:bCs/>
          <w:i/>
          <w:iCs/>
          <w:sz w:val="28"/>
          <w:szCs w:val="28"/>
          <w:lang w:eastAsia="zh-TW"/>
        </w:rPr>
        <w:t>: Собственные расчеты</w:t>
      </w:r>
    </w:p>
    <w:p w14:paraId="6E704780" w14:textId="5FC81C64" w:rsidR="00460AB9" w:rsidRDefault="00460AB9" w:rsidP="00460AB9">
      <w:pPr>
        <w:spacing w:after="120" w:line="360" w:lineRule="auto"/>
        <w:ind w:firstLine="709"/>
        <w:jc w:val="both"/>
        <w:rPr>
          <w:rFonts w:eastAsia="MS Gothic"/>
          <w:bCs/>
          <w:i/>
          <w:iCs/>
          <w:sz w:val="28"/>
          <w:szCs w:val="28"/>
          <w:lang w:eastAsia="zh-TW"/>
        </w:rPr>
      </w:pPr>
      <w:r>
        <w:rPr>
          <w:rFonts w:eastAsia="MS Gothic"/>
          <w:bCs/>
          <w:iCs/>
          <w:sz w:val="28"/>
          <w:szCs w:val="28"/>
          <w:lang w:eastAsia="zh-TW"/>
        </w:rPr>
        <w:lastRenderedPageBreak/>
        <w:t>Уголь сейчас имеет ценовое преимущество, меньшую опасность усиления импортной зависимости и развитую инфраструктуру для применения, например, электростанции, транспортировочные пути. Но из-за подорожания угля и регулирования рынка газа ценовое преимущество постепенно пропадает, а государственные инвестиции и стимулирование частных инвестиций в газовый сектор сглаживают инфраструктурные дисбалансы. Благодаря данным преимуществам газа над углем, экономика Китая постепенно переключается на более эффективное и чистое топливо.</w:t>
      </w:r>
    </w:p>
    <w:p w14:paraId="5C4BD584" w14:textId="77777777" w:rsidR="00DA3006" w:rsidRDefault="00F37079" w:rsidP="00DA3006">
      <w:pPr>
        <w:pStyle w:val="Heading2"/>
      </w:pPr>
      <w:bookmarkStart w:id="12" w:name="_Toc229737131"/>
      <w:r w:rsidRPr="00EA5FB6">
        <w:t xml:space="preserve">3.3 </w:t>
      </w:r>
      <w:r w:rsidR="006C659F" w:rsidRPr="00EA5FB6">
        <w:t>Энергетическое сотрудничество России и Китая</w:t>
      </w:r>
      <w:bookmarkEnd w:id="12"/>
    </w:p>
    <w:p w14:paraId="644B03FD" w14:textId="77777777" w:rsidR="00544FD2" w:rsidRDefault="004D54BC" w:rsidP="0086562E">
      <w:pPr>
        <w:spacing w:after="120" w:line="360" w:lineRule="auto"/>
        <w:ind w:firstLine="709"/>
        <w:jc w:val="both"/>
        <w:rPr>
          <w:sz w:val="28"/>
          <w:szCs w:val="28"/>
        </w:rPr>
      </w:pPr>
      <w:r w:rsidRPr="00F70707">
        <w:rPr>
          <w:sz w:val="28"/>
          <w:szCs w:val="28"/>
        </w:rPr>
        <w:t xml:space="preserve">Несмотря на </w:t>
      </w:r>
      <w:r w:rsidR="00F70707" w:rsidRPr="00F70707">
        <w:rPr>
          <w:sz w:val="28"/>
          <w:szCs w:val="28"/>
        </w:rPr>
        <w:t xml:space="preserve">огромное количество двусторонних соглашений о </w:t>
      </w:r>
      <w:r w:rsidR="0059591B">
        <w:rPr>
          <w:sz w:val="28"/>
          <w:szCs w:val="28"/>
        </w:rPr>
        <w:t xml:space="preserve">взаимопонимании и сотрудничестве, а также </w:t>
      </w:r>
      <w:r w:rsidR="000215B6">
        <w:rPr>
          <w:sz w:val="28"/>
          <w:szCs w:val="28"/>
        </w:rPr>
        <w:t>солидарности в решении</w:t>
      </w:r>
      <w:r w:rsidR="00F70707" w:rsidRPr="00F70707">
        <w:rPr>
          <w:sz w:val="28"/>
          <w:szCs w:val="28"/>
        </w:rPr>
        <w:t xml:space="preserve"> </w:t>
      </w:r>
      <w:r w:rsidR="000215B6">
        <w:rPr>
          <w:sz w:val="28"/>
          <w:szCs w:val="28"/>
        </w:rPr>
        <w:t>внешнеполитических вопросов</w:t>
      </w:r>
      <w:r w:rsidR="00F70707" w:rsidRPr="00F70707">
        <w:rPr>
          <w:sz w:val="28"/>
          <w:szCs w:val="28"/>
        </w:rPr>
        <w:t xml:space="preserve">, </w:t>
      </w:r>
      <w:r w:rsidRPr="00F70707">
        <w:rPr>
          <w:sz w:val="28"/>
          <w:szCs w:val="28"/>
        </w:rPr>
        <w:t>Россия не является одним из главных внешнеторговых партнеров Китая, также как и Китай не является крупнейшим внешнеторговым партнером</w:t>
      </w:r>
      <w:r w:rsidR="00F70707" w:rsidRPr="00F70707">
        <w:rPr>
          <w:sz w:val="28"/>
          <w:szCs w:val="28"/>
        </w:rPr>
        <w:t xml:space="preserve"> России. Тем не менее, нельзя не отметить некоторый прогресс в этой сфере. Внешнеторговый оборот двух</w:t>
      </w:r>
      <w:r w:rsidRPr="00F70707">
        <w:rPr>
          <w:sz w:val="28"/>
          <w:szCs w:val="28"/>
        </w:rPr>
        <w:t xml:space="preserve"> стран </w:t>
      </w:r>
      <w:r w:rsidR="00F70707" w:rsidRPr="00F70707">
        <w:rPr>
          <w:sz w:val="28"/>
          <w:szCs w:val="28"/>
        </w:rPr>
        <w:t xml:space="preserve">за последние 10 лет </w:t>
      </w:r>
      <w:r w:rsidRPr="00F70707">
        <w:rPr>
          <w:sz w:val="28"/>
          <w:szCs w:val="28"/>
        </w:rPr>
        <w:t>вырос</w:t>
      </w:r>
      <w:r w:rsidR="0086562E">
        <w:rPr>
          <w:sz w:val="28"/>
          <w:szCs w:val="28"/>
        </w:rPr>
        <w:t xml:space="preserve"> почти в 8 раз, доля Китая во внешнеторговом обороте России выросла на 3 </w:t>
      </w:r>
      <w:proofErr w:type="spellStart"/>
      <w:r w:rsidR="0086562E">
        <w:rPr>
          <w:sz w:val="28"/>
          <w:szCs w:val="28"/>
        </w:rPr>
        <w:t>п.п</w:t>
      </w:r>
      <w:proofErr w:type="spellEnd"/>
      <w:r w:rsidR="000215B6">
        <w:rPr>
          <w:sz w:val="28"/>
          <w:szCs w:val="28"/>
        </w:rPr>
        <w:t xml:space="preserve"> (см. Рис.</w:t>
      </w:r>
      <w:r w:rsidR="0059591B">
        <w:rPr>
          <w:sz w:val="28"/>
          <w:szCs w:val="28"/>
        </w:rPr>
        <w:t xml:space="preserve"> </w:t>
      </w:r>
      <w:r w:rsidR="000215B6">
        <w:rPr>
          <w:sz w:val="28"/>
          <w:szCs w:val="28"/>
        </w:rPr>
        <w:t>10)</w:t>
      </w:r>
      <w:r w:rsidR="0086562E">
        <w:rPr>
          <w:sz w:val="28"/>
          <w:szCs w:val="28"/>
        </w:rPr>
        <w:t>.</w:t>
      </w:r>
    </w:p>
    <w:p w14:paraId="6BE8E4CF" w14:textId="5120B60F" w:rsidR="004D54BC" w:rsidRDefault="00544FD2" w:rsidP="0012537E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Энергетика </w:t>
      </w:r>
      <w:r w:rsidR="0059591B">
        <w:rPr>
          <w:sz w:val="28"/>
          <w:szCs w:val="28"/>
        </w:rPr>
        <w:t xml:space="preserve">для России </w:t>
      </w:r>
      <w:r>
        <w:rPr>
          <w:sz w:val="28"/>
          <w:szCs w:val="28"/>
        </w:rPr>
        <w:t xml:space="preserve">является как одной из главных </w:t>
      </w:r>
      <w:r w:rsidR="0059591B">
        <w:rPr>
          <w:sz w:val="28"/>
          <w:szCs w:val="28"/>
        </w:rPr>
        <w:t xml:space="preserve">сфер экспортных поставок </w:t>
      </w:r>
      <w:r>
        <w:rPr>
          <w:sz w:val="28"/>
          <w:szCs w:val="28"/>
        </w:rPr>
        <w:t>в отношении всег</w:t>
      </w:r>
      <w:r w:rsidR="0059591B">
        <w:rPr>
          <w:sz w:val="28"/>
          <w:szCs w:val="28"/>
        </w:rPr>
        <w:t>о мира, так и в отношении Китая</w:t>
      </w:r>
      <w:r>
        <w:rPr>
          <w:sz w:val="28"/>
          <w:szCs w:val="28"/>
        </w:rPr>
        <w:t>. Учитыва</w:t>
      </w:r>
      <w:r w:rsidR="0059591B">
        <w:rPr>
          <w:sz w:val="28"/>
          <w:szCs w:val="28"/>
        </w:rPr>
        <w:t>я реальные преимущества газа по сравнению с</w:t>
      </w:r>
      <w:r>
        <w:rPr>
          <w:sz w:val="28"/>
          <w:szCs w:val="28"/>
        </w:rPr>
        <w:t xml:space="preserve"> углем для китайской экономики и стратегические намерения КНР переключиться с масштабного потребления угля на более эффективные источники, энергетическое сотрудничество России и Китая в газовом секторе может получить перспективное развитие в ближайшем будущем. Страны уже имеют положительный опыт </w:t>
      </w:r>
      <w:r w:rsidR="0059591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во многих  энергетических областях. </w:t>
      </w:r>
    </w:p>
    <w:p w14:paraId="609EB955" w14:textId="77777777" w:rsidR="004D54BC" w:rsidRDefault="004D54BC" w:rsidP="004D54BC">
      <w:pPr>
        <w:spacing w:after="12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 wp14:anchorId="26B1BE86" wp14:editId="329278FA">
            <wp:extent cx="5825490" cy="2629323"/>
            <wp:effectExtent l="0" t="0" r="16510" b="1270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438CD84" w14:textId="77777777" w:rsidR="004D54BC" w:rsidRPr="004D54BC" w:rsidRDefault="004D54BC" w:rsidP="004D54BC">
      <w:pPr>
        <w:spacing w:after="120" w:line="360" w:lineRule="auto"/>
        <w:jc w:val="both"/>
        <w:rPr>
          <w:b/>
          <w:sz w:val="28"/>
          <w:szCs w:val="28"/>
        </w:rPr>
      </w:pPr>
      <w:r w:rsidRPr="004D54BC">
        <w:rPr>
          <w:b/>
          <w:sz w:val="28"/>
          <w:szCs w:val="28"/>
        </w:rPr>
        <w:t xml:space="preserve">Рисунок </w:t>
      </w:r>
      <w:r>
        <w:rPr>
          <w:b/>
          <w:sz w:val="28"/>
          <w:szCs w:val="28"/>
        </w:rPr>
        <w:t xml:space="preserve">10. </w:t>
      </w:r>
      <w:r w:rsidRPr="003F05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Внешнеторговый оборот между Китаем и Россией и его доли в общем внешнеторговом обороте каждой из стран, млрд. долл. США и % соответственно</w:t>
      </w:r>
    </w:p>
    <w:p w14:paraId="52312069" w14:textId="77777777" w:rsidR="004D54BC" w:rsidRPr="004D54BC" w:rsidRDefault="004D54BC" w:rsidP="004D54BC">
      <w:pPr>
        <w:spacing w:after="120" w:line="360" w:lineRule="auto"/>
        <w:jc w:val="both"/>
        <w:rPr>
          <w:i/>
          <w:sz w:val="28"/>
          <w:szCs w:val="28"/>
        </w:rPr>
      </w:pPr>
      <w:r w:rsidRPr="004D54BC">
        <w:rPr>
          <w:i/>
          <w:sz w:val="28"/>
          <w:szCs w:val="28"/>
        </w:rPr>
        <w:t>Источник: Государственное статистическое управление КНР, Федеральная служба государственной статистики РФ, собственные расчеты</w:t>
      </w:r>
    </w:p>
    <w:p w14:paraId="41B545B8" w14:textId="77777777" w:rsidR="00ED17DC" w:rsidRDefault="00051D27" w:rsidP="00ED17DC">
      <w:pPr>
        <w:spacing w:after="120" w:line="360" w:lineRule="auto"/>
        <w:ind w:firstLine="709"/>
        <w:jc w:val="both"/>
        <w:rPr>
          <w:sz w:val="28"/>
          <w:szCs w:val="28"/>
        </w:rPr>
      </w:pPr>
      <w:bookmarkStart w:id="13" w:name="_Toc229737132"/>
      <w:r>
        <w:rPr>
          <w:sz w:val="28"/>
          <w:szCs w:val="28"/>
        </w:rPr>
        <w:t>Россия является крупным поставщиком нефти в Китай</w:t>
      </w:r>
      <w:r w:rsidR="000B1A56">
        <w:rPr>
          <w:sz w:val="28"/>
          <w:szCs w:val="28"/>
        </w:rPr>
        <w:t xml:space="preserve">. С 2011 г. </w:t>
      </w:r>
      <w:r w:rsidR="00FB4C7C">
        <w:rPr>
          <w:sz w:val="28"/>
          <w:szCs w:val="28"/>
        </w:rPr>
        <w:t>начал</w:t>
      </w:r>
      <w:r w:rsidR="000B1A56">
        <w:rPr>
          <w:sz w:val="28"/>
          <w:szCs w:val="28"/>
        </w:rPr>
        <w:t xml:space="preserve"> работу нефтепровод </w:t>
      </w:r>
      <w:r w:rsidR="000B1A56" w:rsidRPr="000B1A56">
        <w:rPr>
          <w:sz w:val="28"/>
          <w:szCs w:val="28"/>
        </w:rPr>
        <w:t>Сковородино-</w:t>
      </w:r>
      <w:proofErr w:type="spellStart"/>
      <w:r w:rsidR="00560C45">
        <w:rPr>
          <w:sz w:val="28"/>
          <w:szCs w:val="28"/>
        </w:rPr>
        <w:t>Мохэ</w:t>
      </w:r>
      <w:proofErr w:type="spellEnd"/>
      <w:r w:rsidR="000B1A56">
        <w:rPr>
          <w:sz w:val="28"/>
          <w:szCs w:val="28"/>
        </w:rPr>
        <w:t xml:space="preserve">, ежегодно поставляющий в Китай около 15 млн. </w:t>
      </w:r>
      <w:r w:rsidR="003611E4">
        <w:rPr>
          <w:sz w:val="28"/>
          <w:szCs w:val="28"/>
        </w:rPr>
        <w:t>тонн</w:t>
      </w:r>
      <w:r w:rsidR="000B1A56">
        <w:rPr>
          <w:sz w:val="28"/>
          <w:szCs w:val="28"/>
        </w:rPr>
        <w:t xml:space="preserve"> российской нефти.</w:t>
      </w:r>
      <w:r w:rsidR="003611E4">
        <w:rPr>
          <w:sz w:val="28"/>
          <w:szCs w:val="28"/>
        </w:rPr>
        <w:t xml:space="preserve"> Благодаря этому проекту экспорт нефти в Китай вырос на 30% по сравнению с 2010 г.</w:t>
      </w:r>
      <w:r w:rsidR="00560C45">
        <w:rPr>
          <w:rStyle w:val="FootnoteReference"/>
          <w:sz w:val="28"/>
          <w:szCs w:val="28"/>
        </w:rPr>
        <w:footnoteReference w:id="51"/>
      </w:r>
      <w:r w:rsidR="00560C45">
        <w:rPr>
          <w:sz w:val="28"/>
          <w:szCs w:val="28"/>
        </w:rPr>
        <w:t xml:space="preserve"> Кроме непосредственных поставок нефти, российскими и китайскими компаниями осуществляются совместные разработки месторождений, например, Роснефтью и </w:t>
      </w:r>
      <w:r w:rsidR="00560C45">
        <w:rPr>
          <w:sz w:val="28"/>
          <w:szCs w:val="28"/>
          <w:lang w:val="en-US"/>
        </w:rPr>
        <w:t>Sinopec</w:t>
      </w:r>
      <w:r w:rsidR="00560C45" w:rsidRPr="003F0512">
        <w:rPr>
          <w:sz w:val="28"/>
          <w:szCs w:val="28"/>
        </w:rPr>
        <w:t xml:space="preserve"> </w:t>
      </w:r>
      <w:r w:rsidR="00560C45">
        <w:rPr>
          <w:sz w:val="28"/>
          <w:szCs w:val="28"/>
        </w:rPr>
        <w:t>на о. Сахалин.</w:t>
      </w:r>
    </w:p>
    <w:p w14:paraId="62407B0F" w14:textId="77777777" w:rsidR="003611E4" w:rsidRDefault="003611E4" w:rsidP="00DA3006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</w:t>
      </w:r>
      <w:r w:rsidR="00560C45">
        <w:rPr>
          <w:sz w:val="28"/>
          <w:szCs w:val="28"/>
        </w:rPr>
        <w:t xml:space="preserve">через компании </w:t>
      </w:r>
      <w:proofErr w:type="spellStart"/>
      <w:r w:rsidR="00560C45">
        <w:rPr>
          <w:sz w:val="28"/>
          <w:szCs w:val="28"/>
        </w:rPr>
        <w:t>Сахалинуголь</w:t>
      </w:r>
      <w:proofErr w:type="spellEnd"/>
      <w:r w:rsidR="00ED17DC">
        <w:rPr>
          <w:sz w:val="28"/>
          <w:szCs w:val="28"/>
        </w:rPr>
        <w:t>, Мечел</w:t>
      </w:r>
      <w:r w:rsidR="00560C45">
        <w:rPr>
          <w:sz w:val="28"/>
          <w:szCs w:val="28"/>
        </w:rPr>
        <w:t xml:space="preserve"> и СУЭК </w:t>
      </w:r>
      <w:r>
        <w:rPr>
          <w:sz w:val="28"/>
          <w:szCs w:val="28"/>
        </w:rPr>
        <w:t xml:space="preserve">Россия </w:t>
      </w:r>
      <w:r w:rsidR="00560C45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поставляет в Китай 10-15 </w:t>
      </w:r>
      <w:r w:rsidR="00ED17DC">
        <w:rPr>
          <w:sz w:val="28"/>
          <w:szCs w:val="28"/>
        </w:rPr>
        <w:t xml:space="preserve">млн. </w:t>
      </w:r>
      <w:r>
        <w:rPr>
          <w:sz w:val="28"/>
          <w:szCs w:val="28"/>
        </w:rPr>
        <w:t>тонн угля.</w:t>
      </w:r>
      <w:r w:rsidR="00ED17DC">
        <w:rPr>
          <w:sz w:val="28"/>
          <w:szCs w:val="28"/>
        </w:rPr>
        <w:t xml:space="preserve"> Российская компания Мечел также сотрудничает с китайскими компаниями в</w:t>
      </w:r>
      <w:r w:rsidR="006A1A1E">
        <w:rPr>
          <w:sz w:val="28"/>
          <w:szCs w:val="28"/>
        </w:rPr>
        <w:t xml:space="preserve"> сфере </w:t>
      </w:r>
      <w:r w:rsidR="00ED17DC">
        <w:rPr>
          <w:sz w:val="28"/>
          <w:szCs w:val="28"/>
        </w:rPr>
        <w:t xml:space="preserve">переработки угля и поставки </w:t>
      </w:r>
      <w:r w:rsidR="006A1A1E">
        <w:rPr>
          <w:sz w:val="28"/>
          <w:szCs w:val="28"/>
        </w:rPr>
        <w:t xml:space="preserve">новейших </w:t>
      </w:r>
      <w:r w:rsidR="00ED17DC">
        <w:rPr>
          <w:sz w:val="28"/>
          <w:szCs w:val="28"/>
        </w:rPr>
        <w:t>технологий.</w:t>
      </w:r>
    </w:p>
    <w:p w14:paraId="5EBDD8C5" w14:textId="3A2C4981" w:rsidR="008864EA" w:rsidRDefault="002836C4" w:rsidP="00DA3006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164F78">
        <w:rPr>
          <w:sz w:val="28"/>
          <w:szCs w:val="28"/>
        </w:rPr>
        <w:t xml:space="preserve">в рамках сотрудничества Восточной энергетической компании и </w:t>
      </w:r>
      <w:proofErr w:type="spellStart"/>
      <w:r w:rsidR="000215B6" w:rsidRPr="000215B6">
        <w:rPr>
          <w:sz w:val="28"/>
          <w:szCs w:val="28"/>
        </w:rPr>
        <w:t>State</w:t>
      </w:r>
      <w:proofErr w:type="spellEnd"/>
      <w:r w:rsidR="000215B6" w:rsidRPr="000215B6">
        <w:rPr>
          <w:sz w:val="28"/>
          <w:szCs w:val="28"/>
        </w:rPr>
        <w:t xml:space="preserve"> </w:t>
      </w:r>
      <w:proofErr w:type="spellStart"/>
      <w:r w:rsidR="000215B6" w:rsidRPr="000215B6">
        <w:rPr>
          <w:sz w:val="28"/>
          <w:szCs w:val="28"/>
        </w:rPr>
        <w:t>Grid</w:t>
      </w:r>
      <w:proofErr w:type="spellEnd"/>
      <w:r w:rsidR="000215B6" w:rsidRPr="000215B6">
        <w:rPr>
          <w:sz w:val="28"/>
          <w:szCs w:val="28"/>
        </w:rPr>
        <w:t xml:space="preserve"> </w:t>
      </w:r>
      <w:proofErr w:type="spellStart"/>
      <w:r w:rsidR="000215B6" w:rsidRPr="000215B6">
        <w:rPr>
          <w:sz w:val="28"/>
          <w:szCs w:val="28"/>
        </w:rPr>
        <w:t>Corporation</w:t>
      </w:r>
      <w:proofErr w:type="spellEnd"/>
      <w:r w:rsidR="000215B6" w:rsidRPr="000215B6">
        <w:rPr>
          <w:sz w:val="28"/>
          <w:szCs w:val="28"/>
        </w:rPr>
        <w:t xml:space="preserve"> </w:t>
      </w:r>
      <w:proofErr w:type="spellStart"/>
      <w:r w:rsidR="000215B6" w:rsidRPr="000215B6">
        <w:rPr>
          <w:sz w:val="28"/>
          <w:szCs w:val="28"/>
        </w:rPr>
        <w:t>of</w:t>
      </w:r>
      <w:proofErr w:type="spellEnd"/>
      <w:r w:rsidR="000215B6" w:rsidRPr="000215B6">
        <w:rPr>
          <w:sz w:val="28"/>
          <w:szCs w:val="28"/>
        </w:rPr>
        <w:t xml:space="preserve"> </w:t>
      </w:r>
      <w:proofErr w:type="spellStart"/>
      <w:r w:rsidR="000215B6" w:rsidRPr="000215B6">
        <w:rPr>
          <w:sz w:val="28"/>
          <w:szCs w:val="28"/>
        </w:rPr>
        <w:t>China</w:t>
      </w:r>
      <w:proofErr w:type="spellEnd"/>
      <w:r w:rsidR="006A1A1E">
        <w:rPr>
          <w:sz w:val="28"/>
          <w:szCs w:val="28"/>
        </w:rPr>
        <w:t>,</w:t>
      </w:r>
      <w:r w:rsidR="00021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Китай осуществляются поставки российской электроэнергии. </w:t>
      </w:r>
      <w:r w:rsidR="000215B6">
        <w:rPr>
          <w:sz w:val="28"/>
          <w:szCs w:val="28"/>
        </w:rPr>
        <w:t xml:space="preserve">В 2012 г. российской стороной было поставлено около 2 </w:t>
      </w:r>
      <w:r w:rsidR="000215B6">
        <w:rPr>
          <w:sz w:val="28"/>
          <w:szCs w:val="28"/>
        </w:rPr>
        <w:lastRenderedPageBreak/>
        <w:t xml:space="preserve">млрд. квтч. </w:t>
      </w:r>
      <w:r w:rsidR="00121559">
        <w:rPr>
          <w:sz w:val="28"/>
          <w:szCs w:val="28"/>
        </w:rPr>
        <w:t xml:space="preserve">Одним из новых </w:t>
      </w:r>
      <w:r w:rsidR="008864EA">
        <w:rPr>
          <w:sz w:val="28"/>
          <w:szCs w:val="28"/>
        </w:rPr>
        <w:t xml:space="preserve">совместных проектов является </w:t>
      </w:r>
      <w:r w:rsidR="00121559">
        <w:rPr>
          <w:sz w:val="28"/>
          <w:szCs w:val="28"/>
        </w:rPr>
        <w:t xml:space="preserve">частично финансируемое Китаем </w:t>
      </w:r>
      <w:r w:rsidR="008864EA">
        <w:rPr>
          <w:sz w:val="28"/>
          <w:szCs w:val="28"/>
        </w:rPr>
        <w:t>строительство тепло- и гидроэ</w:t>
      </w:r>
      <w:r w:rsidR="006A1A1E">
        <w:rPr>
          <w:sz w:val="28"/>
          <w:szCs w:val="28"/>
        </w:rPr>
        <w:t>лектростанций в Восточной Сибири</w:t>
      </w:r>
      <w:r w:rsidR="00B823F7">
        <w:rPr>
          <w:sz w:val="28"/>
          <w:szCs w:val="28"/>
        </w:rPr>
        <w:t xml:space="preserve"> (Транссибирская ГЭС, Нижне-Ангарская ГЭС, Ленская ТЭС) и высоковольтных линий</w:t>
      </w:r>
      <w:r w:rsidR="0012537E">
        <w:rPr>
          <w:rStyle w:val="FootnoteReference"/>
          <w:sz w:val="28"/>
          <w:szCs w:val="28"/>
        </w:rPr>
        <w:footnoteReference w:id="52"/>
      </w:r>
      <w:r w:rsidR="008864EA">
        <w:rPr>
          <w:sz w:val="28"/>
          <w:szCs w:val="28"/>
        </w:rPr>
        <w:t>. Ч</w:t>
      </w:r>
      <w:r w:rsidR="00B823F7">
        <w:rPr>
          <w:sz w:val="28"/>
          <w:szCs w:val="28"/>
        </w:rPr>
        <w:t>асть производимой этими станциями электроэнергии будет экспортироваться в</w:t>
      </w:r>
      <w:r w:rsidR="006A1A1E">
        <w:rPr>
          <w:sz w:val="28"/>
          <w:szCs w:val="28"/>
        </w:rPr>
        <w:t xml:space="preserve"> северный регион</w:t>
      </w:r>
      <w:r w:rsidR="00121559">
        <w:rPr>
          <w:sz w:val="28"/>
          <w:szCs w:val="28"/>
        </w:rPr>
        <w:t xml:space="preserve"> Китая</w:t>
      </w:r>
      <w:r w:rsidR="00B823F7">
        <w:rPr>
          <w:sz w:val="28"/>
          <w:szCs w:val="28"/>
        </w:rPr>
        <w:t xml:space="preserve">. К 2020 г. общий экспорт электричества может достигнуть 60 млрд. квтч/год. </w:t>
      </w:r>
    </w:p>
    <w:p w14:paraId="3431F41B" w14:textId="77777777" w:rsidR="00C24C72" w:rsidRDefault="00C24C72" w:rsidP="00C24C72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</w:rPr>
        <w:t xml:space="preserve">Наконец, уже более десятилетия продолжается сотрудничество России и Китая в области мирного атома. </w:t>
      </w:r>
      <w:r w:rsidR="00ED17DC">
        <w:rPr>
          <w:sz w:val="28"/>
          <w:szCs w:val="28"/>
        </w:rPr>
        <w:t>Российская компа</w:t>
      </w:r>
      <w:r w:rsidR="006A1A1E">
        <w:rPr>
          <w:sz w:val="28"/>
          <w:szCs w:val="28"/>
        </w:rPr>
        <w:t xml:space="preserve">ния </w:t>
      </w:r>
      <w:proofErr w:type="spellStart"/>
      <w:r w:rsidR="006A1A1E">
        <w:rPr>
          <w:sz w:val="28"/>
          <w:szCs w:val="28"/>
        </w:rPr>
        <w:t>Атомстройэкспорт</w:t>
      </w:r>
      <w:proofErr w:type="spellEnd"/>
      <w:r w:rsidR="006A1A1E">
        <w:rPr>
          <w:sz w:val="28"/>
          <w:szCs w:val="28"/>
        </w:rPr>
        <w:t xml:space="preserve"> с 1997 г. о</w:t>
      </w:r>
      <w:r w:rsidR="00ED17DC">
        <w:rPr>
          <w:sz w:val="28"/>
          <w:szCs w:val="28"/>
        </w:rPr>
        <w:t xml:space="preserve">существляет сооружение блоков </w:t>
      </w:r>
      <w:proofErr w:type="spellStart"/>
      <w:r>
        <w:rPr>
          <w:sz w:val="28"/>
          <w:szCs w:val="28"/>
        </w:rPr>
        <w:t>Т</w:t>
      </w:r>
      <w:r w:rsidR="00ED17DC" w:rsidRPr="00ED17DC">
        <w:rPr>
          <w:sz w:val="28"/>
          <w:szCs w:val="28"/>
        </w:rPr>
        <w:t>яньваньской</w:t>
      </w:r>
      <w:proofErr w:type="spellEnd"/>
      <w:r w:rsidR="00ED17DC" w:rsidRPr="00ED17DC">
        <w:rPr>
          <w:sz w:val="28"/>
          <w:szCs w:val="28"/>
        </w:rPr>
        <w:t xml:space="preserve"> атомной электростанции</w:t>
      </w:r>
      <w:r>
        <w:rPr>
          <w:sz w:val="28"/>
          <w:szCs w:val="28"/>
        </w:rPr>
        <w:t>.</w:t>
      </w:r>
      <w:r w:rsidRPr="00C24C72">
        <w:rPr>
          <w:sz w:val="28"/>
          <w:szCs w:val="28"/>
          <w:lang w:eastAsia="zh-TW"/>
        </w:rPr>
        <w:t xml:space="preserve"> </w:t>
      </w:r>
    </w:p>
    <w:p w14:paraId="7B6E70EB" w14:textId="77777777" w:rsidR="00C24C72" w:rsidRPr="00ED17DC" w:rsidRDefault="00C24C72" w:rsidP="00420CFD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Что же касается газового </w:t>
      </w:r>
      <w:r w:rsidR="00544FD2">
        <w:rPr>
          <w:sz w:val="28"/>
          <w:szCs w:val="28"/>
          <w:lang w:eastAsia="zh-TW"/>
        </w:rPr>
        <w:t xml:space="preserve">сотрудничества, </w:t>
      </w:r>
      <w:r w:rsidR="00420CFD">
        <w:rPr>
          <w:sz w:val="28"/>
          <w:szCs w:val="28"/>
          <w:lang w:eastAsia="zh-TW"/>
        </w:rPr>
        <w:t>в</w:t>
      </w:r>
      <w:r w:rsidR="00420CFD" w:rsidRPr="00420CFD">
        <w:rPr>
          <w:sz w:val="28"/>
          <w:szCs w:val="28"/>
          <w:lang w:eastAsia="zh-TW"/>
        </w:rPr>
        <w:t xml:space="preserve"> 2007 г. была утверждена государственная «</w:t>
      </w:r>
      <w:r w:rsidR="00420CFD">
        <w:rPr>
          <w:sz w:val="28"/>
          <w:szCs w:val="28"/>
          <w:lang w:eastAsia="zh-TW"/>
        </w:rPr>
        <w:t>Восточная газовая программа</w:t>
      </w:r>
      <w:r w:rsidR="00420CFD" w:rsidRPr="00420CFD">
        <w:rPr>
          <w:sz w:val="28"/>
          <w:szCs w:val="28"/>
          <w:lang w:eastAsia="zh-TW"/>
        </w:rPr>
        <w:t xml:space="preserve">» </w:t>
      </w:r>
      <w:r w:rsidR="006A1A1E">
        <w:rPr>
          <w:sz w:val="28"/>
          <w:szCs w:val="28"/>
          <w:lang w:eastAsia="zh-TW"/>
        </w:rPr>
        <w:t xml:space="preserve">России </w:t>
      </w:r>
      <w:r w:rsidR="00420CFD">
        <w:rPr>
          <w:sz w:val="28"/>
          <w:szCs w:val="28"/>
          <w:lang w:eastAsia="zh-TW"/>
        </w:rPr>
        <w:t>по работе со странами АТР, в том числе Китаем, под управлением Газпрома. За 5 лет ее реализации значительного прогресса в торговле газом с Китаем не произошло (см. Табл. 13).</w:t>
      </w:r>
    </w:p>
    <w:p w14:paraId="56EEE1A7" w14:textId="77777777" w:rsidR="00420CFD" w:rsidRDefault="00C24C72" w:rsidP="00420CFD">
      <w:pPr>
        <w:pStyle w:val="a0"/>
      </w:pPr>
      <w:bookmarkStart w:id="14" w:name="_Ref352144726"/>
      <w:r w:rsidRPr="00420CFD">
        <w:t xml:space="preserve">Таблица </w:t>
      </w:r>
      <w:bookmarkStart w:id="15" w:name="_Ref342824513"/>
      <w:bookmarkEnd w:id="14"/>
      <w:r w:rsidR="00420CFD" w:rsidRPr="00420CFD">
        <w:t xml:space="preserve">13. </w:t>
      </w:r>
      <w:r w:rsidRPr="00420CFD">
        <w:t>Пос</w:t>
      </w:r>
      <w:r w:rsidR="00420CFD" w:rsidRPr="00420CFD">
        <w:t>тавки газа из России в Китай</w:t>
      </w:r>
      <w:r w:rsidRPr="00420CFD">
        <w:t xml:space="preserve"> 2007 – 2011 гг., млрд. куб. </w:t>
      </w:r>
      <w:r w:rsidR="00420CFD">
        <w:t>м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851"/>
        <w:gridCol w:w="992"/>
        <w:gridCol w:w="992"/>
        <w:gridCol w:w="992"/>
        <w:gridCol w:w="957"/>
      </w:tblGrid>
      <w:tr w:rsidR="00C16095" w:rsidRPr="00C16095" w14:paraId="5FA92C8A" w14:textId="77777777" w:rsidTr="00C16095">
        <w:tc>
          <w:tcPr>
            <w:tcW w:w="4786" w:type="dxa"/>
          </w:tcPr>
          <w:p w14:paraId="2553AE4B" w14:textId="77777777" w:rsidR="00420CFD" w:rsidRPr="00C16095" w:rsidRDefault="00420CFD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5238EF" w14:textId="77777777" w:rsidR="00420CFD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2007</w:t>
            </w:r>
          </w:p>
        </w:tc>
        <w:tc>
          <w:tcPr>
            <w:tcW w:w="992" w:type="dxa"/>
          </w:tcPr>
          <w:p w14:paraId="6B5ED973" w14:textId="77777777" w:rsidR="00420CFD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14:paraId="30C90C8F" w14:textId="77777777" w:rsidR="00420CFD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14:paraId="2BF3A67D" w14:textId="77777777" w:rsidR="00420CFD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2010</w:t>
            </w:r>
          </w:p>
        </w:tc>
        <w:tc>
          <w:tcPr>
            <w:tcW w:w="957" w:type="dxa"/>
          </w:tcPr>
          <w:p w14:paraId="3D46C966" w14:textId="77777777" w:rsidR="00420CFD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2011</w:t>
            </w:r>
          </w:p>
        </w:tc>
      </w:tr>
      <w:tr w:rsidR="00C16095" w:rsidRPr="00C16095" w14:paraId="3A0CD6CB" w14:textId="77777777" w:rsidTr="00C16095">
        <w:tc>
          <w:tcPr>
            <w:tcW w:w="4786" w:type="dxa"/>
            <w:vAlign w:val="center"/>
          </w:tcPr>
          <w:p w14:paraId="781E85D8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Поставки из России, млрд. куб. м</w:t>
            </w:r>
          </w:p>
        </w:tc>
        <w:tc>
          <w:tcPr>
            <w:tcW w:w="851" w:type="dxa"/>
            <w:vAlign w:val="center"/>
          </w:tcPr>
          <w:p w14:paraId="460195E5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14:paraId="45E057B8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14:paraId="4A920C67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14:paraId="5FF2AE19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957" w:type="dxa"/>
            <w:vAlign w:val="center"/>
          </w:tcPr>
          <w:p w14:paraId="7C0DD762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0,4</w:t>
            </w:r>
          </w:p>
        </w:tc>
      </w:tr>
      <w:tr w:rsidR="00C16095" w:rsidRPr="00C16095" w14:paraId="5973364E" w14:textId="77777777" w:rsidTr="00C16095">
        <w:tc>
          <w:tcPr>
            <w:tcW w:w="4786" w:type="dxa"/>
            <w:vAlign w:val="center"/>
          </w:tcPr>
          <w:p w14:paraId="1998FDE5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Общий импорт газа Китаем, млрд. куб. м</w:t>
            </w:r>
          </w:p>
        </w:tc>
        <w:tc>
          <w:tcPr>
            <w:tcW w:w="851" w:type="dxa"/>
            <w:vAlign w:val="center"/>
          </w:tcPr>
          <w:p w14:paraId="1D50ECFF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6,8</w:t>
            </w:r>
          </w:p>
        </w:tc>
        <w:tc>
          <w:tcPr>
            <w:tcW w:w="992" w:type="dxa"/>
            <w:vAlign w:val="center"/>
          </w:tcPr>
          <w:p w14:paraId="44A0ABF5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7,8</w:t>
            </w:r>
          </w:p>
        </w:tc>
        <w:tc>
          <w:tcPr>
            <w:tcW w:w="992" w:type="dxa"/>
            <w:vAlign w:val="center"/>
          </w:tcPr>
          <w:p w14:paraId="62F1AE1E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10,7</w:t>
            </w:r>
          </w:p>
        </w:tc>
        <w:tc>
          <w:tcPr>
            <w:tcW w:w="992" w:type="dxa"/>
            <w:vAlign w:val="center"/>
          </w:tcPr>
          <w:p w14:paraId="6CB1A61D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18,9</w:t>
            </w:r>
          </w:p>
        </w:tc>
        <w:tc>
          <w:tcPr>
            <w:tcW w:w="957" w:type="dxa"/>
            <w:vAlign w:val="center"/>
          </w:tcPr>
          <w:p w14:paraId="763E91FB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34,0</w:t>
            </w:r>
          </w:p>
        </w:tc>
      </w:tr>
      <w:tr w:rsidR="00C16095" w:rsidRPr="00C16095" w14:paraId="37858D4A" w14:textId="77777777" w:rsidTr="00C16095">
        <w:tc>
          <w:tcPr>
            <w:tcW w:w="4786" w:type="dxa"/>
            <w:vAlign w:val="center"/>
          </w:tcPr>
          <w:p w14:paraId="33F72C5F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Доля поставок из России в общем импорте газа Китаем, %</w:t>
            </w:r>
          </w:p>
        </w:tc>
        <w:tc>
          <w:tcPr>
            <w:tcW w:w="851" w:type="dxa"/>
            <w:vAlign w:val="center"/>
          </w:tcPr>
          <w:p w14:paraId="2C6E10C7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14:paraId="15867B16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14:paraId="632CB7D5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14:paraId="4595531A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2,8</w:t>
            </w:r>
          </w:p>
        </w:tc>
        <w:tc>
          <w:tcPr>
            <w:tcW w:w="957" w:type="dxa"/>
            <w:vAlign w:val="center"/>
          </w:tcPr>
          <w:p w14:paraId="0CA1D56E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1,2</w:t>
            </w:r>
          </w:p>
        </w:tc>
      </w:tr>
      <w:tr w:rsidR="00C16095" w:rsidRPr="00C16095" w14:paraId="76E537D2" w14:textId="77777777" w:rsidTr="00C16095">
        <w:tc>
          <w:tcPr>
            <w:tcW w:w="4786" w:type="dxa"/>
            <w:vAlign w:val="center"/>
          </w:tcPr>
          <w:p w14:paraId="198A2FCB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Доля поставок в Китай в газовом экспорте России, %</w:t>
            </w:r>
          </w:p>
        </w:tc>
        <w:tc>
          <w:tcPr>
            <w:tcW w:w="851" w:type="dxa"/>
            <w:vAlign w:val="center"/>
          </w:tcPr>
          <w:p w14:paraId="65584567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14:paraId="066B6546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14:paraId="6118F4A3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  <w:lang w:val="en-US"/>
              </w:rPr>
              <w:t>–</w:t>
            </w:r>
          </w:p>
        </w:tc>
        <w:tc>
          <w:tcPr>
            <w:tcW w:w="992" w:type="dxa"/>
            <w:vAlign w:val="center"/>
          </w:tcPr>
          <w:p w14:paraId="156DF2A0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0,3</w:t>
            </w:r>
          </w:p>
        </w:tc>
        <w:tc>
          <w:tcPr>
            <w:tcW w:w="957" w:type="dxa"/>
            <w:vAlign w:val="center"/>
          </w:tcPr>
          <w:p w14:paraId="36019CB2" w14:textId="77777777" w:rsidR="00C16095" w:rsidRPr="00C16095" w:rsidRDefault="00C16095" w:rsidP="00C16095">
            <w:pPr>
              <w:pStyle w:val="a0"/>
              <w:spacing w:line="240" w:lineRule="auto"/>
              <w:rPr>
                <w:b w:val="0"/>
                <w:sz w:val="24"/>
                <w:szCs w:val="24"/>
              </w:rPr>
            </w:pPr>
            <w:r w:rsidRPr="00C16095">
              <w:rPr>
                <w:b w:val="0"/>
                <w:sz w:val="24"/>
                <w:szCs w:val="24"/>
              </w:rPr>
              <w:t>0,2</w:t>
            </w:r>
          </w:p>
        </w:tc>
      </w:tr>
    </w:tbl>
    <w:p w14:paraId="529B675A" w14:textId="77777777" w:rsidR="00C24C72" w:rsidRPr="00C16095" w:rsidRDefault="00C16095" w:rsidP="00C16095">
      <w:pPr>
        <w:pStyle w:val="a"/>
      </w:pPr>
      <w:r>
        <w:t xml:space="preserve">Источник: </w:t>
      </w:r>
      <w:r w:rsidR="00C24C72" w:rsidRPr="00C16095">
        <w:t xml:space="preserve">МЭА, </w:t>
      </w:r>
      <w:r>
        <w:t>Федеральная служба государственной статистики РФ</w:t>
      </w:r>
    </w:p>
    <w:p w14:paraId="2ED8CF79" w14:textId="7EB46382" w:rsidR="00C24C72" w:rsidRDefault="00CE5936" w:rsidP="00CE5936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Китай не может прийти к соглашению с Россией по нескольким вопросам. Основным</w:t>
      </w:r>
      <w:r w:rsidR="00C24C72">
        <w:rPr>
          <w:sz w:val="28"/>
          <w:szCs w:val="28"/>
          <w:lang w:eastAsia="zh-TW"/>
        </w:rPr>
        <w:t xml:space="preserve"> пункт</w:t>
      </w:r>
      <w:r w:rsidR="006A1A1E">
        <w:rPr>
          <w:sz w:val="28"/>
          <w:szCs w:val="28"/>
          <w:lang w:eastAsia="zh-TW"/>
        </w:rPr>
        <w:t>ом</w:t>
      </w:r>
      <w:r w:rsidR="00C24C72">
        <w:rPr>
          <w:sz w:val="28"/>
          <w:szCs w:val="28"/>
          <w:lang w:eastAsia="zh-TW"/>
        </w:rPr>
        <w:t xml:space="preserve">, конечно, </w:t>
      </w:r>
      <w:r>
        <w:rPr>
          <w:sz w:val="28"/>
          <w:szCs w:val="28"/>
          <w:lang w:eastAsia="zh-TW"/>
        </w:rPr>
        <w:t xml:space="preserve">является </w:t>
      </w:r>
      <w:r w:rsidR="00C24C72">
        <w:rPr>
          <w:sz w:val="28"/>
          <w:szCs w:val="28"/>
          <w:lang w:eastAsia="zh-TW"/>
        </w:rPr>
        <w:t xml:space="preserve">цена. </w:t>
      </w:r>
      <w:r>
        <w:rPr>
          <w:sz w:val="28"/>
          <w:szCs w:val="28"/>
          <w:lang w:eastAsia="zh-TW"/>
        </w:rPr>
        <w:t>Газпром стремится получать от Китая такой же доход, как и от европейских потребителей, то ес</w:t>
      </w:r>
      <w:r w:rsidR="006A1A1E">
        <w:rPr>
          <w:sz w:val="28"/>
          <w:szCs w:val="28"/>
          <w:lang w:eastAsia="zh-TW"/>
        </w:rPr>
        <w:t>ть на уровне 400 долл./кубометр</w:t>
      </w:r>
      <w:r>
        <w:rPr>
          <w:sz w:val="28"/>
          <w:szCs w:val="28"/>
          <w:lang w:eastAsia="zh-TW"/>
        </w:rPr>
        <w:t xml:space="preserve"> газа (около 11 долл./</w:t>
      </w:r>
      <w:proofErr w:type="spellStart"/>
      <w:r>
        <w:rPr>
          <w:sz w:val="28"/>
          <w:szCs w:val="28"/>
          <w:lang w:eastAsia="zh-TW"/>
        </w:rPr>
        <w:t>мбте</w:t>
      </w:r>
      <w:proofErr w:type="spellEnd"/>
      <w:r>
        <w:rPr>
          <w:sz w:val="28"/>
          <w:szCs w:val="28"/>
          <w:lang w:eastAsia="zh-TW"/>
        </w:rPr>
        <w:t xml:space="preserve">), а Китай готов </w:t>
      </w:r>
      <w:r>
        <w:rPr>
          <w:sz w:val="28"/>
          <w:szCs w:val="28"/>
          <w:lang w:eastAsia="zh-TW"/>
        </w:rPr>
        <w:lastRenderedPageBreak/>
        <w:t>платить в 2 раза меньше</w:t>
      </w:r>
      <w:r w:rsidR="0012537E">
        <w:rPr>
          <w:rStyle w:val="FootnoteReference"/>
          <w:sz w:val="28"/>
          <w:szCs w:val="28"/>
          <w:lang w:eastAsia="zh-TW"/>
        </w:rPr>
        <w:footnoteReference w:id="53"/>
      </w:r>
      <w:r>
        <w:rPr>
          <w:sz w:val="28"/>
          <w:szCs w:val="28"/>
          <w:lang w:eastAsia="zh-TW"/>
        </w:rPr>
        <w:t>. Учитывая уровень цен китайских поставщиков и только начальную степень либерализации рынков газа и электроэнергии, как его важнейшего драйвера роста, такие требования Газпрома маловероятно могут быть выполнены при крупномасштабных поставках. Цена импортируемого газа выше 10 долл./</w:t>
      </w:r>
      <w:proofErr w:type="spellStart"/>
      <w:r>
        <w:rPr>
          <w:sz w:val="28"/>
          <w:szCs w:val="28"/>
          <w:lang w:eastAsia="zh-TW"/>
        </w:rPr>
        <w:t>мбте</w:t>
      </w:r>
      <w:proofErr w:type="spellEnd"/>
      <w:r>
        <w:rPr>
          <w:sz w:val="28"/>
          <w:szCs w:val="28"/>
          <w:lang w:eastAsia="zh-TW"/>
        </w:rPr>
        <w:t xml:space="preserve"> скорее является исключением для Китая, где в некоторых провинциях конечная цена домохозяйств на газ составляет всего 9 долл./</w:t>
      </w:r>
      <w:proofErr w:type="spellStart"/>
      <w:r>
        <w:rPr>
          <w:sz w:val="28"/>
          <w:szCs w:val="28"/>
          <w:lang w:eastAsia="zh-TW"/>
        </w:rPr>
        <w:t>мбте</w:t>
      </w:r>
      <w:proofErr w:type="spellEnd"/>
      <w:r>
        <w:rPr>
          <w:sz w:val="28"/>
          <w:szCs w:val="28"/>
          <w:lang w:eastAsia="zh-TW"/>
        </w:rPr>
        <w:t xml:space="preserve">.  </w:t>
      </w:r>
      <w:r w:rsidR="008D077B">
        <w:rPr>
          <w:sz w:val="28"/>
          <w:szCs w:val="28"/>
          <w:lang w:eastAsia="zh-TW"/>
        </w:rPr>
        <w:t>Однако уступки должны ожидаться и от китайской стороны. Ц</w:t>
      </w:r>
      <w:r>
        <w:rPr>
          <w:sz w:val="28"/>
          <w:szCs w:val="28"/>
          <w:lang w:eastAsia="zh-TW"/>
        </w:rPr>
        <w:t xml:space="preserve">ена газа на собственных месторождениях для промышленности в среднем </w:t>
      </w:r>
      <w:r w:rsidR="008D077B">
        <w:rPr>
          <w:sz w:val="28"/>
          <w:szCs w:val="28"/>
          <w:lang w:eastAsia="zh-TW"/>
        </w:rPr>
        <w:t>равна 6 долл./</w:t>
      </w:r>
      <w:proofErr w:type="spellStart"/>
      <w:r w:rsidR="008D077B">
        <w:rPr>
          <w:sz w:val="28"/>
          <w:szCs w:val="28"/>
          <w:lang w:eastAsia="zh-TW"/>
        </w:rPr>
        <w:t>мбте</w:t>
      </w:r>
      <w:proofErr w:type="spellEnd"/>
      <w:r w:rsidR="008D077B">
        <w:rPr>
          <w:sz w:val="28"/>
          <w:szCs w:val="28"/>
          <w:lang w:eastAsia="zh-TW"/>
        </w:rPr>
        <w:t xml:space="preserve">, а </w:t>
      </w:r>
      <w:r>
        <w:rPr>
          <w:sz w:val="28"/>
          <w:szCs w:val="28"/>
          <w:lang w:eastAsia="zh-TW"/>
        </w:rPr>
        <w:t>последние контракты на импортные поставки были подписаны на цену выше 7 долл./</w:t>
      </w:r>
      <w:proofErr w:type="spellStart"/>
      <w:r>
        <w:rPr>
          <w:sz w:val="28"/>
          <w:szCs w:val="28"/>
          <w:lang w:eastAsia="zh-TW"/>
        </w:rPr>
        <w:t>мбте</w:t>
      </w:r>
      <w:proofErr w:type="spellEnd"/>
      <w:r w:rsidR="008D077B">
        <w:rPr>
          <w:sz w:val="28"/>
          <w:szCs w:val="28"/>
          <w:lang w:eastAsia="zh-TW"/>
        </w:rPr>
        <w:t>.</w:t>
      </w:r>
    </w:p>
    <w:p w14:paraId="4E9C1E63" w14:textId="55F0B563" w:rsidR="005C076B" w:rsidRDefault="00420CFD" w:rsidP="00CE5936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Др</w:t>
      </w:r>
      <w:r w:rsidR="005C076B">
        <w:rPr>
          <w:sz w:val="28"/>
          <w:szCs w:val="28"/>
          <w:lang w:eastAsia="zh-TW"/>
        </w:rPr>
        <w:t>угим камнем преткновения являе</w:t>
      </w:r>
      <w:r>
        <w:rPr>
          <w:sz w:val="28"/>
          <w:szCs w:val="28"/>
          <w:lang w:eastAsia="zh-TW"/>
        </w:rPr>
        <w:t xml:space="preserve">тся </w:t>
      </w:r>
      <w:r w:rsidR="005C076B">
        <w:rPr>
          <w:sz w:val="28"/>
          <w:szCs w:val="28"/>
          <w:lang w:eastAsia="zh-TW"/>
        </w:rPr>
        <w:t>вопрос используемой инфраструктуры</w:t>
      </w:r>
      <w:r>
        <w:rPr>
          <w:sz w:val="28"/>
          <w:szCs w:val="28"/>
          <w:lang w:eastAsia="zh-TW"/>
        </w:rPr>
        <w:t xml:space="preserve"> для </w:t>
      </w:r>
      <w:r w:rsidR="005C076B">
        <w:rPr>
          <w:sz w:val="28"/>
          <w:szCs w:val="28"/>
          <w:lang w:eastAsia="zh-TW"/>
        </w:rPr>
        <w:t>будущей транспортировки газ</w:t>
      </w:r>
      <w:r>
        <w:rPr>
          <w:sz w:val="28"/>
          <w:szCs w:val="28"/>
          <w:lang w:eastAsia="zh-TW"/>
        </w:rPr>
        <w:t xml:space="preserve">а. </w:t>
      </w:r>
      <w:r w:rsidR="00F3132B">
        <w:rPr>
          <w:sz w:val="28"/>
          <w:szCs w:val="28"/>
          <w:lang w:eastAsia="zh-TW"/>
        </w:rPr>
        <w:t>Стороны предполагают два</w:t>
      </w:r>
      <w:r w:rsidR="00C16095">
        <w:rPr>
          <w:sz w:val="28"/>
          <w:szCs w:val="28"/>
          <w:lang w:eastAsia="zh-TW"/>
        </w:rPr>
        <w:t xml:space="preserve"> </w:t>
      </w:r>
      <w:r w:rsidR="005C076B">
        <w:rPr>
          <w:sz w:val="28"/>
          <w:szCs w:val="28"/>
          <w:lang w:eastAsia="zh-TW"/>
        </w:rPr>
        <w:t xml:space="preserve">возможных </w:t>
      </w:r>
      <w:r w:rsidR="00C16095">
        <w:rPr>
          <w:sz w:val="28"/>
          <w:szCs w:val="28"/>
          <w:lang w:eastAsia="zh-TW"/>
        </w:rPr>
        <w:t xml:space="preserve">маршрута поставок российского газа в Китай: Восточный – газопровод «Сила Сибири», </w:t>
      </w:r>
      <w:r w:rsidR="005C076B">
        <w:rPr>
          <w:sz w:val="28"/>
          <w:szCs w:val="28"/>
          <w:lang w:eastAsia="zh-TW"/>
        </w:rPr>
        <w:t>п</w:t>
      </w:r>
      <w:r w:rsidR="00F3132B">
        <w:rPr>
          <w:sz w:val="28"/>
          <w:szCs w:val="28"/>
          <w:lang w:eastAsia="zh-TW"/>
        </w:rPr>
        <w:t>ланируемый к постройке</w:t>
      </w:r>
      <w:r w:rsidR="00C16095">
        <w:rPr>
          <w:sz w:val="28"/>
          <w:szCs w:val="28"/>
          <w:lang w:eastAsia="zh-TW"/>
        </w:rPr>
        <w:t xml:space="preserve"> через </w:t>
      </w:r>
      <w:r w:rsidR="00F3132B">
        <w:rPr>
          <w:sz w:val="28"/>
          <w:szCs w:val="28"/>
          <w:lang w:eastAsia="zh-TW"/>
        </w:rPr>
        <w:t>Якутск, Хабаровск и Владивосток, и</w:t>
      </w:r>
      <w:r w:rsidR="00C16095">
        <w:rPr>
          <w:sz w:val="28"/>
          <w:szCs w:val="28"/>
          <w:lang w:eastAsia="zh-TW"/>
        </w:rPr>
        <w:t xml:space="preserve"> Западный – газопр</w:t>
      </w:r>
      <w:r w:rsidR="00F3132B">
        <w:rPr>
          <w:sz w:val="28"/>
          <w:szCs w:val="28"/>
          <w:lang w:eastAsia="zh-TW"/>
        </w:rPr>
        <w:t>овод «Алтай» в Западной Сибири. Для Китая более предпочтительным является первый вариант, так как он свяжет российские месторождения газа непосредственно с промышленно развитым и нуждающемся в газе Северо-восток</w:t>
      </w:r>
      <w:r w:rsidR="006A1A1E">
        <w:rPr>
          <w:sz w:val="28"/>
          <w:szCs w:val="28"/>
          <w:lang w:eastAsia="zh-TW"/>
        </w:rPr>
        <w:t>ом</w:t>
      </w:r>
      <w:r w:rsidR="00F3132B">
        <w:rPr>
          <w:sz w:val="28"/>
          <w:szCs w:val="28"/>
          <w:lang w:eastAsia="zh-TW"/>
        </w:rPr>
        <w:t xml:space="preserve"> Китая и Пекином, а для России – второй, так он требует меньших капиталовложений и в дальнейшем может использоваться не только для торговли с Китаем</w:t>
      </w:r>
      <w:r w:rsidR="0012537E">
        <w:rPr>
          <w:rStyle w:val="FootnoteReference"/>
          <w:sz w:val="28"/>
          <w:szCs w:val="28"/>
          <w:lang w:eastAsia="zh-TW"/>
        </w:rPr>
        <w:footnoteReference w:id="54"/>
      </w:r>
      <w:r w:rsidR="00F3132B">
        <w:rPr>
          <w:sz w:val="28"/>
          <w:szCs w:val="28"/>
          <w:lang w:eastAsia="zh-TW"/>
        </w:rPr>
        <w:t>.</w:t>
      </w:r>
    </w:p>
    <w:p w14:paraId="5646961A" w14:textId="2BEAC175" w:rsidR="00420CFD" w:rsidRPr="00CE5936" w:rsidRDefault="005C076B" w:rsidP="00CE5936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Весной 2013 г. стороны подписали Меморандум о взаимопон</w:t>
      </w:r>
      <w:r w:rsidR="00F3132B">
        <w:rPr>
          <w:sz w:val="28"/>
          <w:szCs w:val="28"/>
          <w:lang w:eastAsia="zh-TW"/>
        </w:rPr>
        <w:t>имании по поставкам газа через Восточный маршрут</w:t>
      </w:r>
      <w:r>
        <w:rPr>
          <w:sz w:val="28"/>
          <w:szCs w:val="28"/>
          <w:lang w:eastAsia="zh-TW"/>
        </w:rPr>
        <w:t xml:space="preserve">, согласно </w:t>
      </w:r>
      <w:r w:rsidR="00C976BC">
        <w:rPr>
          <w:sz w:val="28"/>
          <w:szCs w:val="28"/>
          <w:lang w:eastAsia="zh-TW"/>
        </w:rPr>
        <w:t>н</w:t>
      </w:r>
      <w:r>
        <w:rPr>
          <w:sz w:val="28"/>
          <w:szCs w:val="28"/>
          <w:lang w:eastAsia="zh-TW"/>
        </w:rPr>
        <w:t xml:space="preserve">ему с 2018 г. Россия </w:t>
      </w:r>
      <w:r w:rsidR="005B1E01">
        <w:rPr>
          <w:sz w:val="28"/>
          <w:szCs w:val="28"/>
          <w:lang w:eastAsia="zh-TW"/>
        </w:rPr>
        <w:t xml:space="preserve">ежегодно </w:t>
      </w:r>
      <w:r>
        <w:rPr>
          <w:sz w:val="28"/>
          <w:szCs w:val="28"/>
          <w:lang w:eastAsia="zh-TW"/>
        </w:rPr>
        <w:t xml:space="preserve">будет поставлять </w:t>
      </w:r>
      <w:r w:rsidR="00C976BC">
        <w:rPr>
          <w:sz w:val="28"/>
          <w:szCs w:val="28"/>
          <w:lang w:eastAsia="zh-TW"/>
        </w:rPr>
        <w:t xml:space="preserve">в Китай </w:t>
      </w:r>
      <w:r>
        <w:rPr>
          <w:sz w:val="28"/>
          <w:szCs w:val="28"/>
          <w:lang w:eastAsia="zh-TW"/>
        </w:rPr>
        <w:t xml:space="preserve">38 млрд. </w:t>
      </w:r>
      <w:r w:rsidR="00C976BC">
        <w:rPr>
          <w:sz w:val="28"/>
          <w:szCs w:val="28"/>
          <w:lang w:eastAsia="zh-TW"/>
        </w:rPr>
        <w:t>куб</w:t>
      </w:r>
      <w:r>
        <w:rPr>
          <w:sz w:val="28"/>
          <w:szCs w:val="28"/>
          <w:lang w:eastAsia="zh-TW"/>
        </w:rPr>
        <w:t>. метров газа. Однако</w:t>
      </w:r>
      <w:r w:rsidR="0007710C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eastAsia="zh-TW"/>
        </w:rPr>
        <w:t>договор о купле-продаже пока не заключен, а без него не будет начато строительство новых газопроводов и ответвлений в сторону Китая.</w:t>
      </w:r>
      <w:r>
        <w:rPr>
          <w:rStyle w:val="FootnoteReference"/>
          <w:sz w:val="28"/>
          <w:szCs w:val="28"/>
          <w:lang w:eastAsia="zh-TW"/>
        </w:rPr>
        <w:footnoteReference w:id="55"/>
      </w:r>
    </w:p>
    <w:p w14:paraId="6CF950FD" w14:textId="77777777" w:rsidR="00C24C72" w:rsidRDefault="00C24C72">
      <w:pPr>
        <w:rPr>
          <w:rFonts w:eastAsia="MS Gothic"/>
          <w:b/>
          <w:bCs/>
          <w:kern w:val="32"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br w:type="page"/>
      </w:r>
    </w:p>
    <w:p w14:paraId="58925982" w14:textId="64EF9FA1" w:rsidR="00C24C72" w:rsidRPr="00F56F07" w:rsidRDefault="006C659F" w:rsidP="00F56F07">
      <w:pPr>
        <w:pStyle w:val="Heading1"/>
        <w:spacing w:before="0" w:after="120" w:line="360" w:lineRule="auto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723F9E">
        <w:rPr>
          <w:rFonts w:ascii="Times New Roman" w:hAnsi="Times New Roman"/>
          <w:sz w:val="28"/>
          <w:szCs w:val="28"/>
          <w:lang w:eastAsia="zh-TW"/>
        </w:rPr>
        <w:lastRenderedPageBreak/>
        <w:t>Заключение</w:t>
      </w:r>
      <w:bookmarkEnd w:id="13"/>
    </w:p>
    <w:p w14:paraId="0180BB3A" w14:textId="77777777" w:rsidR="00A46076" w:rsidRDefault="00A46076" w:rsidP="00A46076">
      <w:pPr>
        <w:spacing w:after="120" w:line="360" w:lineRule="auto"/>
        <w:ind w:firstLine="709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В ходе изучения энергетического рынка Китая: структуры производства и потребления различных видов топлива по регионам и отраслям, более подробного анализа  рынков угля и газа, а также определения места Китая на мировом рынке энергетики и возможных перспектив в сотр</w:t>
      </w:r>
      <w:r w:rsidR="006A1A1E">
        <w:rPr>
          <w:sz w:val="28"/>
          <w:szCs w:val="28"/>
          <w:lang w:eastAsia="zh-TW"/>
        </w:rPr>
        <w:t>удничестве Китая с Россией</w:t>
      </w:r>
      <w:r>
        <w:rPr>
          <w:sz w:val="28"/>
          <w:szCs w:val="28"/>
          <w:lang w:eastAsia="zh-TW"/>
        </w:rPr>
        <w:t xml:space="preserve"> можно сделать ряд следующих выводов:</w:t>
      </w:r>
    </w:p>
    <w:p w14:paraId="429B623B" w14:textId="60A46760" w:rsidR="00A46076" w:rsidRPr="00511307" w:rsidRDefault="0007392D" w:rsidP="003D3410">
      <w:pPr>
        <w:numPr>
          <w:ilvl w:val="0"/>
          <w:numId w:val="1"/>
        </w:numPr>
        <w:spacing w:after="120" w:line="360" w:lineRule="auto"/>
        <w:ind w:left="709"/>
        <w:jc w:val="both"/>
        <w:rPr>
          <w:i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В силу огромного влияния на мировые энергетические рынки и экологическую обстановку, растущих потребностей</w:t>
      </w:r>
      <w:r w:rsidR="0093296D">
        <w:rPr>
          <w:sz w:val="28"/>
          <w:szCs w:val="28"/>
          <w:lang w:eastAsia="zh-TW"/>
        </w:rPr>
        <w:t xml:space="preserve"> собственной промышленности и домохозяйств – с одной стороны, и значительного ценового преимущества угля над другими видами топлива – с другой, путем государственного планирования Китай поддерживает </w:t>
      </w:r>
      <w:proofErr w:type="spellStart"/>
      <w:r w:rsidR="0093296D">
        <w:rPr>
          <w:sz w:val="28"/>
          <w:szCs w:val="28"/>
          <w:lang w:eastAsia="zh-TW"/>
        </w:rPr>
        <w:t>межтопливную</w:t>
      </w:r>
      <w:proofErr w:type="spellEnd"/>
      <w:r w:rsidR="0093296D">
        <w:rPr>
          <w:sz w:val="28"/>
          <w:szCs w:val="28"/>
          <w:lang w:eastAsia="zh-TW"/>
        </w:rPr>
        <w:t xml:space="preserve"> конкуренцию угля с газом и другими источниками</w:t>
      </w:r>
      <w:r w:rsidR="004F0FC1">
        <w:rPr>
          <w:sz w:val="28"/>
          <w:szCs w:val="28"/>
          <w:lang w:eastAsia="zh-TW"/>
        </w:rPr>
        <w:t>;</w:t>
      </w:r>
    </w:p>
    <w:p w14:paraId="5E145A2F" w14:textId="5FA80CCC" w:rsidR="00A46076" w:rsidRPr="00511307" w:rsidRDefault="0093296D" w:rsidP="003D3410">
      <w:pPr>
        <w:numPr>
          <w:ilvl w:val="0"/>
          <w:numId w:val="1"/>
        </w:numPr>
        <w:spacing w:after="120" w:line="360" w:lineRule="auto"/>
        <w:ind w:left="709"/>
        <w:jc w:val="both"/>
        <w:rPr>
          <w:i/>
          <w:sz w:val="28"/>
          <w:szCs w:val="28"/>
          <w:lang w:eastAsia="zh-TW"/>
        </w:rPr>
      </w:pPr>
      <w:proofErr w:type="spellStart"/>
      <w:r>
        <w:rPr>
          <w:sz w:val="28"/>
          <w:szCs w:val="28"/>
          <w:lang w:eastAsia="zh-TW"/>
        </w:rPr>
        <w:t>Межтопливная</w:t>
      </w:r>
      <w:proofErr w:type="spellEnd"/>
      <w:r>
        <w:rPr>
          <w:sz w:val="28"/>
          <w:szCs w:val="28"/>
          <w:lang w:eastAsia="zh-TW"/>
        </w:rPr>
        <w:t xml:space="preserve"> конкуренция и меры ее поддержки различаются в зависимости от региона Китая. Это вызвано неравномерностью распределения</w:t>
      </w:r>
      <w:r w:rsidR="004F0FC1">
        <w:rPr>
          <w:sz w:val="28"/>
          <w:szCs w:val="28"/>
          <w:lang w:eastAsia="zh-TW"/>
        </w:rPr>
        <w:t xml:space="preserve"> </w:t>
      </w:r>
      <w:r w:rsidR="006A1A1E">
        <w:rPr>
          <w:sz w:val="28"/>
          <w:szCs w:val="28"/>
          <w:lang w:eastAsia="zh-TW"/>
        </w:rPr>
        <w:t xml:space="preserve">ресурсов </w:t>
      </w:r>
      <w:r w:rsidR="004F0FC1">
        <w:rPr>
          <w:sz w:val="28"/>
          <w:szCs w:val="28"/>
          <w:lang w:eastAsia="zh-TW"/>
        </w:rPr>
        <w:t>по территории</w:t>
      </w:r>
      <w:r>
        <w:rPr>
          <w:sz w:val="28"/>
          <w:szCs w:val="28"/>
          <w:lang w:eastAsia="zh-TW"/>
        </w:rPr>
        <w:t xml:space="preserve"> и разницей в экономическом развитии провинций. П</w:t>
      </w:r>
      <w:r w:rsidR="00BA77D7">
        <w:rPr>
          <w:sz w:val="28"/>
          <w:szCs w:val="28"/>
          <w:lang w:eastAsia="zh-TW"/>
        </w:rPr>
        <w:t xml:space="preserve">оэтому </w:t>
      </w:r>
      <w:r>
        <w:rPr>
          <w:sz w:val="28"/>
          <w:szCs w:val="28"/>
          <w:lang w:eastAsia="zh-TW"/>
        </w:rPr>
        <w:t>проекты, направленные на создание эфф</w:t>
      </w:r>
      <w:r w:rsidR="00BA77D7">
        <w:rPr>
          <w:sz w:val="28"/>
          <w:szCs w:val="28"/>
          <w:lang w:eastAsia="zh-TW"/>
        </w:rPr>
        <w:t xml:space="preserve">ективных рынков электроэнергии: импортные поставки топлива, торговля квотами, либерализация ценообразования, </w:t>
      </w:r>
      <w:r>
        <w:rPr>
          <w:sz w:val="28"/>
          <w:szCs w:val="28"/>
          <w:lang w:eastAsia="zh-TW"/>
        </w:rPr>
        <w:t>начинаются в</w:t>
      </w:r>
      <w:r w:rsidR="004F0FC1">
        <w:rPr>
          <w:sz w:val="28"/>
          <w:szCs w:val="28"/>
          <w:lang w:eastAsia="zh-TW"/>
        </w:rPr>
        <w:t xml:space="preserve"> </w:t>
      </w:r>
      <w:r w:rsidR="00BA77D7">
        <w:rPr>
          <w:sz w:val="28"/>
          <w:szCs w:val="28"/>
          <w:lang w:eastAsia="zh-TW"/>
        </w:rPr>
        <w:t xml:space="preserve">местах, где они </w:t>
      </w:r>
      <w:r w:rsidR="00AD6E65">
        <w:rPr>
          <w:sz w:val="28"/>
          <w:szCs w:val="28"/>
          <w:lang w:eastAsia="zh-TW"/>
        </w:rPr>
        <w:t>могут быть</w:t>
      </w:r>
      <w:r w:rsidR="00BA77D7">
        <w:rPr>
          <w:sz w:val="28"/>
          <w:szCs w:val="28"/>
          <w:lang w:eastAsia="zh-TW"/>
        </w:rPr>
        <w:t xml:space="preserve"> реализованы с наибольшей вероятностью; </w:t>
      </w:r>
    </w:p>
    <w:p w14:paraId="4DD49FD4" w14:textId="47054315" w:rsidR="00A46076" w:rsidRPr="00511307" w:rsidRDefault="00BA77D7" w:rsidP="003D3410">
      <w:pPr>
        <w:numPr>
          <w:ilvl w:val="0"/>
          <w:numId w:val="1"/>
        </w:numPr>
        <w:spacing w:after="120" w:line="360" w:lineRule="auto"/>
        <w:ind w:left="709"/>
        <w:jc w:val="both"/>
        <w:rPr>
          <w:i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Самой перспективной отраслью для </w:t>
      </w:r>
      <w:proofErr w:type="spellStart"/>
      <w:r>
        <w:rPr>
          <w:sz w:val="28"/>
          <w:szCs w:val="28"/>
          <w:lang w:eastAsia="zh-TW"/>
        </w:rPr>
        <w:t>межтопливной</w:t>
      </w:r>
      <w:proofErr w:type="spellEnd"/>
      <w:r>
        <w:rPr>
          <w:sz w:val="28"/>
          <w:szCs w:val="28"/>
          <w:lang w:eastAsia="zh-TW"/>
        </w:rPr>
        <w:t xml:space="preserve"> ко</w:t>
      </w:r>
      <w:r w:rsidR="00AD6E65">
        <w:rPr>
          <w:sz w:val="28"/>
          <w:szCs w:val="28"/>
          <w:lang w:eastAsia="zh-TW"/>
        </w:rPr>
        <w:t>нкуренции между углем, газом и ВЭИ</w:t>
      </w:r>
      <w:r>
        <w:rPr>
          <w:sz w:val="28"/>
          <w:szCs w:val="28"/>
          <w:lang w:eastAsia="zh-TW"/>
        </w:rPr>
        <w:t xml:space="preserve"> является электроэнергетика, т.к.</w:t>
      </w:r>
      <w:r w:rsidR="00CB0C3F">
        <w:rPr>
          <w:sz w:val="28"/>
          <w:szCs w:val="28"/>
          <w:lang w:eastAsia="zh-TW"/>
        </w:rPr>
        <w:t>,</w:t>
      </w:r>
      <w:r>
        <w:rPr>
          <w:sz w:val="28"/>
          <w:szCs w:val="28"/>
          <w:lang w:eastAsia="zh-TW"/>
        </w:rPr>
        <w:t xml:space="preserve"> во-первых, она стремительно развивается с ростом производства и увеличения уровня жизни населения, во-вторых, туда направляются государственные и частные инвестиции, внедряются новые технологии. Другой важной платформой </w:t>
      </w:r>
      <w:proofErr w:type="spellStart"/>
      <w:r>
        <w:rPr>
          <w:sz w:val="28"/>
          <w:szCs w:val="28"/>
          <w:lang w:eastAsia="zh-TW"/>
        </w:rPr>
        <w:t>межтопливной</w:t>
      </w:r>
      <w:proofErr w:type="spellEnd"/>
      <w:r>
        <w:rPr>
          <w:sz w:val="28"/>
          <w:szCs w:val="28"/>
          <w:lang w:eastAsia="zh-TW"/>
        </w:rPr>
        <w:t xml:space="preserve"> конкуренции являются самые энергетически интенсивные производства</w:t>
      </w:r>
      <w:r w:rsidR="00A46076">
        <w:rPr>
          <w:sz w:val="28"/>
          <w:szCs w:val="28"/>
          <w:lang w:eastAsia="zh-TW"/>
        </w:rPr>
        <w:t>;</w:t>
      </w:r>
    </w:p>
    <w:p w14:paraId="7104714A" w14:textId="17C9284F" w:rsidR="00993511" w:rsidRPr="00993511" w:rsidRDefault="00BA77D7" w:rsidP="003D3410">
      <w:pPr>
        <w:numPr>
          <w:ilvl w:val="0"/>
          <w:numId w:val="1"/>
        </w:numPr>
        <w:spacing w:after="120" w:line="360" w:lineRule="auto"/>
        <w:ind w:left="709"/>
        <w:jc w:val="both"/>
        <w:rPr>
          <w:i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К</w:t>
      </w:r>
      <w:r w:rsidR="003D3410">
        <w:rPr>
          <w:sz w:val="28"/>
          <w:szCs w:val="28"/>
          <w:lang w:eastAsia="zh-TW"/>
        </w:rPr>
        <w:t>итайский рынок угля довольно высоко</w:t>
      </w:r>
      <w:r w:rsidR="006A1A1E">
        <w:rPr>
          <w:sz w:val="28"/>
          <w:szCs w:val="28"/>
          <w:lang w:eastAsia="zh-TW"/>
        </w:rPr>
        <w:t xml:space="preserve"> конкурентный</w:t>
      </w:r>
      <w:r w:rsidR="001334A0">
        <w:rPr>
          <w:sz w:val="28"/>
          <w:szCs w:val="28"/>
          <w:lang w:eastAsia="zh-TW"/>
        </w:rPr>
        <w:t>, уровень цен местного угля соотве</w:t>
      </w:r>
      <w:r w:rsidR="00993511">
        <w:rPr>
          <w:sz w:val="28"/>
          <w:szCs w:val="28"/>
          <w:lang w:eastAsia="zh-TW"/>
        </w:rPr>
        <w:t>т</w:t>
      </w:r>
      <w:r w:rsidR="001334A0">
        <w:rPr>
          <w:sz w:val="28"/>
          <w:szCs w:val="28"/>
          <w:lang w:eastAsia="zh-TW"/>
        </w:rPr>
        <w:t xml:space="preserve">ствует международному. </w:t>
      </w:r>
      <w:r>
        <w:rPr>
          <w:sz w:val="28"/>
          <w:szCs w:val="28"/>
          <w:lang w:eastAsia="zh-TW"/>
        </w:rPr>
        <w:t xml:space="preserve">В настоящее время в </w:t>
      </w:r>
      <w:r>
        <w:rPr>
          <w:sz w:val="28"/>
          <w:szCs w:val="28"/>
          <w:lang w:eastAsia="zh-TW"/>
        </w:rPr>
        <w:lastRenderedPageBreak/>
        <w:t>ценовой конкуренции между углем и газом выигрывает уголь, но</w:t>
      </w:r>
      <w:r w:rsidRPr="00BA77D7">
        <w:rPr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eastAsia="zh-TW"/>
        </w:rPr>
        <w:t xml:space="preserve">на официальном уровне пропагандируется как можно более экологически безопасный рост и, как следствие, переход с потребления угля на более </w:t>
      </w:r>
      <w:proofErr w:type="spellStart"/>
      <w:r>
        <w:rPr>
          <w:sz w:val="28"/>
          <w:szCs w:val="28"/>
          <w:lang w:eastAsia="zh-TW"/>
        </w:rPr>
        <w:t>энерго</w:t>
      </w:r>
      <w:proofErr w:type="spellEnd"/>
      <w:r>
        <w:rPr>
          <w:sz w:val="28"/>
          <w:szCs w:val="28"/>
          <w:lang w:eastAsia="zh-TW"/>
        </w:rPr>
        <w:t xml:space="preserve">- и </w:t>
      </w:r>
      <w:proofErr w:type="spellStart"/>
      <w:r>
        <w:rPr>
          <w:sz w:val="28"/>
          <w:szCs w:val="28"/>
          <w:lang w:eastAsia="zh-TW"/>
        </w:rPr>
        <w:t>экоэффективные</w:t>
      </w:r>
      <w:proofErr w:type="spellEnd"/>
      <w:r>
        <w:rPr>
          <w:sz w:val="28"/>
          <w:szCs w:val="28"/>
          <w:lang w:eastAsia="zh-TW"/>
        </w:rPr>
        <w:t xml:space="preserve"> виды топлива, природный газ и возобновляемые источники.</w:t>
      </w:r>
    </w:p>
    <w:p w14:paraId="527B0597" w14:textId="4DF8F6FB" w:rsidR="00A46076" w:rsidRPr="00511307" w:rsidRDefault="00BA77D7" w:rsidP="003D3410">
      <w:pPr>
        <w:numPr>
          <w:ilvl w:val="0"/>
          <w:numId w:val="1"/>
        </w:numPr>
        <w:spacing w:after="120" w:line="360" w:lineRule="auto"/>
        <w:ind w:left="709"/>
        <w:jc w:val="both"/>
        <w:rPr>
          <w:i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Для обеспечения существования </w:t>
      </w:r>
      <w:proofErr w:type="spellStart"/>
      <w:r>
        <w:rPr>
          <w:sz w:val="28"/>
          <w:szCs w:val="28"/>
          <w:lang w:eastAsia="zh-TW"/>
        </w:rPr>
        <w:t>межтопливной</w:t>
      </w:r>
      <w:proofErr w:type="spellEnd"/>
      <w:r>
        <w:rPr>
          <w:sz w:val="28"/>
          <w:szCs w:val="28"/>
          <w:lang w:eastAsia="zh-TW"/>
        </w:rPr>
        <w:t xml:space="preserve"> конкуренции между углем и газом, р</w:t>
      </w:r>
      <w:r w:rsidR="001334A0">
        <w:rPr>
          <w:sz w:val="28"/>
          <w:szCs w:val="28"/>
          <w:lang w:eastAsia="zh-TW"/>
        </w:rPr>
        <w:t xml:space="preserve">ынок газа находится под </w:t>
      </w:r>
      <w:r>
        <w:rPr>
          <w:sz w:val="28"/>
          <w:szCs w:val="28"/>
          <w:lang w:eastAsia="zh-TW"/>
        </w:rPr>
        <w:t>значительным</w:t>
      </w:r>
      <w:r w:rsidR="001334A0">
        <w:rPr>
          <w:sz w:val="28"/>
          <w:szCs w:val="28"/>
          <w:lang w:eastAsia="zh-TW"/>
        </w:rPr>
        <w:t xml:space="preserve"> государственным контролем. В целях</w:t>
      </w:r>
      <w:r w:rsidR="00993511">
        <w:rPr>
          <w:sz w:val="28"/>
          <w:szCs w:val="28"/>
          <w:lang w:eastAsia="zh-TW"/>
        </w:rPr>
        <w:t xml:space="preserve"> поддержания низких цен на электричество и</w:t>
      </w:r>
      <w:r w:rsidR="001334A0">
        <w:rPr>
          <w:sz w:val="28"/>
          <w:szCs w:val="28"/>
          <w:lang w:eastAsia="zh-TW"/>
        </w:rPr>
        <w:t xml:space="preserve"> обеспечения конкурентоспособности с углем</w:t>
      </w:r>
      <w:r w:rsidR="001A3701">
        <w:rPr>
          <w:sz w:val="28"/>
          <w:szCs w:val="28"/>
          <w:lang w:eastAsia="zh-TW"/>
        </w:rPr>
        <w:t>,</w:t>
      </w:r>
      <w:r w:rsidR="001334A0">
        <w:rPr>
          <w:sz w:val="28"/>
          <w:szCs w:val="28"/>
          <w:lang w:eastAsia="zh-TW"/>
        </w:rPr>
        <w:t xml:space="preserve"> цены на местный газ занижены</w:t>
      </w:r>
      <w:r w:rsidR="001A3701">
        <w:rPr>
          <w:sz w:val="28"/>
          <w:szCs w:val="28"/>
          <w:lang w:eastAsia="zh-TW"/>
        </w:rPr>
        <w:t>. Импортируемый газ стоит гораздо дороже и объемы его импорта неизбежно растут. Так как возможности государственного субсидирования в этой ситуации ограничены, п</w:t>
      </w:r>
      <w:r w:rsidR="00993511">
        <w:rPr>
          <w:sz w:val="28"/>
          <w:szCs w:val="28"/>
          <w:lang w:eastAsia="zh-TW"/>
        </w:rPr>
        <w:t>остепенно происходит либерализации рынков природного газа и электроэнергии;</w:t>
      </w:r>
    </w:p>
    <w:p w14:paraId="0A9FC6A7" w14:textId="4AF377C6" w:rsidR="00A46076" w:rsidRPr="008E405C" w:rsidRDefault="00993511" w:rsidP="00993511">
      <w:pPr>
        <w:spacing w:after="120" w:line="360" w:lineRule="auto"/>
        <w:ind w:firstLine="709"/>
        <w:jc w:val="both"/>
        <w:rPr>
          <w:i/>
          <w:sz w:val="28"/>
          <w:szCs w:val="28"/>
          <w:lang w:eastAsia="zh-TW"/>
        </w:rPr>
      </w:pPr>
      <w:r w:rsidRPr="006F6CE5">
        <w:rPr>
          <w:sz w:val="28"/>
          <w:szCs w:val="28"/>
          <w:lang w:eastAsia="zh-TW"/>
        </w:rPr>
        <w:t xml:space="preserve">Таким образом, представленная китайская </w:t>
      </w:r>
      <w:r w:rsidR="00A46076" w:rsidRPr="006F6CE5">
        <w:rPr>
          <w:sz w:val="28"/>
          <w:szCs w:val="28"/>
          <w:lang w:eastAsia="zh-TW"/>
        </w:rPr>
        <w:t xml:space="preserve">структура </w:t>
      </w:r>
      <w:r w:rsidRPr="006F6CE5">
        <w:rPr>
          <w:sz w:val="28"/>
          <w:szCs w:val="28"/>
          <w:lang w:eastAsia="zh-TW"/>
        </w:rPr>
        <w:t>потребления энергии</w:t>
      </w:r>
      <w:r w:rsidR="001A3701">
        <w:rPr>
          <w:sz w:val="28"/>
          <w:szCs w:val="28"/>
          <w:lang w:eastAsia="zh-TW"/>
        </w:rPr>
        <w:t xml:space="preserve">, </w:t>
      </w:r>
      <w:proofErr w:type="spellStart"/>
      <w:r w:rsidR="001A3701">
        <w:rPr>
          <w:sz w:val="28"/>
          <w:szCs w:val="28"/>
          <w:lang w:eastAsia="zh-TW"/>
        </w:rPr>
        <w:t>межтопливная</w:t>
      </w:r>
      <w:proofErr w:type="spellEnd"/>
      <w:r w:rsidR="001A3701">
        <w:rPr>
          <w:sz w:val="28"/>
          <w:szCs w:val="28"/>
          <w:lang w:eastAsia="zh-TW"/>
        </w:rPr>
        <w:t xml:space="preserve"> конкуренция, создаваемая государственным планированием</w:t>
      </w:r>
      <w:r w:rsidRPr="006F6CE5">
        <w:rPr>
          <w:sz w:val="28"/>
          <w:szCs w:val="28"/>
          <w:lang w:eastAsia="zh-TW"/>
        </w:rPr>
        <w:t>, обозримые перспективы либерал</w:t>
      </w:r>
      <w:r w:rsidR="006F6CE5" w:rsidRPr="006F6CE5">
        <w:rPr>
          <w:sz w:val="28"/>
          <w:szCs w:val="28"/>
          <w:lang w:eastAsia="zh-TW"/>
        </w:rPr>
        <w:t>изации ценообразования в</w:t>
      </w:r>
      <w:r w:rsidRPr="006F6CE5">
        <w:rPr>
          <w:sz w:val="28"/>
          <w:szCs w:val="28"/>
          <w:lang w:eastAsia="zh-TW"/>
        </w:rPr>
        <w:t xml:space="preserve"> </w:t>
      </w:r>
      <w:r w:rsidR="006F6CE5" w:rsidRPr="006F6CE5">
        <w:rPr>
          <w:sz w:val="28"/>
          <w:szCs w:val="28"/>
          <w:lang w:eastAsia="zh-TW"/>
        </w:rPr>
        <w:t>электроэнергетике</w:t>
      </w:r>
      <w:r w:rsidRPr="006F6CE5">
        <w:rPr>
          <w:sz w:val="28"/>
          <w:szCs w:val="28"/>
          <w:lang w:eastAsia="zh-TW"/>
        </w:rPr>
        <w:t>, стратегическая ориентация н</w:t>
      </w:r>
      <w:r w:rsidR="006F6CE5" w:rsidRPr="006F6CE5">
        <w:rPr>
          <w:sz w:val="28"/>
          <w:szCs w:val="28"/>
          <w:lang w:eastAsia="zh-TW"/>
        </w:rPr>
        <w:t xml:space="preserve">а экологическую </w:t>
      </w:r>
      <w:r w:rsidR="00CB0C3F">
        <w:rPr>
          <w:sz w:val="28"/>
          <w:szCs w:val="28"/>
          <w:lang w:eastAsia="zh-TW"/>
        </w:rPr>
        <w:t>безопасность</w:t>
      </w:r>
      <w:r w:rsidR="006F6CE5" w:rsidRPr="006F6CE5">
        <w:rPr>
          <w:sz w:val="28"/>
          <w:szCs w:val="28"/>
          <w:lang w:eastAsia="zh-TW"/>
        </w:rPr>
        <w:t xml:space="preserve"> позволят Китаю со временем перейти с угля на более эффективные с точки зрения получения энергии и экологической безопасности виды топлива, </w:t>
      </w:r>
      <w:r w:rsidR="003F4E91">
        <w:rPr>
          <w:sz w:val="28"/>
          <w:szCs w:val="28"/>
          <w:lang w:eastAsia="zh-TW"/>
        </w:rPr>
        <w:t>прежде всего</w:t>
      </w:r>
      <w:r w:rsidR="00905C0D">
        <w:rPr>
          <w:sz w:val="28"/>
          <w:szCs w:val="28"/>
          <w:lang w:eastAsia="zh-TW"/>
        </w:rPr>
        <w:t>,</w:t>
      </w:r>
      <w:r w:rsidR="006F6CE5" w:rsidRPr="006F6CE5">
        <w:rPr>
          <w:sz w:val="28"/>
          <w:szCs w:val="28"/>
          <w:lang w:eastAsia="zh-TW"/>
        </w:rPr>
        <w:t xml:space="preserve"> природный газ. Более того, стремление диверсифицировать импортные источники и </w:t>
      </w:r>
      <w:r w:rsidRPr="006F6CE5">
        <w:rPr>
          <w:sz w:val="28"/>
          <w:szCs w:val="28"/>
          <w:lang w:eastAsia="zh-TW"/>
        </w:rPr>
        <w:t>исторический опыт сотрудничества с Россией позволяют заключить, что</w:t>
      </w:r>
      <w:r w:rsidR="004347CA">
        <w:rPr>
          <w:sz w:val="28"/>
          <w:szCs w:val="28"/>
          <w:lang w:eastAsia="zh-TW"/>
        </w:rPr>
        <w:t>,</w:t>
      </w:r>
      <w:r w:rsidRPr="006F6CE5">
        <w:rPr>
          <w:sz w:val="28"/>
          <w:szCs w:val="28"/>
          <w:lang w:eastAsia="zh-TW"/>
        </w:rPr>
        <w:t xml:space="preserve"> в случае разумных требований обеих сторон</w:t>
      </w:r>
      <w:r w:rsidR="004347CA">
        <w:rPr>
          <w:sz w:val="28"/>
          <w:szCs w:val="28"/>
          <w:lang w:eastAsia="zh-TW"/>
        </w:rPr>
        <w:t>,</w:t>
      </w:r>
      <w:r w:rsidRPr="006F6CE5">
        <w:rPr>
          <w:sz w:val="28"/>
          <w:szCs w:val="28"/>
          <w:lang w:eastAsia="zh-TW"/>
        </w:rPr>
        <w:t xml:space="preserve"> в ближайшем будущем газовые поставки станут новой важной сферой внешнеторгового сотрудничества РФ и КНР.</w:t>
      </w:r>
    </w:p>
    <w:p w14:paraId="2E949D81" w14:textId="77777777" w:rsidR="004612B4" w:rsidRDefault="004612B4" w:rsidP="00A3163F">
      <w:pPr>
        <w:spacing w:after="120" w:line="360" w:lineRule="auto"/>
        <w:rPr>
          <w:rFonts w:eastAsia="MS Gothic"/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14:paraId="166B377B" w14:textId="1F7F91AA" w:rsidR="00C771DE" w:rsidRDefault="002523E7" w:rsidP="002C205B">
      <w:pPr>
        <w:pStyle w:val="Heading1"/>
        <w:spacing w:before="0" w:after="120" w:line="360" w:lineRule="auto"/>
        <w:jc w:val="both"/>
        <w:rPr>
          <w:rFonts w:ascii="Times New Roman" w:hAnsi="Times New Roman"/>
          <w:sz w:val="28"/>
          <w:szCs w:val="28"/>
        </w:rPr>
      </w:pPr>
      <w:bookmarkStart w:id="16" w:name="_Toc229737133"/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  <w:bookmarkEnd w:id="16"/>
      <w:r w:rsidR="000D45C3">
        <w:rPr>
          <w:rFonts w:ascii="Times New Roman" w:hAnsi="Times New Roman"/>
          <w:sz w:val="28"/>
          <w:szCs w:val="28"/>
        </w:rPr>
        <w:t>:</w:t>
      </w:r>
    </w:p>
    <w:p w14:paraId="09F895BA" w14:textId="60F4C4AC" w:rsidR="00717BD3" w:rsidRPr="00616E77" w:rsidRDefault="00717BD3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/>
          <w:sz w:val="28"/>
          <w:szCs w:val="28"/>
        </w:rPr>
        <w:t>Белогорьев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717BD3">
        <w:rPr>
          <w:rFonts w:ascii="Times New Roman" w:hAnsi="Times New Roman"/>
          <w:sz w:val="28"/>
          <w:szCs w:val="28"/>
        </w:rPr>
        <w:t>Энергетическая стратегия Китая и российский газ</w:t>
      </w:r>
      <w:r>
        <w:rPr>
          <w:rFonts w:ascii="Times New Roman" w:hAnsi="Times New Roman"/>
          <w:sz w:val="28"/>
          <w:szCs w:val="28"/>
        </w:rPr>
        <w:t xml:space="preserve">// Академия энергетики, </w:t>
      </w:r>
      <w:r w:rsidRPr="00717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№1(44), 2012</w:t>
      </w:r>
    </w:p>
    <w:p w14:paraId="4DF93A9D" w14:textId="048DD82C" w:rsidR="00717BD3" w:rsidRPr="00616E77" w:rsidRDefault="00717BD3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http://www.energystrategy.ru/press-c/source/ak_en_1-12.pdf</w:t>
      </w:r>
    </w:p>
    <w:p w14:paraId="174CD14C" w14:textId="23E80BF7" w:rsidR="00EA55D6" w:rsidRDefault="00EA55D6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A55D6">
        <w:rPr>
          <w:rFonts w:ascii="Times New Roman" w:hAnsi="Times New Roman"/>
          <w:sz w:val="28"/>
          <w:szCs w:val="28"/>
        </w:rPr>
        <w:t>В.А.</w:t>
      </w:r>
      <w:r w:rsidR="008E1F3C">
        <w:rPr>
          <w:rFonts w:ascii="Times New Roman" w:hAnsi="Times New Roman"/>
          <w:sz w:val="28"/>
          <w:szCs w:val="28"/>
        </w:rPr>
        <w:t xml:space="preserve"> </w:t>
      </w:r>
      <w:r w:rsidRPr="00EA55D6">
        <w:rPr>
          <w:rFonts w:ascii="Times New Roman" w:hAnsi="Times New Roman"/>
          <w:sz w:val="28"/>
          <w:szCs w:val="28"/>
        </w:rPr>
        <w:t>Крюков, В.И.</w:t>
      </w:r>
      <w:r w:rsidR="008E1F3C">
        <w:rPr>
          <w:rFonts w:ascii="Times New Roman" w:hAnsi="Times New Roman"/>
          <w:sz w:val="28"/>
          <w:szCs w:val="28"/>
        </w:rPr>
        <w:t xml:space="preserve"> </w:t>
      </w:r>
      <w:r w:rsidRPr="00EA55D6">
        <w:rPr>
          <w:rFonts w:ascii="Times New Roman" w:hAnsi="Times New Roman"/>
          <w:sz w:val="28"/>
          <w:szCs w:val="28"/>
        </w:rPr>
        <w:t xml:space="preserve">Константинов, </w:t>
      </w:r>
      <w:r w:rsidR="00F53E68" w:rsidRPr="00EA55D6">
        <w:rPr>
          <w:rFonts w:ascii="Times New Roman" w:hAnsi="Times New Roman"/>
          <w:sz w:val="28"/>
          <w:szCs w:val="28"/>
        </w:rPr>
        <w:t xml:space="preserve">О </w:t>
      </w:r>
      <w:r w:rsidRPr="00EA55D6">
        <w:rPr>
          <w:rFonts w:ascii="Times New Roman" w:hAnsi="Times New Roman"/>
          <w:sz w:val="28"/>
          <w:szCs w:val="28"/>
        </w:rPr>
        <w:t xml:space="preserve">проблемах формирования </w:t>
      </w:r>
      <w:proofErr w:type="spellStart"/>
      <w:r w:rsidRPr="00EA55D6">
        <w:rPr>
          <w:rFonts w:ascii="Times New Roman" w:hAnsi="Times New Roman"/>
          <w:sz w:val="28"/>
          <w:szCs w:val="28"/>
        </w:rPr>
        <w:t>межтопливной</w:t>
      </w:r>
      <w:proofErr w:type="spellEnd"/>
      <w:r w:rsidRPr="00EA55D6">
        <w:rPr>
          <w:rFonts w:ascii="Times New Roman" w:hAnsi="Times New Roman"/>
          <w:sz w:val="28"/>
          <w:szCs w:val="28"/>
        </w:rPr>
        <w:t xml:space="preserve"> конкуренции в ТЭКе России//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Вестник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НГУ,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Том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3,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Выпуск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1, 2003</w:t>
      </w:r>
    </w:p>
    <w:p w14:paraId="2DB26B12" w14:textId="29F8D42B" w:rsidR="001B0E71" w:rsidRPr="00616E77" w:rsidRDefault="00EA55D6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http://www.nsu.ru/exp/ref/Media:4edf33fdc871dec5190003851Kriukov.pdf</w:t>
      </w:r>
    </w:p>
    <w:p w14:paraId="4451E247" w14:textId="305C43B9" w:rsidR="008E5BE3" w:rsidRPr="00616E77" w:rsidRDefault="008E5BE3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К. Кушкина, Э. </w:t>
      </w:r>
      <w:proofErr w:type="spellStart"/>
      <w:r>
        <w:rPr>
          <w:rFonts w:ascii="Times New Roman" w:hAnsi="Times New Roman"/>
          <w:sz w:val="28"/>
          <w:szCs w:val="28"/>
        </w:rPr>
        <w:t>Чоу</w:t>
      </w:r>
      <w:proofErr w:type="spellEnd"/>
      <w:r>
        <w:rPr>
          <w:rFonts w:ascii="Times New Roman" w:hAnsi="Times New Roman"/>
          <w:sz w:val="28"/>
          <w:szCs w:val="28"/>
        </w:rPr>
        <w:t xml:space="preserve">, Золотой век газа в Китае? О дальнейшем расширении экспортных поставок природного газа в Китай// </w:t>
      </w:r>
      <w:r>
        <w:rPr>
          <w:rFonts w:ascii="Times New Roman" w:hAnsi="Times New Roman"/>
          <w:sz w:val="28"/>
          <w:szCs w:val="28"/>
          <w:lang w:val="en-US"/>
        </w:rPr>
        <w:t>USRF, IREX, 2012</w:t>
      </w:r>
    </w:p>
    <w:p w14:paraId="79B46FD8" w14:textId="4A6AD9B8" w:rsidR="008E5BE3" w:rsidRPr="00616E77" w:rsidRDefault="008E5BE3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http://www.irex.ru/files/Gaidarfellowship/2012/Kushkina-Rus.pdf</w:t>
      </w:r>
    </w:p>
    <w:p w14:paraId="5F6DFB84" w14:textId="2B8F9E91" w:rsidR="008E5BE3" w:rsidRPr="00616E77" w:rsidRDefault="008E5BE3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С.П. Попов, География газовой промышленности Китая// И</w:t>
      </w:r>
      <w:r w:rsidRPr="008E5BE3">
        <w:rPr>
          <w:rFonts w:ascii="Times New Roman" w:hAnsi="Times New Roman"/>
          <w:sz w:val="28"/>
          <w:szCs w:val="28"/>
        </w:rPr>
        <w:t>нститут систем энергетики им. Л.А. Мелентьева Сибирского отделения РАН</w:t>
      </w:r>
    </w:p>
    <w:p w14:paraId="7D40E2BB" w14:textId="5948D0A3" w:rsidR="008E5BE3" w:rsidRPr="00616E77" w:rsidRDefault="008E5BE3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http://sei.irk.ru/app/enia/popov_china_gas_v1.pdf</w:t>
      </w:r>
    </w:p>
    <w:p w14:paraId="49F04A37" w14:textId="16D1FC80" w:rsidR="001B0E71" w:rsidRPr="00616E77" w:rsidRDefault="001B0E7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/>
          <w:sz w:val="28"/>
          <w:szCs w:val="28"/>
        </w:rPr>
        <w:t>Митрова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 Стерн, М. Белова, Европейский газовый рынок: Мечты не всегда сбываются// Энергетический центр Московской школы управления </w:t>
      </w:r>
      <w:proofErr w:type="spellStart"/>
      <w:r>
        <w:rPr>
          <w:rFonts w:ascii="Times New Roman" w:hAnsi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/>
          <w:sz w:val="28"/>
          <w:szCs w:val="28"/>
        </w:rPr>
        <w:t>, 2012</w:t>
      </w:r>
    </w:p>
    <w:p w14:paraId="6B5B603B" w14:textId="754B52C0" w:rsidR="00DA6141" w:rsidRPr="00616E77" w:rsidRDefault="001B0E71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http://energy.skolkovo.ru/upload/medialibrary/8d8/SEneC_European_Gas_Market_Dreams_Are_Not_Always_Coming_True.pdf</w:t>
      </w:r>
    </w:p>
    <w:p w14:paraId="65B27833" w14:textId="5797F191" w:rsidR="00DA6141" w:rsidRDefault="00DA614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DA6141">
        <w:rPr>
          <w:rFonts w:ascii="Times New Roman" w:hAnsi="Times New Roman"/>
          <w:sz w:val="28"/>
          <w:szCs w:val="28"/>
          <w:lang w:val="en-US"/>
        </w:rPr>
        <w:t>Энергетический</w:t>
      </w:r>
      <w:proofErr w:type="spellEnd"/>
      <w:r w:rsidRPr="00DA61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A6141">
        <w:rPr>
          <w:rFonts w:ascii="Times New Roman" w:hAnsi="Times New Roman"/>
          <w:sz w:val="28"/>
          <w:szCs w:val="28"/>
          <w:lang w:val="en-US"/>
        </w:rPr>
        <w:t>бюллетень</w:t>
      </w:r>
      <w:proofErr w:type="spellEnd"/>
      <w:r w:rsidRPr="00DA61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A6141">
        <w:rPr>
          <w:rFonts w:ascii="Times New Roman" w:hAnsi="Times New Roman"/>
          <w:sz w:val="28"/>
          <w:szCs w:val="28"/>
          <w:lang w:val="en-US"/>
        </w:rPr>
        <w:t>Аналитического</w:t>
      </w:r>
      <w:proofErr w:type="spellEnd"/>
      <w:r w:rsidRPr="00DA61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A6141">
        <w:rPr>
          <w:rFonts w:ascii="Times New Roman" w:hAnsi="Times New Roman"/>
          <w:sz w:val="28"/>
          <w:szCs w:val="28"/>
          <w:lang w:val="en-US"/>
        </w:rPr>
        <w:t>центра</w:t>
      </w:r>
      <w:proofErr w:type="spellEnd"/>
      <w:r w:rsidRPr="00DA61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A6141">
        <w:rPr>
          <w:rFonts w:ascii="Times New Roman" w:hAnsi="Times New Roman"/>
          <w:sz w:val="28"/>
          <w:szCs w:val="28"/>
          <w:lang w:val="en-US"/>
        </w:rPr>
        <w:t>при</w:t>
      </w:r>
      <w:proofErr w:type="spellEnd"/>
      <w:r w:rsidRPr="00DA61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A6141">
        <w:rPr>
          <w:rFonts w:ascii="Times New Roman" w:hAnsi="Times New Roman"/>
          <w:sz w:val="28"/>
          <w:szCs w:val="28"/>
          <w:lang w:val="en-US"/>
        </w:rPr>
        <w:t>Правительстве</w:t>
      </w:r>
      <w:proofErr w:type="spellEnd"/>
      <w:r w:rsidRPr="00DA61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A6141">
        <w:rPr>
          <w:rFonts w:ascii="Times New Roman" w:hAnsi="Times New Roman"/>
          <w:sz w:val="28"/>
          <w:szCs w:val="28"/>
          <w:lang w:val="en-US"/>
        </w:rPr>
        <w:t>Российской</w:t>
      </w:r>
      <w:proofErr w:type="spellEnd"/>
      <w:r w:rsidRPr="00DA614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A6141">
        <w:rPr>
          <w:rFonts w:ascii="Times New Roman" w:hAnsi="Times New Roman"/>
          <w:sz w:val="28"/>
          <w:szCs w:val="28"/>
          <w:lang w:val="en-US"/>
        </w:rPr>
        <w:t>Федерации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№1, 2013</w:t>
      </w:r>
    </w:p>
    <w:p w14:paraId="2FBE14A2" w14:textId="549938AE" w:rsidR="009D7930" w:rsidRDefault="009D7930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Lukin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D7930">
        <w:rPr>
          <w:rFonts w:ascii="Times New Roman" w:hAnsi="Times New Roman"/>
          <w:sz w:val="28"/>
          <w:szCs w:val="28"/>
          <w:lang w:val="en-US"/>
        </w:rPr>
        <w:t>Russian – Chinese Relations</w:t>
      </w:r>
      <w:r>
        <w:rPr>
          <w:rFonts w:ascii="Times New Roman" w:hAnsi="Times New Roman"/>
          <w:sz w:val="28"/>
          <w:szCs w:val="28"/>
          <w:lang w:val="en-US"/>
        </w:rPr>
        <w:t xml:space="preserve">// ISPI Analysis, </w:t>
      </w:r>
      <w:r>
        <w:rPr>
          <w:rFonts w:ascii="Times New Roman" w:hAnsi="Times New Roman"/>
          <w:sz w:val="28"/>
          <w:szCs w:val="28"/>
        </w:rPr>
        <w:t>№167</w:t>
      </w:r>
      <w:r>
        <w:rPr>
          <w:rFonts w:ascii="Times New Roman" w:hAnsi="Times New Roman"/>
          <w:sz w:val="28"/>
          <w:szCs w:val="28"/>
          <w:lang w:val="en-US"/>
        </w:rPr>
        <w:t>, 2013</w:t>
      </w:r>
    </w:p>
    <w:p w14:paraId="66E2BF7F" w14:textId="3E97C98D" w:rsidR="0084465D" w:rsidRDefault="0084465D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4465D">
        <w:rPr>
          <w:rFonts w:ascii="Times New Roman" w:hAnsi="Times New Roman"/>
          <w:sz w:val="28"/>
          <w:szCs w:val="28"/>
          <w:lang w:val="en-US"/>
        </w:rPr>
        <w:t xml:space="preserve">B. </w:t>
      </w:r>
      <w:proofErr w:type="spellStart"/>
      <w:r w:rsidRPr="0084465D">
        <w:rPr>
          <w:rFonts w:ascii="Times New Roman" w:hAnsi="Times New Roman"/>
          <w:sz w:val="28"/>
          <w:szCs w:val="28"/>
          <w:lang w:val="en-US"/>
        </w:rPr>
        <w:t>Liddle</w:t>
      </w:r>
      <w:proofErr w:type="spellEnd"/>
      <w:r w:rsidRPr="0084465D">
        <w:rPr>
          <w:rFonts w:ascii="Times New Roman" w:hAnsi="Times New Roman"/>
          <w:sz w:val="28"/>
          <w:szCs w:val="28"/>
          <w:lang w:val="en-US"/>
        </w:rPr>
        <w:t>, Breaks and trends in OECD countries’ energy–GDP ratios// Energy Policy, №45, 2012,  p. 503</w:t>
      </w:r>
    </w:p>
    <w:p w14:paraId="391D0239" w14:textId="51046551" w:rsidR="003E30B4" w:rsidRDefault="003E30B4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3E30B4">
        <w:rPr>
          <w:rFonts w:ascii="Times New Roman" w:hAnsi="Times New Roman"/>
          <w:sz w:val="28"/>
          <w:szCs w:val="28"/>
          <w:lang w:val="en-US"/>
        </w:rPr>
        <w:t>B. Lin, T. Wang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E30B4">
        <w:rPr>
          <w:rFonts w:ascii="Times New Roman" w:hAnsi="Times New Roman"/>
          <w:sz w:val="28"/>
          <w:szCs w:val="28"/>
          <w:lang w:val="en-US"/>
        </w:rPr>
        <w:t>Forecasting natural gas supply in China: Production peak and import trends</w:t>
      </w:r>
      <w:r>
        <w:rPr>
          <w:rFonts w:ascii="Times New Roman" w:hAnsi="Times New Roman"/>
          <w:sz w:val="28"/>
          <w:szCs w:val="28"/>
          <w:lang w:val="en-US"/>
        </w:rPr>
        <w:t xml:space="preserve">// Energy Policy,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49, 2012, p.</w:t>
      </w:r>
      <w:r w:rsidRPr="003E30B4">
        <w:rPr>
          <w:rFonts w:ascii="Times New Roman" w:hAnsi="Times New Roman"/>
          <w:sz w:val="28"/>
          <w:szCs w:val="28"/>
          <w:lang w:val="en-US"/>
        </w:rPr>
        <w:t xml:space="preserve"> 225–233</w:t>
      </w:r>
    </w:p>
    <w:p w14:paraId="446CAA4B" w14:textId="5AB4C660" w:rsidR="0037557C" w:rsidRDefault="0037557C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Barclays, China’s commodity intensity// Cross Currents, 2012</w:t>
      </w:r>
    </w:p>
    <w:p w14:paraId="1AE98900" w14:textId="6F52D015" w:rsidR="00EE1FD0" w:rsidRDefault="00EE1FD0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E1FD0">
        <w:rPr>
          <w:rFonts w:ascii="Times New Roman" w:hAnsi="Times New Roman"/>
          <w:sz w:val="28"/>
          <w:szCs w:val="28"/>
          <w:lang w:val="en-US"/>
        </w:rPr>
        <w:t>C.-J. Yang et al.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E1FD0">
        <w:rPr>
          <w:rFonts w:ascii="Times New Roman" w:hAnsi="Times New Roman"/>
          <w:sz w:val="28"/>
          <w:szCs w:val="28"/>
          <w:lang w:val="en-US"/>
        </w:rPr>
        <w:t>China’s coal price disturbances: Observations, explanations, and implications for global energy economies</w:t>
      </w:r>
      <w:r>
        <w:rPr>
          <w:rFonts w:ascii="Times New Roman" w:hAnsi="Times New Roman"/>
          <w:sz w:val="28"/>
          <w:szCs w:val="28"/>
          <w:lang w:val="en-US"/>
        </w:rPr>
        <w:t xml:space="preserve">// Energy Policy,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51, 2012, p. </w:t>
      </w:r>
      <w:r w:rsidRPr="00EE1FD0">
        <w:rPr>
          <w:rFonts w:ascii="Times New Roman" w:hAnsi="Times New Roman"/>
          <w:sz w:val="28"/>
          <w:szCs w:val="28"/>
          <w:lang w:val="en-US"/>
        </w:rPr>
        <w:lastRenderedPageBreak/>
        <w:t>720–727</w:t>
      </w:r>
    </w:p>
    <w:p w14:paraId="06194BD7" w14:textId="76B7E352" w:rsidR="00DC13C1" w:rsidRDefault="00DC13C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CNOOC Limited, Annual report 2011</w:t>
      </w:r>
    </w:p>
    <w:p w14:paraId="22FC4D55" w14:textId="02E81ED9" w:rsidR="00DC13C1" w:rsidRPr="00616E77" w:rsidRDefault="00DC13C1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http://www.cnoocltd.com/encnoocltd/tzzgx/dqbd/nianbao/images/2012412936.pdf</w:t>
      </w:r>
    </w:p>
    <w:p w14:paraId="1DF41E63" w14:textId="393E6E3F" w:rsidR="00DC13C1" w:rsidRDefault="00DC13C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CNPC, Annual report 2011</w:t>
      </w:r>
    </w:p>
    <w:p w14:paraId="6B44A9FF" w14:textId="124C348D" w:rsidR="00DC13C1" w:rsidRPr="00616E77" w:rsidRDefault="00DC13C1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http://www.cnpc.com.cn/resource/english/images1/pdf/11AnnualReportEn/0-CNPC%20Annual%20Report%202011.pdf?COLLCC=414508118&amp;</w:t>
      </w:r>
    </w:p>
    <w:p w14:paraId="1E5C3488" w14:textId="4BC281E0" w:rsidR="000D45C3" w:rsidRPr="00616E77" w:rsidRDefault="000D45C3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63D31">
        <w:rPr>
          <w:rFonts w:ascii="Times New Roman" w:hAnsi="Times New Roman"/>
          <w:sz w:val="28"/>
          <w:szCs w:val="28"/>
          <w:lang w:val="en-US"/>
        </w:rPr>
        <w:t>G. Zhou et al.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E63D31">
        <w:t xml:space="preserve"> </w:t>
      </w:r>
      <w:r w:rsidRPr="00E63D31">
        <w:rPr>
          <w:rFonts w:ascii="Times New Roman" w:hAnsi="Times New Roman"/>
          <w:sz w:val="28"/>
          <w:szCs w:val="28"/>
          <w:lang w:val="en-US"/>
        </w:rPr>
        <w:t xml:space="preserve">A study of carbon dioxide emissions performance of China’s transport sector </w:t>
      </w:r>
      <w:r>
        <w:rPr>
          <w:rFonts w:ascii="Times New Roman" w:hAnsi="Times New Roman"/>
          <w:sz w:val="28"/>
          <w:szCs w:val="28"/>
          <w:lang w:val="en-US"/>
        </w:rPr>
        <w:t xml:space="preserve">// Energy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xxx, 2013, p. 1-</w:t>
      </w:r>
      <w:r w:rsidRPr="00E63D31">
        <w:rPr>
          <w:rFonts w:ascii="Times New Roman" w:hAnsi="Times New Roman"/>
          <w:sz w:val="28"/>
          <w:szCs w:val="28"/>
          <w:lang w:val="en-US"/>
        </w:rPr>
        <w:t>13</w:t>
      </w:r>
    </w:p>
    <w:p w14:paraId="49F4ECEA" w14:textId="12E681E0" w:rsidR="00FA196E" w:rsidRDefault="00FA196E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FA196E">
        <w:rPr>
          <w:rFonts w:ascii="Times New Roman" w:hAnsi="Times New Roman"/>
          <w:sz w:val="28"/>
          <w:szCs w:val="28"/>
          <w:lang w:val="en-US"/>
        </w:rPr>
        <w:t xml:space="preserve">G. </w:t>
      </w:r>
      <w:proofErr w:type="spellStart"/>
      <w:r w:rsidRPr="00FA196E">
        <w:rPr>
          <w:rFonts w:ascii="Times New Roman" w:hAnsi="Times New Roman"/>
          <w:sz w:val="28"/>
          <w:szCs w:val="28"/>
          <w:lang w:val="en-US"/>
        </w:rPr>
        <w:t>Zou</w:t>
      </w:r>
      <w:proofErr w:type="spellEnd"/>
      <w:r w:rsidRPr="00FA196E">
        <w:rPr>
          <w:rFonts w:ascii="Times New Roman" w:hAnsi="Times New Roman"/>
          <w:sz w:val="28"/>
          <w:szCs w:val="28"/>
          <w:lang w:val="en-US"/>
        </w:rPr>
        <w:t xml:space="preserve">, The long-term relationships among China’s energy consumption sources and adjustments to its renewable energy policy// Energy Policy, №47, </w:t>
      </w:r>
      <w:r w:rsidR="00A177A3">
        <w:rPr>
          <w:rFonts w:ascii="Times New Roman" w:hAnsi="Times New Roman"/>
          <w:sz w:val="28"/>
          <w:szCs w:val="28"/>
          <w:lang w:val="en-US"/>
        </w:rPr>
        <w:t xml:space="preserve">2012, </w:t>
      </w:r>
      <w:r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FA196E">
        <w:rPr>
          <w:rFonts w:ascii="Times New Roman" w:hAnsi="Times New Roman"/>
          <w:sz w:val="28"/>
          <w:szCs w:val="28"/>
          <w:lang w:val="en-US"/>
        </w:rPr>
        <w:t>456-467.</w:t>
      </w:r>
    </w:p>
    <w:p w14:paraId="3C8CE021" w14:textId="6D04FD1E" w:rsidR="000D45C3" w:rsidRPr="00616E77" w:rsidRDefault="000D45C3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H. Wang, T. Nakata, </w:t>
      </w:r>
      <w:r w:rsidRPr="000D45C3">
        <w:rPr>
          <w:rFonts w:ascii="Times New Roman" w:hAnsi="Times New Roman"/>
          <w:sz w:val="28"/>
          <w:szCs w:val="28"/>
          <w:lang w:val="en-US"/>
        </w:rPr>
        <w:t>Analysis of the market penetration of clean coal technologies and its impacts in China’s electricity sector// Energy Policy №37(1), 2009</w:t>
      </w:r>
    </w:p>
    <w:p w14:paraId="48C25693" w14:textId="77777777" w:rsidR="00A03A97" w:rsidRDefault="00A03A97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International Energy Agency (IEA), Cleaner coal in China// </w:t>
      </w:r>
      <w:r w:rsidRPr="00A03A97">
        <w:rPr>
          <w:rFonts w:ascii="Times New Roman" w:hAnsi="Times New Roman"/>
          <w:sz w:val="28"/>
          <w:szCs w:val="28"/>
          <w:lang w:val="en-US"/>
        </w:rPr>
        <w:t>OECD/IEA, 2009</w:t>
      </w:r>
    </w:p>
    <w:p w14:paraId="3AEA9A26" w14:textId="11CE7376" w:rsidR="00A03A97" w:rsidRPr="00616E77" w:rsidRDefault="00A03A97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 xml:space="preserve">http://www.iea.org/publications/freepublications/publication/coal_china2009.pdf </w:t>
      </w:r>
    </w:p>
    <w:p w14:paraId="424D51EB" w14:textId="3F18A647" w:rsidR="00DC13C1" w:rsidRDefault="00AD0764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IEA</w:t>
      </w:r>
      <w:r w:rsidR="00DC13C1">
        <w:rPr>
          <w:rFonts w:ascii="Times New Roman" w:hAnsi="Times New Roman"/>
          <w:sz w:val="28"/>
          <w:szCs w:val="28"/>
          <w:lang w:val="en-US"/>
        </w:rPr>
        <w:t>, Gas pricing and regulation// OECD/IEA, 2012</w:t>
      </w:r>
    </w:p>
    <w:p w14:paraId="54907B4A" w14:textId="0D0EAC32" w:rsidR="002E78B9" w:rsidRPr="00616E77" w:rsidRDefault="00DC13C1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http://www.iea.org/publications/freepublications/publication/ChinaGasReport_Final_WEB.pdf</w:t>
      </w:r>
    </w:p>
    <w:p w14:paraId="5C504695" w14:textId="5A93A4FA" w:rsidR="002E78B9" w:rsidRDefault="00AD0764" w:rsidP="002E78B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IEA</w:t>
      </w:r>
      <w:r w:rsidR="002E78B9">
        <w:rPr>
          <w:rFonts w:ascii="Times New Roman" w:hAnsi="Times New Roman"/>
          <w:sz w:val="28"/>
          <w:szCs w:val="28"/>
          <w:lang w:val="en-US"/>
        </w:rPr>
        <w:t xml:space="preserve">, World Energy Outlook 2012// </w:t>
      </w:r>
      <w:r w:rsidR="002E78B9" w:rsidRPr="00A03A97">
        <w:rPr>
          <w:rFonts w:ascii="Times New Roman" w:hAnsi="Times New Roman"/>
          <w:sz w:val="28"/>
          <w:szCs w:val="28"/>
          <w:lang w:val="en-US"/>
        </w:rPr>
        <w:t>OECD/IEA, 2</w:t>
      </w:r>
      <w:r w:rsidR="002E78B9">
        <w:rPr>
          <w:rFonts w:ascii="Times New Roman" w:hAnsi="Times New Roman"/>
          <w:sz w:val="28"/>
          <w:szCs w:val="28"/>
          <w:lang w:val="en-US"/>
        </w:rPr>
        <w:t>012</w:t>
      </w:r>
    </w:p>
    <w:p w14:paraId="0CAA2F93" w14:textId="6C9425CE" w:rsidR="002E78B9" w:rsidRPr="00616E77" w:rsidRDefault="002E78B9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http://www.worldenergyoutlook.org/publications/weo-2012/</w:t>
      </w:r>
    </w:p>
    <w:p w14:paraId="38303495" w14:textId="63E3FD03" w:rsidR="00A03A97" w:rsidRDefault="00A03A97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A03A97">
        <w:rPr>
          <w:rFonts w:ascii="Times New Roman" w:hAnsi="Times New Roman"/>
          <w:sz w:val="28"/>
          <w:szCs w:val="28"/>
          <w:lang w:val="en-US"/>
        </w:rPr>
        <w:t>I. Roberts, A. Rush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03A97">
        <w:rPr>
          <w:rFonts w:ascii="Times New Roman" w:hAnsi="Times New Roman"/>
          <w:sz w:val="28"/>
          <w:szCs w:val="28"/>
          <w:lang w:val="en-US"/>
        </w:rPr>
        <w:t>Understanding China's demand for resource imports</w:t>
      </w:r>
      <w:r>
        <w:rPr>
          <w:rFonts w:ascii="Times New Roman" w:hAnsi="Times New Roman"/>
          <w:sz w:val="28"/>
          <w:szCs w:val="28"/>
          <w:lang w:val="en-US"/>
        </w:rPr>
        <w:t xml:space="preserve">// China Economic Review, </w:t>
      </w:r>
      <w:r>
        <w:rPr>
          <w:rFonts w:ascii="Times New Roman" w:hAnsi="Times New Roman"/>
          <w:sz w:val="28"/>
          <w:szCs w:val="28"/>
        </w:rPr>
        <w:t>№</w:t>
      </w:r>
      <w:r w:rsidRPr="00A03A97"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  <w:lang w:val="en-US"/>
        </w:rPr>
        <w:t>, 2012, p.</w:t>
      </w:r>
      <w:r w:rsidRPr="00A03A97">
        <w:rPr>
          <w:rFonts w:ascii="Times New Roman" w:hAnsi="Times New Roman"/>
          <w:sz w:val="28"/>
          <w:szCs w:val="28"/>
          <w:lang w:val="en-US"/>
        </w:rPr>
        <w:t xml:space="preserve"> 566–579</w:t>
      </w:r>
    </w:p>
    <w:p w14:paraId="15C8B209" w14:textId="74189DA8" w:rsidR="00E15199" w:rsidRDefault="00E15199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15199">
        <w:rPr>
          <w:rFonts w:ascii="Times New Roman" w:hAnsi="Times New Roman"/>
          <w:sz w:val="28"/>
          <w:szCs w:val="28"/>
          <w:lang w:val="en-US"/>
        </w:rPr>
        <w:t>J. Li, X. Wang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15199">
        <w:rPr>
          <w:rFonts w:ascii="Times New Roman" w:hAnsi="Times New Roman"/>
          <w:sz w:val="28"/>
          <w:szCs w:val="28"/>
          <w:lang w:val="en-US"/>
        </w:rPr>
        <w:t>Energy and climate policy in China’s twelfth five-year plan: A paradigm shift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E15199">
        <w:rPr>
          <w:rFonts w:ascii="Times New Roman" w:hAnsi="Times New Roman"/>
          <w:sz w:val="28"/>
          <w:szCs w:val="28"/>
          <w:lang w:val="en-US"/>
        </w:rPr>
        <w:t>/ Energy Policy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E1519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41, 2012, p.</w:t>
      </w:r>
      <w:r w:rsidRPr="00E15199">
        <w:rPr>
          <w:rFonts w:ascii="Times New Roman" w:hAnsi="Times New Roman"/>
          <w:sz w:val="28"/>
          <w:szCs w:val="28"/>
          <w:lang w:val="en-US"/>
        </w:rPr>
        <w:t xml:space="preserve"> 519–528</w:t>
      </w:r>
    </w:p>
    <w:p w14:paraId="0A7C5EC0" w14:textId="16604A42" w:rsidR="001B0E71" w:rsidRDefault="001B0E7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J.P.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Weyant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(ed.), </w:t>
      </w:r>
      <w:r w:rsidRPr="001B0E71"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 xml:space="preserve">nergy </w:t>
      </w:r>
      <w:r w:rsidR="00E15199">
        <w:rPr>
          <w:rFonts w:ascii="Times New Roman" w:hAnsi="Times New Roman"/>
          <w:sz w:val="28"/>
          <w:szCs w:val="28"/>
          <w:lang w:val="en-US"/>
        </w:rPr>
        <w:t>and environment policy modeling//</w:t>
      </w:r>
      <w:r>
        <w:rPr>
          <w:rFonts w:ascii="Times New Roman" w:hAnsi="Times New Roman"/>
          <w:sz w:val="28"/>
          <w:szCs w:val="28"/>
          <w:lang w:val="en-US"/>
        </w:rPr>
        <w:t xml:space="preserve"> Kluwer Academic Publishers, 1998</w:t>
      </w:r>
    </w:p>
    <w:p w14:paraId="17475BDC" w14:textId="09F417C4" w:rsidR="00DC13C1" w:rsidRDefault="00DC13C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DC13C1">
        <w:rPr>
          <w:rFonts w:ascii="Times New Roman" w:hAnsi="Times New Roman"/>
          <w:sz w:val="28"/>
          <w:szCs w:val="28"/>
          <w:lang w:val="en-US"/>
        </w:rPr>
        <w:t>J. Wang et al.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C13C1">
        <w:rPr>
          <w:rFonts w:ascii="Times New Roman" w:hAnsi="Times New Roman"/>
          <w:sz w:val="28"/>
          <w:szCs w:val="28"/>
          <w:lang w:val="en-US"/>
        </w:rPr>
        <w:t>China’s natural gas: Resources, production and its impacts</w:t>
      </w:r>
      <w:r>
        <w:rPr>
          <w:rFonts w:ascii="Times New Roman" w:hAnsi="Times New Roman"/>
          <w:sz w:val="28"/>
          <w:szCs w:val="28"/>
          <w:lang w:val="en-US"/>
        </w:rPr>
        <w:t xml:space="preserve">//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Energy Policy,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55, 2013, p.</w:t>
      </w:r>
      <w:r w:rsidRPr="00DC13C1">
        <w:rPr>
          <w:rFonts w:ascii="Times New Roman" w:hAnsi="Times New Roman"/>
          <w:sz w:val="28"/>
          <w:szCs w:val="28"/>
          <w:lang w:val="en-US"/>
        </w:rPr>
        <w:t xml:space="preserve"> 690–698</w:t>
      </w:r>
    </w:p>
    <w:p w14:paraId="3A03D006" w14:textId="5B419CBA" w:rsidR="00D21CD8" w:rsidRDefault="00D21CD8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D21CD8">
        <w:rPr>
          <w:rFonts w:ascii="Times New Roman" w:hAnsi="Times New Roman"/>
          <w:sz w:val="28"/>
          <w:szCs w:val="28"/>
          <w:lang w:val="en-US"/>
        </w:rPr>
        <w:t>J. Yuan et al.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21CD8">
        <w:rPr>
          <w:rFonts w:ascii="Times New Roman" w:hAnsi="Times New Roman"/>
          <w:sz w:val="28"/>
          <w:szCs w:val="28"/>
          <w:lang w:val="en-US"/>
        </w:rPr>
        <w:t>China’s 2020 carbon intensity target: Consistency, implementations, and policy implications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D21CD8">
        <w:rPr>
          <w:rFonts w:ascii="Times New Roman" w:hAnsi="Times New Roman"/>
          <w:sz w:val="28"/>
          <w:szCs w:val="28"/>
          <w:lang w:val="en-US"/>
        </w:rPr>
        <w:t>/ Renewable an</w:t>
      </w:r>
      <w:r>
        <w:rPr>
          <w:rFonts w:ascii="Times New Roman" w:hAnsi="Times New Roman"/>
          <w:sz w:val="28"/>
          <w:szCs w:val="28"/>
          <w:lang w:val="en-US"/>
        </w:rPr>
        <w:t xml:space="preserve">d Sustainable Energy Reviews,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 xml:space="preserve">16, 2012, p. </w:t>
      </w:r>
      <w:r w:rsidRPr="00D21CD8">
        <w:rPr>
          <w:rFonts w:ascii="Times New Roman" w:hAnsi="Times New Roman"/>
          <w:sz w:val="28"/>
          <w:szCs w:val="28"/>
          <w:lang w:val="en-US"/>
        </w:rPr>
        <w:t>4970–4981</w:t>
      </w:r>
    </w:p>
    <w:p w14:paraId="6C5FC6E2" w14:textId="214616C6" w:rsidR="0084465D" w:rsidRDefault="0084465D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4465D">
        <w:rPr>
          <w:rFonts w:ascii="Times New Roman" w:hAnsi="Times New Roman"/>
          <w:sz w:val="28"/>
          <w:szCs w:val="28"/>
          <w:lang w:val="en-US"/>
        </w:rPr>
        <w:t>K. Chai, C. Yeo, Overcoming energy efficiency barriers through systems approach—A conceptual framework// Energy Policy, №46, 2012</w:t>
      </w:r>
    </w:p>
    <w:p w14:paraId="6BC70746" w14:textId="73879C92" w:rsidR="00EA55D6" w:rsidRDefault="008E1F3C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E1F3C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en-US"/>
        </w:rPr>
        <w:t xml:space="preserve">.E. </w:t>
      </w:r>
      <w:r w:rsidRPr="008E1F3C">
        <w:rPr>
          <w:rFonts w:ascii="Times New Roman" w:hAnsi="Times New Roman"/>
          <w:sz w:val="28"/>
          <w:szCs w:val="28"/>
          <w:lang w:val="en-US"/>
        </w:rPr>
        <w:t>Carlson</w:t>
      </w:r>
      <w:r>
        <w:rPr>
          <w:rFonts w:ascii="Times New Roman" w:hAnsi="Times New Roman"/>
          <w:sz w:val="28"/>
          <w:szCs w:val="28"/>
          <w:lang w:val="en-US"/>
        </w:rPr>
        <w:t xml:space="preserve">, Fossil Fuels// </w:t>
      </w:r>
      <w:r w:rsidRPr="008E1F3C">
        <w:rPr>
          <w:rFonts w:ascii="Times New Roman" w:hAnsi="Times New Roman"/>
          <w:sz w:val="28"/>
          <w:szCs w:val="28"/>
          <w:lang w:val="en-US"/>
        </w:rPr>
        <w:t xml:space="preserve">L. F. </w:t>
      </w:r>
      <w:proofErr w:type="spellStart"/>
      <w:r w:rsidRPr="008E1F3C">
        <w:rPr>
          <w:rFonts w:ascii="Times New Roman" w:hAnsi="Times New Roman"/>
          <w:sz w:val="28"/>
          <w:szCs w:val="28"/>
          <w:lang w:val="en-US"/>
        </w:rPr>
        <w:t>Drbal</w:t>
      </w:r>
      <w:proofErr w:type="spellEnd"/>
      <w:r w:rsidRPr="008E1F3C">
        <w:rPr>
          <w:rFonts w:ascii="Times New Roman" w:hAnsi="Times New Roman"/>
          <w:sz w:val="28"/>
          <w:szCs w:val="28"/>
          <w:lang w:val="en-US"/>
        </w:rPr>
        <w:t xml:space="preserve"> et al. (eds.), Power Plant Engineering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E1F3C">
        <w:rPr>
          <w:rFonts w:ascii="Times New Roman" w:hAnsi="Times New Roman"/>
          <w:sz w:val="28"/>
          <w:szCs w:val="28"/>
          <w:lang w:val="en-US"/>
        </w:rPr>
        <w:t>Chapman &amp; Hall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8E1F3C">
        <w:rPr>
          <w:rFonts w:ascii="Times New Roman" w:hAnsi="Times New Roman"/>
          <w:sz w:val="28"/>
          <w:szCs w:val="28"/>
          <w:lang w:val="en-US"/>
        </w:rPr>
        <w:t xml:space="preserve"> 1996</w:t>
      </w:r>
      <w:r w:rsidR="001E4430">
        <w:rPr>
          <w:rFonts w:ascii="Times New Roman" w:hAnsi="Times New Roman"/>
          <w:sz w:val="28"/>
          <w:szCs w:val="28"/>
          <w:lang w:val="en-US"/>
        </w:rPr>
        <w:t>, p. 71-123</w:t>
      </w:r>
    </w:p>
    <w:p w14:paraId="4191FCE7" w14:textId="28C99ED8" w:rsidR="00915778" w:rsidRDefault="00915778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915778">
        <w:rPr>
          <w:rFonts w:ascii="Times New Roman" w:hAnsi="Times New Roman"/>
          <w:sz w:val="28"/>
          <w:szCs w:val="28"/>
          <w:lang w:val="en-US"/>
        </w:rPr>
        <w:t>K.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5778">
        <w:rPr>
          <w:rFonts w:ascii="Times New Roman" w:hAnsi="Times New Roman"/>
          <w:sz w:val="28"/>
          <w:szCs w:val="28"/>
          <w:lang w:val="en-US"/>
        </w:rPr>
        <w:t>Wang, Energy and emissions efﬁciency patterns of Chinese regions: A multi-directional efﬁciency analysis// Applied Energy, Volume 104, 2013, p. 105-116</w:t>
      </w:r>
    </w:p>
    <w:p w14:paraId="03BE39BD" w14:textId="7DBFC914" w:rsidR="00915778" w:rsidRDefault="00915778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915778">
        <w:rPr>
          <w:rFonts w:ascii="Times New Roman" w:hAnsi="Times New Roman"/>
          <w:sz w:val="28"/>
          <w:szCs w:val="28"/>
          <w:lang w:val="en-US"/>
        </w:rPr>
        <w:t xml:space="preserve">L. Eder, P. Andrews-Speed, A. </w:t>
      </w:r>
      <w:proofErr w:type="spellStart"/>
      <w:r w:rsidRPr="00915778">
        <w:rPr>
          <w:rFonts w:ascii="Times New Roman" w:hAnsi="Times New Roman"/>
          <w:sz w:val="28"/>
          <w:szCs w:val="28"/>
          <w:lang w:val="en-US"/>
        </w:rPr>
        <w:t>Korzhubaev</w:t>
      </w:r>
      <w:proofErr w:type="spellEnd"/>
      <w:r w:rsidRPr="00915778">
        <w:rPr>
          <w:rFonts w:ascii="Times New Roman" w:hAnsi="Times New Roman"/>
          <w:sz w:val="28"/>
          <w:szCs w:val="28"/>
          <w:lang w:val="en-US"/>
        </w:rPr>
        <w:t>, Russia’s evolving energy policy for its eastern regions, and implications for oil and gas cooperation between Russia and China// Journal of World Energy Law &amp; Business, Vol. 2, №3, 2009</w:t>
      </w:r>
    </w:p>
    <w:p w14:paraId="39A4E10C" w14:textId="7C5401EE" w:rsidR="0084465D" w:rsidRDefault="0084465D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84465D">
        <w:rPr>
          <w:rFonts w:ascii="Times New Roman" w:hAnsi="Times New Roman"/>
          <w:sz w:val="28"/>
          <w:szCs w:val="28"/>
          <w:lang w:val="en-US"/>
        </w:rPr>
        <w:t xml:space="preserve">M.J. </w:t>
      </w:r>
      <w:proofErr w:type="spellStart"/>
      <w:r w:rsidRPr="0084465D">
        <w:rPr>
          <w:rFonts w:ascii="Times New Roman" w:hAnsi="Times New Roman"/>
          <w:sz w:val="28"/>
          <w:szCs w:val="28"/>
          <w:lang w:val="en-US"/>
        </w:rPr>
        <w:t>Koetsea</w:t>
      </w:r>
      <w:proofErr w:type="spellEnd"/>
      <w:r w:rsidRPr="0084465D">
        <w:rPr>
          <w:rFonts w:ascii="Times New Roman" w:hAnsi="Times New Roman"/>
          <w:sz w:val="28"/>
          <w:szCs w:val="28"/>
          <w:lang w:val="en-US"/>
        </w:rPr>
        <w:t xml:space="preserve">, L.F. Henri, R. J.G.M. </w:t>
      </w:r>
      <w:proofErr w:type="spellStart"/>
      <w:r w:rsidRPr="0084465D">
        <w:rPr>
          <w:rFonts w:ascii="Times New Roman" w:hAnsi="Times New Roman"/>
          <w:sz w:val="28"/>
          <w:szCs w:val="28"/>
          <w:lang w:val="en-US"/>
        </w:rPr>
        <w:t>Floraxa</w:t>
      </w:r>
      <w:proofErr w:type="spellEnd"/>
      <w:r w:rsidRPr="0084465D">
        <w:rPr>
          <w:rFonts w:ascii="Times New Roman" w:hAnsi="Times New Roman"/>
          <w:sz w:val="28"/>
          <w:szCs w:val="28"/>
          <w:lang w:val="en-US"/>
        </w:rPr>
        <w:t>. Capital-Energy Substitution and Shifts in Factor Demand: A Meta-Analysis // Tinbergen Institute Discussion Paper, 2006</w:t>
      </w:r>
    </w:p>
    <w:p w14:paraId="5C9815D2" w14:textId="0F711F09" w:rsidR="00E15199" w:rsidRDefault="00E15199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616E77">
        <w:rPr>
          <w:rFonts w:ascii="Times New Roman" w:hAnsi="Times New Roman"/>
          <w:sz w:val="28"/>
          <w:szCs w:val="28"/>
          <w:lang w:val="en-US"/>
        </w:rPr>
        <w:t>M. Yang and F. Yang, Negotiation in Decentralization, Green Energy and Technology// Springer-</w:t>
      </w:r>
      <w:proofErr w:type="spellStart"/>
      <w:r w:rsidRPr="00616E77">
        <w:rPr>
          <w:rFonts w:ascii="Times New Roman" w:hAnsi="Times New Roman"/>
          <w:sz w:val="28"/>
          <w:szCs w:val="28"/>
          <w:lang w:val="en-US"/>
        </w:rPr>
        <w:t>Verlag</w:t>
      </w:r>
      <w:proofErr w:type="spellEnd"/>
      <w:r w:rsidRPr="00616E77">
        <w:rPr>
          <w:rFonts w:ascii="Times New Roman" w:hAnsi="Times New Roman"/>
          <w:sz w:val="28"/>
          <w:szCs w:val="28"/>
          <w:lang w:val="en-US"/>
        </w:rPr>
        <w:t xml:space="preserve"> London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616E77">
        <w:rPr>
          <w:rFonts w:ascii="Times New Roman" w:hAnsi="Times New Roman"/>
          <w:sz w:val="28"/>
          <w:szCs w:val="28"/>
          <w:lang w:val="en-US"/>
        </w:rPr>
        <w:t xml:space="preserve"> 2012</w:t>
      </w:r>
      <w:r w:rsidR="00506CB5">
        <w:rPr>
          <w:rFonts w:ascii="Times New Roman" w:hAnsi="Times New Roman"/>
          <w:sz w:val="28"/>
          <w:szCs w:val="28"/>
          <w:lang w:val="en-US"/>
        </w:rPr>
        <w:t>, p. 53-108</w:t>
      </w:r>
    </w:p>
    <w:p w14:paraId="18784A8B" w14:textId="382DCD01" w:rsidR="0084465D" w:rsidRDefault="0084465D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4465D">
        <w:rPr>
          <w:rFonts w:ascii="Times New Roman" w:hAnsi="Times New Roman"/>
          <w:sz w:val="28"/>
          <w:szCs w:val="28"/>
          <w:lang w:val="en-US"/>
        </w:rPr>
        <w:t xml:space="preserve">N.D. Uri. </w:t>
      </w:r>
      <w:proofErr w:type="spellStart"/>
      <w:r w:rsidRPr="0084465D">
        <w:rPr>
          <w:rFonts w:ascii="Times New Roman" w:hAnsi="Times New Roman"/>
          <w:sz w:val="28"/>
          <w:szCs w:val="28"/>
          <w:lang w:val="en-US"/>
        </w:rPr>
        <w:t>Interfuel</w:t>
      </w:r>
      <w:proofErr w:type="spellEnd"/>
      <w:r w:rsidRPr="0084465D">
        <w:rPr>
          <w:rFonts w:ascii="Times New Roman" w:hAnsi="Times New Roman"/>
          <w:sz w:val="28"/>
          <w:szCs w:val="28"/>
          <w:lang w:val="en-US"/>
        </w:rPr>
        <w:t xml:space="preserve"> substitution possibilities: short-term prospects // Applied Energy, Vol. 4., № 4, 1978, p. 251-260</w:t>
      </w:r>
    </w:p>
    <w:p w14:paraId="78874E1E" w14:textId="56BE88A2" w:rsidR="00163D09" w:rsidRPr="00616E77" w:rsidRDefault="00163D09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N.D. Uri, Regional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interfuel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substitution by electric companies: The short-term prospects// </w:t>
      </w:r>
      <w:r w:rsidRPr="00163D09">
        <w:rPr>
          <w:rFonts w:ascii="Times New Roman" w:hAnsi="Times New Roman"/>
          <w:sz w:val="28"/>
          <w:szCs w:val="28"/>
          <w:lang w:val="en-US"/>
        </w:rPr>
        <w:t>The Annals of Regional Science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16E77">
        <w:rPr>
          <w:rFonts w:ascii="Times New Roman" w:hAnsi="Times New Roman"/>
          <w:sz w:val="28"/>
          <w:szCs w:val="28"/>
          <w:lang w:val="en-US"/>
        </w:rPr>
        <w:t xml:space="preserve">Volume 12, Issue 2, </w:t>
      </w:r>
      <w:r w:rsidRPr="00C50995">
        <w:rPr>
          <w:rFonts w:ascii="Times New Roman" w:hAnsi="Times New Roman"/>
          <w:sz w:val="28"/>
          <w:szCs w:val="28"/>
          <w:lang w:val="en-US"/>
        </w:rPr>
        <w:t xml:space="preserve">1978, </w:t>
      </w:r>
      <w:r w:rsidRPr="00616E77">
        <w:rPr>
          <w:rFonts w:ascii="Times New Roman" w:hAnsi="Times New Roman"/>
          <w:sz w:val="28"/>
          <w:szCs w:val="28"/>
          <w:lang w:val="en-US"/>
        </w:rPr>
        <w:t>p. 4-15</w:t>
      </w:r>
    </w:p>
    <w:p w14:paraId="76CC0EAB" w14:textId="3B62E6C1" w:rsidR="00DB6C14" w:rsidRDefault="00DB6C14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N. Higashi, </w:t>
      </w:r>
      <w:r w:rsidRPr="00DB6C14">
        <w:rPr>
          <w:rFonts w:ascii="Times New Roman" w:hAnsi="Times New Roman"/>
          <w:sz w:val="28"/>
          <w:szCs w:val="28"/>
          <w:lang w:val="en-US"/>
        </w:rPr>
        <w:t>Natural Gas in China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DB6C14">
        <w:rPr>
          <w:rFonts w:ascii="Times New Roman" w:hAnsi="Times New Roman"/>
          <w:sz w:val="28"/>
          <w:szCs w:val="28"/>
          <w:lang w:val="en-US"/>
        </w:rPr>
        <w:t xml:space="preserve"> Market evolution and strategy</w:t>
      </w:r>
      <w:r>
        <w:rPr>
          <w:rFonts w:ascii="Times New Roman" w:hAnsi="Times New Roman"/>
          <w:sz w:val="28"/>
          <w:szCs w:val="28"/>
          <w:lang w:val="en-US"/>
        </w:rPr>
        <w:t xml:space="preserve">// International Energy Agency, </w:t>
      </w:r>
      <w:r w:rsidRPr="00DB6C14">
        <w:rPr>
          <w:rFonts w:ascii="Times New Roman" w:hAnsi="Times New Roman"/>
          <w:sz w:val="28"/>
          <w:szCs w:val="28"/>
          <w:lang w:val="en-US"/>
        </w:rPr>
        <w:t>Working Paper Series</w:t>
      </w:r>
      <w:r>
        <w:rPr>
          <w:rFonts w:ascii="Times New Roman" w:hAnsi="Times New Roman"/>
          <w:sz w:val="28"/>
          <w:szCs w:val="28"/>
          <w:lang w:val="en-US"/>
        </w:rPr>
        <w:t>, 2009</w:t>
      </w:r>
    </w:p>
    <w:p w14:paraId="7AC32053" w14:textId="3FC04D8D" w:rsidR="00DB6C14" w:rsidRPr="00616E77" w:rsidRDefault="00DB6C14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http://www.iea.org/publications/freepublications/publication/nat_gas_china.pdf</w:t>
      </w:r>
    </w:p>
    <w:p w14:paraId="1B868A28" w14:textId="0ACCA184" w:rsidR="00310949" w:rsidRPr="00310949" w:rsidRDefault="00310949" w:rsidP="0031094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310949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310949">
        <w:rPr>
          <w:rFonts w:ascii="Times New Roman" w:hAnsi="Times New Roman"/>
          <w:sz w:val="28"/>
          <w:szCs w:val="28"/>
          <w:lang w:val="en-US"/>
        </w:rPr>
        <w:t xml:space="preserve"> Horii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10949">
        <w:rPr>
          <w:rFonts w:ascii="Times New Roman" w:hAnsi="Times New Roman"/>
          <w:sz w:val="28"/>
          <w:szCs w:val="28"/>
          <w:lang w:val="en-US"/>
        </w:rPr>
        <w:t>Transformation of China’s Ener</w:t>
      </w:r>
      <w:r>
        <w:rPr>
          <w:rFonts w:ascii="Times New Roman" w:hAnsi="Times New Roman"/>
          <w:sz w:val="28"/>
          <w:szCs w:val="28"/>
          <w:lang w:val="en-US"/>
        </w:rPr>
        <w:t xml:space="preserve">gy Structure from Dependence on </w:t>
      </w:r>
      <w:r w:rsidRPr="00310949">
        <w:rPr>
          <w:rFonts w:ascii="Times New Roman" w:hAnsi="Times New Roman"/>
          <w:sz w:val="28"/>
          <w:szCs w:val="28"/>
          <w:lang w:val="en-US"/>
        </w:rPr>
        <w:t>Coal During</w:t>
      </w:r>
      <w:r>
        <w:rPr>
          <w:rFonts w:ascii="Times New Roman" w:hAnsi="Times New Roman"/>
          <w:sz w:val="28"/>
          <w:szCs w:val="28"/>
          <w:lang w:val="en-US"/>
        </w:rPr>
        <w:t xml:space="preserve"> the 12th Five-Year Plan Period// </w:t>
      </w:r>
      <w:r w:rsidRPr="00310949">
        <w:rPr>
          <w:rFonts w:ascii="Times New Roman" w:hAnsi="Times New Roman"/>
          <w:sz w:val="28"/>
          <w:szCs w:val="28"/>
          <w:lang w:val="en-US"/>
        </w:rPr>
        <w:t>2012 International Conference on Clean and Green Energy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31094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IPCBEE vol.27, </w:t>
      </w:r>
      <w:r w:rsidRPr="00310949">
        <w:rPr>
          <w:rFonts w:ascii="Times New Roman" w:hAnsi="Times New Roman"/>
          <w:sz w:val="28"/>
          <w:szCs w:val="28"/>
          <w:lang w:val="en-US"/>
        </w:rPr>
        <w:t>2012</w:t>
      </w:r>
      <w:r w:rsidR="00162996">
        <w:rPr>
          <w:rFonts w:ascii="Times New Roman" w:hAnsi="Times New Roman"/>
          <w:sz w:val="28"/>
          <w:szCs w:val="28"/>
          <w:lang w:val="en-US"/>
        </w:rPr>
        <w:t>, p. 83-87</w:t>
      </w:r>
    </w:p>
    <w:p w14:paraId="69B6E381" w14:textId="2203A33C" w:rsidR="00310949" w:rsidRPr="00310949" w:rsidRDefault="00310949" w:rsidP="00310949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310949">
        <w:rPr>
          <w:rFonts w:ascii="Times New Roman" w:hAnsi="Times New Roman"/>
          <w:color w:val="3366FF"/>
          <w:sz w:val="28"/>
          <w:szCs w:val="28"/>
          <w:lang w:val="en-US"/>
        </w:rPr>
        <w:lastRenderedPageBreak/>
        <w:t>http://www.ipcbee.com/vol27/16-ICCGE2012L30013.pdf</w:t>
      </w:r>
    </w:p>
    <w:p w14:paraId="76057BC8" w14:textId="7DFE9A8F" w:rsidR="000D023E" w:rsidRDefault="000D023E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N. </w:t>
      </w:r>
      <w:r w:rsidRPr="000D023E">
        <w:rPr>
          <w:rFonts w:ascii="Times New Roman" w:hAnsi="Times New Roman"/>
          <w:sz w:val="28"/>
          <w:szCs w:val="28"/>
          <w:lang w:val="en-US"/>
        </w:rPr>
        <w:t>Zhou</w:t>
      </w:r>
      <w:r>
        <w:rPr>
          <w:rFonts w:ascii="Times New Roman" w:hAnsi="Times New Roman"/>
          <w:sz w:val="28"/>
          <w:szCs w:val="28"/>
          <w:lang w:val="en-US"/>
        </w:rPr>
        <w:t xml:space="preserve"> et al.</w:t>
      </w:r>
      <w:r w:rsidRPr="000D023E">
        <w:rPr>
          <w:rFonts w:ascii="Times New Roman" w:hAnsi="Times New Roman"/>
          <w:sz w:val="28"/>
          <w:szCs w:val="28"/>
          <w:lang w:val="en-US"/>
        </w:rPr>
        <w:t>, China’s energy and emissions outlook to 2050: Perspectives from botto</w:t>
      </w:r>
      <w:r>
        <w:rPr>
          <w:rFonts w:ascii="Times New Roman" w:hAnsi="Times New Roman"/>
          <w:sz w:val="28"/>
          <w:szCs w:val="28"/>
          <w:lang w:val="en-US"/>
        </w:rPr>
        <w:t>m-up energy end-use model//</w:t>
      </w:r>
      <w:r w:rsidRPr="000D023E">
        <w:rPr>
          <w:rFonts w:ascii="Times New Roman" w:hAnsi="Times New Roman"/>
          <w:sz w:val="28"/>
          <w:szCs w:val="28"/>
          <w:lang w:val="en-US"/>
        </w:rPr>
        <w:t xml:space="preserve"> Energy Policy, </w:t>
      </w:r>
      <w:r>
        <w:rPr>
          <w:rFonts w:ascii="Times New Roman" w:hAnsi="Times New Roman"/>
          <w:sz w:val="28"/>
          <w:szCs w:val="28"/>
        </w:rPr>
        <w:t>№</w:t>
      </w:r>
      <w:r w:rsidRPr="000D023E">
        <w:rPr>
          <w:rFonts w:ascii="Times New Roman" w:hAnsi="Times New Roman"/>
          <w:sz w:val="28"/>
          <w:szCs w:val="28"/>
          <w:lang w:val="en-US"/>
        </w:rPr>
        <w:t>53,</w:t>
      </w:r>
      <w:r>
        <w:rPr>
          <w:rFonts w:ascii="Times New Roman" w:hAnsi="Times New Roman"/>
          <w:sz w:val="28"/>
          <w:szCs w:val="28"/>
          <w:lang w:val="en-US"/>
        </w:rPr>
        <w:t xml:space="preserve"> 2012, p.</w:t>
      </w:r>
      <w:r w:rsidRPr="000D023E">
        <w:rPr>
          <w:rFonts w:ascii="Times New Roman" w:hAnsi="Times New Roman"/>
          <w:sz w:val="28"/>
          <w:szCs w:val="28"/>
          <w:lang w:val="en-US"/>
        </w:rPr>
        <w:t xml:space="preserve"> 51-62.</w:t>
      </w:r>
    </w:p>
    <w:p w14:paraId="3AE362F8" w14:textId="58F298B4" w:rsidR="00EA55D6" w:rsidRDefault="001B0E7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T.P. Lyon, M.A.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Toman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B0E71">
        <w:rPr>
          <w:rFonts w:ascii="Times New Roman" w:hAnsi="Times New Roman"/>
          <w:sz w:val="28"/>
          <w:szCs w:val="28"/>
          <w:lang w:val="en-US"/>
        </w:rPr>
        <w:t>Designing Price Caps for Gas Distribution Systems</w:t>
      </w:r>
      <w:r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1B0E71">
        <w:rPr>
          <w:rFonts w:ascii="Times New Roman" w:hAnsi="Times New Roman"/>
          <w:sz w:val="28"/>
          <w:szCs w:val="28"/>
          <w:lang w:val="en-US"/>
        </w:rPr>
        <w:t>Journal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0E71">
        <w:rPr>
          <w:rFonts w:ascii="Times New Roman" w:hAnsi="Times New Roman"/>
          <w:sz w:val="28"/>
          <w:szCs w:val="28"/>
          <w:lang w:val="en-US"/>
        </w:rPr>
        <w:t>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0E71">
        <w:rPr>
          <w:rFonts w:ascii="Times New Roman" w:hAnsi="Times New Roman"/>
          <w:sz w:val="28"/>
          <w:szCs w:val="28"/>
          <w:lang w:val="en-US"/>
        </w:rPr>
        <w:t>Regulatory</w:t>
      </w:r>
      <w:r>
        <w:rPr>
          <w:rFonts w:ascii="Times New Roman" w:hAnsi="Times New Roman"/>
          <w:sz w:val="28"/>
          <w:szCs w:val="28"/>
          <w:lang w:val="en-US"/>
        </w:rPr>
        <w:t xml:space="preserve"> Economics,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3, Kluwer Academic Publishers, 1991</w:t>
      </w:r>
      <w:r w:rsidR="00E63D31">
        <w:rPr>
          <w:rFonts w:ascii="Times New Roman" w:hAnsi="Times New Roman"/>
          <w:sz w:val="28"/>
          <w:szCs w:val="28"/>
          <w:lang w:val="en-US"/>
        </w:rPr>
        <w:t xml:space="preserve">, p. </w:t>
      </w:r>
      <w:r w:rsidR="00E63D31" w:rsidRPr="001B0E71">
        <w:rPr>
          <w:rFonts w:ascii="Times New Roman" w:hAnsi="Times New Roman"/>
          <w:sz w:val="28"/>
          <w:szCs w:val="28"/>
          <w:lang w:val="en-US"/>
        </w:rPr>
        <w:t>175-192</w:t>
      </w:r>
    </w:p>
    <w:p w14:paraId="6A999430" w14:textId="5CB5E862" w:rsidR="00FC0921" w:rsidRDefault="00FC092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P. Andrews-Speed, </w:t>
      </w:r>
      <w:r w:rsidRPr="00FC0921">
        <w:rPr>
          <w:rFonts w:ascii="Times New Roman" w:hAnsi="Times New Roman"/>
          <w:sz w:val="28"/>
          <w:szCs w:val="28"/>
          <w:lang w:val="en-US"/>
        </w:rPr>
        <w:t>China’s Long Road to a Low-Carbon Economy: An Institutional Analysis</w:t>
      </w:r>
      <w:r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FC0921">
        <w:rPr>
          <w:rFonts w:ascii="Times New Roman" w:hAnsi="Times New Roman"/>
          <w:sz w:val="28"/>
          <w:szCs w:val="28"/>
          <w:lang w:val="en-US"/>
        </w:rPr>
        <w:t>Transatlantic Academy</w:t>
      </w:r>
      <w:r>
        <w:rPr>
          <w:rFonts w:ascii="Times New Roman" w:hAnsi="Times New Roman"/>
          <w:sz w:val="28"/>
          <w:szCs w:val="28"/>
          <w:lang w:val="en-US"/>
        </w:rPr>
        <w:t>, 2012</w:t>
      </w:r>
    </w:p>
    <w:p w14:paraId="6D3F186D" w14:textId="10CA9935" w:rsidR="00FC0921" w:rsidRPr="00616E77" w:rsidRDefault="00FC0921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http://www.transatlanticacademy.org/sites/default/files/publications/AndrewsSpeed_China'sLongRoad_May12_web.pdf</w:t>
      </w:r>
    </w:p>
    <w:p w14:paraId="7AEE4AE0" w14:textId="66F63E15" w:rsidR="005D34AF" w:rsidRDefault="005D34AF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5D34AF">
        <w:rPr>
          <w:rFonts w:ascii="Times New Roman" w:hAnsi="Times New Roman"/>
          <w:sz w:val="28"/>
          <w:szCs w:val="28"/>
          <w:lang w:val="en-US"/>
        </w:rPr>
        <w:t xml:space="preserve">PricewaterhouseCoopers, The 12th Annual PwC Global Power &amp; Utilities Survey// </w:t>
      </w:r>
      <w:r>
        <w:rPr>
          <w:rFonts w:ascii="Times New Roman" w:hAnsi="Times New Roman"/>
          <w:sz w:val="28"/>
          <w:szCs w:val="28"/>
          <w:lang w:val="en-US"/>
        </w:rPr>
        <w:t>2012</w:t>
      </w:r>
    </w:p>
    <w:p w14:paraId="374B833B" w14:textId="7BB0BA88" w:rsidR="005D34AF" w:rsidRPr="00616E77" w:rsidRDefault="005D34AF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http://www.pwc.com/gx/en/utilities/global-power-and-utilities-survey/index.jhtml</w:t>
      </w:r>
    </w:p>
    <w:p w14:paraId="4BEE4323" w14:textId="25F1893F" w:rsidR="008813DD" w:rsidRDefault="008813DD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R.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Guo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Understanding the Chinese economies// Elsevier Academic Press, Hong Kong, 2013</w:t>
      </w:r>
    </w:p>
    <w:p w14:paraId="1247BE15" w14:textId="4F35AB1F" w:rsidR="00E63D31" w:rsidRDefault="00E63D3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63D31">
        <w:rPr>
          <w:rFonts w:ascii="Times New Roman" w:hAnsi="Times New Roman"/>
          <w:sz w:val="28"/>
          <w:szCs w:val="28"/>
          <w:lang w:val="en-US"/>
        </w:rPr>
        <w:t>R. Smyth et al.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63D31">
        <w:rPr>
          <w:rFonts w:ascii="Times New Roman" w:hAnsi="Times New Roman"/>
          <w:sz w:val="28"/>
          <w:szCs w:val="28"/>
          <w:lang w:val="en-US"/>
        </w:rPr>
        <w:t>Inter-fuel substitution in the Chinese iron and steel sector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E63D31">
        <w:rPr>
          <w:rFonts w:ascii="Times New Roman" w:hAnsi="Times New Roman"/>
          <w:sz w:val="28"/>
          <w:szCs w:val="28"/>
          <w:lang w:val="en-US"/>
        </w:rPr>
        <w:t xml:space="preserve">/ Int. J. Production Economics </w:t>
      </w:r>
      <w:r>
        <w:rPr>
          <w:rFonts w:ascii="Times New Roman" w:hAnsi="Times New Roman"/>
          <w:sz w:val="28"/>
          <w:szCs w:val="28"/>
        </w:rPr>
        <w:t>№</w:t>
      </w:r>
      <w:r w:rsidRPr="00E63D31">
        <w:rPr>
          <w:rFonts w:ascii="Times New Roman" w:hAnsi="Times New Roman"/>
          <w:sz w:val="28"/>
          <w:szCs w:val="28"/>
          <w:lang w:val="en-US"/>
        </w:rPr>
        <w:t>139</w:t>
      </w:r>
      <w:r>
        <w:rPr>
          <w:rFonts w:ascii="Times New Roman" w:hAnsi="Times New Roman"/>
          <w:sz w:val="28"/>
          <w:szCs w:val="28"/>
          <w:lang w:val="en-US"/>
        </w:rPr>
        <w:t xml:space="preserve">, 2012, p. </w:t>
      </w:r>
      <w:r w:rsidRPr="00E63D31">
        <w:rPr>
          <w:rFonts w:ascii="Times New Roman" w:hAnsi="Times New Roman"/>
          <w:sz w:val="28"/>
          <w:szCs w:val="28"/>
          <w:lang w:val="en-US"/>
        </w:rPr>
        <w:t>525–532</w:t>
      </w:r>
    </w:p>
    <w:p w14:paraId="4B9A77D1" w14:textId="77777777" w:rsidR="00A03A97" w:rsidRDefault="00A03A97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S. </w:t>
      </w:r>
      <w:r w:rsidRPr="00A03A97">
        <w:rPr>
          <w:rFonts w:ascii="Times New Roman" w:hAnsi="Times New Roman"/>
          <w:sz w:val="28"/>
          <w:szCs w:val="28"/>
          <w:lang w:val="en-US"/>
        </w:rPr>
        <w:t xml:space="preserve">Chen, </w:t>
      </w:r>
      <w:r>
        <w:rPr>
          <w:rFonts w:ascii="Times New Roman" w:hAnsi="Times New Roman"/>
          <w:sz w:val="28"/>
          <w:szCs w:val="28"/>
          <w:lang w:val="en-US"/>
        </w:rPr>
        <w:t>A.U.</w:t>
      </w:r>
      <w:r w:rsidRPr="00A03A97">
        <w:rPr>
          <w:rFonts w:ascii="Times New Roman" w:hAnsi="Times New Roman"/>
          <w:sz w:val="28"/>
          <w:szCs w:val="28"/>
          <w:lang w:val="en-US"/>
        </w:rPr>
        <w:t xml:space="preserve"> Santos-</w:t>
      </w:r>
      <w:proofErr w:type="spellStart"/>
      <w:r w:rsidRPr="00A03A97">
        <w:rPr>
          <w:rFonts w:ascii="Times New Roman" w:hAnsi="Times New Roman"/>
          <w:sz w:val="28"/>
          <w:szCs w:val="28"/>
          <w:lang w:val="en-US"/>
        </w:rPr>
        <w:t>Paulino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03A97">
        <w:rPr>
          <w:rFonts w:ascii="Times New Roman" w:hAnsi="Times New Roman"/>
          <w:sz w:val="28"/>
          <w:szCs w:val="28"/>
          <w:lang w:val="en-US"/>
        </w:rPr>
        <w:t>Energy consumption restricted productivity re-estimates and industrial sustainabilit</w:t>
      </w:r>
      <w:r>
        <w:rPr>
          <w:rFonts w:ascii="Times New Roman" w:hAnsi="Times New Roman"/>
          <w:sz w:val="28"/>
          <w:szCs w:val="28"/>
          <w:lang w:val="en-US"/>
        </w:rPr>
        <w:t>y analysis in post-reform China// Energy Policy, 2012</w:t>
      </w:r>
    </w:p>
    <w:p w14:paraId="2FA69534" w14:textId="7FF37C0A" w:rsidR="00A03A97" w:rsidRPr="00616E77" w:rsidRDefault="00A03A97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http://dx.doi.org/10.1016/j.enpol.2012.08.060</w:t>
      </w:r>
    </w:p>
    <w:p w14:paraId="0D504742" w14:textId="76C16EBE" w:rsidR="0084465D" w:rsidRDefault="0084465D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84465D">
        <w:rPr>
          <w:rFonts w:ascii="Times New Roman" w:hAnsi="Times New Roman"/>
          <w:sz w:val="28"/>
          <w:szCs w:val="28"/>
          <w:lang w:val="en-US"/>
        </w:rPr>
        <w:t xml:space="preserve">S. </w:t>
      </w:r>
      <w:proofErr w:type="spellStart"/>
      <w:r w:rsidRPr="0084465D">
        <w:rPr>
          <w:rFonts w:ascii="Times New Roman" w:hAnsi="Times New Roman"/>
          <w:sz w:val="28"/>
          <w:szCs w:val="28"/>
          <w:lang w:val="en-US"/>
        </w:rPr>
        <w:t>Teske</w:t>
      </w:r>
      <w:proofErr w:type="spellEnd"/>
      <w:r w:rsidRPr="0084465D">
        <w:rPr>
          <w:rFonts w:ascii="Times New Roman" w:hAnsi="Times New Roman"/>
          <w:sz w:val="28"/>
          <w:szCs w:val="28"/>
          <w:lang w:val="en-US"/>
        </w:rPr>
        <w:t>, Energy [R]evolution 2012 // Greenpeace International, 2012</w:t>
      </w:r>
    </w:p>
    <w:p w14:paraId="75C274EB" w14:textId="07C08A2A" w:rsidR="0084465D" w:rsidRPr="00616E77" w:rsidRDefault="0084465D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http://www.greenpeace.org/international/en/publications/Campaign-reports/Climate-Reports/Energy-Revolution-2012/</w:t>
      </w:r>
    </w:p>
    <w:p w14:paraId="3A9997CD" w14:textId="4AA70FE3" w:rsidR="00DC13C1" w:rsidRDefault="00DC13C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DC13C1">
        <w:rPr>
          <w:rFonts w:ascii="Times New Roman" w:hAnsi="Times New Roman"/>
          <w:sz w:val="28"/>
          <w:szCs w:val="28"/>
          <w:lang w:val="en-US"/>
        </w:rPr>
        <w:t>S. Zhou et al.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C13C1">
        <w:rPr>
          <w:rFonts w:ascii="Times New Roman" w:hAnsi="Times New Roman"/>
          <w:sz w:val="28"/>
          <w:szCs w:val="28"/>
          <w:lang w:val="en-US"/>
        </w:rPr>
        <w:t>Role of non-fossil energy in meeting China’s energy and climate target for 2020/</w:t>
      </w:r>
      <w:r>
        <w:rPr>
          <w:rFonts w:ascii="Times New Roman" w:hAnsi="Times New Roman"/>
          <w:sz w:val="28"/>
          <w:szCs w:val="28"/>
          <w:lang w:val="en-US"/>
        </w:rPr>
        <w:t xml:space="preserve">/ Energy Policy,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51, 2012, p.</w:t>
      </w:r>
      <w:r w:rsidRPr="00DC13C1">
        <w:rPr>
          <w:rFonts w:ascii="Times New Roman" w:hAnsi="Times New Roman"/>
          <w:sz w:val="28"/>
          <w:szCs w:val="28"/>
          <w:lang w:val="en-US"/>
        </w:rPr>
        <w:t xml:space="preserve"> 14–19</w:t>
      </w:r>
    </w:p>
    <w:p w14:paraId="7440722C" w14:textId="4687EB08" w:rsidR="00DC13C1" w:rsidRDefault="00DC13C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Sinopec corp., Annual report 2011</w:t>
      </w:r>
    </w:p>
    <w:p w14:paraId="6768F61F" w14:textId="066195E3" w:rsidR="00DC13C1" w:rsidRPr="00616E77" w:rsidRDefault="00DC13C1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http://english.sinopec.com/download_center/reports/2012/20120326/download/2011AnnualReport.pdf</w:t>
      </w:r>
    </w:p>
    <w:p w14:paraId="1382E2E4" w14:textId="4AE64271" w:rsidR="008B3B77" w:rsidRDefault="008B3B77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U.S. Energy information administration, </w:t>
      </w:r>
      <w:r w:rsidRPr="008B3B77">
        <w:rPr>
          <w:rFonts w:ascii="Times New Roman" w:hAnsi="Times New Roman"/>
          <w:sz w:val="28"/>
          <w:szCs w:val="28"/>
          <w:lang w:val="en-US"/>
        </w:rPr>
        <w:t xml:space="preserve">Fuel Competition in Power Generation and </w:t>
      </w:r>
      <w:proofErr w:type="spellStart"/>
      <w:r w:rsidRPr="008B3B77">
        <w:rPr>
          <w:rFonts w:ascii="Times New Roman" w:hAnsi="Times New Roman"/>
          <w:sz w:val="28"/>
          <w:szCs w:val="28"/>
          <w:lang w:val="en-US"/>
        </w:rPr>
        <w:t>Elasticities</w:t>
      </w:r>
      <w:proofErr w:type="spellEnd"/>
      <w:r w:rsidRPr="008B3B77">
        <w:rPr>
          <w:rFonts w:ascii="Times New Roman" w:hAnsi="Times New Roman"/>
          <w:sz w:val="28"/>
          <w:szCs w:val="28"/>
          <w:lang w:val="en-US"/>
        </w:rPr>
        <w:t xml:space="preserve"> of Substitution</w:t>
      </w:r>
      <w:r>
        <w:rPr>
          <w:rFonts w:ascii="Times New Roman" w:hAnsi="Times New Roman"/>
          <w:sz w:val="28"/>
          <w:szCs w:val="28"/>
          <w:lang w:val="en-US"/>
        </w:rPr>
        <w:t>// 2012</w:t>
      </w:r>
    </w:p>
    <w:p w14:paraId="7CD4C096" w14:textId="1DAE830D" w:rsidR="008B3B77" w:rsidRPr="00616E77" w:rsidRDefault="008B3B77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http://www.eia.gov/analysis/studies/fuelelasticities/</w:t>
      </w:r>
    </w:p>
    <w:p w14:paraId="7F393C7C" w14:textId="063A4C78" w:rsidR="00915778" w:rsidRDefault="00915778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915778">
        <w:rPr>
          <w:rFonts w:ascii="Times New Roman" w:hAnsi="Times New Roman"/>
          <w:sz w:val="28"/>
          <w:szCs w:val="28"/>
          <w:lang w:val="en-US"/>
        </w:rPr>
        <w:t>World Bank and the Development Research Center of the State Council, P. R. China</w:t>
      </w:r>
      <w:r w:rsidR="00E25DB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15778">
        <w:rPr>
          <w:rFonts w:ascii="Times New Roman" w:hAnsi="Times New Roman"/>
          <w:sz w:val="28"/>
          <w:szCs w:val="28"/>
          <w:lang w:val="en-US"/>
        </w:rPr>
        <w:t>China 2030: Building a Modern, Ha</w:t>
      </w:r>
      <w:r>
        <w:rPr>
          <w:rFonts w:ascii="Times New Roman" w:hAnsi="Times New Roman"/>
          <w:sz w:val="28"/>
          <w:szCs w:val="28"/>
          <w:lang w:val="en-US"/>
        </w:rPr>
        <w:t>rmonious, and Creative Society// World Bank, 2013</w:t>
      </w:r>
    </w:p>
    <w:p w14:paraId="4C087042" w14:textId="5325560F" w:rsidR="00E25DB6" w:rsidRPr="00616E77" w:rsidRDefault="00E25DB6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http://www.worldbank.org/content/dam/Worldbank/document/China-2030-complete.pdf</w:t>
      </w:r>
    </w:p>
    <w:p w14:paraId="0D976D54" w14:textId="397A7CE5" w:rsidR="00E63D31" w:rsidRDefault="00E63D3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63D31">
        <w:rPr>
          <w:rFonts w:ascii="Times New Roman" w:hAnsi="Times New Roman"/>
          <w:sz w:val="28"/>
          <w:szCs w:val="28"/>
          <w:lang w:val="en-US"/>
        </w:rPr>
        <w:t>X. Tan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E63D31">
        <w:rPr>
          <w:rFonts w:ascii="Times New Roman" w:hAnsi="Times New Roman"/>
          <w:sz w:val="28"/>
          <w:szCs w:val="28"/>
          <w:lang w:val="en-US"/>
        </w:rPr>
        <w:t>China's overseas investment in the energy/resources sector: Its scale, drivers, challenges and implications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E63D31">
        <w:rPr>
          <w:rFonts w:ascii="Times New Roman" w:hAnsi="Times New Roman"/>
          <w:sz w:val="28"/>
          <w:szCs w:val="28"/>
          <w:lang w:val="en-US"/>
        </w:rPr>
        <w:t xml:space="preserve">/ Energy Economics </w:t>
      </w:r>
      <w:r>
        <w:rPr>
          <w:rFonts w:ascii="Times New Roman" w:hAnsi="Times New Roman"/>
          <w:sz w:val="28"/>
          <w:szCs w:val="28"/>
        </w:rPr>
        <w:t>№</w:t>
      </w:r>
      <w:r w:rsidRPr="00E63D31">
        <w:rPr>
          <w:rFonts w:ascii="Times New Roman" w:hAnsi="Times New Roman"/>
          <w:sz w:val="28"/>
          <w:szCs w:val="28"/>
          <w:lang w:val="en-US"/>
        </w:rPr>
        <w:t>36</w:t>
      </w:r>
      <w:r>
        <w:rPr>
          <w:rFonts w:ascii="Times New Roman" w:hAnsi="Times New Roman"/>
          <w:sz w:val="28"/>
          <w:szCs w:val="28"/>
          <w:lang w:val="en-US"/>
        </w:rPr>
        <w:t xml:space="preserve">, 2013, p. </w:t>
      </w:r>
      <w:r w:rsidRPr="00E63D31">
        <w:rPr>
          <w:rFonts w:ascii="Times New Roman" w:hAnsi="Times New Roman"/>
          <w:sz w:val="28"/>
          <w:szCs w:val="28"/>
          <w:lang w:val="en-US"/>
        </w:rPr>
        <w:t>750–758</w:t>
      </w:r>
    </w:p>
    <w:p w14:paraId="6BE6B3D2" w14:textId="51379C08" w:rsidR="00A03A97" w:rsidRPr="00616E77" w:rsidRDefault="00A03A97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Y. Jin, </w:t>
      </w:r>
      <w:r w:rsidRPr="00A03A97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en-US"/>
        </w:rPr>
        <w:t xml:space="preserve">. Wheeler, H. </w:t>
      </w:r>
      <w:r w:rsidRPr="00A03A97">
        <w:rPr>
          <w:rFonts w:ascii="Times New Roman" w:hAnsi="Times New Roman"/>
          <w:sz w:val="28"/>
          <w:szCs w:val="28"/>
          <w:lang w:val="en-US"/>
        </w:rPr>
        <w:t>Wang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03A97">
        <w:rPr>
          <w:rFonts w:ascii="Times New Roman" w:hAnsi="Times New Roman"/>
          <w:sz w:val="28"/>
          <w:szCs w:val="28"/>
          <w:lang w:val="en-US"/>
        </w:rPr>
        <w:t>Environmental Performance Rating</w:t>
      </w:r>
      <w:r w:rsidR="00DC13C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E77">
        <w:rPr>
          <w:rFonts w:ascii="Times New Roman" w:hAnsi="Times New Roman"/>
          <w:sz w:val="28"/>
          <w:szCs w:val="28"/>
          <w:lang w:val="en-US"/>
        </w:rPr>
        <w:t>and Disclosure</w:t>
      </w:r>
      <w:r w:rsidR="00DC13C1">
        <w:rPr>
          <w:rFonts w:ascii="Times New Roman" w:hAnsi="Times New Roman"/>
          <w:sz w:val="28"/>
          <w:szCs w:val="28"/>
          <w:lang w:val="en-US"/>
        </w:rPr>
        <w:t>// World Bank, Policy research working p</w:t>
      </w:r>
      <w:r w:rsidR="00DC13C1" w:rsidRPr="00DC13C1">
        <w:rPr>
          <w:rFonts w:ascii="Times New Roman" w:hAnsi="Times New Roman"/>
          <w:sz w:val="28"/>
          <w:szCs w:val="28"/>
          <w:lang w:val="en-US"/>
        </w:rPr>
        <w:t>aper</w:t>
      </w:r>
      <w:r w:rsidR="00DC13C1">
        <w:rPr>
          <w:rFonts w:ascii="Times New Roman" w:hAnsi="Times New Roman"/>
          <w:sz w:val="28"/>
          <w:szCs w:val="28"/>
          <w:lang w:val="en-US"/>
        </w:rPr>
        <w:t xml:space="preserve"> 5420, 2010</w:t>
      </w:r>
    </w:p>
    <w:p w14:paraId="7F65C9CB" w14:textId="0D65A068" w:rsidR="00A03A97" w:rsidRPr="00616E77" w:rsidRDefault="00A03A97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http://elibrary.worldbank.org/docserver/download/5420.pdf?expires=1368571477&amp;id=id&amp;accname=guest&amp;checksum=A51C7724ABD308CF7C3BC122C3B0D6C6</w:t>
      </w:r>
    </w:p>
    <w:p w14:paraId="7184E702" w14:textId="7C9E93D0" w:rsidR="00FC0921" w:rsidRDefault="00FC0921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FC0921">
        <w:rPr>
          <w:rFonts w:ascii="Times New Roman" w:hAnsi="Times New Roman"/>
          <w:sz w:val="28"/>
          <w:szCs w:val="28"/>
          <w:lang w:val="en-US"/>
        </w:rPr>
        <w:t>Z. Jian</w:t>
      </w:r>
      <w:r>
        <w:rPr>
          <w:rFonts w:ascii="Times New Roman" w:hAnsi="Times New Roman"/>
          <w:sz w:val="28"/>
          <w:szCs w:val="28"/>
          <w:lang w:val="en-US"/>
        </w:rPr>
        <w:t xml:space="preserve">g, B. Lin, </w:t>
      </w:r>
      <w:r w:rsidRPr="00FC0921">
        <w:rPr>
          <w:rFonts w:ascii="Times New Roman" w:hAnsi="Times New Roman"/>
          <w:sz w:val="28"/>
          <w:szCs w:val="28"/>
          <w:lang w:val="en-US"/>
        </w:rPr>
        <w:t>China’s energy demand and its characteristics in the industrialization and urbanization process</w:t>
      </w:r>
      <w:r>
        <w:rPr>
          <w:rFonts w:ascii="Times New Roman" w:hAnsi="Times New Roman"/>
          <w:sz w:val="28"/>
          <w:szCs w:val="28"/>
          <w:lang w:val="en-US"/>
        </w:rPr>
        <w:t xml:space="preserve">// Energy Policy, №49, 2012, p. </w:t>
      </w:r>
      <w:r w:rsidRPr="00FC0921">
        <w:rPr>
          <w:rFonts w:ascii="Times New Roman" w:hAnsi="Times New Roman"/>
          <w:sz w:val="28"/>
          <w:szCs w:val="28"/>
          <w:lang w:val="en-US"/>
        </w:rPr>
        <w:t>608–615</w:t>
      </w:r>
    </w:p>
    <w:p w14:paraId="005C5919" w14:textId="762DB721" w:rsidR="001418D6" w:rsidRDefault="001418D6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1418D6">
        <w:rPr>
          <w:rFonts w:ascii="Times New Roman" w:hAnsi="Times New Roman"/>
          <w:sz w:val="28"/>
          <w:szCs w:val="28"/>
          <w:lang w:val="en-US"/>
        </w:rPr>
        <w:t>Z. Ming et al.</w:t>
      </w:r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418D6">
        <w:rPr>
          <w:rFonts w:ascii="Times New Roman" w:hAnsi="Times New Roman"/>
          <w:sz w:val="28"/>
          <w:szCs w:val="28"/>
          <w:lang w:val="en-US"/>
        </w:rPr>
        <w:t>New energy bases and sustainable development in China: A review</w:t>
      </w:r>
      <w:r>
        <w:rPr>
          <w:rFonts w:ascii="Times New Roman" w:hAnsi="Times New Roman"/>
          <w:sz w:val="28"/>
          <w:szCs w:val="28"/>
          <w:lang w:val="en-US"/>
        </w:rPr>
        <w:t>/</w:t>
      </w:r>
      <w:r w:rsidRPr="001418D6">
        <w:rPr>
          <w:rFonts w:ascii="Times New Roman" w:hAnsi="Times New Roman"/>
          <w:sz w:val="28"/>
          <w:szCs w:val="28"/>
          <w:lang w:val="en-US"/>
        </w:rPr>
        <w:t xml:space="preserve">/ Renewable and Sustainable Energy Reviews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en-US"/>
        </w:rPr>
        <w:t>20, 2013, p.</w:t>
      </w:r>
      <w:r w:rsidRPr="001418D6">
        <w:rPr>
          <w:rFonts w:ascii="Times New Roman" w:hAnsi="Times New Roman"/>
          <w:sz w:val="28"/>
          <w:szCs w:val="28"/>
          <w:lang w:val="en-US"/>
        </w:rPr>
        <w:t xml:space="preserve"> 169–185</w:t>
      </w:r>
    </w:p>
    <w:p w14:paraId="49E09DE8" w14:textId="1D5FE7D4" w:rsidR="00010624" w:rsidRPr="00616E77" w:rsidRDefault="00E15199" w:rsidP="002C205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Z</w:t>
      </w:r>
      <w:r w:rsidRPr="00E15199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15199">
        <w:rPr>
          <w:rFonts w:ascii="Times New Roman" w:hAnsi="Times New Roman"/>
          <w:sz w:val="28"/>
          <w:szCs w:val="28"/>
          <w:lang w:val="en-US"/>
        </w:rPr>
        <w:t>Xin</w:t>
      </w:r>
      <w:proofErr w:type="spellEnd"/>
      <w:r w:rsidRPr="00E15199">
        <w:rPr>
          <w:rFonts w:ascii="Times New Roman" w:hAnsi="Times New Roman"/>
          <w:sz w:val="28"/>
          <w:szCs w:val="28"/>
          <w:lang w:val="en-US"/>
        </w:rPr>
        <w:t>-gang et al.</w:t>
      </w:r>
      <w:r>
        <w:rPr>
          <w:rFonts w:ascii="Times New Roman" w:hAnsi="Times New Roman"/>
          <w:sz w:val="28"/>
          <w:szCs w:val="28"/>
          <w:lang w:val="en-US"/>
        </w:rPr>
        <w:t>, I</w:t>
      </w:r>
      <w:r w:rsidRPr="00E15199">
        <w:rPr>
          <w:rFonts w:ascii="Times New Roman" w:hAnsi="Times New Roman"/>
          <w:sz w:val="28"/>
          <w:szCs w:val="28"/>
          <w:lang w:val="en-US"/>
        </w:rPr>
        <w:t>nternational cooperation on renewable energy electricity in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E77">
        <w:rPr>
          <w:rFonts w:ascii="Times New Roman" w:hAnsi="Times New Roman"/>
          <w:sz w:val="28"/>
          <w:szCs w:val="28"/>
          <w:lang w:val="en-US"/>
        </w:rPr>
        <w:t xml:space="preserve">China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616E77">
        <w:rPr>
          <w:rFonts w:ascii="Times New Roman" w:hAnsi="Times New Roman"/>
          <w:sz w:val="28"/>
          <w:szCs w:val="28"/>
          <w:lang w:val="en-US"/>
        </w:rPr>
        <w:t xml:space="preserve"> A critical analysis// Renewable Energy </w:t>
      </w:r>
      <w:r>
        <w:rPr>
          <w:rFonts w:ascii="Times New Roman" w:hAnsi="Times New Roman"/>
          <w:sz w:val="28"/>
          <w:szCs w:val="28"/>
        </w:rPr>
        <w:t>№</w:t>
      </w:r>
      <w:r w:rsidRPr="00616E77">
        <w:rPr>
          <w:rFonts w:ascii="Times New Roman" w:hAnsi="Times New Roman"/>
          <w:sz w:val="28"/>
          <w:szCs w:val="28"/>
          <w:lang w:val="en-US"/>
        </w:rPr>
        <w:t>55, 2013, p. 410-416</w:t>
      </w:r>
    </w:p>
    <w:p w14:paraId="77EA65C3" w14:textId="5796A910" w:rsidR="00201225" w:rsidRPr="00616E77" w:rsidRDefault="00201225" w:rsidP="002C205B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16E77">
        <w:rPr>
          <w:rFonts w:ascii="Times New Roman" w:hAnsi="Times New Roman"/>
          <w:sz w:val="28"/>
          <w:szCs w:val="28"/>
        </w:rPr>
        <w:t xml:space="preserve">Источники статистической </w:t>
      </w:r>
      <w:r w:rsidR="00010624">
        <w:rPr>
          <w:rFonts w:ascii="Times New Roman" w:hAnsi="Times New Roman"/>
          <w:sz w:val="28"/>
          <w:szCs w:val="28"/>
        </w:rPr>
        <w:t xml:space="preserve">и официальной </w:t>
      </w:r>
      <w:r w:rsidRPr="00616E77">
        <w:rPr>
          <w:rFonts w:ascii="Times New Roman" w:hAnsi="Times New Roman"/>
          <w:sz w:val="28"/>
          <w:szCs w:val="28"/>
        </w:rPr>
        <w:t>информации:</w:t>
      </w:r>
    </w:p>
    <w:p w14:paraId="00D56ACA" w14:textId="626C9FEE" w:rsidR="00201225" w:rsidRDefault="00163D09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Государственное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статистическое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управление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КНР</w:t>
      </w:r>
    </w:p>
    <w:p w14:paraId="4FF9B806" w14:textId="6B4494AA" w:rsidR="00163D09" w:rsidRPr="00616E77" w:rsidRDefault="00163D09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http://www.stats.gov.cn/</w:t>
      </w:r>
    </w:p>
    <w:p w14:paraId="680815AB" w14:textId="35C9741B" w:rsidR="00201225" w:rsidRDefault="00163D09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Всемирный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банк</w:t>
      </w:r>
      <w:proofErr w:type="spellEnd"/>
    </w:p>
    <w:p w14:paraId="7CA695AC" w14:textId="40A38EB8" w:rsidR="00163D09" w:rsidRPr="00616E77" w:rsidRDefault="00163D09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http://www.worldbank.org/</w:t>
      </w:r>
    </w:p>
    <w:p w14:paraId="4872568E" w14:textId="1FFD684A" w:rsidR="00010624" w:rsidRPr="00616E77" w:rsidRDefault="00010624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10624">
        <w:rPr>
          <w:rFonts w:ascii="Times New Roman" w:hAnsi="Times New Roman"/>
          <w:sz w:val="28"/>
          <w:szCs w:val="28"/>
          <w:lang w:val="en-US"/>
        </w:rPr>
        <w:t>Государственный</w:t>
      </w:r>
      <w:proofErr w:type="spellEnd"/>
      <w:r w:rsidRPr="000106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0624">
        <w:rPr>
          <w:rFonts w:ascii="Times New Roman" w:hAnsi="Times New Roman"/>
          <w:sz w:val="28"/>
          <w:szCs w:val="28"/>
          <w:lang w:val="en-US"/>
        </w:rPr>
        <w:t>комитет</w:t>
      </w:r>
      <w:proofErr w:type="spellEnd"/>
      <w:r w:rsidRPr="000106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0624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Pr="000106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0624">
        <w:rPr>
          <w:rFonts w:ascii="Times New Roman" w:hAnsi="Times New Roman"/>
          <w:sz w:val="28"/>
          <w:szCs w:val="28"/>
          <w:lang w:val="en-US"/>
        </w:rPr>
        <w:t>развитию</w:t>
      </w:r>
      <w:proofErr w:type="spellEnd"/>
      <w:r w:rsidRPr="00010624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010624">
        <w:rPr>
          <w:rFonts w:ascii="Times New Roman" w:hAnsi="Times New Roman"/>
          <w:sz w:val="28"/>
          <w:szCs w:val="28"/>
          <w:lang w:val="en-US"/>
        </w:rPr>
        <w:t>реформе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КНР,</w:t>
      </w:r>
    </w:p>
    <w:p w14:paraId="24E27DB6" w14:textId="7CACFB06" w:rsidR="00010624" w:rsidRPr="00616E77" w:rsidRDefault="005D34AF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http://www.ndrc.gov.cn/</w:t>
      </w:r>
    </w:p>
    <w:p w14:paraId="26DD790F" w14:textId="74E947E9" w:rsidR="002E78B9" w:rsidRPr="00616E77" w:rsidRDefault="002E78B9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Институт </w:t>
      </w:r>
      <w:r w:rsidR="001E4823">
        <w:rPr>
          <w:rFonts w:ascii="Times New Roman" w:hAnsi="Times New Roman"/>
          <w:sz w:val="28"/>
          <w:szCs w:val="28"/>
        </w:rPr>
        <w:t xml:space="preserve">энергетических исследований </w:t>
      </w:r>
      <w:r w:rsidR="008C1F05">
        <w:rPr>
          <w:rFonts w:ascii="Times New Roman" w:hAnsi="Times New Roman"/>
          <w:sz w:val="28"/>
          <w:szCs w:val="28"/>
        </w:rPr>
        <w:t>РАН</w:t>
      </w:r>
    </w:p>
    <w:p w14:paraId="1772868F" w14:textId="70214FED" w:rsidR="001E4823" w:rsidRPr="00616E77" w:rsidRDefault="001E4823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http://www.eriras.ru/</w:t>
      </w:r>
    </w:p>
    <w:p w14:paraId="4F2E346D" w14:textId="3B8024E4" w:rsidR="000B4A12" w:rsidRDefault="000B4A12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B4A12">
        <w:rPr>
          <w:rFonts w:ascii="Times New Roman" w:hAnsi="Times New Roman"/>
          <w:sz w:val="28"/>
          <w:szCs w:val="28"/>
          <w:lang w:val="en-US"/>
        </w:rPr>
        <w:t>Медиапортал</w:t>
      </w:r>
      <w:proofErr w:type="spellEnd"/>
      <w:r w:rsidRPr="000B4A1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B4A12">
        <w:rPr>
          <w:rFonts w:ascii="Times New Roman" w:hAnsi="Times New Roman"/>
          <w:sz w:val="28"/>
          <w:szCs w:val="28"/>
          <w:lang w:val="en-US"/>
        </w:rPr>
        <w:t>сообщества</w:t>
      </w:r>
      <w:proofErr w:type="spellEnd"/>
      <w:r w:rsidRPr="000B4A12">
        <w:rPr>
          <w:rFonts w:ascii="Times New Roman" w:hAnsi="Times New Roman"/>
          <w:sz w:val="28"/>
          <w:szCs w:val="28"/>
          <w:lang w:val="en-US"/>
        </w:rPr>
        <w:t xml:space="preserve"> ТЭК EnergyLand.info</w:t>
      </w:r>
    </w:p>
    <w:p w14:paraId="01EFFE5A" w14:textId="0A0D85CC" w:rsidR="000B4A12" w:rsidRPr="000B4A12" w:rsidRDefault="000B4A12" w:rsidP="000B4A12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0B4A12">
        <w:rPr>
          <w:rFonts w:ascii="Times New Roman" w:hAnsi="Times New Roman"/>
          <w:color w:val="3366FF"/>
          <w:sz w:val="28"/>
          <w:szCs w:val="28"/>
          <w:lang w:val="en-US"/>
        </w:rPr>
        <w:t>http://energyland.info/</w:t>
      </w:r>
    </w:p>
    <w:p w14:paraId="2DD0D015" w14:textId="3ECB759E" w:rsidR="00163D09" w:rsidRPr="00616E77" w:rsidRDefault="00163D09" w:rsidP="00616E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Международное энергетическое агентство</w:t>
      </w:r>
    </w:p>
    <w:p w14:paraId="379392A4" w14:textId="71D9E53E" w:rsidR="008B3B77" w:rsidRPr="00616E77" w:rsidRDefault="00163D09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http://www.iea.org/</w:t>
      </w:r>
    </w:p>
    <w:p w14:paraId="50548323" w14:textId="42FE9644" w:rsidR="00FC06FB" w:rsidRDefault="00FC06FB" w:rsidP="008B3B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Министерство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водного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хозяйства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КНР</w:t>
      </w:r>
    </w:p>
    <w:p w14:paraId="2E13A71C" w14:textId="273A48E6" w:rsidR="00FC06FB" w:rsidRPr="00FC06FB" w:rsidRDefault="00FC06FB" w:rsidP="00FC06FB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FC06FB">
        <w:rPr>
          <w:rFonts w:ascii="Times New Roman" w:hAnsi="Times New Roman"/>
          <w:color w:val="3366FF"/>
          <w:sz w:val="28"/>
          <w:szCs w:val="28"/>
          <w:lang w:val="en-US"/>
        </w:rPr>
        <w:t>http://www.mwr.gov.cn/</w:t>
      </w:r>
    </w:p>
    <w:p w14:paraId="3F7BCE1D" w14:textId="77777777" w:rsidR="00010624" w:rsidRDefault="00010624" w:rsidP="008B3B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10624">
        <w:rPr>
          <w:rFonts w:ascii="Times New Roman" w:hAnsi="Times New Roman"/>
          <w:sz w:val="28"/>
          <w:szCs w:val="28"/>
          <w:lang w:val="en-US"/>
        </w:rPr>
        <w:t>Министерство</w:t>
      </w:r>
      <w:proofErr w:type="spellEnd"/>
      <w:r w:rsidRPr="000106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0624">
        <w:rPr>
          <w:rFonts w:ascii="Times New Roman" w:hAnsi="Times New Roman"/>
          <w:sz w:val="28"/>
          <w:szCs w:val="28"/>
          <w:lang w:val="en-US"/>
        </w:rPr>
        <w:t>земельных</w:t>
      </w:r>
      <w:proofErr w:type="spellEnd"/>
      <w:r w:rsidRPr="00010624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010624">
        <w:rPr>
          <w:rFonts w:ascii="Times New Roman" w:hAnsi="Times New Roman"/>
          <w:sz w:val="28"/>
          <w:szCs w:val="28"/>
          <w:lang w:val="en-US"/>
        </w:rPr>
        <w:t>природных</w:t>
      </w:r>
      <w:proofErr w:type="spellEnd"/>
      <w:r w:rsidRPr="000106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10624">
        <w:rPr>
          <w:rFonts w:ascii="Times New Roman" w:hAnsi="Times New Roman"/>
          <w:sz w:val="28"/>
          <w:szCs w:val="28"/>
          <w:lang w:val="en-US"/>
        </w:rPr>
        <w:t>ресурсов</w:t>
      </w:r>
      <w:proofErr w:type="spellEnd"/>
      <w:r w:rsidRPr="00010624">
        <w:rPr>
          <w:rFonts w:ascii="Times New Roman" w:hAnsi="Times New Roman"/>
          <w:sz w:val="28"/>
          <w:szCs w:val="28"/>
          <w:lang w:val="en-US"/>
        </w:rPr>
        <w:t xml:space="preserve"> КНР</w:t>
      </w:r>
    </w:p>
    <w:p w14:paraId="6BAD039A" w14:textId="0FE031FA" w:rsidR="00010624" w:rsidRPr="00616E77" w:rsidRDefault="005D34AF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http://www.mlr.gov.cn/</w:t>
      </w:r>
    </w:p>
    <w:p w14:paraId="7E829DD0" w14:textId="5493D68B" w:rsidR="002E78B9" w:rsidRDefault="002E78B9" w:rsidP="008B3B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E78B9">
        <w:rPr>
          <w:rFonts w:ascii="Times New Roman" w:hAnsi="Times New Roman"/>
          <w:sz w:val="28"/>
          <w:szCs w:val="28"/>
          <w:lang w:val="en-US"/>
        </w:rPr>
        <w:t>Министерство</w:t>
      </w:r>
      <w:proofErr w:type="spellEnd"/>
      <w:r w:rsidRPr="002E78B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78B9">
        <w:rPr>
          <w:rFonts w:ascii="Times New Roman" w:hAnsi="Times New Roman"/>
          <w:sz w:val="28"/>
          <w:szCs w:val="28"/>
          <w:lang w:val="en-US"/>
        </w:rPr>
        <w:t>охраны</w:t>
      </w:r>
      <w:proofErr w:type="spellEnd"/>
      <w:r w:rsidRPr="002E78B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78B9">
        <w:rPr>
          <w:rFonts w:ascii="Times New Roman" w:hAnsi="Times New Roman"/>
          <w:sz w:val="28"/>
          <w:szCs w:val="28"/>
          <w:lang w:val="en-US"/>
        </w:rPr>
        <w:t>окружающей</w:t>
      </w:r>
      <w:proofErr w:type="spellEnd"/>
      <w:r w:rsidRPr="002E78B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E78B9">
        <w:rPr>
          <w:rFonts w:ascii="Times New Roman" w:hAnsi="Times New Roman"/>
          <w:sz w:val="28"/>
          <w:szCs w:val="28"/>
          <w:lang w:val="en-US"/>
        </w:rPr>
        <w:t>среды</w:t>
      </w:r>
      <w:proofErr w:type="spellEnd"/>
      <w:r w:rsidRPr="002E78B9">
        <w:rPr>
          <w:rFonts w:ascii="Times New Roman" w:hAnsi="Times New Roman"/>
          <w:sz w:val="28"/>
          <w:szCs w:val="28"/>
          <w:lang w:val="en-US"/>
        </w:rPr>
        <w:t xml:space="preserve"> КНР</w:t>
      </w:r>
    </w:p>
    <w:p w14:paraId="469A6657" w14:textId="53380325" w:rsidR="002E78B9" w:rsidRPr="00616E77" w:rsidRDefault="002E78B9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http://www.mep.gov.cn/</w:t>
      </w:r>
    </w:p>
    <w:p w14:paraId="4F3C76DB" w14:textId="0B9EF1C0" w:rsidR="008B3B77" w:rsidRDefault="008B3B77" w:rsidP="008B3B7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Министерство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энергетики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РФ</w:t>
      </w:r>
    </w:p>
    <w:p w14:paraId="7CE5987E" w14:textId="181FBB01" w:rsidR="005D34AF" w:rsidRDefault="00010624" w:rsidP="00616E77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16E77">
        <w:rPr>
          <w:rFonts w:ascii="Times New Roman" w:hAnsi="Times New Roman"/>
          <w:color w:val="3366FF"/>
          <w:sz w:val="28"/>
          <w:szCs w:val="28"/>
          <w:lang w:val="en-US"/>
        </w:rPr>
        <w:t>http://minenergo.gov.ru/</w:t>
      </w:r>
    </w:p>
    <w:p w14:paraId="128BBF5D" w14:textId="0C939E15" w:rsidR="0012537E" w:rsidRDefault="0012537E" w:rsidP="008C1F0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Федеральная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служба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государственной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статистики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РФ</w:t>
      </w:r>
    </w:p>
    <w:p w14:paraId="4ABE962A" w14:textId="056259D5" w:rsidR="0012537E" w:rsidRPr="0012537E" w:rsidRDefault="0012537E" w:rsidP="0012537E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12537E">
        <w:rPr>
          <w:rFonts w:ascii="Times New Roman" w:hAnsi="Times New Roman"/>
          <w:color w:val="3366FF"/>
          <w:sz w:val="28"/>
          <w:szCs w:val="28"/>
          <w:lang w:val="en-US"/>
        </w:rPr>
        <w:t>http://www.gks.ru/</w:t>
      </w:r>
    </w:p>
    <w:p w14:paraId="3CA7E5AE" w14:textId="2DA69182" w:rsidR="00FC06FB" w:rsidRDefault="00FC06FB" w:rsidP="008C1F0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Bloomberg L.P.</w:t>
      </w:r>
    </w:p>
    <w:p w14:paraId="2ED1C045" w14:textId="3C098DD6" w:rsidR="00C93951" w:rsidRPr="00C93951" w:rsidRDefault="00FC06FB" w:rsidP="00C93951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FC06FB">
        <w:rPr>
          <w:rFonts w:ascii="Times New Roman" w:hAnsi="Times New Roman"/>
          <w:color w:val="3366FF"/>
          <w:sz w:val="28"/>
          <w:szCs w:val="28"/>
          <w:lang w:val="en-US"/>
        </w:rPr>
        <w:t>http://www.bloomberg.com/</w:t>
      </w:r>
    </w:p>
    <w:p w14:paraId="55932C39" w14:textId="69D84F31" w:rsidR="00C93951" w:rsidRDefault="00C93951" w:rsidP="008C1F0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China coal resource</w:t>
      </w:r>
    </w:p>
    <w:p w14:paraId="2A62EEFB" w14:textId="5C983A8D" w:rsidR="00C93951" w:rsidRPr="00697BA3" w:rsidRDefault="00C93951" w:rsidP="00C93951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697BA3">
        <w:rPr>
          <w:rFonts w:ascii="Times New Roman" w:hAnsi="Times New Roman"/>
          <w:color w:val="3366FF"/>
          <w:sz w:val="28"/>
          <w:szCs w:val="28"/>
          <w:lang w:val="en-US"/>
        </w:rPr>
        <w:t>http://www.sxcoal.com/</w:t>
      </w:r>
    </w:p>
    <w:p w14:paraId="338E8E12" w14:textId="77777777" w:rsidR="008C1F05" w:rsidRDefault="008C1F05" w:rsidP="008C1F0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ICIS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Heren</w:t>
      </w:r>
      <w:proofErr w:type="spellEnd"/>
    </w:p>
    <w:p w14:paraId="7EED077A" w14:textId="77777777" w:rsidR="008C1F05" w:rsidRPr="001F0D26" w:rsidRDefault="008C1F05" w:rsidP="008C1F05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1F0D26">
        <w:rPr>
          <w:rFonts w:ascii="Times New Roman" w:hAnsi="Times New Roman"/>
          <w:color w:val="3366FF"/>
          <w:sz w:val="28"/>
          <w:szCs w:val="28"/>
          <w:lang w:val="en-US"/>
        </w:rPr>
        <w:t>http://www.icis.com/</w:t>
      </w:r>
    </w:p>
    <w:p w14:paraId="1A0F3E8E" w14:textId="25B55C3C" w:rsidR="002C205B" w:rsidRDefault="002C205B" w:rsidP="002C205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Sina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Corp</w:t>
      </w:r>
    </w:p>
    <w:p w14:paraId="70701B3A" w14:textId="77777777" w:rsidR="00C93951" w:rsidRDefault="002C205B" w:rsidP="00C93951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/>
          <w:color w:val="3366FF"/>
          <w:sz w:val="28"/>
          <w:szCs w:val="28"/>
          <w:lang w:val="en-US"/>
        </w:rPr>
      </w:pPr>
      <w:r w:rsidRPr="002C205B">
        <w:rPr>
          <w:rFonts w:ascii="Times New Roman" w:hAnsi="Times New Roman"/>
          <w:color w:val="3366FF"/>
          <w:sz w:val="28"/>
          <w:szCs w:val="28"/>
          <w:lang w:val="en-US"/>
        </w:rPr>
        <w:t>http://www.sina.com/</w:t>
      </w:r>
    </w:p>
    <w:p w14:paraId="036082C2" w14:textId="015F948F" w:rsidR="00C93951" w:rsidRDefault="00C93951" w:rsidP="00C9395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Xinhua news agency</w:t>
      </w:r>
    </w:p>
    <w:p w14:paraId="59B48EB0" w14:textId="199582CE" w:rsidR="00C93951" w:rsidRDefault="00C93951" w:rsidP="00C93951">
      <w:pPr>
        <w:pStyle w:val="ListParagraph"/>
        <w:widowControl w:val="0"/>
        <w:autoSpaceDE w:val="0"/>
        <w:autoSpaceDN w:val="0"/>
        <w:adjustRightInd w:val="0"/>
        <w:spacing w:after="120" w:line="360" w:lineRule="auto"/>
        <w:ind w:left="426"/>
        <w:jc w:val="both"/>
      </w:pPr>
      <w:r w:rsidRPr="00C93951">
        <w:rPr>
          <w:rFonts w:ascii="Times New Roman" w:hAnsi="Times New Roman"/>
          <w:color w:val="3366FF"/>
          <w:sz w:val="28"/>
          <w:szCs w:val="28"/>
          <w:lang w:val="en-US"/>
        </w:rPr>
        <w:t>http://www.xinhuanet.com/</w:t>
      </w:r>
    </w:p>
    <w:p w14:paraId="2A3C2674" w14:textId="1455D8A7" w:rsidR="00761154" w:rsidRPr="00616E77" w:rsidRDefault="00761154" w:rsidP="00616E7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eastAsia="MS Gothic"/>
          <w:b/>
          <w:bCs/>
          <w:kern w:val="32"/>
        </w:rPr>
      </w:pPr>
    </w:p>
    <w:p w14:paraId="79572D01" w14:textId="77777777" w:rsidR="00C93951" w:rsidRDefault="00C93951">
      <w:pPr>
        <w:rPr>
          <w:rFonts w:eastAsia="MS Gothic"/>
          <w:b/>
          <w:bCs/>
          <w:kern w:val="32"/>
          <w:sz w:val="28"/>
          <w:szCs w:val="28"/>
        </w:rPr>
      </w:pPr>
      <w:bookmarkStart w:id="17" w:name="_Toc229737134"/>
      <w:r>
        <w:rPr>
          <w:sz w:val="28"/>
          <w:szCs w:val="28"/>
        </w:rPr>
        <w:br w:type="page"/>
      </w:r>
    </w:p>
    <w:p w14:paraId="609BEF87" w14:textId="7ED2D58B" w:rsidR="00A362BA" w:rsidRDefault="00A362BA" w:rsidP="00E53CF4">
      <w:pPr>
        <w:pStyle w:val="Heading1"/>
        <w:spacing w:before="0" w:after="120" w:line="360" w:lineRule="auto"/>
        <w:rPr>
          <w:rFonts w:ascii="Times New Roman" w:hAnsi="Times New Roman"/>
          <w:sz w:val="28"/>
          <w:szCs w:val="28"/>
        </w:rPr>
      </w:pPr>
      <w:r w:rsidRPr="00A362BA">
        <w:rPr>
          <w:rFonts w:ascii="Times New Roman" w:hAnsi="Times New Roman"/>
          <w:sz w:val="28"/>
          <w:szCs w:val="28"/>
        </w:rPr>
        <w:lastRenderedPageBreak/>
        <w:t>Приложения</w:t>
      </w:r>
      <w:bookmarkEnd w:id="17"/>
    </w:p>
    <w:p w14:paraId="59410182" w14:textId="77777777" w:rsidR="00761154" w:rsidRPr="00761154" w:rsidRDefault="00761154" w:rsidP="00761154">
      <w:pPr>
        <w:spacing w:after="120" w:line="360" w:lineRule="auto"/>
        <w:rPr>
          <w:b/>
          <w:sz w:val="28"/>
          <w:szCs w:val="28"/>
        </w:rPr>
      </w:pPr>
      <w:r w:rsidRPr="00761154">
        <w:rPr>
          <w:b/>
          <w:sz w:val="28"/>
          <w:szCs w:val="28"/>
        </w:rPr>
        <w:t>Таблица</w:t>
      </w:r>
      <w:r w:rsidR="001B6C3C">
        <w:rPr>
          <w:b/>
          <w:sz w:val="28"/>
          <w:szCs w:val="28"/>
        </w:rPr>
        <w:t xml:space="preserve"> 1. Топливно-э</w:t>
      </w:r>
      <w:r>
        <w:rPr>
          <w:b/>
          <w:sz w:val="28"/>
          <w:szCs w:val="28"/>
        </w:rPr>
        <w:t xml:space="preserve">нергетический баланс Китая, </w:t>
      </w:r>
      <w:r w:rsidRPr="00761154">
        <w:rPr>
          <w:b/>
          <w:sz w:val="28"/>
          <w:szCs w:val="28"/>
        </w:rPr>
        <w:t xml:space="preserve">млн. </w:t>
      </w:r>
      <w:proofErr w:type="spellStart"/>
      <w:r w:rsidRPr="00761154">
        <w:rPr>
          <w:b/>
          <w:sz w:val="28"/>
          <w:szCs w:val="28"/>
        </w:rPr>
        <w:t>тнэ</w:t>
      </w:r>
      <w:proofErr w:type="spellEnd"/>
      <w:r w:rsidRPr="00761154">
        <w:rPr>
          <w:b/>
          <w:sz w:val="28"/>
          <w:szCs w:val="28"/>
        </w:rPr>
        <w:t>, 2010 г.</w:t>
      </w:r>
    </w:p>
    <w:tbl>
      <w:tblPr>
        <w:tblW w:w="496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567"/>
        <w:gridCol w:w="990"/>
        <w:gridCol w:w="991"/>
        <w:gridCol w:w="708"/>
        <w:gridCol w:w="984"/>
        <w:gridCol w:w="714"/>
        <w:gridCol w:w="1271"/>
        <w:gridCol w:w="796"/>
        <w:gridCol w:w="619"/>
        <w:gridCol w:w="857"/>
      </w:tblGrid>
      <w:tr w:rsidR="00761154" w:rsidRPr="00C44558" w14:paraId="7FB81F84" w14:textId="77777777" w:rsidTr="00761154">
        <w:trPr>
          <w:trHeight w:val="255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AE8C" w14:textId="77777777" w:rsidR="00761154" w:rsidRPr="00101551" w:rsidRDefault="00761154" w:rsidP="00761154"/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EDEE" w14:textId="77777777" w:rsidR="00761154" w:rsidRPr="00101551" w:rsidRDefault="00761154" w:rsidP="00761154">
            <w:pPr>
              <w:jc w:val="center"/>
            </w:pPr>
            <w:r w:rsidRPr="00101551">
              <w:t>Уголь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785C" w14:textId="77777777" w:rsidR="00761154" w:rsidRPr="00101551" w:rsidRDefault="00761154" w:rsidP="00761154">
            <w:pPr>
              <w:jc w:val="center"/>
            </w:pPr>
            <w:r w:rsidRPr="00101551">
              <w:t>Нефть и нефтепродукты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4468" w14:textId="77777777" w:rsidR="00761154" w:rsidRPr="00101551" w:rsidRDefault="00761154" w:rsidP="00761154">
            <w:pPr>
              <w:jc w:val="center"/>
            </w:pPr>
            <w:r w:rsidRPr="00101551">
              <w:t>Газ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FB3B" w14:textId="77777777" w:rsidR="00761154" w:rsidRPr="00101551" w:rsidRDefault="00761154" w:rsidP="00761154">
            <w:pPr>
              <w:jc w:val="center"/>
            </w:pPr>
            <w:r w:rsidRPr="00101551">
              <w:t>Атомная энергия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0225" w14:textId="77777777" w:rsidR="00761154" w:rsidRPr="00101551" w:rsidRDefault="00761154" w:rsidP="00761154">
            <w:pPr>
              <w:jc w:val="center"/>
            </w:pPr>
            <w:r w:rsidRPr="00101551">
              <w:t>Гидроэнергия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F4A6" w14:textId="77777777" w:rsidR="00761154" w:rsidRPr="00101551" w:rsidRDefault="00761154" w:rsidP="00761154">
            <w:pPr>
              <w:jc w:val="center"/>
            </w:pPr>
            <w:r>
              <w:t>ВИЭ, кроме гидроэнергии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486A" w14:textId="77777777" w:rsidR="00761154" w:rsidRPr="00101551" w:rsidRDefault="00761154" w:rsidP="00761154">
            <w:pPr>
              <w:jc w:val="center"/>
            </w:pPr>
            <w:r w:rsidRPr="00101551">
              <w:t>Электричество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E89E" w14:textId="77777777" w:rsidR="00761154" w:rsidRPr="00101551" w:rsidRDefault="00761154" w:rsidP="00761154">
            <w:pPr>
              <w:jc w:val="center"/>
            </w:pPr>
            <w:r w:rsidRPr="00101551">
              <w:t>Тепло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D4A2" w14:textId="77777777" w:rsidR="00761154" w:rsidRPr="00101551" w:rsidRDefault="00761154" w:rsidP="00761154">
            <w:pPr>
              <w:jc w:val="center"/>
            </w:pPr>
            <w:r w:rsidRPr="00101551">
              <w:t>Всего</w:t>
            </w:r>
          </w:p>
        </w:tc>
      </w:tr>
      <w:tr w:rsidR="00761154" w:rsidRPr="00C44558" w14:paraId="42BBD585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14E5" w14:textId="77777777" w:rsidR="00761154" w:rsidRPr="00101551" w:rsidRDefault="00761154" w:rsidP="00761154">
            <w:r w:rsidRPr="00101551">
              <w:t>Производство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7E78" w14:textId="77777777" w:rsidR="00761154" w:rsidRPr="00101551" w:rsidRDefault="00761154" w:rsidP="00761154">
            <w:pPr>
              <w:jc w:val="center"/>
            </w:pPr>
            <w:r w:rsidRPr="00101551">
              <w:t>1668,5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7CF0" w14:textId="77777777" w:rsidR="00761154" w:rsidRPr="00101551" w:rsidRDefault="00761154" w:rsidP="00761154">
            <w:pPr>
              <w:jc w:val="center"/>
            </w:pPr>
            <w:r w:rsidRPr="00101551">
              <w:t>203,2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D7A2" w14:textId="77777777" w:rsidR="00761154" w:rsidRPr="00101551" w:rsidRDefault="00761154" w:rsidP="00761154">
            <w:pPr>
              <w:jc w:val="center"/>
            </w:pPr>
            <w:r w:rsidRPr="00101551">
              <w:t>79,4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3087" w14:textId="77777777" w:rsidR="00761154" w:rsidRPr="00101551" w:rsidRDefault="00761154" w:rsidP="00761154">
            <w:pPr>
              <w:jc w:val="center"/>
            </w:pPr>
            <w:r w:rsidRPr="00101551">
              <w:t>19,3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7A3E" w14:textId="77777777" w:rsidR="00761154" w:rsidRPr="00101551" w:rsidRDefault="00761154" w:rsidP="00761154">
            <w:pPr>
              <w:jc w:val="center"/>
            </w:pPr>
            <w:r w:rsidRPr="00101551">
              <w:t>62,1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7623" w14:textId="77777777" w:rsidR="00761154" w:rsidRPr="00101551" w:rsidRDefault="00761154" w:rsidP="00761154">
            <w:pPr>
              <w:jc w:val="center"/>
            </w:pPr>
            <w:r w:rsidRPr="00101551">
              <w:t>220,1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FFD8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E73A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42CE" w14:textId="77777777" w:rsidR="00761154" w:rsidRPr="00101551" w:rsidRDefault="00761154" w:rsidP="00761154">
            <w:pPr>
              <w:jc w:val="center"/>
            </w:pPr>
            <w:r w:rsidRPr="00101551">
              <w:t>2252,5</w:t>
            </w:r>
          </w:p>
        </w:tc>
      </w:tr>
      <w:tr w:rsidR="00761154" w:rsidRPr="00C44558" w14:paraId="25E8A50E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B2363" w14:textId="77777777" w:rsidR="00761154" w:rsidRPr="00101551" w:rsidRDefault="00761154" w:rsidP="00761154">
            <w:r w:rsidRPr="00101551">
              <w:t>Импорт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5F29" w14:textId="77777777" w:rsidR="00761154" w:rsidRPr="00101551" w:rsidRDefault="00761154" w:rsidP="00761154">
            <w:pPr>
              <w:jc w:val="center"/>
            </w:pPr>
            <w:r w:rsidRPr="00101551">
              <w:t>92,8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8BB2" w14:textId="77777777" w:rsidR="00761154" w:rsidRPr="00101551" w:rsidRDefault="00761154" w:rsidP="00761154">
            <w:pPr>
              <w:jc w:val="center"/>
            </w:pPr>
            <w:r w:rsidRPr="00101551">
              <w:t>308,8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29C6" w14:textId="77777777" w:rsidR="00761154" w:rsidRPr="00101551" w:rsidRDefault="00761154" w:rsidP="00761154">
            <w:pPr>
              <w:jc w:val="center"/>
            </w:pPr>
            <w:r w:rsidRPr="00101551">
              <w:t>15,7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38F1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4F3E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D843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5AE8" w14:textId="77777777" w:rsidR="00761154" w:rsidRPr="00101551" w:rsidRDefault="00761154" w:rsidP="00761154">
            <w:pPr>
              <w:jc w:val="center"/>
            </w:pPr>
            <w:r w:rsidRPr="00101551">
              <w:t>1,4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4496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DAD9" w14:textId="77777777" w:rsidR="00761154" w:rsidRPr="00101551" w:rsidRDefault="00761154" w:rsidP="00761154">
            <w:pPr>
              <w:jc w:val="center"/>
            </w:pPr>
            <w:r w:rsidRPr="00101551">
              <w:t>418,7</w:t>
            </w:r>
          </w:p>
        </w:tc>
      </w:tr>
      <w:tr w:rsidR="00761154" w:rsidRPr="00C44558" w14:paraId="5DECB72C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DBFB" w14:textId="77777777" w:rsidR="00761154" w:rsidRPr="00101551" w:rsidRDefault="00761154" w:rsidP="00761154">
            <w:r w:rsidRPr="00101551">
              <w:t>Экспорт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1A7A" w14:textId="77777777" w:rsidR="00761154" w:rsidRPr="00101551" w:rsidRDefault="00761154" w:rsidP="00761154">
            <w:pPr>
              <w:jc w:val="center"/>
            </w:pPr>
            <w:r w:rsidRPr="00101551">
              <w:t>14,5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A28B" w14:textId="77777777" w:rsidR="00761154" w:rsidRPr="00101551" w:rsidRDefault="00761154" w:rsidP="00761154">
            <w:pPr>
              <w:jc w:val="center"/>
            </w:pPr>
            <w:r w:rsidRPr="00101551">
              <w:t>34,4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A1BD" w14:textId="77777777" w:rsidR="00761154" w:rsidRPr="00101551" w:rsidRDefault="00761154" w:rsidP="00761154">
            <w:pPr>
              <w:jc w:val="center"/>
            </w:pPr>
            <w:r w:rsidRPr="00101551">
              <w:t>3,4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9113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4F55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4A04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6901" w14:textId="77777777" w:rsidR="00761154" w:rsidRPr="00101551" w:rsidRDefault="00761154" w:rsidP="00761154">
            <w:pPr>
              <w:jc w:val="center"/>
            </w:pPr>
            <w:r w:rsidRPr="00101551">
              <w:t>1,9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7EE0F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6CBF" w14:textId="77777777" w:rsidR="00761154" w:rsidRPr="00101551" w:rsidRDefault="00761154" w:rsidP="00761154">
            <w:pPr>
              <w:jc w:val="center"/>
            </w:pPr>
            <w:r w:rsidRPr="00101551">
              <w:t>54,2</w:t>
            </w:r>
          </w:p>
        </w:tc>
      </w:tr>
      <w:tr w:rsidR="00761154" w:rsidRPr="00C44558" w14:paraId="65A574FB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0061" w14:textId="77777777" w:rsidR="00761154" w:rsidRPr="00101551" w:rsidRDefault="00761154" w:rsidP="00761154">
            <w:r>
              <w:t>Изменения</w:t>
            </w:r>
            <w:r w:rsidRPr="00101551">
              <w:t xml:space="preserve"> запасов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6A92" w14:textId="77777777" w:rsidR="00761154" w:rsidRPr="00101551" w:rsidRDefault="00761154" w:rsidP="00761154">
            <w:pPr>
              <w:jc w:val="center"/>
            </w:pPr>
            <w:r w:rsidRPr="00101551">
              <w:t>-103,6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3B02" w14:textId="77777777" w:rsidR="00761154" w:rsidRPr="00101551" w:rsidRDefault="00761154" w:rsidP="00761154">
            <w:pPr>
              <w:jc w:val="center"/>
            </w:pPr>
            <w:r w:rsidRPr="00101551">
              <w:t>-43,9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78A4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1F44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5EEE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812B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04A5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065B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B7CA" w14:textId="77777777" w:rsidR="00761154" w:rsidRPr="00101551" w:rsidRDefault="00761154" w:rsidP="00761154">
            <w:pPr>
              <w:jc w:val="center"/>
            </w:pPr>
            <w:r w:rsidRPr="00101551">
              <w:t>-147,6</w:t>
            </w:r>
          </w:p>
        </w:tc>
      </w:tr>
      <w:tr w:rsidR="00761154" w:rsidRPr="00C44558" w14:paraId="13C356D5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AEA8" w14:textId="77777777" w:rsidR="00761154" w:rsidRPr="00101551" w:rsidRDefault="00761154" w:rsidP="00761154">
            <w:r w:rsidRPr="00101551">
              <w:t>Валовое потребление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24F7" w14:textId="77777777" w:rsidR="00761154" w:rsidRPr="00101551" w:rsidRDefault="00761154" w:rsidP="00761154">
            <w:pPr>
              <w:jc w:val="center"/>
            </w:pPr>
            <w:r w:rsidRPr="00101551">
              <w:t>1643,2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11F1" w14:textId="77777777" w:rsidR="00761154" w:rsidRPr="00101551" w:rsidRDefault="00761154" w:rsidP="00761154">
            <w:pPr>
              <w:jc w:val="center"/>
            </w:pPr>
            <w:r w:rsidRPr="00101551">
              <w:t>433,6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07EB" w14:textId="77777777" w:rsidR="00761154" w:rsidRPr="00101551" w:rsidRDefault="00761154" w:rsidP="00761154">
            <w:pPr>
              <w:jc w:val="center"/>
            </w:pPr>
            <w:r w:rsidRPr="00101551">
              <w:t>91,7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9325" w14:textId="77777777" w:rsidR="00761154" w:rsidRPr="00101551" w:rsidRDefault="00761154" w:rsidP="00761154">
            <w:pPr>
              <w:jc w:val="center"/>
            </w:pPr>
            <w:r w:rsidRPr="00101551">
              <w:t>19,3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C4F0" w14:textId="77777777" w:rsidR="00761154" w:rsidRPr="00101551" w:rsidRDefault="00761154" w:rsidP="00761154">
            <w:pPr>
              <w:jc w:val="center"/>
            </w:pPr>
            <w:r w:rsidRPr="00101551">
              <w:t>62,1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0480" w14:textId="77777777" w:rsidR="00761154" w:rsidRPr="00101551" w:rsidRDefault="00761154" w:rsidP="00761154">
            <w:pPr>
              <w:jc w:val="center"/>
            </w:pPr>
            <w:r w:rsidRPr="00101551">
              <w:t>220,1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901F" w14:textId="77777777" w:rsidR="00761154" w:rsidRPr="00101551" w:rsidRDefault="00761154" w:rsidP="00761154">
            <w:pPr>
              <w:jc w:val="center"/>
            </w:pPr>
            <w:r w:rsidRPr="00101551">
              <w:t>-0,4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DC523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9B51" w14:textId="77777777" w:rsidR="00761154" w:rsidRPr="00101551" w:rsidRDefault="00761154" w:rsidP="00761154">
            <w:pPr>
              <w:jc w:val="center"/>
            </w:pPr>
            <w:r w:rsidRPr="00101551">
              <w:t>2469,5</w:t>
            </w:r>
          </w:p>
        </w:tc>
      </w:tr>
      <w:tr w:rsidR="00761154" w:rsidRPr="00C44558" w14:paraId="00FDF4DA" w14:textId="77777777" w:rsidTr="00761154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EC24" w14:textId="77777777" w:rsidR="00761154" w:rsidRPr="00551426" w:rsidRDefault="00761154" w:rsidP="00761154">
            <w:r w:rsidRPr="00551426">
              <w:t>В т. ч. в составе валового потребления:</w:t>
            </w:r>
          </w:p>
        </w:tc>
      </w:tr>
      <w:tr w:rsidR="00761154" w:rsidRPr="00C44558" w14:paraId="1555A8FC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0585" w14:textId="77777777" w:rsidR="00761154" w:rsidRPr="00551426" w:rsidRDefault="00761154" w:rsidP="00761154">
            <w:r>
              <w:t>Электроэнерге</w:t>
            </w:r>
            <w:r w:rsidRPr="00551426">
              <w:t>тика и тепло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8D3F" w14:textId="77777777" w:rsidR="00761154" w:rsidRPr="00551426" w:rsidRDefault="00761154" w:rsidP="00761154">
            <w:pPr>
              <w:jc w:val="center"/>
            </w:pPr>
            <w:r w:rsidRPr="00551426">
              <w:t>878,7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6545" w14:textId="77777777" w:rsidR="00761154" w:rsidRPr="00551426" w:rsidRDefault="00761154" w:rsidP="00761154">
            <w:pPr>
              <w:jc w:val="center"/>
            </w:pPr>
            <w:r w:rsidRPr="00551426">
              <w:t>9,0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CCD0" w14:textId="77777777" w:rsidR="00761154" w:rsidRPr="00101551" w:rsidRDefault="00761154" w:rsidP="00761154">
            <w:pPr>
              <w:jc w:val="center"/>
            </w:pPr>
            <w:r w:rsidRPr="00101551">
              <w:t>20,5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275C" w14:textId="77777777" w:rsidR="00761154" w:rsidRPr="00101551" w:rsidRDefault="00761154" w:rsidP="00761154">
            <w:pPr>
              <w:jc w:val="center"/>
            </w:pPr>
            <w:r w:rsidRPr="00101551">
              <w:t>19,3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C3D9" w14:textId="77777777" w:rsidR="00761154" w:rsidRPr="00101551" w:rsidRDefault="00761154" w:rsidP="00761154">
            <w:pPr>
              <w:jc w:val="center"/>
            </w:pPr>
            <w:r w:rsidRPr="00101551">
              <w:t>62,1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23FD" w14:textId="77777777" w:rsidR="00761154" w:rsidRPr="00101551" w:rsidRDefault="00761154" w:rsidP="00761154">
            <w:pPr>
              <w:jc w:val="center"/>
            </w:pPr>
            <w:r w:rsidRPr="00101551">
              <w:t>9,1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77AD" w14:textId="77777777" w:rsidR="00761154" w:rsidRPr="00101551" w:rsidRDefault="00761154" w:rsidP="00761154">
            <w:pPr>
              <w:jc w:val="center"/>
            </w:pPr>
            <w:r w:rsidRPr="00101551">
              <w:t>-362,2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0EB9" w14:textId="77777777" w:rsidR="00761154" w:rsidRPr="00101551" w:rsidRDefault="00761154" w:rsidP="00761154">
            <w:pPr>
              <w:jc w:val="center"/>
            </w:pPr>
            <w:r w:rsidRPr="00101551">
              <w:t>-70,1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B82F" w14:textId="77777777" w:rsidR="00761154" w:rsidRPr="00101551" w:rsidRDefault="00761154" w:rsidP="00761154">
            <w:pPr>
              <w:jc w:val="center"/>
            </w:pPr>
            <w:r w:rsidRPr="00101551">
              <w:t>566,4</w:t>
            </w:r>
          </w:p>
        </w:tc>
      </w:tr>
      <w:tr w:rsidR="00761154" w:rsidRPr="00C44558" w14:paraId="063274B8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9115" w14:textId="77777777" w:rsidR="00761154" w:rsidRPr="00551426" w:rsidRDefault="00761154" w:rsidP="00761154">
            <w:r w:rsidRPr="00551426">
              <w:t>Конечное потребление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9BAF" w14:textId="77777777" w:rsidR="00761154" w:rsidRPr="00551426" w:rsidRDefault="00761154" w:rsidP="00761154">
            <w:pPr>
              <w:jc w:val="center"/>
            </w:pPr>
            <w:r w:rsidRPr="00551426">
              <w:t>521,4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663B" w14:textId="77777777" w:rsidR="00761154" w:rsidRPr="00551426" w:rsidRDefault="00761154" w:rsidP="00761154">
            <w:pPr>
              <w:jc w:val="center"/>
            </w:pPr>
            <w:r w:rsidRPr="00551426">
              <w:t>425,9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E796" w14:textId="77777777" w:rsidR="00761154" w:rsidRPr="00101551" w:rsidRDefault="00761154" w:rsidP="00761154">
            <w:pPr>
              <w:jc w:val="center"/>
            </w:pPr>
            <w:r w:rsidRPr="00101551">
              <w:t>57,2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2C9A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D1E2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9EF2" w14:textId="77777777" w:rsidR="00761154" w:rsidRPr="00101551" w:rsidRDefault="00761154" w:rsidP="00761154">
            <w:pPr>
              <w:jc w:val="center"/>
            </w:pPr>
            <w:r w:rsidRPr="00101551">
              <w:t>211,0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8D91" w14:textId="77777777" w:rsidR="00761154" w:rsidRPr="00101551" w:rsidRDefault="00761154" w:rsidP="00761154">
            <w:pPr>
              <w:jc w:val="center"/>
            </w:pPr>
            <w:r w:rsidRPr="00101551">
              <w:t>300,4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E3FF" w14:textId="77777777" w:rsidR="00761154" w:rsidRPr="00101551" w:rsidRDefault="00761154" w:rsidP="00761154">
            <w:pPr>
              <w:jc w:val="center"/>
            </w:pPr>
            <w:r w:rsidRPr="00101551">
              <w:t>59,7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6BD3" w14:textId="77777777" w:rsidR="00761154" w:rsidRPr="00101551" w:rsidRDefault="00761154" w:rsidP="00761154">
            <w:pPr>
              <w:jc w:val="center"/>
            </w:pPr>
            <w:r w:rsidRPr="00101551">
              <w:t>1521,9</w:t>
            </w:r>
          </w:p>
        </w:tc>
      </w:tr>
      <w:tr w:rsidR="00761154" w:rsidRPr="00C44558" w14:paraId="1A3D7609" w14:textId="77777777" w:rsidTr="00761154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5C15" w14:textId="77777777" w:rsidR="00761154" w:rsidRPr="00551426" w:rsidRDefault="00761154" w:rsidP="00761154">
            <w:r w:rsidRPr="00551426">
              <w:t>В т. ч. в составе конечного потребления:</w:t>
            </w:r>
          </w:p>
        </w:tc>
      </w:tr>
      <w:tr w:rsidR="00761154" w:rsidRPr="00C44558" w14:paraId="3216CD6E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FA08" w14:textId="77777777" w:rsidR="00761154" w:rsidRPr="00101551" w:rsidRDefault="00761154" w:rsidP="00761154">
            <w:r w:rsidRPr="00101551">
              <w:t>Промышленность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D8AE" w14:textId="77777777" w:rsidR="00761154" w:rsidRPr="00101551" w:rsidRDefault="00761154" w:rsidP="00761154">
            <w:pPr>
              <w:jc w:val="center"/>
            </w:pPr>
            <w:r w:rsidRPr="00101551">
              <w:t>407,0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4188" w14:textId="77777777" w:rsidR="00761154" w:rsidRPr="00101551" w:rsidRDefault="00761154" w:rsidP="00761154">
            <w:pPr>
              <w:jc w:val="center"/>
            </w:pPr>
            <w:r w:rsidRPr="00101551">
              <w:t>62,4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F2B2" w14:textId="77777777" w:rsidR="00761154" w:rsidRPr="00101551" w:rsidRDefault="00761154" w:rsidP="00761154">
            <w:pPr>
              <w:jc w:val="center"/>
            </w:pPr>
            <w:r w:rsidRPr="00101551">
              <w:t>16,5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76CE9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DCBE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4468" w14:textId="77777777" w:rsidR="00761154" w:rsidRPr="00101551" w:rsidRDefault="00761154" w:rsidP="00761154">
            <w:pPr>
              <w:jc w:val="center"/>
            </w:pPr>
            <w:r w:rsidRPr="00101551">
              <w:t>0,1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2C64" w14:textId="77777777" w:rsidR="00761154" w:rsidRPr="00101551" w:rsidRDefault="00761154" w:rsidP="00761154">
            <w:pPr>
              <w:jc w:val="center"/>
            </w:pPr>
            <w:r w:rsidRPr="00101551">
              <w:t>203,5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AD4E" w14:textId="77777777" w:rsidR="00761154" w:rsidRPr="00101551" w:rsidRDefault="00761154" w:rsidP="00761154">
            <w:pPr>
              <w:jc w:val="center"/>
            </w:pPr>
            <w:r w:rsidRPr="00101551">
              <w:t>40,5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4CEC" w14:textId="77777777" w:rsidR="00761154" w:rsidRPr="00101551" w:rsidRDefault="00761154" w:rsidP="00761154">
            <w:pPr>
              <w:jc w:val="center"/>
            </w:pPr>
            <w:r w:rsidRPr="00101551">
              <w:t>715,6</w:t>
            </w:r>
          </w:p>
        </w:tc>
      </w:tr>
      <w:tr w:rsidR="00761154" w:rsidRPr="00C44558" w14:paraId="0D3FC5CD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CAAE" w14:textId="77777777" w:rsidR="00761154" w:rsidRPr="00101551" w:rsidRDefault="00761154" w:rsidP="00761154">
            <w:r w:rsidRPr="00101551">
              <w:t>Транспорт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4741" w14:textId="77777777" w:rsidR="00761154" w:rsidRPr="00101551" w:rsidRDefault="00761154" w:rsidP="00761154">
            <w:pPr>
              <w:jc w:val="center"/>
            </w:pPr>
            <w:r w:rsidRPr="00101551">
              <w:t>3,2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84D8" w14:textId="77777777" w:rsidR="00761154" w:rsidRPr="00101551" w:rsidRDefault="00761154" w:rsidP="00761154">
            <w:pPr>
              <w:jc w:val="center"/>
            </w:pPr>
            <w:r w:rsidRPr="00101551">
              <w:t>168,2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329B" w14:textId="77777777" w:rsidR="00761154" w:rsidRPr="00101551" w:rsidRDefault="00761154" w:rsidP="00761154">
            <w:pPr>
              <w:jc w:val="center"/>
            </w:pPr>
            <w:r w:rsidRPr="00101551">
              <w:t>0,4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1981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68B8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D2240" w14:textId="77777777" w:rsidR="00761154" w:rsidRPr="00101551" w:rsidRDefault="00761154" w:rsidP="00761154">
            <w:pPr>
              <w:jc w:val="center"/>
            </w:pPr>
            <w:r w:rsidRPr="00101551">
              <w:t>1,2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CF0F" w14:textId="77777777" w:rsidR="00761154" w:rsidRPr="00101551" w:rsidRDefault="00761154" w:rsidP="00761154">
            <w:pPr>
              <w:jc w:val="center"/>
            </w:pPr>
            <w:r w:rsidRPr="00101551">
              <w:t>3,4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5C2D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E924" w14:textId="77777777" w:rsidR="00761154" w:rsidRPr="00101551" w:rsidRDefault="00761154" w:rsidP="00761154">
            <w:pPr>
              <w:jc w:val="center"/>
            </w:pPr>
            <w:r w:rsidRPr="00101551">
              <w:t>176,0</w:t>
            </w:r>
          </w:p>
        </w:tc>
      </w:tr>
      <w:tr w:rsidR="00761154" w:rsidRPr="00C44558" w14:paraId="777B2B24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F408" w14:textId="77777777" w:rsidR="00761154" w:rsidRPr="00101551" w:rsidRDefault="00761154" w:rsidP="00761154">
            <w:r w:rsidRPr="00101551">
              <w:t>Домохозяйства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B756" w14:textId="77777777" w:rsidR="00761154" w:rsidRPr="00101551" w:rsidRDefault="00761154" w:rsidP="00761154">
            <w:pPr>
              <w:jc w:val="center"/>
            </w:pPr>
            <w:r w:rsidRPr="00101551">
              <w:t>50,4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55AE" w14:textId="77777777" w:rsidR="00761154" w:rsidRPr="00101551" w:rsidRDefault="00761154" w:rsidP="00761154">
            <w:pPr>
              <w:jc w:val="center"/>
            </w:pPr>
            <w:r w:rsidRPr="00101551">
              <w:t>44,5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BC38" w14:textId="77777777" w:rsidR="00761154" w:rsidRPr="00101551" w:rsidRDefault="00761154" w:rsidP="00761154">
            <w:pPr>
              <w:jc w:val="center"/>
            </w:pPr>
            <w:r w:rsidRPr="00101551">
              <w:t>19,0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792C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7C1A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D9AB" w14:textId="77777777" w:rsidR="00761154" w:rsidRPr="00101551" w:rsidRDefault="00761154" w:rsidP="00761154">
            <w:pPr>
              <w:jc w:val="center"/>
            </w:pPr>
            <w:r w:rsidRPr="00101551">
              <w:t>200,6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685D" w14:textId="77777777" w:rsidR="00761154" w:rsidRPr="00101551" w:rsidRDefault="00761154" w:rsidP="00761154">
            <w:pPr>
              <w:jc w:val="center"/>
            </w:pPr>
            <w:r w:rsidRPr="00101551">
              <w:t>45,0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7933" w14:textId="77777777" w:rsidR="00761154" w:rsidRPr="00101551" w:rsidRDefault="00761154" w:rsidP="00761154">
            <w:pPr>
              <w:jc w:val="center"/>
            </w:pPr>
            <w:r w:rsidRPr="00101551">
              <w:t>16,1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62F5" w14:textId="77777777" w:rsidR="00761154" w:rsidRPr="00101551" w:rsidRDefault="00761154" w:rsidP="00761154">
            <w:pPr>
              <w:jc w:val="center"/>
            </w:pPr>
            <w:r w:rsidRPr="00101551">
              <w:t>356,6</w:t>
            </w:r>
          </w:p>
        </w:tc>
      </w:tr>
      <w:tr w:rsidR="00761154" w:rsidRPr="00C44558" w14:paraId="4F8F0E79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F19F" w14:textId="77777777" w:rsidR="00761154" w:rsidRPr="00101551" w:rsidRDefault="00761154" w:rsidP="00761154">
            <w:r w:rsidRPr="00101551">
              <w:t>Сфера услуг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502D" w14:textId="77777777" w:rsidR="00761154" w:rsidRPr="00101551" w:rsidRDefault="00761154" w:rsidP="00761154">
            <w:pPr>
              <w:jc w:val="center"/>
            </w:pPr>
            <w:r w:rsidRPr="00101551">
              <w:t>10,3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25F" w14:textId="77777777" w:rsidR="00761154" w:rsidRPr="00101551" w:rsidRDefault="00761154" w:rsidP="00761154">
            <w:pPr>
              <w:jc w:val="center"/>
            </w:pPr>
            <w:r w:rsidRPr="00101551">
              <w:t>35,3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6273" w14:textId="77777777" w:rsidR="00761154" w:rsidRPr="00101551" w:rsidRDefault="00761154" w:rsidP="00761154">
            <w:pPr>
              <w:jc w:val="center"/>
            </w:pPr>
            <w:r w:rsidRPr="00101551">
              <w:t>12,0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AAC0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3A7B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3308" w14:textId="77777777" w:rsidR="00761154" w:rsidRPr="00101551" w:rsidRDefault="00761154" w:rsidP="00761154">
            <w:pPr>
              <w:jc w:val="center"/>
            </w:pPr>
            <w:r w:rsidRPr="00101551">
              <w:t>0,5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BC81" w14:textId="77777777" w:rsidR="00761154" w:rsidRPr="00101551" w:rsidRDefault="00761154" w:rsidP="00761154">
            <w:pPr>
              <w:jc w:val="center"/>
            </w:pPr>
            <w:r w:rsidRPr="00101551">
              <w:t>18,9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91C7" w14:textId="77777777" w:rsidR="00761154" w:rsidRPr="00101551" w:rsidRDefault="00761154" w:rsidP="00761154">
            <w:pPr>
              <w:jc w:val="center"/>
            </w:pPr>
            <w:r w:rsidRPr="00101551">
              <w:t>1,3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754E" w14:textId="77777777" w:rsidR="00761154" w:rsidRPr="00101551" w:rsidRDefault="00761154" w:rsidP="00761154">
            <w:pPr>
              <w:jc w:val="center"/>
            </w:pPr>
            <w:r w:rsidRPr="00101551">
              <w:t>66,4</w:t>
            </w:r>
          </w:p>
        </w:tc>
      </w:tr>
      <w:tr w:rsidR="00761154" w:rsidRPr="00C44558" w14:paraId="6D0D1808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0954" w14:textId="77777777" w:rsidR="00761154" w:rsidRPr="00101551" w:rsidRDefault="00761154" w:rsidP="00761154">
            <w:r w:rsidRPr="00101551">
              <w:t>Сельское хозяйство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BF66" w14:textId="77777777" w:rsidR="00761154" w:rsidRPr="00101551" w:rsidRDefault="00761154" w:rsidP="00761154">
            <w:pPr>
              <w:jc w:val="center"/>
            </w:pPr>
            <w:r w:rsidRPr="00101551">
              <w:t>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6468" w14:textId="77777777" w:rsidR="00761154" w:rsidRPr="00101551" w:rsidRDefault="00761154" w:rsidP="00761154">
            <w:pPr>
              <w:jc w:val="center"/>
            </w:pPr>
            <w:r w:rsidRPr="00101551">
              <w:t>14,2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8DAB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D98D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B695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7375" w14:textId="77777777" w:rsidR="00761154" w:rsidRPr="00101551" w:rsidRDefault="00761154" w:rsidP="00761154">
            <w:pPr>
              <w:jc w:val="center"/>
            </w:pPr>
            <w:r w:rsidRPr="00101551">
              <w:t>0,2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16C4" w14:textId="77777777" w:rsidR="00761154" w:rsidRPr="00101551" w:rsidRDefault="00761154" w:rsidP="00761154">
            <w:pPr>
              <w:jc w:val="center"/>
            </w:pPr>
            <w:r w:rsidRPr="00101551">
              <w:t>8,4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06B8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6615" w14:textId="77777777" w:rsidR="00761154" w:rsidRPr="00101551" w:rsidRDefault="00761154" w:rsidP="00761154">
            <w:pPr>
              <w:jc w:val="center"/>
            </w:pPr>
            <w:r w:rsidRPr="00101551">
              <w:t>31,8</w:t>
            </w:r>
          </w:p>
        </w:tc>
      </w:tr>
      <w:tr w:rsidR="00761154" w:rsidRPr="00C44558" w14:paraId="677BDB46" w14:textId="77777777" w:rsidTr="00761154">
        <w:trPr>
          <w:trHeight w:val="25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D408" w14:textId="77777777" w:rsidR="00761154" w:rsidRPr="00101551" w:rsidRDefault="00761154" w:rsidP="00761154">
            <w:proofErr w:type="spellStart"/>
            <w:r w:rsidRPr="00101551">
              <w:t>Неэнерг</w:t>
            </w:r>
            <w:proofErr w:type="spellEnd"/>
            <w:r w:rsidRPr="00101551">
              <w:t>. использование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0AC0" w14:textId="77777777" w:rsidR="00761154" w:rsidRPr="00101551" w:rsidRDefault="00761154" w:rsidP="00761154">
            <w:pPr>
              <w:jc w:val="center"/>
            </w:pPr>
            <w:r w:rsidRPr="00101551">
              <w:t>31,4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4B68" w14:textId="77777777" w:rsidR="00761154" w:rsidRPr="00101551" w:rsidRDefault="00761154" w:rsidP="00761154">
            <w:pPr>
              <w:jc w:val="center"/>
            </w:pPr>
            <w:r w:rsidRPr="00101551">
              <w:t>101,4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49E96" w14:textId="77777777" w:rsidR="00761154" w:rsidRPr="00101551" w:rsidRDefault="00761154" w:rsidP="00761154">
            <w:pPr>
              <w:jc w:val="center"/>
            </w:pPr>
            <w:r w:rsidRPr="00101551">
              <w:t>9,3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B71B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861C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D163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AE6A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DE1F" w14:textId="77777777" w:rsidR="00761154" w:rsidRPr="00101551" w:rsidRDefault="00761154" w:rsidP="00761154">
            <w:pPr>
              <w:jc w:val="center"/>
            </w:pPr>
            <w:r w:rsidRPr="00101551"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F4EB" w14:textId="77777777" w:rsidR="00761154" w:rsidRPr="00101551" w:rsidRDefault="00761154" w:rsidP="00761154">
            <w:pPr>
              <w:jc w:val="center"/>
            </w:pPr>
            <w:r w:rsidRPr="00101551">
              <w:t>133,9</w:t>
            </w:r>
          </w:p>
        </w:tc>
      </w:tr>
    </w:tbl>
    <w:p w14:paraId="1597E8AB" w14:textId="77777777" w:rsidR="00761154" w:rsidRPr="00761154" w:rsidRDefault="00761154" w:rsidP="00761154">
      <w:pPr>
        <w:rPr>
          <w:i/>
          <w:sz w:val="28"/>
          <w:szCs w:val="28"/>
        </w:rPr>
      </w:pPr>
      <w:r w:rsidRPr="00761154">
        <w:rPr>
          <w:i/>
          <w:sz w:val="28"/>
          <w:szCs w:val="28"/>
        </w:rPr>
        <w:t>Источник: Международное Энергетическое Агентство</w:t>
      </w:r>
    </w:p>
    <w:p w14:paraId="7FC5B299" w14:textId="77777777" w:rsidR="00761154" w:rsidRPr="00761154" w:rsidRDefault="00761154" w:rsidP="00761154"/>
    <w:p w14:paraId="5E61868D" w14:textId="77777777" w:rsidR="00CB7F18" w:rsidRPr="00CB7F18" w:rsidRDefault="000050DD" w:rsidP="00CB7F18">
      <w:pPr>
        <w:spacing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  <w:r w:rsidR="00CB7F18" w:rsidRPr="00CB7F18">
        <w:rPr>
          <w:b/>
          <w:sz w:val="28"/>
          <w:szCs w:val="28"/>
        </w:rPr>
        <w:t>. ВРП на душу населения, доля в общем объеме экспорта, доля в общем объеме импорта регионов Китая в 2011 г.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843"/>
      </w:tblGrid>
      <w:tr w:rsidR="00CB7F18" w:rsidRPr="000050DD" w14:paraId="178BD120" w14:textId="77777777" w:rsidTr="000050DD">
        <w:trPr>
          <w:trHeight w:hRule="exact" w:val="830"/>
          <w:tblHeader/>
          <w:jc w:val="center"/>
        </w:trPr>
        <w:tc>
          <w:tcPr>
            <w:tcW w:w="3686" w:type="dxa"/>
            <w:shd w:val="clear" w:color="auto" w:fill="auto"/>
          </w:tcPr>
          <w:p w14:paraId="5E73A982" w14:textId="77777777" w:rsidR="00CB7F18" w:rsidRPr="000050DD" w:rsidRDefault="00CB7F18" w:rsidP="000050DD"/>
        </w:tc>
        <w:tc>
          <w:tcPr>
            <w:tcW w:w="1984" w:type="dxa"/>
            <w:shd w:val="clear" w:color="auto" w:fill="auto"/>
          </w:tcPr>
          <w:p w14:paraId="163ADBB6" w14:textId="77777777" w:rsidR="00CB7F18" w:rsidRPr="000050DD" w:rsidRDefault="00CB7F18" w:rsidP="000050DD">
            <w:pPr>
              <w:jc w:val="center"/>
            </w:pPr>
            <w:r w:rsidRPr="000050DD">
              <w:t>ВРП на душу населения (тысяч юаней)</w:t>
            </w:r>
          </w:p>
        </w:tc>
        <w:tc>
          <w:tcPr>
            <w:tcW w:w="1843" w:type="dxa"/>
            <w:shd w:val="clear" w:color="auto" w:fill="auto"/>
          </w:tcPr>
          <w:p w14:paraId="6B0B95C7" w14:textId="77777777" w:rsidR="00CB7F18" w:rsidRPr="000050DD" w:rsidRDefault="00CB7F18" w:rsidP="000050DD">
            <w:pPr>
              <w:jc w:val="center"/>
            </w:pPr>
            <w:r w:rsidRPr="000050DD">
              <w:t>Доля в общем объеме экспорта (%)</w:t>
            </w:r>
          </w:p>
        </w:tc>
        <w:tc>
          <w:tcPr>
            <w:tcW w:w="1843" w:type="dxa"/>
            <w:shd w:val="clear" w:color="auto" w:fill="auto"/>
          </w:tcPr>
          <w:p w14:paraId="367DEA21" w14:textId="77777777" w:rsidR="00CB7F18" w:rsidRPr="000050DD" w:rsidRDefault="00CB7F18" w:rsidP="000050DD">
            <w:pPr>
              <w:jc w:val="center"/>
            </w:pPr>
            <w:r w:rsidRPr="000050DD">
              <w:t>Доля в общем объеме импорта (%)</w:t>
            </w:r>
          </w:p>
        </w:tc>
      </w:tr>
      <w:tr w:rsidR="00CB7F18" w:rsidRPr="000050DD" w14:paraId="009CB228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69E289FF" w14:textId="77777777" w:rsidR="00CB7F18" w:rsidRPr="000050DD" w:rsidRDefault="00CB7F18" w:rsidP="000050DD">
            <w:r w:rsidRPr="000050DD">
              <w:t>Пекин</w:t>
            </w:r>
          </w:p>
        </w:tc>
        <w:tc>
          <w:tcPr>
            <w:tcW w:w="1984" w:type="dxa"/>
          </w:tcPr>
          <w:p w14:paraId="32D4DF84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70</w:t>
            </w:r>
          </w:p>
        </w:tc>
        <w:tc>
          <w:tcPr>
            <w:tcW w:w="1843" w:type="dxa"/>
          </w:tcPr>
          <w:p w14:paraId="2B8FA9AA" w14:textId="77777777" w:rsidR="00CB7F18" w:rsidRPr="000050DD" w:rsidRDefault="00CB7F18" w:rsidP="000050DD">
            <w:pPr>
              <w:keepNext/>
              <w:keepLines/>
              <w:jc w:val="right"/>
              <w:outlineLvl w:val="7"/>
              <w:rPr>
                <w:lang w:val="en-US"/>
              </w:rPr>
            </w:pPr>
            <w:r w:rsidRPr="000050DD">
              <w:t>3</w:t>
            </w:r>
            <w:r w:rsidRPr="000050DD">
              <w:rPr>
                <w:lang w:val="en-US"/>
              </w:rPr>
              <w:t>,1</w:t>
            </w:r>
          </w:p>
        </w:tc>
        <w:tc>
          <w:tcPr>
            <w:tcW w:w="1843" w:type="dxa"/>
          </w:tcPr>
          <w:p w14:paraId="416CA903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19,0</w:t>
            </w:r>
          </w:p>
        </w:tc>
      </w:tr>
      <w:tr w:rsidR="00CB7F18" w:rsidRPr="000050DD" w14:paraId="5746BD47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166B68BF" w14:textId="77777777" w:rsidR="00CB7F18" w:rsidRPr="000050DD" w:rsidRDefault="00CB7F18" w:rsidP="000050DD">
            <w:proofErr w:type="spellStart"/>
            <w:r w:rsidRPr="000050DD">
              <w:t>Тяньцзинь</w:t>
            </w:r>
            <w:proofErr w:type="spellEnd"/>
          </w:p>
        </w:tc>
        <w:tc>
          <w:tcPr>
            <w:tcW w:w="1984" w:type="dxa"/>
          </w:tcPr>
          <w:p w14:paraId="319E346A" w14:textId="77777777" w:rsidR="00CB7F18" w:rsidRPr="000050DD" w:rsidRDefault="00CB7F18" w:rsidP="000050DD">
            <w:pPr>
              <w:jc w:val="right"/>
            </w:pPr>
            <w:r w:rsidRPr="000050DD">
              <w:t>68</w:t>
            </w:r>
          </w:p>
        </w:tc>
        <w:tc>
          <w:tcPr>
            <w:tcW w:w="1843" w:type="dxa"/>
          </w:tcPr>
          <w:p w14:paraId="1D4DA15C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2,3</w:t>
            </w:r>
          </w:p>
        </w:tc>
        <w:tc>
          <w:tcPr>
            <w:tcW w:w="1843" w:type="dxa"/>
          </w:tcPr>
          <w:p w14:paraId="46341642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3,4</w:t>
            </w:r>
          </w:p>
        </w:tc>
      </w:tr>
      <w:tr w:rsidR="00CB7F18" w:rsidRPr="000050DD" w14:paraId="5BEDD5DA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4FD8201D" w14:textId="77777777" w:rsidR="00CB7F18" w:rsidRPr="000050DD" w:rsidRDefault="00CB7F18" w:rsidP="000050DD">
            <w:r w:rsidRPr="000050DD">
              <w:t>Шанхай</w:t>
            </w:r>
          </w:p>
        </w:tc>
        <w:tc>
          <w:tcPr>
            <w:tcW w:w="1984" w:type="dxa"/>
          </w:tcPr>
          <w:p w14:paraId="3154D1C7" w14:textId="77777777" w:rsidR="00CB7F18" w:rsidRPr="000050DD" w:rsidRDefault="00CB7F18" w:rsidP="000050DD">
            <w:pPr>
              <w:jc w:val="right"/>
            </w:pPr>
            <w:r w:rsidRPr="000050DD">
              <w:t>73</w:t>
            </w:r>
          </w:p>
        </w:tc>
        <w:tc>
          <w:tcPr>
            <w:tcW w:w="1843" w:type="dxa"/>
          </w:tcPr>
          <w:p w14:paraId="1E007F95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11,0</w:t>
            </w:r>
          </w:p>
        </w:tc>
        <w:tc>
          <w:tcPr>
            <w:tcW w:w="1843" w:type="dxa"/>
          </w:tcPr>
          <w:p w14:paraId="142B4B20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13,1</w:t>
            </w:r>
          </w:p>
        </w:tc>
      </w:tr>
      <w:tr w:rsidR="00CB7F18" w:rsidRPr="000050DD" w14:paraId="065FC44B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4E31F41F" w14:textId="77777777" w:rsidR="00CB7F18" w:rsidRPr="000050DD" w:rsidRDefault="00CB7F18" w:rsidP="000050DD">
            <w:proofErr w:type="spellStart"/>
            <w:r w:rsidRPr="000050DD">
              <w:t>Чжэцзян</w:t>
            </w:r>
            <w:proofErr w:type="spellEnd"/>
          </w:p>
        </w:tc>
        <w:tc>
          <w:tcPr>
            <w:tcW w:w="1984" w:type="dxa"/>
          </w:tcPr>
          <w:p w14:paraId="6D6F20A0" w14:textId="77777777" w:rsidR="00CB7F18" w:rsidRPr="000050DD" w:rsidRDefault="00CB7F18" w:rsidP="000050DD">
            <w:pPr>
              <w:jc w:val="right"/>
            </w:pPr>
            <w:r w:rsidRPr="000050DD">
              <w:t>51</w:t>
            </w:r>
          </w:p>
        </w:tc>
        <w:tc>
          <w:tcPr>
            <w:tcW w:w="1843" w:type="dxa"/>
          </w:tcPr>
          <w:p w14:paraId="5B439262" w14:textId="77777777" w:rsidR="00CB7F18" w:rsidRPr="000050DD" w:rsidRDefault="00CB7F18" w:rsidP="000050DD">
            <w:pPr>
              <w:jc w:val="right"/>
            </w:pPr>
            <w:r w:rsidRPr="000050DD">
              <w:t>11,4</w:t>
            </w:r>
          </w:p>
        </w:tc>
        <w:tc>
          <w:tcPr>
            <w:tcW w:w="1843" w:type="dxa"/>
          </w:tcPr>
          <w:p w14:paraId="4A53A7F8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5,3</w:t>
            </w:r>
          </w:p>
        </w:tc>
      </w:tr>
      <w:tr w:rsidR="00CB7F18" w:rsidRPr="000050DD" w14:paraId="37B5C879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22FA13A4" w14:textId="77777777" w:rsidR="00CB7F18" w:rsidRPr="000050DD" w:rsidRDefault="00CB7F18" w:rsidP="000050DD">
            <w:proofErr w:type="spellStart"/>
            <w:r w:rsidRPr="000050DD">
              <w:t>Гуандун</w:t>
            </w:r>
            <w:proofErr w:type="spellEnd"/>
          </w:p>
        </w:tc>
        <w:tc>
          <w:tcPr>
            <w:tcW w:w="1984" w:type="dxa"/>
          </w:tcPr>
          <w:p w14:paraId="6ED03C5D" w14:textId="77777777" w:rsidR="00CB7F18" w:rsidRPr="000050DD" w:rsidRDefault="00CB7F18" w:rsidP="000050DD">
            <w:pPr>
              <w:jc w:val="right"/>
            </w:pPr>
            <w:r w:rsidRPr="000050DD">
              <w:t>44</w:t>
            </w:r>
          </w:p>
        </w:tc>
        <w:tc>
          <w:tcPr>
            <w:tcW w:w="1843" w:type="dxa"/>
          </w:tcPr>
          <w:p w14:paraId="45A8A80E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28,0</w:t>
            </w:r>
          </w:p>
        </w:tc>
        <w:tc>
          <w:tcPr>
            <w:tcW w:w="1843" w:type="dxa"/>
          </w:tcPr>
          <w:p w14:paraId="72440D0E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21,9</w:t>
            </w:r>
          </w:p>
        </w:tc>
      </w:tr>
      <w:tr w:rsidR="00CB7F18" w:rsidRPr="000050DD" w14:paraId="2315BEC5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53D8A37F" w14:textId="77777777" w:rsidR="00CB7F18" w:rsidRPr="000050DD" w:rsidRDefault="00CB7F18" w:rsidP="000050DD">
            <w:proofErr w:type="spellStart"/>
            <w:r w:rsidRPr="000050DD">
              <w:t>Цзянсу</w:t>
            </w:r>
            <w:proofErr w:type="spellEnd"/>
          </w:p>
        </w:tc>
        <w:tc>
          <w:tcPr>
            <w:tcW w:w="1984" w:type="dxa"/>
          </w:tcPr>
          <w:p w14:paraId="39051B4D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53</w:t>
            </w:r>
          </w:p>
        </w:tc>
        <w:tc>
          <w:tcPr>
            <w:tcW w:w="1843" w:type="dxa"/>
          </w:tcPr>
          <w:p w14:paraId="13F51C7C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16,5</w:t>
            </w:r>
          </w:p>
        </w:tc>
        <w:tc>
          <w:tcPr>
            <w:tcW w:w="1843" w:type="dxa"/>
          </w:tcPr>
          <w:p w14:paraId="3D528DC6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13,0</w:t>
            </w:r>
          </w:p>
        </w:tc>
      </w:tr>
      <w:tr w:rsidR="00CB7F18" w:rsidRPr="000050DD" w14:paraId="7F7C3D74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14445D3E" w14:textId="77777777" w:rsidR="00CB7F18" w:rsidRPr="000050DD" w:rsidRDefault="00CB7F18" w:rsidP="000050DD">
            <w:proofErr w:type="spellStart"/>
            <w:r w:rsidRPr="000050DD">
              <w:t>Ляонин</w:t>
            </w:r>
            <w:proofErr w:type="spellEnd"/>
          </w:p>
        </w:tc>
        <w:tc>
          <w:tcPr>
            <w:tcW w:w="1984" w:type="dxa"/>
          </w:tcPr>
          <w:p w14:paraId="1DB9C68D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42</w:t>
            </w:r>
          </w:p>
        </w:tc>
        <w:tc>
          <w:tcPr>
            <w:tcW w:w="1843" w:type="dxa"/>
          </w:tcPr>
          <w:p w14:paraId="7B02DD72" w14:textId="77777777" w:rsidR="00CB7F18" w:rsidRPr="000050DD" w:rsidRDefault="00CB7F18" w:rsidP="000050DD">
            <w:pPr>
              <w:jc w:val="right"/>
            </w:pPr>
            <w:r w:rsidRPr="000050DD">
              <w:t>2,7</w:t>
            </w:r>
          </w:p>
        </w:tc>
        <w:tc>
          <w:tcPr>
            <w:tcW w:w="1843" w:type="dxa"/>
          </w:tcPr>
          <w:p w14:paraId="37F65088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2,6</w:t>
            </w:r>
          </w:p>
        </w:tc>
      </w:tr>
      <w:tr w:rsidR="00CB7F18" w:rsidRPr="000050DD" w14:paraId="4B9A6BF3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5C4E995A" w14:textId="77777777" w:rsidR="00CB7F18" w:rsidRPr="000050DD" w:rsidRDefault="00CB7F18" w:rsidP="000050DD">
            <w:proofErr w:type="spellStart"/>
            <w:r w:rsidRPr="000050DD">
              <w:lastRenderedPageBreak/>
              <w:t>Фуцзянь</w:t>
            </w:r>
            <w:proofErr w:type="spellEnd"/>
          </w:p>
        </w:tc>
        <w:tc>
          <w:tcPr>
            <w:tcW w:w="1984" w:type="dxa"/>
          </w:tcPr>
          <w:p w14:paraId="4E5E089B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40</w:t>
            </w:r>
          </w:p>
        </w:tc>
        <w:tc>
          <w:tcPr>
            <w:tcW w:w="1843" w:type="dxa"/>
          </w:tcPr>
          <w:p w14:paraId="087D0644" w14:textId="77777777" w:rsidR="00CB7F18" w:rsidRPr="000050DD" w:rsidRDefault="00CB7F18" w:rsidP="000050DD">
            <w:pPr>
              <w:jc w:val="right"/>
            </w:pPr>
            <w:r w:rsidRPr="000050DD">
              <w:t>4,9</w:t>
            </w:r>
          </w:p>
        </w:tc>
        <w:tc>
          <w:tcPr>
            <w:tcW w:w="1843" w:type="dxa"/>
          </w:tcPr>
          <w:p w14:paraId="3F661E05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2,9</w:t>
            </w:r>
          </w:p>
        </w:tc>
      </w:tr>
      <w:tr w:rsidR="00CB7F18" w:rsidRPr="000050DD" w14:paraId="38D47ACB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7E2C23B6" w14:textId="77777777" w:rsidR="00CB7F18" w:rsidRPr="000050DD" w:rsidRDefault="00CB7F18" w:rsidP="000050DD">
            <w:proofErr w:type="spellStart"/>
            <w:r w:rsidRPr="000050DD">
              <w:t>Шаньдун</w:t>
            </w:r>
            <w:proofErr w:type="spellEnd"/>
          </w:p>
        </w:tc>
        <w:tc>
          <w:tcPr>
            <w:tcW w:w="1984" w:type="dxa"/>
          </w:tcPr>
          <w:p w14:paraId="7E630688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41</w:t>
            </w:r>
          </w:p>
        </w:tc>
        <w:tc>
          <w:tcPr>
            <w:tcW w:w="1843" w:type="dxa"/>
          </w:tcPr>
          <w:p w14:paraId="37FE94B4" w14:textId="77777777" w:rsidR="00CB7F18" w:rsidRPr="000050DD" w:rsidRDefault="00CB7F18" w:rsidP="000050DD">
            <w:pPr>
              <w:jc w:val="right"/>
            </w:pPr>
            <w:r w:rsidRPr="000050DD">
              <w:t>6,6</w:t>
            </w:r>
          </w:p>
        </w:tc>
        <w:tc>
          <w:tcPr>
            <w:tcW w:w="1843" w:type="dxa"/>
          </w:tcPr>
          <w:p w14:paraId="3C9B9CA0" w14:textId="77777777" w:rsidR="00CB7F18" w:rsidRPr="000050DD" w:rsidRDefault="00CB7F18" w:rsidP="000050DD">
            <w:pPr>
              <w:jc w:val="right"/>
            </w:pPr>
            <w:r w:rsidRPr="000050DD">
              <w:t>6,3</w:t>
            </w:r>
          </w:p>
        </w:tc>
      </w:tr>
      <w:tr w:rsidR="00CB7F18" w:rsidRPr="000050DD" w14:paraId="3561C821" w14:textId="77777777" w:rsidTr="00423B2A">
        <w:trPr>
          <w:trHeight w:hRule="exact" w:val="567"/>
          <w:jc w:val="center"/>
        </w:trPr>
        <w:tc>
          <w:tcPr>
            <w:tcW w:w="3686" w:type="dxa"/>
          </w:tcPr>
          <w:p w14:paraId="4A77A153" w14:textId="77777777" w:rsidR="00CB7F18" w:rsidRPr="000050DD" w:rsidRDefault="00CB7F18" w:rsidP="000050DD">
            <w:r w:rsidRPr="000050DD">
              <w:t>Автономный район Внутренняя Монголия</w:t>
            </w:r>
          </w:p>
        </w:tc>
        <w:tc>
          <w:tcPr>
            <w:tcW w:w="1984" w:type="dxa"/>
          </w:tcPr>
          <w:p w14:paraId="6A74D659" w14:textId="77777777" w:rsidR="00CB7F18" w:rsidRPr="000050DD" w:rsidRDefault="00CB7F18" w:rsidP="000050DD">
            <w:pPr>
              <w:jc w:val="right"/>
            </w:pPr>
            <w:r w:rsidRPr="000050DD">
              <w:t>47</w:t>
            </w:r>
          </w:p>
        </w:tc>
        <w:tc>
          <w:tcPr>
            <w:tcW w:w="1843" w:type="dxa"/>
          </w:tcPr>
          <w:p w14:paraId="1F501570" w14:textId="77777777" w:rsidR="00CB7F18" w:rsidRPr="000050DD" w:rsidRDefault="00CB7F18" w:rsidP="000050DD">
            <w:pPr>
              <w:jc w:val="right"/>
            </w:pPr>
            <w:r w:rsidRPr="000050DD">
              <w:t>0,2</w:t>
            </w:r>
          </w:p>
        </w:tc>
        <w:tc>
          <w:tcPr>
            <w:tcW w:w="1843" w:type="dxa"/>
          </w:tcPr>
          <w:p w14:paraId="5E531BE3" w14:textId="77777777" w:rsidR="00CB7F18" w:rsidRPr="000050DD" w:rsidRDefault="00CB7F18" w:rsidP="000050DD">
            <w:pPr>
              <w:jc w:val="right"/>
            </w:pPr>
            <w:r w:rsidRPr="000050DD">
              <w:t>0,4</w:t>
            </w:r>
          </w:p>
        </w:tc>
      </w:tr>
      <w:tr w:rsidR="00CB7F18" w:rsidRPr="000050DD" w14:paraId="5F86B704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03476CB7" w14:textId="77777777" w:rsidR="00CB7F18" w:rsidRPr="000050DD" w:rsidRDefault="00CB7F18" w:rsidP="000050DD">
            <w:proofErr w:type="spellStart"/>
            <w:r w:rsidRPr="000050DD">
              <w:t>Цзилинь</w:t>
            </w:r>
            <w:proofErr w:type="spellEnd"/>
          </w:p>
        </w:tc>
        <w:tc>
          <w:tcPr>
            <w:tcW w:w="1984" w:type="dxa"/>
          </w:tcPr>
          <w:p w14:paraId="662249F9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32</w:t>
            </w:r>
          </w:p>
        </w:tc>
        <w:tc>
          <w:tcPr>
            <w:tcW w:w="1843" w:type="dxa"/>
          </w:tcPr>
          <w:p w14:paraId="4C7CB6B7" w14:textId="77777777" w:rsidR="00CB7F18" w:rsidRPr="000050DD" w:rsidRDefault="00CB7F18" w:rsidP="000050DD">
            <w:pPr>
              <w:jc w:val="right"/>
            </w:pPr>
            <w:r w:rsidRPr="000050DD">
              <w:t>0,3</w:t>
            </w:r>
          </w:p>
        </w:tc>
        <w:tc>
          <w:tcPr>
            <w:tcW w:w="1843" w:type="dxa"/>
          </w:tcPr>
          <w:p w14:paraId="677A727B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1,0</w:t>
            </w:r>
          </w:p>
        </w:tc>
      </w:tr>
      <w:tr w:rsidR="00CB7F18" w:rsidRPr="000050DD" w14:paraId="0D355173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4E280897" w14:textId="77777777" w:rsidR="00CB7F18" w:rsidRPr="000050DD" w:rsidRDefault="00CB7F18" w:rsidP="000050DD">
            <w:proofErr w:type="spellStart"/>
            <w:r w:rsidRPr="000050DD">
              <w:t>Хэбэй</w:t>
            </w:r>
            <w:proofErr w:type="spellEnd"/>
          </w:p>
        </w:tc>
        <w:tc>
          <w:tcPr>
            <w:tcW w:w="1984" w:type="dxa"/>
          </w:tcPr>
          <w:p w14:paraId="70DE7786" w14:textId="77777777" w:rsidR="00CB7F18" w:rsidRPr="000050DD" w:rsidRDefault="00CB7F18" w:rsidP="000050DD">
            <w:pPr>
              <w:jc w:val="right"/>
            </w:pPr>
            <w:r w:rsidRPr="000050DD">
              <w:t>28</w:t>
            </w:r>
          </w:p>
        </w:tc>
        <w:tc>
          <w:tcPr>
            <w:tcW w:w="1843" w:type="dxa"/>
          </w:tcPr>
          <w:p w14:paraId="219C3463" w14:textId="77777777" w:rsidR="00CB7F18" w:rsidRPr="000050DD" w:rsidRDefault="00CB7F18" w:rsidP="000050DD">
            <w:pPr>
              <w:jc w:val="right"/>
            </w:pPr>
            <w:r w:rsidRPr="000050DD">
              <w:t>1,6</w:t>
            </w:r>
          </w:p>
        </w:tc>
        <w:tc>
          <w:tcPr>
            <w:tcW w:w="1843" w:type="dxa"/>
          </w:tcPr>
          <w:p w14:paraId="0092723D" w14:textId="77777777" w:rsidR="00CB7F18" w:rsidRPr="000050DD" w:rsidRDefault="00CB7F18" w:rsidP="000050DD">
            <w:pPr>
              <w:jc w:val="right"/>
            </w:pPr>
            <w:r w:rsidRPr="000050DD">
              <w:t>2,1</w:t>
            </w:r>
          </w:p>
        </w:tc>
      </w:tr>
      <w:tr w:rsidR="00CB7F18" w:rsidRPr="000050DD" w14:paraId="630F7458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51826099" w14:textId="77777777" w:rsidR="00CB7F18" w:rsidRPr="000050DD" w:rsidRDefault="00CB7F18" w:rsidP="000050DD">
            <w:proofErr w:type="spellStart"/>
            <w:r w:rsidRPr="000050DD">
              <w:t>Чунцин</w:t>
            </w:r>
            <w:proofErr w:type="spellEnd"/>
          </w:p>
        </w:tc>
        <w:tc>
          <w:tcPr>
            <w:tcW w:w="1984" w:type="dxa"/>
          </w:tcPr>
          <w:p w14:paraId="11C0BF4A" w14:textId="77777777" w:rsidR="00CB7F18" w:rsidRPr="000050DD" w:rsidRDefault="00CB7F18" w:rsidP="000050DD">
            <w:pPr>
              <w:jc w:val="right"/>
            </w:pPr>
            <w:r w:rsidRPr="000050DD">
              <w:t>27</w:t>
            </w:r>
          </w:p>
        </w:tc>
        <w:tc>
          <w:tcPr>
            <w:tcW w:w="1843" w:type="dxa"/>
          </w:tcPr>
          <w:p w14:paraId="2A7732AE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1,0</w:t>
            </w:r>
          </w:p>
        </w:tc>
        <w:tc>
          <w:tcPr>
            <w:tcW w:w="1843" w:type="dxa"/>
          </w:tcPr>
          <w:p w14:paraId="39E00AEA" w14:textId="77777777" w:rsidR="00CB7F18" w:rsidRPr="000050DD" w:rsidRDefault="00CB7F18" w:rsidP="000050DD">
            <w:pPr>
              <w:jc w:val="right"/>
            </w:pPr>
            <w:r w:rsidRPr="000050DD">
              <w:t>0,5</w:t>
            </w:r>
          </w:p>
        </w:tc>
      </w:tr>
      <w:tr w:rsidR="00CB7F18" w:rsidRPr="000050DD" w14:paraId="580F3F7E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62EF3CCB" w14:textId="77777777" w:rsidR="00CB7F18" w:rsidRPr="000050DD" w:rsidRDefault="00CB7F18" w:rsidP="000050DD">
            <w:proofErr w:type="spellStart"/>
            <w:r w:rsidRPr="000050DD">
              <w:t>Хубэй</w:t>
            </w:r>
            <w:proofErr w:type="spellEnd"/>
          </w:p>
        </w:tc>
        <w:tc>
          <w:tcPr>
            <w:tcW w:w="1984" w:type="dxa"/>
          </w:tcPr>
          <w:p w14:paraId="0EFC1602" w14:textId="77777777" w:rsidR="00CB7F18" w:rsidRPr="000050DD" w:rsidRDefault="00CB7F18" w:rsidP="000050DD">
            <w:pPr>
              <w:jc w:val="right"/>
            </w:pPr>
            <w:r w:rsidRPr="000050DD">
              <w:t>28</w:t>
            </w:r>
          </w:p>
        </w:tc>
        <w:tc>
          <w:tcPr>
            <w:tcW w:w="1843" w:type="dxa"/>
          </w:tcPr>
          <w:p w14:paraId="77E51188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1,0</w:t>
            </w:r>
          </w:p>
        </w:tc>
        <w:tc>
          <w:tcPr>
            <w:tcW w:w="1843" w:type="dxa"/>
          </w:tcPr>
          <w:p w14:paraId="29DE8133" w14:textId="77777777" w:rsidR="00CB7F18" w:rsidRPr="000050DD" w:rsidRDefault="00CB7F18" w:rsidP="000050DD">
            <w:pPr>
              <w:jc w:val="right"/>
            </w:pPr>
            <w:r w:rsidRPr="000050DD">
              <w:t>0,8</w:t>
            </w:r>
          </w:p>
        </w:tc>
      </w:tr>
      <w:tr w:rsidR="00CB7F18" w:rsidRPr="000050DD" w14:paraId="6DF759E8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5C03A6EE" w14:textId="77777777" w:rsidR="00CB7F18" w:rsidRPr="000050DD" w:rsidRDefault="00CB7F18" w:rsidP="000050DD">
            <w:proofErr w:type="spellStart"/>
            <w:r w:rsidRPr="000050DD">
              <w:t>Шэньси</w:t>
            </w:r>
            <w:proofErr w:type="spellEnd"/>
          </w:p>
        </w:tc>
        <w:tc>
          <w:tcPr>
            <w:tcW w:w="1984" w:type="dxa"/>
          </w:tcPr>
          <w:p w14:paraId="1327D05B" w14:textId="77777777" w:rsidR="00CB7F18" w:rsidRPr="000050DD" w:rsidRDefault="00CB7F18" w:rsidP="000050DD">
            <w:pPr>
              <w:jc w:val="right"/>
            </w:pPr>
            <w:r w:rsidRPr="000050DD">
              <w:t>27</w:t>
            </w:r>
          </w:p>
        </w:tc>
        <w:tc>
          <w:tcPr>
            <w:tcW w:w="1843" w:type="dxa"/>
          </w:tcPr>
          <w:p w14:paraId="7970E901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0,4</w:t>
            </w:r>
          </w:p>
        </w:tc>
        <w:tc>
          <w:tcPr>
            <w:tcW w:w="1843" w:type="dxa"/>
          </w:tcPr>
          <w:p w14:paraId="7BA7C32C" w14:textId="77777777" w:rsidR="00CB7F18" w:rsidRPr="000050DD" w:rsidRDefault="00CB7F18" w:rsidP="000050DD">
            <w:pPr>
              <w:jc w:val="right"/>
            </w:pPr>
            <w:r w:rsidRPr="000050DD">
              <w:t>0,4</w:t>
            </w:r>
          </w:p>
        </w:tc>
      </w:tr>
      <w:tr w:rsidR="00CB7F18" w:rsidRPr="000050DD" w14:paraId="5C3012A9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4540FAEA" w14:textId="77777777" w:rsidR="00CB7F18" w:rsidRPr="000050DD" w:rsidRDefault="00CB7F18" w:rsidP="000050DD">
            <w:proofErr w:type="spellStart"/>
            <w:r w:rsidRPr="000050DD">
              <w:t>Хэйлунцзян</w:t>
            </w:r>
            <w:proofErr w:type="spellEnd"/>
          </w:p>
        </w:tc>
        <w:tc>
          <w:tcPr>
            <w:tcW w:w="1984" w:type="dxa"/>
          </w:tcPr>
          <w:p w14:paraId="68E6B08E" w14:textId="77777777" w:rsidR="00CB7F18" w:rsidRPr="000050DD" w:rsidRDefault="00CB7F18" w:rsidP="000050DD">
            <w:pPr>
              <w:jc w:val="right"/>
            </w:pPr>
            <w:r w:rsidRPr="000050DD">
              <w:t>27</w:t>
            </w:r>
          </w:p>
        </w:tc>
        <w:tc>
          <w:tcPr>
            <w:tcW w:w="1843" w:type="dxa"/>
          </w:tcPr>
          <w:p w14:paraId="751037B6" w14:textId="77777777" w:rsidR="00CB7F18" w:rsidRPr="000050DD" w:rsidRDefault="00CB7F18" w:rsidP="000050DD">
            <w:pPr>
              <w:jc w:val="right"/>
            </w:pPr>
            <w:r w:rsidRPr="000050DD">
              <w:t>0,9</w:t>
            </w:r>
          </w:p>
        </w:tc>
        <w:tc>
          <w:tcPr>
            <w:tcW w:w="1843" w:type="dxa"/>
          </w:tcPr>
          <w:p w14:paraId="0A363230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1,2</w:t>
            </w:r>
          </w:p>
        </w:tc>
      </w:tr>
      <w:tr w:rsidR="00CB7F18" w:rsidRPr="000050DD" w14:paraId="31D86CB4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3B48B237" w14:textId="77777777" w:rsidR="00CB7F18" w:rsidRPr="000050DD" w:rsidRDefault="00CB7F18" w:rsidP="000050DD">
            <w:proofErr w:type="spellStart"/>
            <w:r w:rsidRPr="000050DD">
              <w:t>Шаньси</w:t>
            </w:r>
            <w:proofErr w:type="spellEnd"/>
          </w:p>
        </w:tc>
        <w:tc>
          <w:tcPr>
            <w:tcW w:w="1984" w:type="dxa"/>
          </w:tcPr>
          <w:p w14:paraId="6EE9B322" w14:textId="77777777" w:rsidR="00CB7F18" w:rsidRPr="000050DD" w:rsidRDefault="00CB7F18" w:rsidP="000050DD">
            <w:pPr>
              <w:jc w:val="right"/>
            </w:pPr>
            <w:r w:rsidRPr="000050DD">
              <w:t>26</w:t>
            </w:r>
          </w:p>
        </w:tc>
        <w:tc>
          <w:tcPr>
            <w:tcW w:w="1843" w:type="dxa"/>
          </w:tcPr>
          <w:p w14:paraId="168A0050" w14:textId="77777777" w:rsidR="00CB7F18" w:rsidRPr="000050DD" w:rsidRDefault="00CB7F18" w:rsidP="000050DD">
            <w:pPr>
              <w:jc w:val="right"/>
            </w:pPr>
            <w:r w:rsidRPr="000050DD">
              <w:t>0,3</w:t>
            </w:r>
          </w:p>
        </w:tc>
        <w:tc>
          <w:tcPr>
            <w:tcW w:w="1843" w:type="dxa"/>
          </w:tcPr>
          <w:p w14:paraId="473AB256" w14:textId="77777777" w:rsidR="00CB7F18" w:rsidRPr="000050DD" w:rsidRDefault="00CB7F18" w:rsidP="000050DD">
            <w:pPr>
              <w:jc w:val="right"/>
            </w:pPr>
            <w:r w:rsidRPr="000050DD">
              <w:t>0,5</w:t>
            </w:r>
          </w:p>
        </w:tc>
      </w:tr>
      <w:tr w:rsidR="00CB7F18" w:rsidRPr="000050DD" w14:paraId="09A2696F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56CEF89A" w14:textId="77777777" w:rsidR="00CB7F18" w:rsidRPr="000050DD" w:rsidRDefault="00CB7F18" w:rsidP="000050DD">
            <w:proofErr w:type="spellStart"/>
            <w:r w:rsidRPr="000050DD">
              <w:t>Нинся-Хуэйский</w:t>
            </w:r>
            <w:proofErr w:type="spellEnd"/>
            <w:r w:rsidRPr="000050DD">
              <w:t xml:space="preserve"> автономный район</w:t>
            </w:r>
          </w:p>
        </w:tc>
        <w:tc>
          <w:tcPr>
            <w:tcW w:w="1984" w:type="dxa"/>
          </w:tcPr>
          <w:p w14:paraId="5D240329" w14:textId="77777777" w:rsidR="00CB7F18" w:rsidRPr="000050DD" w:rsidRDefault="00CB7F18" w:rsidP="000050DD">
            <w:pPr>
              <w:jc w:val="right"/>
            </w:pPr>
            <w:r w:rsidRPr="000050DD">
              <w:t>26</w:t>
            </w:r>
          </w:p>
        </w:tc>
        <w:tc>
          <w:tcPr>
            <w:tcW w:w="1843" w:type="dxa"/>
          </w:tcPr>
          <w:p w14:paraId="499A2638" w14:textId="77777777" w:rsidR="00CB7F18" w:rsidRPr="000050DD" w:rsidRDefault="00CB7F18" w:rsidP="000050DD">
            <w:pPr>
              <w:jc w:val="right"/>
            </w:pPr>
            <w:r w:rsidRPr="000050DD">
              <w:t>0,08</w:t>
            </w:r>
          </w:p>
        </w:tc>
        <w:tc>
          <w:tcPr>
            <w:tcW w:w="1843" w:type="dxa"/>
          </w:tcPr>
          <w:p w14:paraId="39B90285" w14:textId="77777777" w:rsidR="00CB7F18" w:rsidRPr="000050DD" w:rsidRDefault="00CB7F18" w:rsidP="000050DD">
            <w:pPr>
              <w:jc w:val="right"/>
            </w:pPr>
            <w:r w:rsidRPr="000050DD">
              <w:t>0,04</w:t>
            </w:r>
          </w:p>
        </w:tc>
      </w:tr>
      <w:tr w:rsidR="00CB7F18" w:rsidRPr="000050DD" w14:paraId="6BC194E8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36B374E2" w14:textId="77777777" w:rsidR="00CB7F18" w:rsidRPr="000050DD" w:rsidRDefault="00CB7F18" w:rsidP="000050DD">
            <w:proofErr w:type="spellStart"/>
            <w:r w:rsidRPr="000050DD">
              <w:t>Хэнань</w:t>
            </w:r>
            <w:proofErr w:type="spellEnd"/>
          </w:p>
        </w:tc>
        <w:tc>
          <w:tcPr>
            <w:tcW w:w="1984" w:type="dxa"/>
          </w:tcPr>
          <w:p w14:paraId="1D97C65D" w14:textId="77777777" w:rsidR="00CB7F18" w:rsidRPr="000050DD" w:rsidRDefault="00CB7F18" w:rsidP="000050DD">
            <w:pPr>
              <w:jc w:val="right"/>
            </w:pPr>
            <w:r w:rsidRPr="000050DD">
              <w:t>28</w:t>
            </w:r>
          </w:p>
        </w:tc>
        <w:tc>
          <w:tcPr>
            <w:tcW w:w="1843" w:type="dxa"/>
          </w:tcPr>
          <w:p w14:paraId="62A1A377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1,0</w:t>
            </w:r>
          </w:p>
        </w:tc>
        <w:tc>
          <w:tcPr>
            <w:tcW w:w="1843" w:type="dxa"/>
          </w:tcPr>
          <w:p w14:paraId="6E090995" w14:textId="77777777" w:rsidR="00CB7F18" w:rsidRPr="000050DD" w:rsidRDefault="00CB7F18" w:rsidP="000050DD">
            <w:pPr>
              <w:jc w:val="right"/>
            </w:pPr>
            <w:r w:rsidRPr="000050DD">
              <w:t>0,8</w:t>
            </w:r>
          </w:p>
        </w:tc>
      </w:tr>
      <w:tr w:rsidR="00CB7F18" w:rsidRPr="000050DD" w14:paraId="5AF8A34F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7C7A8B2D" w14:textId="77777777" w:rsidR="00CB7F18" w:rsidRPr="000050DD" w:rsidRDefault="00CB7F18" w:rsidP="000050DD">
            <w:proofErr w:type="spellStart"/>
            <w:r w:rsidRPr="000050DD">
              <w:t>Хунань</w:t>
            </w:r>
            <w:proofErr w:type="spellEnd"/>
          </w:p>
        </w:tc>
        <w:tc>
          <w:tcPr>
            <w:tcW w:w="1984" w:type="dxa"/>
          </w:tcPr>
          <w:p w14:paraId="043A4A24" w14:textId="77777777" w:rsidR="00CB7F18" w:rsidRPr="000050DD" w:rsidRDefault="00CB7F18" w:rsidP="000050DD">
            <w:pPr>
              <w:jc w:val="right"/>
            </w:pPr>
            <w:r w:rsidRPr="000050DD">
              <w:t>24</w:t>
            </w:r>
          </w:p>
        </w:tc>
        <w:tc>
          <w:tcPr>
            <w:tcW w:w="1843" w:type="dxa"/>
          </w:tcPr>
          <w:p w14:paraId="4B3B063E" w14:textId="77777777" w:rsidR="00CB7F18" w:rsidRPr="000050DD" w:rsidRDefault="00CB7F18" w:rsidP="000050DD">
            <w:pPr>
              <w:tabs>
                <w:tab w:val="left" w:pos="1399"/>
              </w:tabs>
              <w:jc w:val="right"/>
            </w:pPr>
            <w:r w:rsidRPr="000050DD">
              <w:t>0,3</w:t>
            </w:r>
          </w:p>
        </w:tc>
        <w:tc>
          <w:tcPr>
            <w:tcW w:w="1843" w:type="dxa"/>
          </w:tcPr>
          <w:p w14:paraId="326B5716" w14:textId="77777777" w:rsidR="00CB7F18" w:rsidRPr="000050DD" w:rsidRDefault="00CB7F18" w:rsidP="000050DD">
            <w:pPr>
              <w:tabs>
                <w:tab w:val="left" w:pos="1399"/>
              </w:tabs>
              <w:jc w:val="right"/>
            </w:pPr>
            <w:r w:rsidRPr="000050DD">
              <w:t>0,8</w:t>
            </w:r>
          </w:p>
        </w:tc>
      </w:tr>
      <w:tr w:rsidR="00CB7F18" w:rsidRPr="000050DD" w14:paraId="7BA5ED0E" w14:textId="77777777" w:rsidTr="00FE7854">
        <w:trPr>
          <w:trHeight w:hRule="exact" w:val="461"/>
          <w:jc w:val="center"/>
        </w:trPr>
        <w:tc>
          <w:tcPr>
            <w:tcW w:w="3686" w:type="dxa"/>
          </w:tcPr>
          <w:p w14:paraId="0F9DF002" w14:textId="77777777" w:rsidR="00CB7F18" w:rsidRPr="000050DD" w:rsidRDefault="00CB7F18" w:rsidP="000050DD">
            <w:r w:rsidRPr="000050DD">
              <w:t>Синьцзян-Уйгурский автономный район</w:t>
            </w:r>
          </w:p>
        </w:tc>
        <w:tc>
          <w:tcPr>
            <w:tcW w:w="1984" w:type="dxa"/>
          </w:tcPr>
          <w:p w14:paraId="390D3C31" w14:textId="77777777" w:rsidR="00CB7F18" w:rsidRPr="000050DD" w:rsidRDefault="00CB7F18" w:rsidP="000050DD">
            <w:pPr>
              <w:jc w:val="right"/>
            </w:pPr>
            <w:r w:rsidRPr="000050DD">
              <w:t>25</w:t>
            </w:r>
          </w:p>
        </w:tc>
        <w:tc>
          <w:tcPr>
            <w:tcW w:w="1843" w:type="dxa"/>
          </w:tcPr>
          <w:p w14:paraId="4BCAF7DF" w14:textId="77777777" w:rsidR="00CB7F18" w:rsidRPr="000050DD" w:rsidRDefault="00CB7F18" w:rsidP="000050DD">
            <w:pPr>
              <w:jc w:val="right"/>
            </w:pPr>
            <w:r w:rsidRPr="000050DD">
              <w:t>0,9</w:t>
            </w:r>
          </w:p>
        </w:tc>
        <w:tc>
          <w:tcPr>
            <w:tcW w:w="1843" w:type="dxa"/>
          </w:tcPr>
          <w:p w14:paraId="4493F835" w14:textId="77777777" w:rsidR="00CB7F18" w:rsidRPr="000050DD" w:rsidRDefault="00CB7F18" w:rsidP="000050DD">
            <w:pPr>
              <w:jc w:val="right"/>
            </w:pPr>
            <w:r w:rsidRPr="000050DD">
              <w:t>0,3</w:t>
            </w:r>
          </w:p>
        </w:tc>
      </w:tr>
      <w:tr w:rsidR="00CB7F18" w:rsidRPr="000050DD" w14:paraId="3B71E4FC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27843031" w14:textId="77777777" w:rsidR="00CB7F18" w:rsidRPr="000050DD" w:rsidRDefault="00CB7F18" w:rsidP="000050DD">
            <w:proofErr w:type="spellStart"/>
            <w:r w:rsidRPr="000050DD">
              <w:t>Хайнань</w:t>
            </w:r>
            <w:proofErr w:type="spellEnd"/>
          </w:p>
        </w:tc>
        <w:tc>
          <w:tcPr>
            <w:tcW w:w="1984" w:type="dxa"/>
          </w:tcPr>
          <w:p w14:paraId="15399641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24</w:t>
            </w:r>
          </w:p>
        </w:tc>
        <w:tc>
          <w:tcPr>
            <w:tcW w:w="1843" w:type="dxa"/>
          </w:tcPr>
          <w:p w14:paraId="5D45F5E8" w14:textId="77777777" w:rsidR="00CB7F18" w:rsidRPr="000050DD" w:rsidRDefault="00CB7F18" w:rsidP="000050DD">
            <w:pPr>
              <w:jc w:val="right"/>
            </w:pPr>
            <w:r w:rsidRPr="000050DD">
              <w:t>0,1</w:t>
            </w:r>
          </w:p>
        </w:tc>
        <w:tc>
          <w:tcPr>
            <w:tcW w:w="1843" w:type="dxa"/>
          </w:tcPr>
          <w:p w14:paraId="5FF7AB42" w14:textId="77777777" w:rsidR="00CB7F18" w:rsidRPr="000050DD" w:rsidRDefault="00CB7F18" w:rsidP="000050DD">
            <w:pPr>
              <w:jc w:val="right"/>
            </w:pPr>
            <w:r w:rsidRPr="000050DD">
              <w:t>0,6</w:t>
            </w:r>
          </w:p>
        </w:tc>
      </w:tr>
      <w:tr w:rsidR="00CB7F18" w:rsidRPr="000050DD" w14:paraId="7E875B4B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1B6A6181" w14:textId="77777777" w:rsidR="00CB7F18" w:rsidRPr="000050DD" w:rsidRDefault="00CB7F18" w:rsidP="000050DD">
            <w:proofErr w:type="spellStart"/>
            <w:r w:rsidRPr="000050DD">
              <w:t>Цинхай</w:t>
            </w:r>
            <w:proofErr w:type="spellEnd"/>
          </w:p>
        </w:tc>
        <w:tc>
          <w:tcPr>
            <w:tcW w:w="1984" w:type="dxa"/>
          </w:tcPr>
          <w:p w14:paraId="5B2B500D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24</w:t>
            </w:r>
          </w:p>
        </w:tc>
        <w:tc>
          <w:tcPr>
            <w:tcW w:w="1843" w:type="dxa"/>
          </w:tcPr>
          <w:p w14:paraId="27AAF9C9" w14:textId="77777777" w:rsidR="00CB7F18" w:rsidRPr="000050DD" w:rsidRDefault="00CB7F18" w:rsidP="000050DD">
            <w:pPr>
              <w:jc w:val="right"/>
            </w:pPr>
            <w:r w:rsidRPr="000050DD">
              <w:t>0,03</w:t>
            </w:r>
          </w:p>
        </w:tc>
        <w:tc>
          <w:tcPr>
            <w:tcW w:w="1843" w:type="dxa"/>
          </w:tcPr>
          <w:p w14:paraId="653D5F8C" w14:textId="77777777" w:rsidR="00CB7F18" w:rsidRPr="000050DD" w:rsidRDefault="00CB7F18" w:rsidP="000050DD">
            <w:pPr>
              <w:jc w:val="right"/>
            </w:pPr>
            <w:r w:rsidRPr="000050DD">
              <w:t>0,02</w:t>
            </w:r>
          </w:p>
        </w:tc>
      </w:tr>
      <w:tr w:rsidR="00CB7F18" w:rsidRPr="000050DD" w14:paraId="0D7EC5A3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29C6397E" w14:textId="77777777" w:rsidR="00CB7F18" w:rsidRPr="000050DD" w:rsidRDefault="00CB7F18" w:rsidP="000050DD">
            <w:r w:rsidRPr="000050DD">
              <w:t>Сычуань</w:t>
            </w:r>
          </w:p>
        </w:tc>
        <w:tc>
          <w:tcPr>
            <w:tcW w:w="1984" w:type="dxa"/>
          </w:tcPr>
          <w:p w14:paraId="34986A52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21</w:t>
            </w:r>
          </w:p>
        </w:tc>
        <w:tc>
          <w:tcPr>
            <w:tcW w:w="1843" w:type="dxa"/>
          </w:tcPr>
          <w:p w14:paraId="56339392" w14:textId="77777777" w:rsidR="00CB7F18" w:rsidRPr="000050DD" w:rsidRDefault="00CB7F18" w:rsidP="000050DD">
            <w:pPr>
              <w:jc w:val="right"/>
            </w:pPr>
            <w:r w:rsidRPr="000050DD">
              <w:t>1,5</w:t>
            </w:r>
          </w:p>
        </w:tc>
        <w:tc>
          <w:tcPr>
            <w:tcW w:w="1843" w:type="dxa"/>
          </w:tcPr>
          <w:p w14:paraId="13B12255" w14:textId="77777777" w:rsidR="00CB7F18" w:rsidRPr="000050DD" w:rsidRDefault="00CB7F18" w:rsidP="000050DD">
            <w:pPr>
              <w:jc w:val="right"/>
            </w:pPr>
            <w:r w:rsidRPr="000050DD">
              <w:t>1,1</w:t>
            </w:r>
          </w:p>
        </w:tc>
      </w:tr>
      <w:tr w:rsidR="00CB7F18" w:rsidRPr="000050DD" w14:paraId="4C07A825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5370BEE1" w14:textId="77777777" w:rsidR="00CB7F18" w:rsidRPr="000050DD" w:rsidRDefault="00CB7F18" w:rsidP="000050DD">
            <w:proofErr w:type="spellStart"/>
            <w:r w:rsidRPr="000050DD">
              <w:t>Цзянси</w:t>
            </w:r>
            <w:proofErr w:type="spellEnd"/>
          </w:p>
        </w:tc>
        <w:tc>
          <w:tcPr>
            <w:tcW w:w="1984" w:type="dxa"/>
          </w:tcPr>
          <w:p w14:paraId="27578E37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21</w:t>
            </w:r>
          </w:p>
        </w:tc>
        <w:tc>
          <w:tcPr>
            <w:tcW w:w="1843" w:type="dxa"/>
          </w:tcPr>
          <w:p w14:paraId="64F78A9A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1,2</w:t>
            </w:r>
          </w:p>
        </w:tc>
        <w:tc>
          <w:tcPr>
            <w:tcW w:w="1843" w:type="dxa"/>
          </w:tcPr>
          <w:p w14:paraId="078D1FBF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1,6</w:t>
            </w:r>
          </w:p>
        </w:tc>
      </w:tr>
      <w:tr w:rsidR="00CB7F18" w:rsidRPr="000050DD" w14:paraId="4D1DC3C6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5CCA7166" w14:textId="77777777" w:rsidR="00CB7F18" w:rsidRPr="000050DD" w:rsidRDefault="00CB7F18" w:rsidP="000050DD">
            <w:proofErr w:type="spellStart"/>
            <w:r w:rsidRPr="000050DD">
              <w:t>Аньхой</w:t>
            </w:r>
            <w:proofErr w:type="spellEnd"/>
          </w:p>
        </w:tc>
        <w:tc>
          <w:tcPr>
            <w:tcW w:w="1984" w:type="dxa"/>
          </w:tcPr>
          <w:p w14:paraId="5D6D4DB7" w14:textId="77777777" w:rsidR="00CB7F18" w:rsidRPr="000050DD" w:rsidRDefault="00CB7F18" w:rsidP="000050DD">
            <w:pPr>
              <w:jc w:val="right"/>
            </w:pPr>
            <w:r w:rsidRPr="000050DD">
              <w:t>21</w:t>
            </w:r>
          </w:p>
        </w:tc>
        <w:tc>
          <w:tcPr>
            <w:tcW w:w="1843" w:type="dxa"/>
          </w:tcPr>
          <w:p w14:paraId="454B4264" w14:textId="77777777" w:rsidR="00CB7F18" w:rsidRPr="000050DD" w:rsidRDefault="00CB7F18" w:rsidP="000050DD">
            <w:pPr>
              <w:jc w:val="right"/>
            </w:pPr>
            <w:r w:rsidRPr="000050DD">
              <w:t>0,9</w:t>
            </w:r>
          </w:p>
        </w:tc>
        <w:tc>
          <w:tcPr>
            <w:tcW w:w="1843" w:type="dxa"/>
          </w:tcPr>
          <w:p w14:paraId="733ED928" w14:textId="77777777" w:rsidR="00CB7F18" w:rsidRPr="000050DD" w:rsidRDefault="00CB7F18" w:rsidP="000050DD">
            <w:pPr>
              <w:jc w:val="right"/>
            </w:pPr>
            <w:r w:rsidRPr="000050DD">
              <w:t>0,8</w:t>
            </w:r>
          </w:p>
        </w:tc>
      </w:tr>
      <w:tr w:rsidR="00CB7F18" w:rsidRPr="000050DD" w14:paraId="1F6B0DB8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09EC60AB" w14:textId="77777777" w:rsidR="00CB7F18" w:rsidRPr="000050DD" w:rsidRDefault="00CB7F18" w:rsidP="000050DD">
            <w:proofErr w:type="spellStart"/>
            <w:r w:rsidRPr="000050DD">
              <w:t>Гуанси-Чжуанский</w:t>
            </w:r>
            <w:proofErr w:type="spellEnd"/>
            <w:r w:rsidRPr="000050DD">
              <w:t xml:space="preserve"> автономный район</w:t>
            </w:r>
          </w:p>
        </w:tc>
        <w:tc>
          <w:tcPr>
            <w:tcW w:w="1984" w:type="dxa"/>
          </w:tcPr>
          <w:p w14:paraId="4C453C83" w14:textId="77777777" w:rsidR="00CB7F18" w:rsidRPr="000050DD" w:rsidRDefault="00CB7F18" w:rsidP="000050DD">
            <w:pPr>
              <w:keepNext/>
              <w:keepLines/>
              <w:jc w:val="right"/>
              <w:outlineLvl w:val="7"/>
            </w:pPr>
            <w:r w:rsidRPr="000050DD">
              <w:t>21</w:t>
            </w:r>
          </w:p>
        </w:tc>
        <w:tc>
          <w:tcPr>
            <w:tcW w:w="1843" w:type="dxa"/>
          </w:tcPr>
          <w:p w14:paraId="172F56DE" w14:textId="77777777" w:rsidR="00CB7F18" w:rsidRPr="000050DD" w:rsidRDefault="00CB7F18" w:rsidP="000050DD">
            <w:pPr>
              <w:jc w:val="right"/>
            </w:pPr>
            <w:r w:rsidRPr="000050DD">
              <w:t>0,7</w:t>
            </w:r>
          </w:p>
        </w:tc>
        <w:tc>
          <w:tcPr>
            <w:tcW w:w="1843" w:type="dxa"/>
          </w:tcPr>
          <w:p w14:paraId="0E243DFF" w14:textId="77777777" w:rsidR="00CB7F18" w:rsidRPr="000050DD" w:rsidRDefault="00CB7F18" w:rsidP="000050DD">
            <w:pPr>
              <w:jc w:val="right"/>
            </w:pPr>
            <w:r w:rsidRPr="000050DD">
              <w:t>0,8</w:t>
            </w:r>
          </w:p>
        </w:tc>
      </w:tr>
      <w:tr w:rsidR="00CB7F18" w:rsidRPr="000050DD" w14:paraId="13792197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68FA1A84" w14:textId="77777777" w:rsidR="00CB7F18" w:rsidRPr="000050DD" w:rsidRDefault="00CB7F18" w:rsidP="000050DD">
            <w:r w:rsidRPr="000050DD">
              <w:t>Тибетский автономный район</w:t>
            </w:r>
          </w:p>
        </w:tc>
        <w:tc>
          <w:tcPr>
            <w:tcW w:w="1984" w:type="dxa"/>
          </w:tcPr>
          <w:p w14:paraId="5DD82F84" w14:textId="77777777" w:rsidR="00CB7F18" w:rsidRPr="000050DD" w:rsidRDefault="00CB7F18" w:rsidP="000050DD">
            <w:pPr>
              <w:jc w:val="right"/>
            </w:pPr>
            <w:r w:rsidRPr="000050DD">
              <w:t>17</w:t>
            </w:r>
          </w:p>
        </w:tc>
        <w:tc>
          <w:tcPr>
            <w:tcW w:w="1843" w:type="dxa"/>
          </w:tcPr>
          <w:p w14:paraId="49A3B491" w14:textId="77777777" w:rsidR="00CB7F18" w:rsidRPr="000050DD" w:rsidRDefault="00CB7F18" w:rsidP="000050DD">
            <w:pPr>
              <w:jc w:val="right"/>
            </w:pPr>
            <w:r w:rsidRPr="000050DD">
              <w:t>0,06</w:t>
            </w:r>
          </w:p>
        </w:tc>
        <w:tc>
          <w:tcPr>
            <w:tcW w:w="1843" w:type="dxa"/>
          </w:tcPr>
          <w:p w14:paraId="285301CF" w14:textId="77777777" w:rsidR="00CB7F18" w:rsidRPr="000050DD" w:rsidRDefault="00CB7F18" w:rsidP="000050DD">
            <w:pPr>
              <w:jc w:val="right"/>
            </w:pPr>
            <w:r w:rsidRPr="000050DD">
              <w:t>0,001</w:t>
            </w:r>
          </w:p>
        </w:tc>
      </w:tr>
      <w:tr w:rsidR="00CB7F18" w:rsidRPr="000050DD" w14:paraId="7079A049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290A6AF5" w14:textId="77777777" w:rsidR="00CB7F18" w:rsidRPr="000050DD" w:rsidRDefault="00CB7F18" w:rsidP="000050DD">
            <w:proofErr w:type="spellStart"/>
            <w:r w:rsidRPr="000050DD">
              <w:t>Юньнань</w:t>
            </w:r>
            <w:proofErr w:type="spellEnd"/>
          </w:p>
        </w:tc>
        <w:tc>
          <w:tcPr>
            <w:tcW w:w="1984" w:type="dxa"/>
          </w:tcPr>
          <w:p w14:paraId="0FB60F53" w14:textId="77777777" w:rsidR="00CB7F18" w:rsidRPr="000050DD" w:rsidRDefault="00CB7F18" w:rsidP="000050DD">
            <w:pPr>
              <w:jc w:val="right"/>
            </w:pPr>
            <w:r w:rsidRPr="000050DD">
              <w:t>16</w:t>
            </w:r>
          </w:p>
        </w:tc>
        <w:tc>
          <w:tcPr>
            <w:tcW w:w="1843" w:type="dxa"/>
          </w:tcPr>
          <w:p w14:paraId="5676A038" w14:textId="77777777" w:rsidR="00CB7F18" w:rsidRPr="000050DD" w:rsidRDefault="00CB7F18" w:rsidP="000050DD">
            <w:pPr>
              <w:jc w:val="right"/>
            </w:pPr>
            <w:r w:rsidRPr="000050DD">
              <w:t>0,5</w:t>
            </w:r>
          </w:p>
        </w:tc>
        <w:tc>
          <w:tcPr>
            <w:tcW w:w="1843" w:type="dxa"/>
          </w:tcPr>
          <w:p w14:paraId="1FED5F9C" w14:textId="77777777" w:rsidR="00CB7F18" w:rsidRPr="000050DD" w:rsidRDefault="00CB7F18" w:rsidP="000050DD">
            <w:pPr>
              <w:jc w:val="right"/>
            </w:pPr>
            <w:r w:rsidRPr="000050DD">
              <w:t>0,4</w:t>
            </w:r>
          </w:p>
        </w:tc>
      </w:tr>
      <w:tr w:rsidR="00CB7F18" w:rsidRPr="000050DD" w14:paraId="2B826D97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05070EB4" w14:textId="77777777" w:rsidR="00CB7F18" w:rsidRPr="000050DD" w:rsidRDefault="00CB7F18" w:rsidP="000050DD">
            <w:proofErr w:type="spellStart"/>
            <w:r w:rsidRPr="000050DD">
              <w:t>Ганьсу</w:t>
            </w:r>
            <w:proofErr w:type="spellEnd"/>
          </w:p>
        </w:tc>
        <w:tc>
          <w:tcPr>
            <w:tcW w:w="1984" w:type="dxa"/>
          </w:tcPr>
          <w:p w14:paraId="7ACBBE5E" w14:textId="77777777" w:rsidR="00CB7F18" w:rsidRPr="000050DD" w:rsidRDefault="00CB7F18" w:rsidP="000050DD">
            <w:pPr>
              <w:jc w:val="right"/>
            </w:pPr>
            <w:r w:rsidRPr="000050DD">
              <w:t>16</w:t>
            </w:r>
          </w:p>
        </w:tc>
        <w:tc>
          <w:tcPr>
            <w:tcW w:w="1843" w:type="dxa"/>
          </w:tcPr>
          <w:p w14:paraId="75531814" w14:textId="77777777" w:rsidR="00CB7F18" w:rsidRPr="000050DD" w:rsidRDefault="00CB7F18" w:rsidP="000050DD">
            <w:pPr>
              <w:jc w:val="right"/>
            </w:pPr>
            <w:r w:rsidRPr="000050DD">
              <w:t>0,1</w:t>
            </w:r>
          </w:p>
        </w:tc>
        <w:tc>
          <w:tcPr>
            <w:tcW w:w="1843" w:type="dxa"/>
          </w:tcPr>
          <w:p w14:paraId="0FCFA1E4" w14:textId="77777777" w:rsidR="00CB7F18" w:rsidRPr="000050DD" w:rsidRDefault="00CB7F18" w:rsidP="000050DD">
            <w:pPr>
              <w:jc w:val="right"/>
            </w:pPr>
            <w:r w:rsidRPr="000050DD">
              <w:t>0,4</w:t>
            </w:r>
          </w:p>
        </w:tc>
      </w:tr>
      <w:tr w:rsidR="00CB7F18" w:rsidRPr="000050DD" w14:paraId="3E938963" w14:textId="77777777" w:rsidTr="000050DD">
        <w:trPr>
          <w:trHeight w:hRule="exact" w:val="284"/>
          <w:jc w:val="center"/>
        </w:trPr>
        <w:tc>
          <w:tcPr>
            <w:tcW w:w="3686" w:type="dxa"/>
          </w:tcPr>
          <w:p w14:paraId="45B2F174" w14:textId="77777777" w:rsidR="00CB7F18" w:rsidRPr="000050DD" w:rsidRDefault="00CB7F18" w:rsidP="000050DD">
            <w:proofErr w:type="spellStart"/>
            <w:r w:rsidRPr="000050DD">
              <w:t>Гуйчжоу</w:t>
            </w:r>
            <w:proofErr w:type="spellEnd"/>
          </w:p>
        </w:tc>
        <w:tc>
          <w:tcPr>
            <w:tcW w:w="1984" w:type="dxa"/>
          </w:tcPr>
          <w:p w14:paraId="7CE5C06F" w14:textId="77777777" w:rsidR="00CB7F18" w:rsidRPr="000050DD" w:rsidRDefault="00CB7F18" w:rsidP="000050DD">
            <w:pPr>
              <w:jc w:val="right"/>
            </w:pPr>
            <w:r w:rsidRPr="000050DD">
              <w:t>13</w:t>
            </w:r>
          </w:p>
        </w:tc>
        <w:tc>
          <w:tcPr>
            <w:tcW w:w="1843" w:type="dxa"/>
          </w:tcPr>
          <w:p w14:paraId="1514659A" w14:textId="77777777" w:rsidR="00CB7F18" w:rsidRPr="000050DD" w:rsidRDefault="00CB7F18" w:rsidP="000050DD">
            <w:pPr>
              <w:jc w:val="right"/>
            </w:pPr>
            <w:r w:rsidRPr="000050DD">
              <w:t>0,2</w:t>
            </w:r>
          </w:p>
        </w:tc>
        <w:tc>
          <w:tcPr>
            <w:tcW w:w="1843" w:type="dxa"/>
          </w:tcPr>
          <w:p w14:paraId="4A8A816A" w14:textId="77777777" w:rsidR="00CB7F18" w:rsidRPr="000050DD" w:rsidRDefault="00CB7F18" w:rsidP="000050DD">
            <w:pPr>
              <w:jc w:val="right"/>
            </w:pPr>
            <w:r w:rsidRPr="000050DD">
              <w:t>0,1</w:t>
            </w:r>
          </w:p>
        </w:tc>
      </w:tr>
    </w:tbl>
    <w:p w14:paraId="3D0A788D" w14:textId="77777777" w:rsidR="00CB7F18" w:rsidRDefault="00CB7F18" w:rsidP="00CB7F18">
      <w:pPr>
        <w:spacing w:after="120" w:line="360" w:lineRule="auto"/>
        <w:jc w:val="both"/>
        <w:rPr>
          <w:i/>
          <w:sz w:val="28"/>
          <w:szCs w:val="28"/>
        </w:rPr>
      </w:pPr>
      <w:r w:rsidRPr="000050DD">
        <w:rPr>
          <w:i/>
          <w:sz w:val="28"/>
          <w:szCs w:val="28"/>
        </w:rPr>
        <w:t xml:space="preserve">Источник: Статистическое управление КНР </w:t>
      </w:r>
    </w:p>
    <w:p w14:paraId="55BF8E0A" w14:textId="77777777" w:rsidR="006A0295" w:rsidRPr="006A0295" w:rsidRDefault="006A0295" w:rsidP="00CB7F18">
      <w:pPr>
        <w:spacing w:after="120" w:line="360" w:lineRule="auto"/>
        <w:jc w:val="both"/>
        <w:rPr>
          <w:b/>
          <w:sz w:val="28"/>
          <w:szCs w:val="28"/>
        </w:rPr>
      </w:pPr>
      <w:r w:rsidRPr="006A0295">
        <w:rPr>
          <w:b/>
          <w:sz w:val="28"/>
          <w:szCs w:val="28"/>
        </w:rPr>
        <w:t>Таблица 3.</w:t>
      </w:r>
      <w:r>
        <w:rPr>
          <w:b/>
          <w:sz w:val="28"/>
          <w:szCs w:val="28"/>
        </w:rPr>
        <w:t xml:space="preserve"> Потребление энергии</w:t>
      </w:r>
      <w:r w:rsidR="004C5747">
        <w:rPr>
          <w:b/>
          <w:sz w:val="28"/>
          <w:szCs w:val="28"/>
        </w:rPr>
        <w:t xml:space="preserve"> и электричества</w:t>
      </w:r>
      <w:r>
        <w:rPr>
          <w:b/>
          <w:sz w:val="28"/>
          <w:szCs w:val="28"/>
        </w:rPr>
        <w:t xml:space="preserve"> к ВРП и региональной добавленной стоимости в промышленности регионов Китая, </w:t>
      </w:r>
      <w:proofErr w:type="spellStart"/>
      <w:r>
        <w:rPr>
          <w:b/>
          <w:sz w:val="28"/>
          <w:szCs w:val="28"/>
        </w:rPr>
        <w:t>туэ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квч</w:t>
      </w:r>
      <w:proofErr w:type="spellEnd"/>
      <w:r>
        <w:rPr>
          <w:b/>
          <w:sz w:val="28"/>
          <w:szCs w:val="28"/>
        </w:rPr>
        <w:t>/ 10000 юаней</w:t>
      </w:r>
      <w:r w:rsidRPr="006A0295">
        <w:rPr>
          <w:b/>
          <w:sz w:val="28"/>
          <w:szCs w:val="28"/>
        </w:rPr>
        <w:t xml:space="preserve"> </w:t>
      </w:r>
      <w:r w:rsidR="004C5747">
        <w:rPr>
          <w:b/>
          <w:sz w:val="28"/>
          <w:szCs w:val="28"/>
        </w:rPr>
        <w:t>, 2006 год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380"/>
        <w:gridCol w:w="2030"/>
        <w:gridCol w:w="2126"/>
        <w:gridCol w:w="2835"/>
      </w:tblGrid>
      <w:tr w:rsidR="006A0295" w:rsidRPr="006A0295" w14:paraId="01D35817" w14:textId="77777777" w:rsidTr="006A0295">
        <w:trPr>
          <w:trHeight w:val="960"/>
          <w:tblHeader/>
        </w:trPr>
        <w:tc>
          <w:tcPr>
            <w:tcW w:w="23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0727" w14:textId="77777777" w:rsidR="006A0295" w:rsidRPr="006A0295" w:rsidRDefault="006A0295" w:rsidP="006A0295">
            <w:pPr>
              <w:jc w:val="center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DC3" w14:textId="77777777" w:rsidR="006A0295" w:rsidRPr="006A0295" w:rsidRDefault="006A0295" w:rsidP="006A0295">
            <w:pPr>
              <w:jc w:val="center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Потреблении энергии к ВРП (</w:t>
            </w:r>
            <w:proofErr w:type="spellStart"/>
            <w:r w:rsidRPr="006A0295">
              <w:rPr>
                <w:rFonts w:eastAsia="Times New Roman"/>
                <w:lang w:eastAsia="en-US"/>
              </w:rPr>
              <w:t>туэ</w:t>
            </w:r>
            <w:proofErr w:type="spellEnd"/>
            <w:r w:rsidRPr="006A0295">
              <w:rPr>
                <w:rFonts w:eastAsia="Times New Roman"/>
                <w:lang w:eastAsia="en-US"/>
              </w:rPr>
              <w:t>/10000 юаней)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D54" w14:textId="77777777" w:rsidR="006A0295" w:rsidRPr="006A0295" w:rsidRDefault="006A0295" w:rsidP="006A0295">
            <w:pPr>
              <w:jc w:val="center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Потребление электричества к ВРП (</w:t>
            </w:r>
            <w:proofErr w:type="spellStart"/>
            <w:r w:rsidRPr="006A0295">
              <w:rPr>
                <w:rFonts w:eastAsia="Times New Roman"/>
                <w:lang w:eastAsia="en-US"/>
              </w:rPr>
              <w:t>квч</w:t>
            </w:r>
            <w:proofErr w:type="spellEnd"/>
            <w:r w:rsidRPr="006A0295">
              <w:rPr>
                <w:rFonts w:eastAsia="Times New Roman"/>
                <w:lang w:eastAsia="en-US"/>
              </w:rPr>
              <w:t>/10000 юаней)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7109" w14:textId="77777777" w:rsidR="006A0295" w:rsidRPr="006A0295" w:rsidRDefault="006A0295" w:rsidP="006A0295">
            <w:pPr>
              <w:jc w:val="center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Потребление энергии к региональной добавленной стоимости в промышленности (</w:t>
            </w:r>
            <w:proofErr w:type="spellStart"/>
            <w:r w:rsidRPr="006A0295">
              <w:rPr>
                <w:rFonts w:eastAsia="Times New Roman"/>
                <w:lang w:eastAsia="en-US"/>
              </w:rPr>
              <w:t>туэ</w:t>
            </w:r>
            <w:proofErr w:type="spellEnd"/>
            <w:r w:rsidRPr="006A0295">
              <w:rPr>
                <w:rFonts w:eastAsia="Times New Roman"/>
                <w:lang w:eastAsia="en-US"/>
              </w:rPr>
              <w:t>/10000 юаней)</w:t>
            </w:r>
          </w:p>
        </w:tc>
      </w:tr>
      <w:tr w:rsidR="006A0295" w:rsidRPr="006A0295" w14:paraId="1E525D4B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A76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Китай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EBDF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1,206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B409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1388,80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9803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2,53 </w:t>
            </w:r>
          </w:p>
        </w:tc>
      </w:tr>
      <w:tr w:rsidR="006A0295" w:rsidRPr="006A0295" w14:paraId="35D38BD6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48C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Пекин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D196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0,760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8FC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787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8CCE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1,33 </w:t>
            </w:r>
          </w:p>
        </w:tc>
      </w:tr>
      <w:tr w:rsidR="006A0295" w:rsidRPr="006A0295" w14:paraId="2EDECE35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51C9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Тяньцзинь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329C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1,069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530D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1024,10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0565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1,33 </w:t>
            </w:r>
          </w:p>
        </w:tc>
      </w:tr>
      <w:tr w:rsidR="006A0295" w:rsidRPr="006A0295" w14:paraId="26988189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AEA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Хэбэй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0DAD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1,895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5115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1515,90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50C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4,19 </w:t>
            </w:r>
          </w:p>
        </w:tc>
      </w:tr>
      <w:tr w:rsidR="006A0295" w:rsidRPr="006A0295" w14:paraId="79C9CD5B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2821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Шаньси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5F25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2,888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A29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2348,40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7D1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5,89 </w:t>
            </w:r>
          </w:p>
        </w:tc>
      </w:tr>
      <w:tr w:rsidR="006A0295" w:rsidRPr="006A0295" w14:paraId="121E4860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137E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Внутренняя Монголия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B74A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2,413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8F04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1913,10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4D1D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5,37 </w:t>
            </w:r>
          </w:p>
        </w:tc>
      </w:tr>
      <w:tr w:rsidR="006A0295" w:rsidRPr="006A0295" w14:paraId="119D4886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4FE3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Ляонин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761B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1,775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DF4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1372,60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2CF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2,92 </w:t>
            </w:r>
          </w:p>
        </w:tc>
      </w:tr>
      <w:tr w:rsidR="006A0295" w:rsidRPr="006A0295" w14:paraId="76ADDD9B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E6E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Цзилинь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32D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1,591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0CC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990,90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F7DE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2,80 </w:t>
            </w:r>
          </w:p>
        </w:tc>
      </w:tr>
      <w:tr w:rsidR="006A0295" w:rsidRPr="006A0295" w14:paraId="0940C9CA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AF9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Хэйлунцзян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914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1,412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3E10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965,90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D7EE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2,23 </w:t>
            </w:r>
          </w:p>
        </w:tc>
      </w:tr>
      <w:tr w:rsidR="006A0295" w:rsidRPr="006A0295" w14:paraId="1E41D9FB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F578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lastRenderedPageBreak/>
              <w:t>Шанхай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113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0,873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F6DB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964,30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A30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1,20 </w:t>
            </w:r>
          </w:p>
        </w:tc>
      </w:tr>
      <w:tr w:rsidR="006A0295" w:rsidRPr="006A0295" w14:paraId="3A8473DA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427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Цзянсу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16E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0,891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3D12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1221,20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26E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1,57 </w:t>
            </w:r>
          </w:p>
        </w:tc>
      </w:tr>
      <w:tr w:rsidR="006A0295" w:rsidRPr="006A0295" w14:paraId="310625B0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D63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Чжэцзян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49D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0,864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6F8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1247,40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636D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1,43 </w:t>
            </w:r>
          </w:p>
        </w:tc>
      </w:tr>
      <w:tr w:rsidR="006A0295" w:rsidRPr="006A0295" w14:paraId="006EED60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9A7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Аньхой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7E7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1,171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9C2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1092,60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698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2,86 </w:t>
            </w:r>
          </w:p>
        </w:tc>
      </w:tr>
      <w:tr w:rsidR="006A0295" w:rsidRPr="006A0295" w14:paraId="0762AE5F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1B6C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Фуцзянь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3C6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0,907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3115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1149,80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EEA2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1,37 </w:t>
            </w:r>
          </w:p>
        </w:tc>
      </w:tr>
      <w:tr w:rsidR="006A0295" w:rsidRPr="006A0295" w14:paraId="441D5311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D1A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Цзянси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04B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536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979,40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44C0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2,72 </w:t>
            </w:r>
          </w:p>
        </w:tc>
      </w:tr>
      <w:tr w:rsidR="006A0295" w:rsidRPr="006A0295" w14:paraId="22BB6774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A6F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Шаньдун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433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1,231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421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1069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A64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2,02 </w:t>
            </w:r>
          </w:p>
        </w:tc>
      </w:tr>
      <w:tr w:rsidR="006A0295" w:rsidRPr="006A0295" w14:paraId="234379BB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0EA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Хэнань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E754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1,340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75CE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1257,50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614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3,78 </w:t>
            </w:r>
          </w:p>
        </w:tc>
      </w:tr>
      <w:tr w:rsidR="006A0295" w:rsidRPr="006A0295" w14:paraId="439E32BA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3F4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Хубэй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A3F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1,462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E3A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1187,50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AA7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3,33 </w:t>
            </w:r>
          </w:p>
        </w:tc>
      </w:tr>
      <w:tr w:rsidR="006A0295" w:rsidRPr="006A0295" w14:paraId="450BC8A5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F5D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Хунань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CBCD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1,352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937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1051,90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9B3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2,74 </w:t>
            </w:r>
          </w:p>
        </w:tc>
      </w:tr>
      <w:tr w:rsidR="006A0295" w:rsidRPr="006A0295" w14:paraId="0A6884FB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C01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Гуандун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8F1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0,771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2A7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1172,10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76FD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1,04 </w:t>
            </w:r>
          </w:p>
        </w:tc>
      </w:tr>
      <w:tr w:rsidR="006A0295" w:rsidRPr="006A0295" w14:paraId="6E1E57AE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615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Гуанси-Чжуанский</w:t>
            </w:r>
            <w:proofErr w:type="spellEnd"/>
            <w:r w:rsidRPr="006A0295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6A0295">
              <w:rPr>
                <w:rFonts w:eastAsia="Times New Roman"/>
                <w:lang w:eastAsia="en-US"/>
              </w:rPr>
              <w:t>а.р</w:t>
            </w:r>
            <w:proofErr w:type="spellEnd"/>
            <w:r w:rsidRPr="006A0295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769C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1,191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67D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1252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8EC0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2,88 </w:t>
            </w:r>
          </w:p>
        </w:tc>
      </w:tr>
      <w:tr w:rsidR="006A0295" w:rsidRPr="006A0295" w14:paraId="735DB06E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98B0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Хайнань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FC3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0,905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BAE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970,30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02C3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3,15 </w:t>
            </w:r>
          </w:p>
        </w:tc>
      </w:tr>
      <w:tr w:rsidR="006A0295" w:rsidRPr="006A0295" w14:paraId="2CC06C75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51A3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Чунцин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6C9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1,371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EE80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1177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8A66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2,63 </w:t>
            </w:r>
          </w:p>
        </w:tc>
      </w:tr>
      <w:tr w:rsidR="006A0295" w:rsidRPr="006A0295" w14:paraId="2CB192C3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2A7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Сычуань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BD1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1,498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512D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1265,70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36E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2,82 </w:t>
            </w:r>
          </w:p>
        </w:tc>
      </w:tr>
      <w:tr w:rsidR="006A0295" w:rsidRPr="006A0295" w14:paraId="67BFA553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77A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Гуйчжоу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957B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3,188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7870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2633,80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119D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5,21 </w:t>
            </w:r>
          </w:p>
        </w:tc>
      </w:tr>
      <w:tr w:rsidR="006A0295" w:rsidRPr="006A0295" w14:paraId="692A9B18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391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Юньнань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987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1,708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070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1660,80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9512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3,40 </w:t>
            </w:r>
          </w:p>
        </w:tc>
      </w:tr>
      <w:tr w:rsidR="006A0295" w:rsidRPr="006A0295" w14:paraId="08A7EEA3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378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Шэньси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DB7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1,426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506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1364,60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BDB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2,46 </w:t>
            </w:r>
          </w:p>
        </w:tc>
      </w:tr>
      <w:tr w:rsidR="006A0295" w:rsidRPr="006A0295" w14:paraId="6D5EA51F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A108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Ганьсу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420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2,199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9FC2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>2487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B10A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4,59 </w:t>
            </w:r>
          </w:p>
        </w:tc>
      </w:tr>
      <w:tr w:rsidR="006A0295" w:rsidRPr="006A0295" w14:paraId="684A3AB5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3F4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Цинхай</w:t>
            </w:r>
            <w:proofErr w:type="spellEnd"/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24D8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3,121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6051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4007,90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C1D7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3,64 </w:t>
            </w:r>
          </w:p>
        </w:tc>
      </w:tr>
      <w:tr w:rsidR="006A0295" w:rsidRPr="006A0295" w14:paraId="2928A3A7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1749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proofErr w:type="spellStart"/>
            <w:r w:rsidRPr="006A0295">
              <w:rPr>
                <w:rFonts w:eastAsia="Times New Roman"/>
                <w:lang w:eastAsia="en-US"/>
              </w:rPr>
              <w:t>Нинся-Хуэйский</w:t>
            </w:r>
            <w:proofErr w:type="spellEnd"/>
            <w:r w:rsidRPr="006A0295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Pr="006A0295">
              <w:rPr>
                <w:rFonts w:eastAsia="Times New Roman"/>
                <w:lang w:eastAsia="en-US"/>
              </w:rPr>
              <w:t>а.р</w:t>
            </w:r>
            <w:proofErr w:type="spellEnd"/>
            <w:r w:rsidRPr="006A0295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03B7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4,099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629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5528,20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C34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8,68 </w:t>
            </w:r>
          </w:p>
        </w:tc>
      </w:tr>
      <w:tr w:rsidR="006A0295" w:rsidRPr="006A0295" w14:paraId="0FB0477B" w14:textId="77777777" w:rsidTr="006A0295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1291" w14:textId="77777777" w:rsidR="006A0295" w:rsidRPr="006A0295" w:rsidRDefault="006A0295" w:rsidP="006A0295">
            <w:pPr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Синьцзян-Уйгурский </w:t>
            </w:r>
            <w:proofErr w:type="spellStart"/>
            <w:r w:rsidRPr="006A0295">
              <w:rPr>
                <w:rFonts w:eastAsia="Times New Roman"/>
                <w:lang w:eastAsia="en-US"/>
              </w:rPr>
              <w:t>а.р</w:t>
            </w:r>
            <w:proofErr w:type="spellEnd"/>
            <w:r w:rsidRPr="006A0295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070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2,092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AF2A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1232,30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93C2" w14:textId="77777777" w:rsidR="006A0295" w:rsidRPr="006A0295" w:rsidRDefault="006A0295" w:rsidP="006A0295">
            <w:pPr>
              <w:jc w:val="right"/>
              <w:rPr>
                <w:rFonts w:eastAsia="Times New Roman"/>
                <w:lang w:eastAsia="en-US"/>
              </w:rPr>
            </w:pPr>
            <w:r w:rsidRPr="006A0295">
              <w:rPr>
                <w:rFonts w:eastAsia="Times New Roman"/>
                <w:lang w:eastAsia="en-US"/>
              </w:rPr>
              <w:t xml:space="preserve">2,91 </w:t>
            </w:r>
          </w:p>
        </w:tc>
      </w:tr>
    </w:tbl>
    <w:p w14:paraId="78B2F087" w14:textId="77777777" w:rsidR="000E4905" w:rsidRDefault="006A0295" w:rsidP="004C5747">
      <w:pPr>
        <w:spacing w:after="120" w:line="360" w:lineRule="auto"/>
        <w:jc w:val="both"/>
        <w:rPr>
          <w:i/>
          <w:sz w:val="28"/>
          <w:szCs w:val="28"/>
          <w:lang w:val="en-US" w:eastAsia="zh-TW"/>
        </w:rPr>
      </w:pPr>
      <w:proofErr w:type="spellStart"/>
      <w:r w:rsidRPr="004C5747">
        <w:rPr>
          <w:i/>
          <w:sz w:val="28"/>
          <w:szCs w:val="28"/>
          <w:lang w:val="en-US" w:eastAsia="zh-TW"/>
        </w:rPr>
        <w:t>Источник</w:t>
      </w:r>
      <w:proofErr w:type="spellEnd"/>
      <w:r w:rsidR="004C5747">
        <w:rPr>
          <w:i/>
          <w:sz w:val="28"/>
          <w:szCs w:val="28"/>
          <w:lang w:val="en-US" w:eastAsia="zh-TW"/>
        </w:rPr>
        <w:t xml:space="preserve">: </w:t>
      </w:r>
      <w:proofErr w:type="spellStart"/>
      <w:r w:rsidR="004C5747">
        <w:rPr>
          <w:i/>
          <w:sz w:val="28"/>
          <w:szCs w:val="28"/>
          <w:lang w:val="en-US" w:eastAsia="zh-TW"/>
        </w:rPr>
        <w:t>Государственное</w:t>
      </w:r>
      <w:proofErr w:type="spellEnd"/>
      <w:r w:rsidR="004C5747">
        <w:rPr>
          <w:i/>
          <w:sz w:val="28"/>
          <w:szCs w:val="28"/>
          <w:lang w:val="en-US" w:eastAsia="zh-TW"/>
        </w:rPr>
        <w:t xml:space="preserve"> </w:t>
      </w:r>
      <w:proofErr w:type="spellStart"/>
      <w:r w:rsidR="004C5747">
        <w:rPr>
          <w:i/>
          <w:sz w:val="28"/>
          <w:szCs w:val="28"/>
          <w:lang w:val="en-US" w:eastAsia="zh-TW"/>
        </w:rPr>
        <w:t>статистическое</w:t>
      </w:r>
      <w:proofErr w:type="spellEnd"/>
      <w:r w:rsidR="004C5747">
        <w:rPr>
          <w:i/>
          <w:sz w:val="28"/>
          <w:szCs w:val="28"/>
          <w:lang w:val="en-US" w:eastAsia="zh-TW"/>
        </w:rPr>
        <w:t xml:space="preserve"> </w:t>
      </w:r>
      <w:proofErr w:type="spellStart"/>
      <w:r w:rsidR="004C5747">
        <w:rPr>
          <w:i/>
          <w:sz w:val="28"/>
          <w:szCs w:val="28"/>
          <w:lang w:val="en-US" w:eastAsia="zh-TW"/>
        </w:rPr>
        <w:t>управление</w:t>
      </w:r>
      <w:proofErr w:type="spellEnd"/>
      <w:r w:rsidR="004C5747">
        <w:rPr>
          <w:i/>
          <w:sz w:val="28"/>
          <w:szCs w:val="28"/>
          <w:lang w:val="en-US" w:eastAsia="zh-TW"/>
        </w:rPr>
        <w:t xml:space="preserve"> КНР</w:t>
      </w:r>
    </w:p>
    <w:p w14:paraId="03C269C0" w14:textId="77777777" w:rsidR="005C0C0C" w:rsidRDefault="005C0C0C" w:rsidP="004C5747">
      <w:pPr>
        <w:spacing w:after="120" w:line="360" w:lineRule="auto"/>
        <w:jc w:val="both"/>
        <w:rPr>
          <w:i/>
          <w:sz w:val="28"/>
          <w:szCs w:val="28"/>
          <w:lang w:val="en-US" w:eastAsia="zh-TW"/>
        </w:rPr>
      </w:pPr>
    </w:p>
    <w:p w14:paraId="594FB307" w14:textId="77777777" w:rsidR="00B41B33" w:rsidRPr="00061AD6" w:rsidRDefault="00B41B33" w:rsidP="0009610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B41B33" w:rsidRPr="00061AD6" w:rsidSect="004523AE">
      <w:footerReference w:type="even" r:id="rId24"/>
      <w:foot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5D74E" w14:textId="77777777" w:rsidR="00BA77D7" w:rsidRDefault="00BA77D7">
      <w:r>
        <w:separator/>
      </w:r>
    </w:p>
  </w:endnote>
  <w:endnote w:type="continuationSeparator" w:id="0">
    <w:p w14:paraId="00B5EFF4" w14:textId="77777777" w:rsidR="00BA77D7" w:rsidRDefault="00B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0F83E" w14:textId="77777777" w:rsidR="00BA77D7" w:rsidRDefault="00BA77D7" w:rsidP="00BA0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05B9B" w14:textId="77777777" w:rsidR="00BA77D7" w:rsidRDefault="00BA77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174D" w14:textId="77777777" w:rsidR="00BA77D7" w:rsidRDefault="00BA77D7" w:rsidP="00BA0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7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CCB5F8" w14:textId="77777777" w:rsidR="00BA77D7" w:rsidRDefault="00BA77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4BB1F" w14:textId="77777777" w:rsidR="00BA77D7" w:rsidRDefault="00BA77D7">
      <w:r>
        <w:separator/>
      </w:r>
    </w:p>
  </w:footnote>
  <w:footnote w:type="continuationSeparator" w:id="0">
    <w:p w14:paraId="295A12A0" w14:textId="77777777" w:rsidR="00BA77D7" w:rsidRDefault="00BA77D7">
      <w:r>
        <w:continuationSeparator/>
      </w:r>
    </w:p>
  </w:footnote>
  <w:footnote w:id="1">
    <w:p w14:paraId="5BFF0890" w14:textId="77777777" w:rsidR="00BA77D7" w:rsidRPr="00244CA1" w:rsidRDefault="00BA77D7" w:rsidP="00905C0D">
      <w:pPr>
        <w:autoSpaceDE w:val="0"/>
        <w:autoSpaceDN w:val="0"/>
        <w:adjustRightInd w:val="0"/>
        <w:jc w:val="both"/>
        <w:rPr>
          <w:lang w:val="en-US"/>
        </w:rPr>
      </w:pPr>
      <w:r>
        <w:rPr>
          <w:rStyle w:val="FootnoteReference"/>
        </w:rPr>
        <w:footnoteRef/>
      </w:r>
      <w:r w:rsidRPr="00383488">
        <w:rPr>
          <w:lang w:val="en-US"/>
        </w:rPr>
        <w:t xml:space="preserve"> </w:t>
      </w:r>
      <w:r w:rsidRPr="003D34C5">
        <w:rPr>
          <w:lang w:val="en-US"/>
        </w:rPr>
        <w:t>M</w:t>
      </w:r>
      <w:r w:rsidRPr="00383488">
        <w:rPr>
          <w:lang w:val="en-US"/>
        </w:rPr>
        <w:t>.</w:t>
      </w:r>
      <w:r w:rsidRPr="003D34C5">
        <w:rPr>
          <w:lang w:val="en-US"/>
        </w:rPr>
        <w:t>J</w:t>
      </w:r>
      <w:r>
        <w:rPr>
          <w:lang w:val="en-US"/>
        </w:rPr>
        <w:t xml:space="preserve">. </w:t>
      </w:r>
      <w:proofErr w:type="spellStart"/>
      <w:r w:rsidRPr="003D34C5">
        <w:rPr>
          <w:lang w:val="en-US"/>
        </w:rPr>
        <w:t>Koetsea</w:t>
      </w:r>
      <w:proofErr w:type="spellEnd"/>
      <w:r>
        <w:rPr>
          <w:lang w:val="en-US"/>
        </w:rPr>
        <w:t>,</w:t>
      </w:r>
      <w:r w:rsidRPr="00383488">
        <w:rPr>
          <w:lang w:val="en-US"/>
        </w:rPr>
        <w:t xml:space="preserve"> </w:t>
      </w:r>
      <w:r w:rsidRPr="003D34C5">
        <w:rPr>
          <w:lang w:val="en-US"/>
        </w:rPr>
        <w:t>L</w:t>
      </w:r>
      <w:r w:rsidRPr="00383488">
        <w:rPr>
          <w:lang w:val="en-US"/>
        </w:rPr>
        <w:t>.</w:t>
      </w:r>
      <w:r w:rsidRPr="003D34C5">
        <w:rPr>
          <w:lang w:val="en-US"/>
        </w:rPr>
        <w:t>F</w:t>
      </w:r>
      <w:r w:rsidRPr="00383488">
        <w:rPr>
          <w:lang w:val="en-US"/>
        </w:rPr>
        <w:t xml:space="preserve">. </w:t>
      </w:r>
      <w:r w:rsidRPr="003D34C5">
        <w:rPr>
          <w:lang w:val="en-US"/>
        </w:rPr>
        <w:t>Henri</w:t>
      </w:r>
      <w:r w:rsidRPr="00383488">
        <w:rPr>
          <w:lang w:val="en-US"/>
        </w:rPr>
        <w:t xml:space="preserve">, </w:t>
      </w:r>
      <w:r w:rsidRPr="003D34C5">
        <w:rPr>
          <w:lang w:val="en-US"/>
        </w:rPr>
        <w:t>R</w:t>
      </w:r>
      <w:r>
        <w:rPr>
          <w:lang w:val="en-US"/>
        </w:rPr>
        <w:t>.</w:t>
      </w:r>
      <w:r w:rsidRPr="003D34C5">
        <w:rPr>
          <w:lang w:val="en-US"/>
        </w:rPr>
        <w:t>J</w:t>
      </w:r>
      <w:r w:rsidRPr="00383488">
        <w:rPr>
          <w:lang w:val="en-US"/>
        </w:rPr>
        <w:t>.</w:t>
      </w:r>
      <w:r w:rsidRPr="003D34C5">
        <w:rPr>
          <w:lang w:val="en-US"/>
        </w:rPr>
        <w:t>G</w:t>
      </w:r>
      <w:r w:rsidRPr="00383488">
        <w:rPr>
          <w:lang w:val="en-US"/>
        </w:rPr>
        <w:t>.</w:t>
      </w:r>
      <w:r w:rsidRPr="003D34C5">
        <w:rPr>
          <w:lang w:val="en-US"/>
        </w:rPr>
        <w:t>M</w:t>
      </w:r>
      <w:r w:rsidRPr="00383488">
        <w:rPr>
          <w:lang w:val="en-US"/>
        </w:rPr>
        <w:t xml:space="preserve">. </w:t>
      </w:r>
      <w:proofErr w:type="spellStart"/>
      <w:r w:rsidRPr="003D34C5">
        <w:rPr>
          <w:lang w:val="en-US"/>
        </w:rPr>
        <w:t>Floraxa</w:t>
      </w:r>
      <w:proofErr w:type="spellEnd"/>
      <w:r w:rsidRPr="00383488">
        <w:rPr>
          <w:lang w:val="en-US"/>
        </w:rPr>
        <w:t xml:space="preserve">. </w:t>
      </w:r>
      <w:r w:rsidRPr="003D34C5">
        <w:rPr>
          <w:lang w:val="en-US"/>
        </w:rPr>
        <w:t>Capital-Energy Substitution and Shifts in Factor Demand: A Meta-Analysis // Tinbergen Institute Discussion Paper</w:t>
      </w:r>
      <w:r>
        <w:rPr>
          <w:lang w:val="en-US"/>
        </w:rPr>
        <w:t xml:space="preserve">, </w:t>
      </w:r>
      <w:r w:rsidRPr="003D34C5">
        <w:rPr>
          <w:lang w:val="en-US"/>
        </w:rPr>
        <w:t>2006</w:t>
      </w:r>
      <w:r>
        <w:rPr>
          <w:lang w:val="en-US"/>
        </w:rPr>
        <w:t>.</w:t>
      </w:r>
    </w:p>
  </w:footnote>
  <w:footnote w:id="2">
    <w:p w14:paraId="61F86CA1" w14:textId="77777777" w:rsidR="00BA77D7" w:rsidRPr="006C51A4" w:rsidRDefault="00BA77D7" w:rsidP="00905C0D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6C51A4">
        <w:rPr>
          <w:lang w:val="en-US"/>
        </w:rPr>
        <w:t xml:space="preserve"> </w:t>
      </w:r>
      <w:r w:rsidRPr="00C4183E">
        <w:rPr>
          <w:lang w:val="en-US"/>
        </w:rPr>
        <w:t>N</w:t>
      </w:r>
      <w:r>
        <w:rPr>
          <w:lang w:val="en-US"/>
        </w:rPr>
        <w:t xml:space="preserve">. D. Uri, </w:t>
      </w:r>
      <w:proofErr w:type="spellStart"/>
      <w:r w:rsidRPr="00C4183E">
        <w:rPr>
          <w:lang w:val="en-US"/>
        </w:rPr>
        <w:t>Interfuel</w:t>
      </w:r>
      <w:proofErr w:type="spellEnd"/>
      <w:r w:rsidRPr="00C4183E">
        <w:rPr>
          <w:lang w:val="en-US"/>
        </w:rPr>
        <w:t xml:space="preserve"> substitution possibilities: short-te</w:t>
      </w:r>
      <w:r>
        <w:rPr>
          <w:lang w:val="en-US"/>
        </w:rPr>
        <w:t xml:space="preserve">rm prospects // Applied Energy, Vol. 4., </w:t>
      </w:r>
      <w:r w:rsidRPr="00C4183E">
        <w:rPr>
          <w:lang w:val="en-US"/>
        </w:rPr>
        <w:t>№ 4</w:t>
      </w:r>
      <w:r>
        <w:rPr>
          <w:lang w:val="en-US"/>
        </w:rPr>
        <w:t xml:space="preserve">, </w:t>
      </w:r>
      <w:r w:rsidRPr="00C4183E">
        <w:rPr>
          <w:lang w:val="en-US"/>
        </w:rPr>
        <w:t>1978</w:t>
      </w:r>
    </w:p>
  </w:footnote>
  <w:footnote w:id="3">
    <w:p w14:paraId="126C410C" w14:textId="77777777" w:rsidR="00BA77D7" w:rsidRPr="00EF2B3B" w:rsidRDefault="00BA77D7" w:rsidP="00905C0D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F2B3B">
        <w:t xml:space="preserve">J.P. </w:t>
      </w:r>
      <w:proofErr w:type="spellStart"/>
      <w:r w:rsidRPr="00EF2B3B">
        <w:t>Weyant</w:t>
      </w:r>
      <w:proofErr w:type="spellEnd"/>
      <w:r w:rsidRPr="00EF2B3B">
        <w:t xml:space="preserve"> (</w:t>
      </w:r>
      <w:proofErr w:type="spellStart"/>
      <w:r w:rsidRPr="00EF2B3B">
        <w:t>ed</w:t>
      </w:r>
      <w:proofErr w:type="spellEnd"/>
      <w:r w:rsidRPr="00EF2B3B">
        <w:t xml:space="preserve">.), </w:t>
      </w:r>
      <w:proofErr w:type="spellStart"/>
      <w:r w:rsidRPr="00EF2B3B">
        <w:t>Energy</w:t>
      </w:r>
      <w:proofErr w:type="spellEnd"/>
      <w:r w:rsidRPr="00EF2B3B">
        <w:t xml:space="preserve"> </w:t>
      </w:r>
      <w:proofErr w:type="spellStart"/>
      <w:r w:rsidRPr="00EF2B3B">
        <w:t>and</w:t>
      </w:r>
      <w:proofErr w:type="spellEnd"/>
      <w:r w:rsidRPr="00EF2B3B">
        <w:t xml:space="preserve"> </w:t>
      </w:r>
      <w:proofErr w:type="spellStart"/>
      <w:r w:rsidRPr="00EF2B3B">
        <w:t>environment</w:t>
      </w:r>
      <w:proofErr w:type="spellEnd"/>
      <w:r w:rsidRPr="00EF2B3B">
        <w:t xml:space="preserve"> </w:t>
      </w:r>
      <w:proofErr w:type="spellStart"/>
      <w:r w:rsidRPr="00EF2B3B">
        <w:t>policy</w:t>
      </w:r>
      <w:proofErr w:type="spellEnd"/>
      <w:r w:rsidRPr="00EF2B3B">
        <w:t xml:space="preserve"> </w:t>
      </w:r>
      <w:proofErr w:type="spellStart"/>
      <w:r w:rsidRPr="00EF2B3B">
        <w:t>modeling</w:t>
      </w:r>
      <w:proofErr w:type="spellEnd"/>
      <w:r w:rsidRPr="00EF2B3B">
        <w:t xml:space="preserve">// </w:t>
      </w:r>
      <w:proofErr w:type="spellStart"/>
      <w:r w:rsidRPr="00EF2B3B">
        <w:t>Kluwer</w:t>
      </w:r>
      <w:proofErr w:type="spellEnd"/>
      <w:r w:rsidRPr="00EF2B3B">
        <w:t xml:space="preserve"> </w:t>
      </w:r>
      <w:proofErr w:type="spellStart"/>
      <w:r w:rsidRPr="00EF2B3B">
        <w:t>Academic</w:t>
      </w:r>
      <w:proofErr w:type="spellEnd"/>
      <w:r w:rsidRPr="00EF2B3B">
        <w:t xml:space="preserve"> </w:t>
      </w:r>
      <w:proofErr w:type="spellStart"/>
      <w:r w:rsidRPr="00EF2B3B">
        <w:t>Publishers</w:t>
      </w:r>
      <w:proofErr w:type="spellEnd"/>
      <w:r w:rsidRPr="00EF2B3B">
        <w:t>, 1998</w:t>
      </w:r>
    </w:p>
  </w:footnote>
  <w:footnote w:id="4">
    <w:p w14:paraId="5E0813B1" w14:textId="77777777" w:rsidR="00BA77D7" w:rsidRDefault="00BA77D7" w:rsidP="00905C0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Чистыи</w:t>
      </w:r>
      <w:proofErr w:type="spellEnd"/>
      <w:r>
        <w:t>̆</w:t>
      </w:r>
      <w:r w:rsidRPr="001149C4">
        <w:t xml:space="preserve"> </w:t>
      </w:r>
      <w:proofErr w:type="spellStart"/>
      <w:r w:rsidRPr="001149C4">
        <w:t>дарк</w:t>
      </w:r>
      <w:proofErr w:type="spellEnd"/>
      <w:r w:rsidRPr="001149C4">
        <w:t xml:space="preserve"> спрэд – </w:t>
      </w:r>
      <w:r>
        <w:t xml:space="preserve">это </w:t>
      </w:r>
      <w:r w:rsidRPr="001149C4">
        <w:t xml:space="preserve">разница между </w:t>
      </w:r>
      <w:r>
        <w:t>продажной ценой</w:t>
      </w:r>
      <w:r w:rsidRPr="001149C4">
        <w:t xml:space="preserve"> электроэнергии и </w:t>
      </w:r>
      <w:proofErr w:type="spellStart"/>
      <w:r w:rsidRPr="001149C4">
        <w:t>топливнои</w:t>
      </w:r>
      <w:proofErr w:type="spellEnd"/>
      <w:r w:rsidRPr="001149C4">
        <w:t xml:space="preserve">̆ </w:t>
      </w:r>
      <w:proofErr w:type="spellStart"/>
      <w:r w:rsidRPr="001149C4">
        <w:t>сост</w:t>
      </w:r>
      <w:r>
        <w:t>авляющеи</w:t>
      </w:r>
      <w:proofErr w:type="spellEnd"/>
      <w:r>
        <w:t xml:space="preserve">̆ </w:t>
      </w:r>
      <w:proofErr w:type="spellStart"/>
      <w:r>
        <w:t>угольнои</w:t>
      </w:r>
      <w:proofErr w:type="spellEnd"/>
      <w:r>
        <w:t>̆ генерации, включая стоимость выбросов</w:t>
      </w:r>
      <w:r w:rsidRPr="001149C4">
        <w:t xml:space="preserve"> CO</w:t>
      </w:r>
      <w:r w:rsidRPr="001149C4">
        <w:rPr>
          <w:vertAlign w:val="subscript"/>
        </w:rPr>
        <w:t>2</w:t>
      </w:r>
      <w:r>
        <w:t xml:space="preserve">. </w:t>
      </w:r>
      <w:proofErr w:type="spellStart"/>
      <w:r>
        <w:t>Чистыи</w:t>
      </w:r>
      <w:proofErr w:type="spellEnd"/>
      <w:r>
        <w:t xml:space="preserve">̆ </w:t>
      </w:r>
      <w:proofErr w:type="spellStart"/>
      <w:r>
        <w:t>спарк</w:t>
      </w:r>
      <w:proofErr w:type="spellEnd"/>
      <w:r>
        <w:t xml:space="preserve"> спрэд – аналогичный показатель для газовой генерации.</w:t>
      </w:r>
    </w:p>
  </w:footnote>
  <w:footnote w:id="5">
    <w:p w14:paraId="76E85F30" w14:textId="77777777" w:rsidR="00BA77D7" w:rsidRDefault="00BA77D7" w:rsidP="00905C0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9C4">
        <w:t xml:space="preserve">Т. </w:t>
      </w:r>
      <w:proofErr w:type="spellStart"/>
      <w:r w:rsidRPr="001149C4">
        <w:t>Митрова</w:t>
      </w:r>
      <w:proofErr w:type="spellEnd"/>
      <w:r w:rsidRPr="001149C4">
        <w:t xml:space="preserve">, Д. Стерн, М. Белова, Европейский газовый рынок: Мечты не всегда сбываются// Энергетический центр Московской школы управления </w:t>
      </w:r>
      <w:proofErr w:type="spellStart"/>
      <w:r w:rsidRPr="001149C4">
        <w:t>Сколково</w:t>
      </w:r>
      <w:proofErr w:type="spellEnd"/>
      <w:r w:rsidRPr="001149C4">
        <w:t>, 2012</w:t>
      </w:r>
      <w:r>
        <w:t xml:space="preserve">, стр. 12. </w:t>
      </w:r>
    </w:p>
  </w:footnote>
  <w:footnote w:id="6">
    <w:p w14:paraId="4B98B83C" w14:textId="77777777" w:rsidR="00BA77D7" w:rsidRPr="002C2B99" w:rsidRDefault="00BA77D7" w:rsidP="00905C0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E4430">
        <w:t xml:space="preserve">K.E. </w:t>
      </w:r>
      <w:proofErr w:type="spellStart"/>
      <w:r w:rsidRPr="001E4430">
        <w:t>Carlson</w:t>
      </w:r>
      <w:proofErr w:type="spellEnd"/>
      <w:r w:rsidRPr="001E4430">
        <w:t xml:space="preserve">, </w:t>
      </w:r>
      <w:proofErr w:type="spellStart"/>
      <w:r w:rsidRPr="001E4430">
        <w:t>Fossil</w:t>
      </w:r>
      <w:proofErr w:type="spellEnd"/>
      <w:r w:rsidRPr="001E4430">
        <w:t xml:space="preserve"> </w:t>
      </w:r>
      <w:proofErr w:type="spellStart"/>
      <w:r w:rsidRPr="001E4430">
        <w:t>Fuels</w:t>
      </w:r>
      <w:proofErr w:type="spellEnd"/>
      <w:r w:rsidRPr="001E4430">
        <w:t xml:space="preserve">// L. F. </w:t>
      </w:r>
      <w:proofErr w:type="spellStart"/>
      <w:r w:rsidRPr="001E4430">
        <w:t>Drbal</w:t>
      </w:r>
      <w:proofErr w:type="spellEnd"/>
      <w:r w:rsidRPr="001E4430">
        <w:t xml:space="preserve"> </w:t>
      </w:r>
      <w:proofErr w:type="spellStart"/>
      <w:r w:rsidRPr="001E4430">
        <w:t>et</w:t>
      </w:r>
      <w:proofErr w:type="spellEnd"/>
      <w:r w:rsidRPr="001E4430">
        <w:t xml:space="preserve"> </w:t>
      </w:r>
      <w:proofErr w:type="spellStart"/>
      <w:r w:rsidRPr="001E4430">
        <w:t>al</w:t>
      </w:r>
      <w:proofErr w:type="spellEnd"/>
      <w:r w:rsidRPr="001E4430">
        <w:t>. (</w:t>
      </w:r>
      <w:proofErr w:type="spellStart"/>
      <w:r w:rsidRPr="001E4430">
        <w:t>eds</w:t>
      </w:r>
      <w:proofErr w:type="spellEnd"/>
      <w:r w:rsidRPr="001E4430">
        <w:t xml:space="preserve">.), </w:t>
      </w:r>
      <w:proofErr w:type="spellStart"/>
      <w:r w:rsidRPr="001E4430">
        <w:t>Power</w:t>
      </w:r>
      <w:proofErr w:type="spellEnd"/>
      <w:r w:rsidRPr="001E4430">
        <w:t xml:space="preserve"> </w:t>
      </w:r>
      <w:proofErr w:type="spellStart"/>
      <w:r w:rsidRPr="001E4430">
        <w:t>Plant</w:t>
      </w:r>
      <w:proofErr w:type="spellEnd"/>
      <w:r w:rsidRPr="001E4430">
        <w:t xml:space="preserve"> </w:t>
      </w:r>
      <w:proofErr w:type="spellStart"/>
      <w:r w:rsidRPr="001E4430">
        <w:t>Engineering</w:t>
      </w:r>
      <w:proofErr w:type="spellEnd"/>
      <w:r w:rsidRPr="001E4430">
        <w:t xml:space="preserve">, </w:t>
      </w:r>
      <w:proofErr w:type="spellStart"/>
      <w:r w:rsidRPr="001E4430">
        <w:t>Chapman</w:t>
      </w:r>
      <w:proofErr w:type="spellEnd"/>
      <w:r w:rsidRPr="001E4430">
        <w:t xml:space="preserve"> &amp; </w:t>
      </w:r>
      <w:proofErr w:type="spellStart"/>
      <w:r w:rsidRPr="001E4430">
        <w:t>Hall</w:t>
      </w:r>
      <w:proofErr w:type="spellEnd"/>
      <w:r w:rsidRPr="001E4430">
        <w:t>, 1996, p.</w:t>
      </w:r>
      <w:r>
        <w:t xml:space="preserve"> 119</w:t>
      </w:r>
    </w:p>
  </w:footnote>
  <w:footnote w:id="7">
    <w:p w14:paraId="09827DBD" w14:textId="77777777" w:rsidR="00BA77D7" w:rsidRPr="003F0512" w:rsidRDefault="00BA77D7" w:rsidP="000A4C50">
      <w:pPr>
        <w:pStyle w:val="FootnoteText"/>
        <w:jc w:val="both"/>
      </w:pPr>
      <w:r>
        <w:rPr>
          <w:rStyle w:val="FootnoteReference"/>
        </w:rPr>
        <w:footnoteRef/>
      </w:r>
      <w:r w:rsidRPr="003F0512">
        <w:t xml:space="preserve"> </w:t>
      </w:r>
      <w:r>
        <w:rPr>
          <w:lang w:val="en-US"/>
        </w:rPr>
        <w:t>Total</w:t>
      </w:r>
      <w:r w:rsidRPr="003F0512">
        <w:t xml:space="preserve"> </w:t>
      </w:r>
      <w:r>
        <w:rPr>
          <w:lang w:val="en-US"/>
        </w:rPr>
        <w:t>Primary</w:t>
      </w:r>
      <w:r w:rsidRPr="003F0512">
        <w:t xml:space="preserve"> </w:t>
      </w:r>
      <w:r>
        <w:rPr>
          <w:lang w:val="en-US"/>
        </w:rPr>
        <w:t>Energy</w:t>
      </w:r>
      <w:r w:rsidRPr="003F0512">
        <w:t xml:space="preserve"> </w:t>
      </w:r>
      <w:r>
        <w:rPr>
          <w:lang w:val="en-US"/>
        </w:rPr>
        <w:t>Supply</w:t>
      </w:r>
    </w:p>
  </w:footnote>
  <w:footnote w:id="8">
    <w:p w14:paraId="6E1E80F7" w14:textId="77777777" w:rsidR="00BA77D7" w:rsidRPr="006A3ACC" w:rsidRDefault="00BA77D7" w:rsidP="000A4C50">
      <w:pPr>
        <w:pStyle w:val="FootnoteText"/>
        <w:jc w:val="both"/>
      </w:pPr>
      <w:r>
        <w:rPr>
          <w:rStyle w:val="FootnoteReference"/>
        </w:rPr>
        <w:footnoteRef/>
      </w:r>
      <w:r w:rsidRPr="006A3ACC">
        <w:t xml:space="preserve"> </w:t>
      </w:r>
      <w:r>
        <w:t>Теплотворность разделяется на высшую, где учитывается теплота от конденсации водяного пара, и низшую (или чистую), где это значение не учитывается.</w:t>
      </w:r>
    </w:p>
  </w:footnote>
  <w:footnote w:id="9">
    <w:p w14:paraId="2346849C" w14:textId="77777777" w:rsidR="00BA77D7" w:rsidRPr="003F0512" w:rsidRDefault="00BA77D7">
      <w:pPr>
        <w:pStyle w:val="FootnoteText"/>
      </w:pPr>
      <w:r>
        <w:rPr>
          <w:rStyle w:val="FootnoteReference"/>
        </w:rPr>
        <w:footnoteRef/>
      </w:r>
      <w:r w:rsidRPr="003F0512">
        <w:t xml:space="preserve"> 2012 </w:t>
      </w:r>
      <w:r w:rsidRPr="00383488">
        <w:rPr>
          <w:lang w:val="en-US"/>
        </w:rPr>
        <w:t>Key</w:t>
      </w:r>
      <w:r w:rsidRPr="003F0512">
        <w:t xml:space="preserve"> </w:t>
      </w:r>
      <w:r w:rsidRPr="00383488">
        <w:rPr>
          <w:lang w:val="en-US"/>
        </w:rPr>
        <w:t>World</w:t>
      </w:r>
      <w:r w:rsidRPr="003F0512">
        <w:t xml:space="preserve"> </w:t>
      </w:r>
      <w:r w:rsidRPr="00383488">
        <w:rPr>
          <w:lang w:val="en-US"/>
        </w:rPr>
        <w:t>Energy</w:t>
      </w:r>
      <w:r w:rsidRPr="003F0512">
        <w:t xml:space="preserve"> </w:t>
      </w:r>
      <w:r w:rsidRPr="00383488">
        <w:rPr>
          <w:lang w:val="en-US"/>
        </w:rPr>
        <w:t>Statistics</w:t>
      </w:r>
      <w:r w:rsidRPr="003F0512">
        <w:t>// МЭА, 2012</w:t>
      </w:r>
    </w:p>
  </w:footnote>
  <w:footnote w:id="10">
    <w:p w14:paraId="635A1855" w14:textId="77777777" w:rsidR="00BA77D7" w:rsidRPr="00460235" w:rsidRDefault="00BA77D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460235">
        <w:rPr>
          <w:lang w:val="en-US"/>
        </w:rPr>
        <w:t xml:space="preserve"> </w:t>
      </w:r>
      <w:r>
        <w:rPr>
          <w:lang w:val="en-US"/>
        </w:rPr>
        <w:t xml:space="preserve">PricewaterhouseCoopers, </w:t>
      </w:r>
      <w:r w:rsidRPr="00460235">
        <w:rPr>
          <w:lang w:val="en-US"/>
        </w:rPr>
        <w:t>The 12th Annual PwC G</w:t>
      </w:r>
      <w:r>
        <w:rPr>
          <w:lang w:val="en-US"/>
        </w:rPr>
        <w:t xml:space="preserve">lobal Power &amp; Utilities Survey// </w:t>
      </w:r>
      <w:hyperlink r:id="rId1" w:history="1">
        <w:r w:rsidRPr="00A96EF6">
          <w:rPr>
            <w:rStyle w:val="Hyperlink"/>
            <w:lang w:val="en-US"/>
          </w:rPr>
          <w:t>http://www.pwc.com</w:t>
        </w:r>
      </w:hyperlink>
      <w:r>
        <w:rPr>
          <w:lang w:val="en-US"/>
        </w:rPr>
        <w:t>. – 2012, P.</w:t>
      </w:r>
      <w:r w:rsidRPr="00460235">
        <w:rPr>
          <w:lang w:val="en-US"/>
        </w:rPr>
        <w:t xml:space="preserve"> 20</w:t>
      </w:r>
    </w:p>
  </w:footnote>
  <w:footnote w:id="11">
    <w:p w14:paraId="12644F8C" w14:textId="4140EC34" w:rsidR="00BA77D7" w:rsidRPr="002C6CCA" w:rsidRDefault="00BA77D7" w:rsidP="000A4C50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2C6CCA">
        <w:rPr>
          <w:lang w:val="en-US"/>
        </w:rPr>
        <w:t xml:space="preserve"> </w:t>
      </w:r>
      <w:r>
        <w:rPr>
          <w:lang w:val="en-US"/>
        </w:rPr>
        <w:t xml:space="preserve">S. </w:t>
      </w:r>
      <w:proofErr w:type="spellStart"/>
      <w:r>
        <w:rPr>
          <w:lang w:val="en-US"/>
        </w:rPr>
        <w:t>Teske</w:t>
      </w:r>
      <w:proofErr w:type="spellEnd"/>
      <w:r w:rsidRPr="002C6CCA">
        <w:rPr>
          <w:lang w:val="en-US"/>
        </w:rPr>
        <w:t xml:space="preserve">, </w:t>
      </w:r>
      <w:r>
        <w:rPr>
          <w:lang w:val="en-US"/>
        </w:rPr>
        <w:t xml:space="preserve">Energy [R]evolution 2012 // </w:t>
      </w:r>
      <w:r w:rsidRPr="002C6CCA">
        <w:rPr>
          <w:lang w:val="en-US"/>
        </w:rPr>
        <w:t>Greenpeace International</w:t>
      </w:r>
      <w:r>
        <w:rPr>
          <w:lang w:val="en-US"/>
        </w:rPr>
        <w:t>, 2012, p. 15</w:t>
      </w:r>
    </w:p>
  </w:footnote>
  <w:footnote w:id="12">
    <w:p w14:paraId="2D4C5918" w14:textId="10BA6697" w:rsidR="00BA77D7" w:rsidRPr="004A2FBD" w:rsidRDefault="00BA77D7" w:rsidP="000A4C50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B. </w:t>
      </w:r>
      <w:proofErr w:type="spellStart"/>
      <w:r>
        <w:rPr>
          <w:lang w:val="en-US"/>
        </w:rPr>
        <w:t>Liddle</w:t>
      </w:r>
      <w:proofErr w:type="spellEnd"/>
      <w:r>
        <w:rPr>
          <w:lang w:val="en-US"/>
        </w:rPr>
        <w:t>,</w:t>
      </w:r>
      <w:r w:rsidRPr="00AD2575">
        <w:rPr>
          <w:lang w:val="en-US"/>
        </w:rPr>
        <w:t xml:space="preserve"> Breaks and trends in OE</w:t>
      </w:r>
      <w:r>
        <w:rPr>
          <w:lang w:val="en-US"/>
        </w:rPr>
        <w:t xml:space="preserve">CD countries’ energy–GDP ratios// Energy Policy, </w:t>
      </w:r>
      <w:r>
        <w:t>№</w:t>
      </w:r>
      <w:r>
        <w:rPr>
          <w:lang w:val="en-US"/>
        </w:rPr>
        <w:t>45, 2012, p. 50</w:t>
      </w:r>
      <w:r w:rsidRPr="004A2FBD">
        <w:rPr>
          <w:lang w:val="en-US"/>
        </w:rPr>
        <w:t>3</w:t>
      </w:r>
    </w:p>
  </w:footnote>
  <w:footnote w:id="13">
    <w:p w14:paraId="6502C023" w14:textId="38B55276" w:rsidR="00BA77D7" w:rsidRPr="002222BE" w:rsidRDefault="00BA77D7" w:rsidP="000A4C50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2222BE">
        <w:rPr>
          <w:lang w:val="en-US"/>
        </w:rPr>
        <w:t xml:space="preserve"> </w:t>
      </w:r>
      <w:r>
        <w:rPr>
          <w:lang w:val="en-US"/>
        </w:rPr>
        <w:t xml:space="preserve">K. </w:t>
      </w:r>
      <w:r w:rsidRPr="002222BE">
        <w:rPr>
          <w:lang w:val="en-US"/>
        </w:rPr>
        <w:t>Chai</w:t>
      </w:r>
      <w:r>
        <w:rPr>
          <w:lang w:val="en-US"/>
        </w:rPr>
        <w:t>, C.</w:t>
      </w:r>
      <w:r w:rsidRPr="002222BE">
        <w:rPr>
          <w:lang w:val="en-US"/>
        </w:rPr>
        <w:t xml:space="preserve"> Yeo, Overcoming energy efficiency barriers through systems </w:t>
      </w:r>
      <w:r>
        <w:rPr>
          <w:lang w:val="en-US"/>
        </w:rPr>
        <w:t>approach—A conceptual framework//</w:t>
      </w:r>
      <w:r w:rsidRPr="002222BE">
        <w:rPr>
          <w:lang w:val="en-US"/>
        </w:rPr>
        <w:t xml:space="preserve"> </w:t>
      </w:r>
      <w:r>
        <w:rPr>
          <w:lang w:val="en-US"/>
        </w:rPr>
        <w:t>Energy Policy,</w:t>
      </w:r>
      <w:r w:rsidRPr="002222BE">
        <w:rPr>
          <w:lang w:val="en-US"/>
        </w:rPr>
        <w:t xml:space="preserve"> №</w:t>
      </w:r>
      <w:r>
        <w:rPr>
          <w:lang w:val="en-US"/>
        </w:rPr>
        <w:t>46, 2012,</w:t>
      </w:r>
      <w:r w:rsidRPr="002222BE">
        <w:rPr>
          <w:lang w:val="en-US"/>
        </w:rPr>
        <w:t xml:space="preserve"> </w:t>
      </w:r>
      <w:r>
        <w:rPr>
          <w:lang w:val="en-US"/>
        </w:rPr>
        <w:t>p. 462</w:t>
      </w:r>
    </w:p>
  </w:footnote>
  <w:footnote w:id="14">
    <w:p w14:paraId="61E91D44" w14:textId="4642D287" w:rsidR="00BA77D7" w:rsidRDefault="00BA77D7">
      <w:pPr>
        <w:pStyle w:val="FootnoteText"/>
      </w:pPr>
      <w:r>
        <w:rPr>
          <w:rStyle w:val="FootnoteReference"/>
        </w:rPr>
        <w:footnoteRef/>
      </w:r>
      <w:r>
        <w:t xml:space="preserve"> Статистические данные Международного энергетического агентства</w:t>
      </w:r>
    </w:p>
  </w:footnote>
  <w:footnote w:id="15">
    <w:p w14:paraId="65A08669" w14:textId="77777777" w:rsidR="00BA77D7" w:rsidRDefault="00BA77D7" w:rsidP="00D216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Ibid</w:t>
      </w:r>
      <w:proofErr w:type="spellEnd"/>
      <w:r>
        <w:t>.</w:t>
      </w:r>
    </w:p>
  </w:footnote>
  <w:footnote w:id="16">
    <w:p w14:paraId="462BCF7D" w14:textId="77777777" w:rsidR="00BA77D7" w:rsidRDefault="00BA77D7" w:rsidP="00507E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5193">
        <w:rPr>
          <w:lang w:val="en-US"/>
        </w:rPr>
        <w:t>Barclays, China’s commodity intensity// Cross Currents, 2012</w:t>
      </w:r>
    </w:p>
  </w:footnote>
  <w:footnote w:id="17">
    <w:p w14:paraId="2407CC12" w14:textId="0B754352" w:rsidR="00BA77D7" w:rsidRDefault="00BA77D7" w:rsidP="00FA196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Статистические данные Государственного статистического управления КНР</w:t>
      </w:r>
    </w:p>
  </w:footnote>
  <w:footnote w:id="18">
    <w:p w14:paraId="0D6D39BD" w14:textId="606284FC" w:rsidR="00BA77D7" w:rsidRPr="00A843CD" w:rsidRDefault="00BA77D7" w:rsidP="00FA196E">
      <w:pPr>
        <w:pStyle w:val="FootnoteText"/>
        <w:jc w:val="both"/>
        <w:rPr>
          <w:lang w:val="en-US"/>
        </w:rPr>
      </w:pPr>
      <w:r w:rsidRPr="00A843CD">
        <w:rPr>
          <w:rStyle w:val="FootnoteReference"/>
        </w:rPr>
        <w:footnoteRef/>
      </w:r>
      <w:r w:rsidRPr="00A843CD">
        <w:t xml:space="preserve"> </w:t>
      </w:r>
      <w:proofErr w:type="spellStart"/>
      <w:r w:rsidRPr="00A843CD">
        <w:t>International</w:t>
      </w:r>
      <w:proofErr w:type="spellEnd"/>
      <w:r w:rsidRPr="00A843CD">
        <w:t xml:space="preserve"> </w:t>
      </w:r>
      <w:proofErr w:type="spellStart"/>
      <w:r w:rsidRPr="00A843CD">
        <w:t>Energy</w:t>
      </w:r>
      <w:proofErr w:type="spellEnd"/>
      <w:r w:rsidRPr="00A843CD">
        <w:t xml:space="preserve"> </w:t>
      </w:r>
      <w:proofErr w:type="spellStart"/>
      <w:r w:rsidRPr="00A843CD">
        <w:t>Agency</w:t>
      </w:r>
      <w:proofErr w:type="spellEnd"/>
      <w:r w:rsidRPr="00A843CD">
        <w:t xml:space="preserve"> (IEA), </w:t>
      </w:r>
      <w:proofErr w:type="spellStart"/>
      <w:r w:rsidRPr="00A843CD">
        <w:t>World</w:t>
      </w:r>
      <w:proofErr w:type="spellEnd"/>
      <w:r w:rsidRPr="00A843CD">
        <w:t xml:space="preserve"> </w:t>
      </w:r>
      <w:proofErr w:type="spellStart"/>
      <w:r w:rsidRPr="00A843CD">
        <w:t>Energy</w:t>
      </w:r>
      <w:proofErr w:type="spellEnd"/>
      <w:r w:rsidRPr="00A843CD">
        <w:t xml:space="preserve"> </w:t>
      </w:r>
      <w:proofErr w:type="spellStart"/>
      <w:r w:rsidRPr="00A843CD">
        <w:t>Outlook</w:t>
      </w:r>
      <w:proofErr w:type="spellEnd"/>
      <w:r w:rsidRPr="00A843CD">
        <w:t xml:space="preserve"> 2012// OECD/IEA, 2012, p. 521</w:t>
      </w:r>
    </w:p>
  </w:footnote>
  <w:footnote w:id="19">
    <w:p w14:paraId="0D12F284" w14:textId="48D780E3" w:rsidR="00BA77D7" w:rsidRDefault="00BA77D7" w:rsidP="00FA196E">
      <w:pPr>
        <w:pStyle w:val="FootnoteText"/>
        <w:jc w:val="both"/>
      </w:pPr>
      <w:r w:rsidRPr="00A843CD">
        <w:rPr>
          <w:rStyle w:val="FootnoteReference"/>
        </w:rPr>
        <w:footnoteRef/>
      </w:r>
      <w:r w:rsidRPr="00A843CD">
        <w:t>http://www.bloomberg.com/news/2013-04-02/standard-bank-signs-2-2-billion-energy-deal-with-china</w:t>
      </w:r>
      <w:r w:rsidRPr="00FC06FB">
        <w:t>-s-icbc.html</w:t>
      </w:r>
    </w:p>
  </w:footnote>
  <w:footnote w:id="20">
    <w:p w14:paraId="471079EA" w14:textId="77777777" w:rsidR="00BA77D7" w:rsidRDefault="00BA77D7">
      <w:pPr>
        <w:pStyle w:val="FootnoteText"/>
      </w:pPr>
      <w:r>
        <w:rPr>
          <w:rStyle w:val="FootnoteReference"/>
        </w:rPr>
        <w:footnoteRef/>
      </w:r>
      <w:r>
        <w:t xml:space="preserve"> По данным отчета </w:t>
      </w:r>
      <w:r w:rsidRPr="001F3C6B">
        <w:t>«О первой всекитайской проверке водных ресурсов» Министерства водного хозяйства КНР</w:t>
      </w:r>
    </w:p>
  </w:footnote>
  <w:footnote w:id="21">
    <w:p w14:paraId="3D2B487A" w14:textId="77777777" w:rsidR="00BA77D7" w:rsidRDefault="00BA77D7" w:rsidP="00FC06FB">
      <w:pPr>
        <w:pStyle w:val="FootnoteText"/>
      </w:pPr>
      <w:r>
        <w:rPr>
          <w:rStyle w:val="FootnoteReference"/>
        </w:rPr>
        <w:footnoteRef/>
      </w:r>
      <w:r>
        <w:t xml:space="preserve"> Статистические данные Международного энергетического агентства</w:t>
      </w:r>
    </w:p>
  </w:footnote>
  <w:footnote w:id="22">
    <w:p w14:paraId="5E21D8A7" w14:textId="77777777" w:rsidR="00BA77D7" w:rsidRDefault="00BA77D7" w:rsidP="00FA196E">
      <w:pPr>
        <w:pStyle w:val="FootnoteText"/>
        <w:jc w:val="both"/>
      </w:pPr>
      <w:r>
        <w:rPr>
          <w:rStyle w:val="FootnoteReference"/>
        </w:rPr>
        <w:footnoteRef/>
      </w:r>
      <w:r w:rsidRPr="003F0512">
        <w:rPr>
          <w:lang w:val="en-US"/>
        </w:rPr>
        <w:t xml:space="preserve"> World Bank and the Development Research Center of the State Council, P. R. China. 2013. China 2030: Building a Modern, Harmonious, and Creative Society. Washington, DC: World Bank. </w:t>
      </w:r>
      <w:r>
        <w:t>Шесть стратегически важных направлений развития Китая включают баланс государственной и частной роли в экономике, стимулирование инноваций, «зеленую экономику», социальную защиту, стабильность фискальной системы и гармоничные отношения с остальным миром.</w:t>
      </w:r>
    </w:p>
  </w:footnote>
  <w:footnote w:id="23">
    <w:p w14:paraId="037B392B" w14:textId="6E7ED60C" w:rsidR="00BA77D7" w:rsidRPr="00A843CD" w:rsidRDefault="00BA77D7" w:rsidP="00FA196E">
      <w:pPr>
        <w:pStyle w:val="FootnoteText"/>
        <w:jc w:val="both"/>
        <w:rPr>
          <w:lang w:val="en-US"/>
        </w:rPr>
      </w:pPr>
      <w:r w:rsidRPr="00A177A3">
        <w:rPr>
          <w:rStyle w:val="FootnoteReference"/>
        </w:rPr>
        <w:footnoteRef/>
      </w:r>
      <w:r w:rsidRPr="00A177A3">
        <w:t xml:space="preserve"> G. </w:t>
      </w:r>
      <w:proofErr w:type="spellStart"/>
      <w:r w:rsidRPr="00A177A3">
        <w:t>Zou</w:t>
      </w:r>
      <w:proofErr w:type="spellEnd"/>
      <w:r w:rsidRPr="00A177A3">
        <w:t xml:space="preserve">, </w:t>
      </w:r>
      <w:proofErr w:type="spellStart"/>
      <w:r w:rsidRPr="00A177A3">
        <w:t>The</w:t>
      </w:r>
      <w:proofErr w:type="spellEnd"/>
      <w:r w:rsidRPr="00A177A3">
        <w:t xml:space="preserve"> </w:t>
      </w:r>
      <w:proofErr w:type="spellStart"/>
      <w:r w:rsidRPr="00A177A3">
        <w:t>long-term</w:t>
      </w:r>
      <w:proofErr w:type="spellEnd"/>
      <w:r w:rsidRPr="00A177A3">
        <w:t xml:space="preserve"> </w:t>
      </w:r>
      <w:proofErr w:type="spellStart"/>
      <w:r w:rsidRPr="00A177A3">
        <w:t>relationships</w:t>
      </w:r>
      <w:proofErr w:type="spellEnd"/>
      <w:r w:rsidRPr="00A177A3">
        <w:t xml:space="preserve"> </w:t>
      </w:r>
      <w:proofErr w:type="spellStart"/>
      <w:r w:rsidRPr="00A177A3">
        <w:t>among</w:t>
      </w:r>
      <w:proofErr w:type="spellEnd"/>
      <w:r w:rsidRPr="00A177A3">
        <w:t xml:space="preserve"> </w:t>
      </w:r>
      <w:proofErr w:type="spellStart"/>
      <w:r w:rsidRPr="00A177A3">
        <w:t>China’s</w:t>
      </w:r>
      <w:proofErr w:type="spellEnd"/>
      <w:r w:rsidRPr="00A177A3">
        <w:t xml:space="preserve"> </w:t>
      </w:r>
      <w:proofErr w:type="spellStart"/>
      <w:r w:rsidRPr="00A177A3">
        <w:t>energy</w:t>
      </w:r>
      <w:proofErr w:type="spellEnd"/>
      <w:r w:rsidRPr="00A177A3">
        <w:t xml:space="preserve"> </w:t>
      </w:r>
      <w:proofErr w:type="spellStart"/>
      <w:r w:rsidRPr="00A177A3">
        <w:t>consumption</w:t>
      </w:r>
      <w:proofErr w:type="spellEnd"/>
      <w:r w:rsidRPr="00A177A3">
        <w:t xml:space="preserve"> </w:t>
      </w:r>
      <w:proofErr w:type="spellStart"/>
      <w:r w:rsidRPr="00A177A3">
        <w:t>sources</w:t>
      </w:r>
      <w:proofErr w:type="spellEnd"/>
      <w:r w:rsidRPr="00A177A3">
        <w:t xml:space="preserve"> </w:t>
      </w:r>
      <w:proofErr w:type="spellStart"/>
      <w:r w:rsidRPr="00A177A3">
        <w:t>and</w:t>
      </w:r>
      <w:proofErr w:type="spellEnd"/>
      <w:r w:rsidRPr="00FA196E">
        <w:t xml:space="preserve"> </w:t>
      </w:r>
      <w:proofErr w:type="spellStart"/>
      <w:r w:rsidRPr="00FA196E">
        <w:t>adjustments</w:t>
      </w:r>
      <w:proofErr w:type="spellEnd"/>
      <w:r w:rsidRPr="00FA196E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// </w:t>
      </w:r>
      <w:proofErr w:type="spellStart"/>
      <w:r w:rsidRPr="00FA196E">
        <w:t>Energy</w:t>
      </w:r>
      <w:proofErr w:type="spellEnd"/>
      <w:r w:rsidRPr="00FA196E">
        <w:t xml:space="preserve"> </w:t>
      </w:r>
      <w:proofErr w:type="spellStart"/>
      <w:r w:rsidRPr="00FA196E">
        <w:t>Policy</w:t>
      </w:r>
      <w:proofErr w:type="spellEnd"/>
      <w:r w:rsidRPr="00FA196E">
        <w:t xml:space="preserve">, </w:t>
      </w:r>
      <w:r>
        <w:t>№</w:t>
      </w:r>
      <w:r w:rsidRPr="00FA196E">
        <w:t xml:space="preserve">47, </w:t>
      </w:r>
      <w:r>
        <w:t>2012, p. 463</w:t>
      </w:r>
    </w:p>
  </w:footnote>
  <w:footnote w:id="24">
    <w:p w14:paraId="18AB24C9" w14:textId="0B8F9DF5" w:rsidR="00BA77D7" w:rsidRPr="005D0442" w:rsidRDefault="00BA77D7" w:rsidP="00AB0E1E">
      <w:pPr>
        <w:pStyle w:val="FootnoteText"/>
        <w:jc w:val="both"/>
        <w:rPr>
          <w:lang w:val="en-US"/>
        </w:rPr>
      </w:pPr>
      <w:r w:rsidRPr="00506CB5">
        <w:rPr>
          <w:rStyle w:val="FootnoteReference"/>
        </w:rPr>
        <w:footnoteRef/>
      </w:r>
      <w:r w:rsidRPr="00506CB5">
        <w:t xml:space="preserve"> M. </w:t>
      </w:r>
      <w:proofErr w:type="spellStart"/>
      <w:r w:rsidRPr="00506CB5">
        <w:t>Yang</w:t>
      </w:r>
      <w:proofErr w:type="spellEnd"/>
      <w:r w:rsidRPr="00506CB5">
        <w:t xml:space="preserve"> </w:t>
      </w:r>
      <w:proofErr w:type="spellStart"/>
      <w:r w:rsidRPr="00506CB5">
        <w:t>and</w:t>
      </w:r>
      <w:proofErr w:type="spellEnd"/>
      <w:r w:rsidRPr="00506CB5">
        <w:t xml:space="preserve"> F. </w:t>
      </w:r>
      <w:proofErr w:type="spellStart"/>
      <w:r w:rsidRPr="00506CB5">
        <w:t>Yang</w:t>
      </w:r>
      <w:proofErr w:type="spellEnd"/>
      <w:r w:rsidRPr="00506CB5">
        <w:t xml:space="preserve">, </w:t>
      </w:r>
      <w:proofErr w:type="spellStart"/>
      <w:r w:rsidRPr="00506CB5">
        <w:t>Negotiation</w:t>
      </w:r>
      <w:proofErr w:type="spellEnd"/>
      <w:r w:rsidRPr="00506CB5">
        <w:t xml:space="preserve"> </w:t>
      </w:r>
      <w:proofErr w:type="spellStart"/>
      <w:r w:rsidRPr="00506CB5">
        <w:t>in</w:t>
      </w:r>
      <w:proofErr w:type="spellEnd"/>
      <w:r w:rsidRPr="00506CB5">
        <w:t xml:space="preserve"> </w:t>
      </w:r>
      <w:proofErr w:type="spellStart"/>
      <w:r w:rsidRPr="00506CB5">
        <w:t>Decentralization</w:t>
      </w:r>
      <w:proofErr w:type="spellEnd"/>
      <w:r w:rsidRPr="00506CB5">
        <w:t xml:space="preserve">, </w:t>
      </w:r>
      <w:proofErr w:type="spellStart"/>
      <w:r w:rsidRPr="00506CB5">
        <w:t>Green</w:t>
      </w:r>
      <w:proofErr w:type="spellEnd"/>
      <w:r w:rsidRPr="00506CB5">
        <w:t xml:space="preserve"> </w:t>
      </w:r>
      <w:proofErr w:type="spellStart"/>
      <w:r w:rsidRPr="00506CB5">
        <w:t>Energy</w:t>
      </w:r>
      <w:proofErr w:type="spellEnd"/>
      <w:r w:rsidRPr="00506CB5">
        <w:t xml:space="preserve"> </w:t>
      </w:r>
      <w:proofErr w:type="spellStart"/>
      <w:r w:rsidRPr="00506CB5">
        <w:t>and</w:t>
      </w:r>
      <w:proofErr w:type="spellEnd"/>
      <w:r w:rsidRPr="00506CB5">
        <w:t xml:space="preserve"> </w:t>
      </w:r>
      <w:proofErr w:type="spellStart"/>
      <w:r w:rsidRPr="00506CB5">
        <w:t>Technology</w:t>
      </w:r>
      <w:proofErr w:type="spellEnd"/>
      <w:r w:rsidRPr="00506CB5">
        <w:t xml:space="preserve">// </w:t>
      </w:r>
      <w:proofErr w:type="spellStart"/>
      <w:r w:rsidRPr="00506CB5">
        <w:t>Springer-Verlag</w:t>
      </w:r>
      <w:proofErr w:type="spellEnd"/>
      <w:r w:rsidRPr="00506CB5">
        <w:t xml:space="preserve"> </w:t>
      </w:r>
      <w:proofErr w:type="spellStart"/>
      <w:r w:rsidRPr="00506CB5">
        <w:t>London</w:t>
      </w:r>
      <w:proofErr w:type="spellEnd"/>
      <w:r w:rsidRPr="00506CB5">
        <w:t>, 2012, p.</w:t>
      </w:r>
      <w:r>
        <w:t xml:space="preserve"> 66</w:t>
      </w:r>
    </w:p>
  </w:footnote>
  <w:footnote w:id="25">
    <w:p w14:paraId="538165EB" w14:textId="77777777" w:rsidR="00BA77D7" w:rsidRPr="003F0512" w:rsidRDefault="00BA77D7" w:rsidP="00457560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3F0512">
        <w:rPr>
          <w:lang w:val="en-US"/>
        </w:rPr>
        <w:t xml:space="preserve"> State Grid Corporation of China, China Southern Power Grid, China </w:t>
      </w:r>
      <w:proofErr w:type="spellStart"/>
      <w:r w:rsidRPr="003F0512">
        <w:rPr>
          <w:lang w:val="en-US"/>
        </w:rPr>
        <w:t>Datang</w:t>
      </w:r>
      <w:proofErr w:type="spellEnd"/>
      <w:r w:rsidRPr="003F0512">
        <w:rPr>
          <w:lang w:val="en-US"/>
        </w:rPr>
        <w:t xml:space="preserve"> Corporation, </w:t>
      </w:r>
      <w:proofErr w:type="spellStart"/>
      <w:r w:rsidRPr="003F0512">
        <w:rPr>
          <w:lang w:val="en-US"/>
        </w:rPr>
        <w:t>Datang</w:t>
      </w:r>
      <w:proofErr w:type="spellEnd"/>
      <w:r w:rsidRPr="003F0512">
        <w:rPr>
          <w:lang w:val="en-US"/>
        </w:rPr>
        <w:t xml:space="preserve"> International Power Generation Company, China </w:t>
      </w:r>
      <w:proofErr w:type="spellStart"/>
      <w:r w:rsidRPr="003F0512">
        <w:rPr>
          <w:lang w:val="en-US"/>
        </w:rPr>
        <w:t>Guodian</w:t>
      </w:r>
      <w:proofErr w:type="spellEnd"/>
      <w:r w:rsidRPr="003F0512">
        <w:rPr>
          <w:lang w:val="en-US"/>
        </w:rPr>
        <w:t xml:space="preserve"> Corporation, GD Power Development Company, China </w:t>
      </w:r>
      <w:proofErr w:type="spellStart"/>
      <w:r w:rsidRPr="003F0512">
        <w:rPr>
          <w:lang w:val="en-US"/>
        </w:rPr>
        <w:t>Huadian</w:t>
      </w:r>
      <w:proofErr w:type="spellEnd"/>
      <w:r w:rsidRPr="003F0512">
        <w:rPr>
          <w:lang w:val="en-US"/>
        </w:rPr>
        <w:t xml:space="preserve"> Corporation, </w:t>
      </w:r>
      <w:proofErr w:type="spellStart"/>
      <w:r w:rsidRPr="003F0512">
        <w:rPr>
          <w:lang w:val="en-US"/>
        </w:rPr>
        <w:t>Huadian</w:t>
      </w:r>
      <w:proofErr w:type="spellEnd"/>
      <w:r w:rsidRPr="003F0512">
        <w:rPr>
          <w:lang w:val="en-US"/>
        </w:rPr>
        <w:t xml:space="preserve"> Power International, China </w:t>
      </w:r>
      <w:proofErr w:type="spellStart"/>
      <w:r w:rsidRPr="003F0512">
        <w:rPr>
          <w:lang w:val="en-US"/>
        </w:rPr>
        <w:t>Huaneng</w:t>
      </w:r>
      <w:proofErr w:type="spellEnd"/>
      <w:r w:rsidRPr="003F0512">
        <w:rPr>
          <w:lang w:val="en-US"/>
        </w:rPr>
        <w:t xml:space="preserve"> Group, </w:t>
      </w:r>
      <w:proofErr w:type="spellStart"/>
      <w:r w:rsidRPr="003F0512">
        <w:rPr>
          <w:lang w:val="en-US"/>
        </w:rPr>
        <w:t>Huaneng</w:t>
      </w:r>
      <w:proofErr w:type="spellEnd"/>
      <w:r w:rsidRPr="003F0512">
        <w:rPr>
          <w:lang w:val="en-US"/>
        </w:rPr>
        <w:t xml:space="preserve"> Power International, China Power Investment Corporation, China Power International Development, China Resources Power, </w:t>
      </w:r>
      <w:proofErr w:type="spellStart"/>
      <w:r w:rsidRPr="003F0512">
        <w:rPr>
          <w:lang w:val="en-US"/>
        </w:rPr>
        <w:t>Shenhua</w:t>
      </w:r>
      <w:proofErr w:type="spellEnd"/>
      <w:r w:rsidRPr="003F0512">
        <w:rPr>
          <w:lang w:val="en-US"/>
        </w:rPr>
        <w:t xml:space="preserve"> Group, China </w:t>
      </w:r>
      <w:proofErr w:type="spellStart"/>
      <w:r w:rsidRPr="003F0512">
        <w:rPr>
          <w:lang w:val="en-US"/>
        </w:rPr>
        <w:t>Shenhua</w:t>
      </w:r>
      <w:proofErr w:type="spellEnd"/>
      <w:r w:rsidRPr="003F0512">
        <w:rPr>
          <w:lang w:val="en-US"/>
        </w:rPr>
        <w:t xml:space="preserve"> Energy Company, China Yangtze Power, China National Nuclear Corporation (CNNC), China Guangdong Nuclear Power Group, </w:t>
      </w:r>
      <w:proofErr w:type="spellStart"/>
      <w:r w:rsidRPr="003F0512">
        <w:rPr>
          <w:lang w:val="en-US"/>
        </w:rPr>
        <w:t>Shenergy</w:t>
      </w:r>
      <w:proofErr w:type="spellEnd"/>
      <w:r w:rsidRPr="003F0512">
        <w:rPr>
          <w:lang w:val="en-US"/>
        </w:rPr>
        <w:t xml:space="preserve"> Company, </w:t>
      </w:r>
      <w:proofErr w:type="spellStart"/>
      <w:r w:rsidRPr="003F0512">
        <w:rPr>
          <w:lang w:val="en-US"/>
        </w:rPr>
        <w:t>Shenergy</w:t>
      </w:r>
      <w:proofErr w:type="spellEnd"/>
      <w:r w:rsidRPr="003F0512">
        <w:rPr>
          <w:lang w:val="en-US"/>
        </w:rPr>
        <w:t xml:space="preserve"> Group, Shenzhen Energy, CHINT Group Corporation, </w:t>
      </w:r>
      <w:proofErr w:type="spellStart"/>
      <w:r w:rsidRPr="003F0512">
        <w:rPr>
          <w:lang w:val="en-US"/>
        </w:rPr>
        <w:t>Panjiang</w:t>
      </w:r>
      <w:proofErr w:type="spellEnd"/>
      <w:r w:rsidRPr="003F0512">
        <w:rPr>
          <w:lang w:val="en-US"/>
        </w:rPr>
        <w:t xml:space="preserve"> Coal, and Electric Power Group</w:t>
      </w:r>
    </w:p>
  </w:footnote>
  <w:footnote w:id="26">
    <w:p w14:paraId="262FCDC0" w14:textId="1628CA06" w:rsidR="00BA77D7" w:rsidRPr="0082252D" w:rsidRDefault="00BA77D7" w:rsidP="00AB0E1E">
      <w:pPr>
        <w:pStyle w:val="FootnoteText"/>
        <w:jc w:val="both"/>
        <w:rPr>
          <w:highlight w:val="yellow"/>
          <w:lang w:val="en-US"/>
        </w:rPr>
      </w:pPr>
      <w:r w:rsidRPr="00AB0E1E">
        <w:rPr>
          <w:rStyle w:val="FootnoteReference"/>
        </w:rPr>
        <w:footnoteRef/>
      </w:r>
      <w:r w:rsidRPr="00AB0E1E">
        <w:rPr>
          <w:lang w:val="en-US"/>
        </w:rPr>
        <w:t xml:space="preserve"> Z. Ming et al., New energy bases and sustainable development in China: A review// Renewable and Sustainable Ener</w:t>
      </w:r>
      <w:r>
        <w:rPr>
          <w:lang w:val="en-US"/>
        </w:rPr>
        <w:t>gy Reviews №20, 2013, p. 170</w:t>
      </w:r>
    </w:p>
  </w:footnote>
  <w:footnote w:id="27">
    <w:p w14:paraId="56595F97" w14:textId="2BC19B8B" w:rsidR="00BA77D7" w:rsidRDefault="00BA77D7" w:rsidP="00AB0E1E">
      <w:pPr>
        <w:pStyle w:val="FootnoteText"/>
        <w:jc w:val="both"/>
      </w:pPr>
      <w:r w:rsidRPr="00AB0E1E">
        <w:rPr>
          <w:rStyle w:val="FootnoteReference"/>
        </w:rPr>
        <w:footnoteRef/>
      </w:r>
      <w:r w:rsidRPr="00AB0E1E">
        <w:t xml:space="preserve"> http://www.bloomberg.com/apps/news?pid=newsarchive&amp;sid=aGFhpzllt9r8&amp;refer=china</w:t>
      </w:r>
    </w:p>
  </w:footnote>
  <w:footnote w:id="28">
    <w:p w14:paraId="12F50F60" w14:textId="77777777" w:rsidR="00BA77D7" w:rsidRPr="003F0512" w:rsidRDefault="00BA77D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F0512">
        <w:rPr>
          <w:lang w:val="en-US"/>
        </w:rPr>
        <w:t xml:space="preserve"> Catalogue of Industries for Guiding Foreign Investment (2011 Amendment)</w:t>
      </w:r>
    </w:p>
  </w:footnote>
  <w:footnote w:id="29">
    <w:p w14:paraId="5E5B9A6F" w14:textId="56B3A217" w:rsidR="00BA77D7" w:rsidRPr="00D10EE4" w:rsidRDefault="00BA77D7" w:rsidP="00217B57">
      <w:pPr>
        <w:pStyle w:val="FootnoteText"/>
        <w:jc w:val="both"/>
        <w:rPr>
          <w:lang w:val="en-US"/>
        </w:rPr>
      </w:pPr>
      <w:r w:rsidRPr="00217B57">
        <w:rPr>
          <w:rStyle w:val="FootnoteReference"/>
        </w:rPr>
        <w:footnoteRef/>
      </w:r>
      <w:r w:rsidRPr="00217B57">
        <w:rPr>
          <w:lang w:val="en-US"/>
        </w:rPr>
        <w:t xml:space="preserve"> P. Andrews-Speed, China’s Long Road to a Low-Carbon Economy: An Institutional Analysis// Transatlantic Academy, 2012, p. 17</w:t>
      </w:r>
    </w:p>
  </w:footnote>
  <w:footnote w:id="30">
    <w:p w14:paraId="7B4075E1" w14:textId="445E2106" w:rsidR="00BA77D7" w:rsidRPr="00A27922" w:rsidRDefault="00BA77D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F0512">
        <w:rPr>
          <w:lang w:val="en-US"/>
        </w:rPr>
        <w:t xml:space="preserve"> </w:t>
      </w:r>
      <w:proofErr w:type="spellStart"/>
      <w:r w:rsidRPr="008E1397">
        <w:rPr>
          <w:lang w:val="en-US"/>
        </w:rPr>
        <w:t>K.Wang</w:t>
      </w:r>
      <w:proofErr w:type="spellEnd"/>
      <w:r w:rsidRPr="008E1397">
        <w:rPr>
          <w:lang w:val="en-US"/>
        </w:rPr>
        <w:t xml:space="preserve">, Energy and emissions </w:t>
      </w:r>
      <w:proofErr w:type="spellStart"/>
      <w:r w:rsidRPr="008E1397">
        <w:rPr>
          <w:lang w:val="en-US"/>
        </w:rPr>
        <w:t>ef</w:t>
      </w:r>
      <w:proofErr w:type="spellEnd"/>
      <w:r w:rsidRPr="00B926BD">
        <w:t>ﬁ</w:t>
      </w:r>
      <w:proofErr w:type="spellStart"/>
      <w:r w:rsidRPr="008E1397">
        <w:rPr>
          <w:lang w:val="en-US"/>
        </w:rPr>
        <w:t>ciency</w:t>
      </w:r>
      <w:proofErr w:type="spellEnd"/>
      <w:r w:rsidRPr="008E1397">
        <w:rPr>
          <w:lang w:val="en-US"/>
        </w:rPr>
        <w:t xml:space="preserve"> patterns of Chinese regions: A multi-directional </w:t>
      </w:r>
      <w:proofErr w:type="spellStart"/>
      <w:r w:rsidRPr="008E1397">
        <w:rPr>
          <w:lang w:val="en-US"/>
        </w:rPr>
        <w:t>ef</w:t>
      </w:r>
      <w:proofErr w:type="spellEnd"/>
      <w:r>
        <w:t>ﬁ</w:t>
      </w:r>
      <w:proofErr w:type="spellStart"/>
      <w:r w:rsidRPr="008E1397">
        <w:rPr>
          <w:lang w:val="en-US"/>
        </w:rPr>
        <w:t>ciency</w:t>
      </w:r>
      <w:proofErr w:type="spellEnd"/>
      <w:r w:rsidRPr="008E1397">
        <w:rPr>
          <w:lang w:val="en-US"/>
        </w:rPr>
        <w:t xml:space="preserve"> analysis/</w:t>
      </w:r>
      <w:r>
        <w:rPr>
          <w:lang w:val="en-US"/>
        </w:rPr>
        <w:t>/</w:t>
      </w:r>
      <w:r w:rsidRPr="008E1397">
        <w:rPr>
          <w:lang w:val="en-US"/>
        </w:rPr>
        <w:t xml:space="preserve"> Applied Energy, 2012</w:t>
      </w:r>
    </w:p>
  </w:footnote>
  <w:footnote w:id="31">
    <w:p w14:paraId="72F7259B" w14:textId="77777777" w:rsidR="00BA77D7" w:rsidRPr="009569A5" w:rsidRDefault="00BA77D7" w:rsidP="00DC3B59">
      <w:pPr>
        <w:pStyle w:val="FootnoteText"/>
        <w:jc w:val="both"/>
      </w:pPr>
      <w:r>
        <w:rPr>
          <w:rStyle w:val="FootnoteReference"/>
        </w:rPr>
        <w:footnoteRef/>
      </w:r>
      <w:r w:rsidRPr="003F0512">
        <w:rPr>
          <w:lang w:val="en-US"/>
        </w:rPr>
        <w:t xml:space="preserve"> </w:t>
      </w:r>
      <w:r>
        <w:t>Группа</w:t>
      </w:r>
      <w:r w:rsidRPr="003F0512">
        <w:rPr>
          <w:lang w:val="en-US"/>
        </w:rPr>
        <w:t xml:space="preserve"> </w:t>
      </w:r>
      <w:r>
        <w:t>Запад</w:t>
      </w:r>
      <w:r w:rsidRPr="003F0512">
        <w:rPr>
          <w:lang w:val="en-US"/>
        </w:rPr>
        <w:t xml:space="preserve"> </w:t>
      </w:r>
      <w:r>
        <w:t>включает</w:t>
      </w:r>
      <w:r w:rsidRPr="003F0512">
        <w:rPr>
          <w:lang w:val="en-US"/>
        </w:rPr>
        <w:t xml:space="preserve"> </w:t>
      </w:r>
      <w:r>
        <w:t>провинции</w:t>
      </w:r>
      <w:r w:rsidRPr="003F0512">
        <w:rPr>
          <w:lang w:val="en-US"/>
        </w:rPr>
        <w:t xml:space="preserve"> </w:t>
      </w:r>
      <w:proofErr w:type="spellStart"/>
      <w:r>
        <w:t>Хэбэй</w:t>
      </w:r>
      <w:proofErr w:type="spellEnd"/>
      <w:r w:rsidRPr="003F0512">
        <w:rPr>
          <w:lang w:val="en-US"/>
        </w:rPr>
        <w:t xml:space="preserve">, </w:t>
      </w:r>
      <w:proofErr w:type="spellStart"/>
      <w:r>
        <w:t>Ляонин</w:t>
      </w:r>
      <w:proofErr w:type="spellEnd"/>
      <w:r w:rsidRPr="003F0512">
        <w:rPr>
          <w:lang w:val="en-US"/>
        </w:rPr>
        <w:t xml:space="preserve">, </w:t>
      </w:r>
      <w:proofErr w:type="spellStart"/>
      <w:r>
        <w:t>Цзилинь</w:t>
      </w:r>
      <w:proofErr w:type="spellEnd"/>
      <w:r w:rsidRPr="003F0512">
        <w:rPr>
          <w:lang w:val="en-US"/>
        </w:rPr>
        <w:t xml:space="preserve">, </w:t>
      </w:r>
      <w:proofErr w:type="spellStart"/>
      <w:r>
        <w:t>Хэйлунцзян</w:t>
      </w:r>
      <w:proofErr w:type="spellEnd"/>
      <w:r w:rsidRPr="003F0512">
        <w:rPr>
          <w:lang w:val="en-US"/>
        </w:rPr>
        <w:t xml:space="preserve">, </w:t>
      </w:r>
      <w:proofErr w:type="spellStart"/>
      <w:r>
        <w:t>Цзянсу</w:t>
      </w:r>
      <w:proofErr w:type="spellEnd"/>
      <w:r w:rsidRPr="003F0512">
        <w:rPr>
          <w:lang w:val="en-US"/>
        </w:rPr>
        <w:t xml:space="preserve">, </w:t>
      </w:r>
      <w:proofErr w:type="spellStart"/>
      <w:r>
        <w:t>Чжэцзян</w:t>
      </w:r>
      <w:proofErr w:type="spellEnd"/>
      <w:r w:rsidRPr="003F0512">
        <w:rPr>
          <w:lang w:val="en-US"/>
        </w:rPr>
        <w:t xml:space="preserve">, </w:t>
      </w:r>
      <w:proofErr w:type="spellStart"/>
      <w:r>
        <w:t>Фуцзянь</w:t>
      </w:r>
      <w:proofErr w:type="spellEnd"/>
      <w:r w:rsidRPr="003F0512">
        <w:rPr>
          <w:lang w:val="en-US"/>
        </w:rPr>
        <w:t xml:space="preserve">, </w:t>
      </w:r>
      <w:proofErr w:type="spellStart"/>
      <w:r>
        <w:t>Шаньдун</w:t>
      </w:r>
      <w:proofErr w:type="spellEnd"/>
      <w:r w:rsidRPr="003F0512">
        <w:rPr>
          <w:lang w:val="en-US"/>
        </w:rPr>
        <w:t xml:space="preserve">, </w:t>
      </w:r>
      <w:proofErr w:type="spellStart"/>
      <w:r>
        <w:t>Гуандун</w:t>
      </w:r>
      <w:proofErr w:type="spellEnd"/>
      <w:r w:rsidRPr="003F0512">
        <w:rPr>
          <w:lang w:val="en-US"/>
        </w:rPr>
        <w:t xml:space="preserve">, </w:t>
      </w:r>
      <w:proofErr w:type="spellStart"/>
      <w:r>
        <w:t>Хайнань</w:t>
      </w:r>
      <w:proofErr w:type="spellEnd"/>
      <w:r w:rsidRPr="003F0512">
        <w:rPr>
          <w:lang w:val="en-US"/>
        </w:rPr>
        <w:t xml:space="preserve"> </w:t>
      </w:r>
      <w:r>
        <w:t>и</w:t>
      </w:r>
      <w:r w:rsidRPr="003F0512">
        <w:rPr>
          <w:lang w:val="en-US"/>
        </w:rPr>
        <w:t xml:space="preserve"> </w:t>
      </w:r>
      <w:r>
        <w:t>города</w:t>
      </w:r>
      <w:r w:rsidRPr="003F0512">
        <w:rPr>
          <w:lang w:val="en-US"/>
        </w:rPr>
        <w:t xml:space="preserve"> </w:t>
      </w:r>
      <w:r>
        <w:t>центрального</w:t>
      </w:r>
      <w:r w:rsidRPr="003F0512">
        <w:rPr>
          <w:lang w:val="en-US"/>
        </w:rPr>
        <w:t xml:space="preserve"> </w:t>
      </w:r>
      <w:r>
        <w:t>подчинения</w:t>
      </w:r>
      <w:r w:rsidRPr="003F0512">
        <w:rPr>
          <w:lang w:val="en-US"/>
        </w:rPr>
        <w:t xml:space="preserve"> </w:t>
      </w:r>
      <w:r>
        <w:t>Пекин</w:t>
      </w:r>
      <w:r w:rsidRPr="003F0512">
        <w:rPr>
          <w:lang w:val="en-US"/>
        </w:rPr>
        <w:t xml:space="preserve">, </w:t>
      </w:r>
      <w:r>
        <w:t>Шанхай</w:t>
      </w:r>
      <w:r w:rsidRPr="003F0512">
        <w:rPr>
          <w:lang w:val="en-US"/>
        </w:rPr>
        <w:t xml:space="preserve">, </w:t>
      </w:r>
      <w:proofErr w:type="spellStart"/>
      <w:r>
        <w:t>Тяньцзинь</w:t>
      </w:r>
      <w:proofErr w:type="spellEnd"/>
      <w:r w:rsidRPr="003F0512">
        <w:rPr>
          <w:lang w:val="en-US"/>
        </w:rPr>
        <w:t xml:space="preserve">. </w:t>
      </w:r>
      <w:r>
        <w:t xml:space="preserve">Группа Центр объединяет автономный район Внутренняя Монголия, провинции </w:t>
      </w:r>
      <w:proofErr w:type="spellStart"/>
      <w:r>
        <w:t>Шаньси</w:t>
      </w:r>
      <w:proofErr w:type="spellEnd"/>
      <w:r>
        <w:t xml:space="preserve">, </w:t>
      </w:r>
      <w:proofErr w:type="spellStart"/>
      <w:r>
        <w:t>Аньхой</w:t>
      </w:r>
      <w:proofErr w:type="spellEnd"/>
      <w:r>
        <w:t xml:space="preserve">, </w:t>
      </w:r>
      <w:proofErr w:type="spellStart"/>
      <w:r>
        <w:t>Цзянси</w:t>
      </w:r>
      <w:proofErr w:type="spellEnd"/>
      <w:r>
        <w:t xml:space="preserve">, </w:t>
      </w:r>
      <w:proofErr w:type="spellStart"/>
      <w:r>
        <w:t>Хэнань</w:t>
      </w:r>
      <w:proofErr w:type="spellEnd"/>
      <w:r>
        <w:t xml:space="preserve">, </w:t>
      </w:r>
      <w:proofErr w:type="spellStart"/>
      <w:r>
        <w:t>Хубэй</w:t>
      </w:r>
      <w:proofErr w:type="spellEnd"/>
      <w:r>
        <w:t xml:space="preserve">, </w:t>
      </w:r>
      <w:proofErr w:type="spellStart"/>
      <w:r>
        <w:t>Хунань</w:t>
      </w:r>
      <w:proofErr w:type="spellEnd"/>
      <w:r>
        <w:t xml:space="preserve"> и </w:t>
      </w:r>
      <w:proofErr w:type="spellStart"/>
      <w:r>
        <w:t>Шэньси</w:t>
      </w:r>
      <w:proofErr w:type="spellEnd"/>
      <w:r>
        <w:t xml:space="preserve">. Группа Восток состоит из провинций Сычуань, </w:t>
      </w:r>
      <w:proofErr w:type="spellStart"/>
      <w:r>
        <w:t>Гуйчжоу</w:t>
      </w:r>
      <w:proofErr w:type="spellEnd"/>
      <w:r>
        <w:t xml:space="preserve">, </w:t>
      </w:r>
      <w:proofErr w:type="spellStart"/>
      <w:r>
        <w:t>Юньнань</w:t>
      </w:r>
      <w:proofErr w:type="spellEnd"/>
      <w:r>
        <w:t xml:space="preserve">, </w:t>
      </w:r>
      <w:proofErr w:type="spellStart"/>
      <w:r>
        <w:t>Ганьсу</w:t>
      </w:r>
      <w:proofErr w:type="spellEnd"/>
      <w:r>
        <w:t xml:space="preserve">, </w:t>
      </w:r>
      <w:proofErr w:type="spellStart"/>
      <w:r>
        <w:t>Цинхай</w:t>
      </w:r>
      <w:proofErr w:type="spellEnd"/>
      <w:r>
        <w:t xml:space="preserve">, </w:t>
      </w:r>
      <w:proofErr w:type="spellStart"/>
      <w:r>
        <w:t>Гуанси-Чжуанского</w:t>
      </w:r>
      <w:proofErr w:type="spellEnd"/>
      <w:r>
        <w:t xml:space="preserve">, </w:t>
      </w:r>
      <w:proofErr w:type="spellStart"/>
      <w:r>
        <w:t>Нинся-Хуэйского</w:t>
      </w:r>
      <w:proofErr w:type="spellEnd"/>
      <w:r>
        <w:t xml:space="preserve"> и Синьцзян-Уйгурского автономных районов и города центрального подчинения </w:t>
      </w:r>
      <w:proofErr w:type="spellStart"/>
      <w:r>
        <w:t>Чунцин</w:t>
      </w:r>
      <w:proofErr w:type="spellEnd"/>
      <w:r>
        <w:t xml:space="preserve">. </w:t>
      </w:r>
    </w:p>
  </w:footnote>
  <w:footnote w:id="32">
    <w:p w14:paraId="0E6AA8AB" w14:textId="77777777" w:rsidR="00BA77D7" w:rsidRDefault="00BA77D7">
      <w:pPr>
        <w:pStyle w:val="FootnoteText"/>
      </w:pPr>
      <w:r>
        <w:rPr>
          <w:rStyle w:val="FootnoteReference"/>
        </w:rPr>
        <w:footnoteRef/>
      </w:r>
      <w:r>
        <w:t xml:space="preserve"> Первый фронт включал прибрежные провинции, второй – провинции Центра, третий – западные и юго-западные провинции Китая.</w:t>
      </w:r>
    </w:p>
  </w:footnote>
  <w:footnote w:id="33">
    <w:p w14:paraId="1697EAC8" w14:textId="0F81210D" w:rsidR="00BA77D7" w:rsidRPr="002C205B" w:rsidRDefault="00BA77D7">
      <w:pPr>
        <w:pStyle w:val="FootnoteText"/>
        <w:rPr>
          <w:lang w:val="en-US"/>
        </w:rPr>
      </w:pPr>
      <w:r w:rsidRPr="007570FD">
        <w:rPr>
          <w:rStyle w:val="FootnoteReference"/>
        </w:rPr>
        <w:footnoteRef/>
      </w:r>
      <w:r w:rsidRPr="007570FD">
        <w:t xml:space="preserve"> </w:t>
      </w:r>
      <w:r>
        <w:t xml:space="preserve">Статистические данные </w:t>
      </w:r>
      <w:proofErr w:type="spellStart"/>
      <w:r>
        <w:rPr>
          <w:lang w:val="en-US"/>
        </w:rPr>
        <w:t>Sina</w:t>
      </w:r>
      <w:proofErr w:type="spellEnd"/>
      <w:r>
        <w:rPr>
          <w:lang w:val="en-US"/>
        </w:rPr>
        <w:t xml:space="preserve"> Corp</w:t>
      </w:r>
    </w:p>
  </w:footnote>
  <w:footnote w:id="34">
    <w:p w14:paraId="114B748E" w14:textId="0B17B869" w:rsidR="00BA77D7" w:rsidRPr="00D53EB8" w:rsidRDefault="00BA77D7">
      <w:pPr>
        <w:pStyle w:val="FootnoteText"/>
        <w:rPr>
          <w:highlight w:val="yellow"/>
        </w:rPr>
      </w:pPr>
      <w:r w:rsidRPr="00DC3EC6">
        <w:rPr>
          <w:rStyle w:val="FootnoteReference"/>
        </w:rPr>
        <w:footnoteRef/>
      </w:r>
      <w:r w:rsidRPr="00DC3EC6">
        <w:t xml:space="preserve"> </w:t>
      </w:r>
      <w:r w:rsidRPr="00C93951">
        <w:t>http://en.sxcoal.com/79027/NewsShow.html</w:t>
      </w:r>
    </w:p>
  </w:footnote>
  <w:footnote w:id="35">
    <w:p w14:paraId="7BC15AEF" w14:textId="6C06B23F" w:rsidR="00BA77D7" w:rsidRDefault="00BA77D7">
      <w:pPr>
        <w:pStyle w:val="FootnoteText"/>
      </w:pPr>
      <w:r w:rsidRPr="002C205B">
        <w:rPr>
          <w:rStyle w:val="FootnoteReference"/>
        </w:rPr>
        <w:footnoteRef/>
      </w:r>
      <w:r>
        <w:t xml:space="preserve"> Статистические данные </w:t>
      </w:r>
      <w:r>
        <w:rPr>
          <w:lang w:val="en-US"/>
        </w:rPr>
        <w:t>ICIS</w:t>
      </w:r>
      <w:r>
        <w:t xml:space="preserve"> </w:t>
      </w:r>
    </w:p>
  </w:footnote>
  <w:footnote w:id="36">
    <w:p w14:paraId="1C258D32" w14:textId="5B4E4C59" w:rsidR="00BA77D7" w:rsidRDefault="00BA77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2996">
        <w:t xml:space="preserve">N. </w:t>
      </w:r>
      <w:proofErr w:type="spellStart"/>
      <w:r w:rsidRPr="00162996">
        <w:t>Horii</w:t>
      </w:r>
      <w:proofErr w:type="spellEnd"/>
      <w:r w:rsidRPr="00162996">
        <w:t xml:space="preserve">, </w:t>
      </w:r>
      <w:proofErr w:type="spellStart"/>
      <w:r w:rsidRPr="00162996">
        <w:t>Transformation</w:t>
      </w:r>
      <w:proofErr w:type="spellEnd"/>
      <w:r w:rsidRPr="00162996">
        <w:t xml:space="preserve"> </w:t>
      </w:r>
      <w:proofErr w:type="spellStart"/>
      <w:r w:rsidRPr="00162996">
        <w:t>of</w:t>
      </w:r>
      <w:proofErr w:type="spellEnd"/>
      <w:r w:rsidRPr="00162996">
        <w:t xml:space="preserve"> </w:t>
      </w:r>
      <w:proofErr w:type="spellStart"/>
      <w:r w:rsidRPr="00162996">
        <w:t>China’s</w:t>
      </w:r>
      <w:proofErr w:type="spellEnd"/>
      <w:r w:rsidRPr="00162996">
        <w:t xml:space="preserve"> </w:t>
      </w:r>
      <w:proofErr w:type="spellStart"/>
      <w:r w:rsidRPr="00162996">
        <w:t>Energy</w:t>
      </w:r>
      <w:proofErr w:type="spellEnd"/>
      <w:r w:rsidRPr="00162996">
        <w:t xml:space="preserve"> </w:t>
      </w:r>
      <w:proofErr w:type="spellStart"/>
      <w:r w:rsidRPr="00162996">
        <w:t>Structure</w:t>
      </w:r>
      <w:proofErr w:type="spellEnd"/>
      <w:r w:rsidRPr="00162996">
        <w:t xml:space="preserve"> </w:t>
      </w:r>
      <w:proofErr w:type="spellStart"/>
      <w:r w:rsidRPr="00162996">
        <w:t>from</w:t>
      </w:r>
      <w:proofErr w:type="spellEnd"/>
      <w:r w:rsidRPr="00162996">
        <w:t xml:space="preserve"> </w:t>
      </w:r>
      <w:proofErr w:type="spellStart"/>
      <w:r w:rsidRPr="00162996">
        <w:t>Dependence</w:t>
      </w:r>
      <w:proofErr w:type="spellEnd"/>
      <w:r w:rsidRPr="00162996">
        <w:t xml:space="preserve"> </w:t>
      </w:r>
      <w:proofErr w:type="spellStart"/>
      <w:r w:rsidRPr="00162996">
        <w:t>on</w:t>
      </w:r>
      <w:proofErr w:type="spellEnd"/>
      <w:r w:rsidRPr="00162996">
        <w:t xml:space="preserve"> </w:t>
      </w:r>
      <w:proofErr w:type="spellStart"/>
      <w:r w:rsidRPr="00162996">
        <w:t>Coal</w:t>
      </w:r>
      <w:proofErr w:type="spellEnd"/>
      <w:r w:rsidRPr="00162996">
        <w:t xml:space="preserve"> </w:t>
      </w:r>
      <w:proofErr w:type="spellStart"/>
      <w:r w:rsidRPr="00162996">
        <w:t>During</w:t>
      </w:r>
      <w:proofErr w:type="spellEnd"/>
      <w:r w:rsidRPr="00162996">
        <w:t xml:space="preserve"> </w:t>
      </w:r>
      <w:proofErr w:type="spellStart"/>
      <w:r w:rsidRPr="00162996">
        <w:t>the</w:t>
      </w:r>
      <w:proofErr w:type="spellEnd"/>
      <w:r w:rsidRPr="00162996">
        <w:t xml:space="preserve"> 12th </w:t>
      </w:r>
      <w:proofErr w:type="spellStart"/>
      <w:r w:rsidRPr="00162996">
        <w:t>Five-Year</w:t>
      </w:r>
      <w:proofErr w:type="spellEnd"/>
      <w:r w:rsidRPr="00162996">
        <w:t xml:space="preserve"> </w:t>
      </w:r>
      <w:proofErr w:type="spellStart"/>
      <w:r w:rsidRPr="00162996">
        <w:t>Plan</w:t>
      </w:r>
      <w:proofErr w:type="spellEnd"/>
      <w:r w:rsidRPr="00162996">
        <w:t xml:space="preserve"> </w:t>
      </w:r>
      <w:proofErr w:type="spellStart"/>
      <w:r w:rsidRPr="00162996">
        <w:t>Period</w:t>
      </w:r>
      <w:proofErr w:type="spellEnd"/>
      <w:r w:rsidRPr="00162996">
        <w:t xml:space="preserve">// 2012 </w:t>
      </w:r>
      <w:proofErr w:type="spellStart"/>
      <w:r w:rsidRPr="00162996">
        <w:t>International</w:t>
      </w:r>
      <w:proofErr w:type="spellEnd"/>
      <w:r w:rsidRPr="00162996">
        <w:t xml:space="preserve"> </w:t>
      </w:r>
      <w:proofErr w:type="spellStart"/>
      <w:r w:rsidRPr="00162996">
        <w:t>Conference</w:t>
      </w:r>
      <w:proofErr w:type="spellEnd"/>
      <w:r w:rsidRPr="00162996">
        <w:t xml:space="preserve"> </w:t>
      </w:r>
      <w:proofErr w:type="spellStart"/>
      <w:r w:rsidRPr="00162996">
        <w:t>on</w:t>
      </w:r>
      <w:proofErr w:type="spellEnd"/>
      <w:r w:rsidRPr="00162996">
        <w:t xml:space="preserve"> </w:t>
      </w:r>
      <w:proofErr w:type="spellStart"/>
      <w:r w:rsidRPr="00162996">
        <w:t>Clean</w:t>
      </w:r>
      <w:proofErr w:type="spellEnd"/>
      <w:r w:rsidRPr="00162996">
        <w:t xml:space="preserve"> </w:t>
      </w:r>
      <w:proofErr w:type="spellStart"/>
      <w:r w:rsidRPr="00162996">
        <w:t>and</w:t>
      </w:r>
      <w:proofErr w:type="spellEnd"/>
      <w:r w:rsidRPr="00162996">
        <w:t xml:space="preserve"> </w:t>
      </w:r>
      <w:proofErr w:type="spellStart"/>
      <w:r w:rsidRPr="00162996">
        <w:t>Green</w:t>
      </w:r>
      <w:proofErr w:type="spellEnd"/>
      <w:r w:rsidRPr="00162996">
        <w:t xml:space="preserve"> </w:t>
      </w:r>
      <w:proofErr w:type="spellStart"/>
      <w:r w:rsidRPr="00162996">
        <w:t>Energ</w:t>
      </w:r>
      <w:r>
        <w:t>y</w:t>
      </w:r>
      <w:proofErr w:type="spellEnd"/>
      <w:r>
        <w:t>, IPCBEE vol.27, 2012, p. 85</w:t>
      </w:r>
    </w:p>
  </w:footnote>
  <w:footnote w:id="37">
    <w:p w14:paraId="0D203F0E" w14:textId="40F1DADB" w:rsidR="00BA77D7" w:rsidRDefault="00BA77D7" w:rsidP="00421BCD">
      <w:pPr>
        <w:pStyle w:val="FootnoteText"/>
        <w:jc w:val="both"/>
      </w:pPr>
      <w:r w:rsidRPr="000D023E">
        <w:rPr>
          <w:rStyle w:val="FootnoteReference"/>
        </w:rPr>
        <w:footnoteRef/>
      </w:r>
      <w:r w:rsidRPr="000D023E">
        <w:t xml:space="preserve"> N. </w:t>
      </w:r>
      <w:proofErr w:type="spellStart"/>
      <w:r w:rsidRPr="000D023E">
        <w:t>Zhou</w:t>
      </w:r>
      <w:proofErr w:type="spellEnd"/>
      <w:r w:rsidRPr="000D023E">
        <w:t xml:space="preserve"> </w:t>
      </w:r>
      <w:proofErr w:type="spellStart"/>
      <w:r w:rsidRPr="000D023E">
        <w:t>et</w:t>
      </w:r>
      <w:proofErr w:type="spellEnd"/>
      <w:r w:rsidRPr="000D023E">
        <w:t xml:space="preserve"> </w:t>
      </w:r>
      <w:proofErr w:type="spellStart"/>
      <w:r w:rsidRPr="000D023E">
        <w:t>al</w:t>
      </w:r>
      <w:proofErr w:type="spellEnd"/>
      <w:r w:rsidRPr="000D023E">
        <w:t xml:space="preserve">., </w:t>
      </w:r>
      <w:proofErr w:type="spellStart"/>
      <w:r w:rsidRPr="000D023E">
        <w:t>China’s</w:t>
      </w:r>
      <w:proofErr w:type="spellEnd"/>
      <w:r w:rsidRPr="000D023E">
        <w:t xml:space="preserve"> </w:t>
      </w:r>
      <w:proofErr w:type="spellStart"/>
      <w:r w:rsidRPr="000D023E">
        <w:t>energy</w:t>
      </w:r>
      <w:proofErr w:type="spellEnd"/>
      <w:r w:rsidRPr="000D023E">
        <w:t xml:space="preserve"> </w:t>
      </w:r>
      <w:proofErr w:type="spellStart"/>
      <w:r w:rsidRPr="000D023E">
        <w:t>and</w:t>
      </w:r>
      <w:proofErr w:type="spellEnd"/>
      <w:r w:rsidRPr="000D023E">
        <w:t xml:space="preserve"> </w:t>
      </w:r>
      <w:proofErr w:type="spellStart"/>
      <w:r w:rsidRPr="000D023E">
        <w:t>emissions</w:t>
      </w:r>
      <w:proofErr w:type="spellEnd"/>
      <w:r w:rsidRPr="000D023E">
        <w:t xml:space="preserve"> </w:t>
      </w:r>
      <w:proofErr w:type="spellStart"/>
      <w:r w:rsidRPr="000D023E">
        <w:t>outlook</w:t>
      </w:r>
      <w:proofErr w:type="spellEnd"/>
      <w:r w:rsidRPr="000D023E">
        <w:t xml:space="preserve"> </w:t>
      </w:r>
      <w:proofErr w:type="spellStart"/>
      <w:r w:rsidRPr="000D023E">
        <w:t>to</w:t>
      </w:r>
      <w:proofErr w:type="spellEnd"/>
      <w:r w:rsidRPr="000D023E">
        <w:t xml:space="preserve"> 2050: </w:t>
      </w:r>
      <w:proofErr w:type="spellStart"/>
      <w:r w:rsidRPr="000D023E">
        <w:t>Perspectives</w:t>
      </w:r>
      <w:proofErr w:type="spellEnd"/>
      <w:r w:rsidRPr="000D023E">
        <w:t xml:space="preserve"> </w:t>
      </w:r>
      <w:proofErr w:type="spellStart"/>
      <w:r w:rsidRPr="000D023E">
        <w:t>from</w:t>
      </w:r>
      <w:proofErr w:type="spellEnd"/>
      <w:r w:rsidRPr="000D023E">
        <w:t xml:space="preserve"> </w:t>
      </w:r>
      <w:proofErr w:type="spellStart"/>
      <w:r w:rsidRPr="000D023E">
        <w:t>bottom-up</w:t>
      </w:r>
      <w:proofErr w:type="spellEnd"/>
      <w:r w:rsidRPr="000D023E">
        <w:t xml:space="preserve"> </w:t>
      </w:r>
      <w:proofErr w:type="spellStart"/>
      <w:r w:rsidRPr="000D023E">
        <w:t>energy</w:t>
      </w:r>
      <w:proofErr w:type="spellEnd"/>
      <w:r w:rsidRPr="000D023E">
        <w:t xml:space="preserve"> </w:t>
      </w:r>
      <w:proofErr w:type="spellStart"/>
      <w:r w:rsidRPr="000D023E">
        <w:t>end-use</w:t>
      </w:r>
      <w:proofErr w:type="spellEnd"/>
      <w:r w:rsidRPr="000D023E">
        <w:t xml:space="preserve"> </w:t>
      </w:r>
      <w:proofErr w:type="spellStart"/>
      <w:r w:rsidRPr="000D023E">
        <w:t>model</w:t>
      </w:r>
      <w:proofErr w:type="spellEnd"/>
      <w:r w:rsidRPr="000D023E">
        <w:t xml:space="preserve">// </w:t>
      </w:r>
      <w:proofErr w:type="spellStart"/>
      <w:r w:rsidRPr="000D023E">
        <w:t>Energy</w:t>
      </w:r>
      <w:proofErr w:type="spellEnd"/>
      <w:r w:rsidRPr="000D023E">
        <w:t xml:space="preserve"> </w:t>
      </w:r>
      <w:proofErr w:type="spellStart"/>
      <w:r w:rsidRPr="000D023E">
        <w:t>Policy</w:t>
      </w:r>
      <w:proofErr w:type="spellEnd"/>
      <w:r w:rsidRPr="000D023E">
        <w:t>, №53, 2012, p.</w:t>
      </w:r>
      <w:r>
        <w:t xml:space="preserve"> 52</w:t>
      </w:r>
    </w:p>
  </w:footnote>
  <w:footnote w:id="38">
    <w:p w14:paraId="7866EBE9" w14:textId="618791EA" w:rsidR="00BA77D7" w:rsidRDefault="00BA77D7">
      <w:pPr>
        <w:pStyle w:val="FootnoteText"/>
      </w:pPr>
      <w:r w:rsidRPr="000D023E">
        <w:rPr>
          <w:rStyle w:val="FootnoteReference"/>
        </w:rPr>
        <w:footnoteRef/>
      </w:r>
      <w:r w:rsidRPr="000D023E">
        <w:t xml:space="preserve"> M. </w:t>
      </w:r>
      <w:proofErr w:type="spellStart"/>
      <w:r w:rsidRPr="000D023E">
        <w:t>Yang</w:t>
      </w:r>
      <w:proofErr w:type="spellEnd"/>
      <w:r w:rsidRPr="000D023E">
        <w:t xml:space="preserve"> </w:t>
      </w:r>
      <w:proofErr w:type="spellStart"/>
      <w:r w:rsidRPr="000D023E">
        <w:t>and</w:t>
      </w:r>
      <w:proofErr w:type="spellEnd"/>
      <w:r w:rsidRPr="000D023E">
        <w:t xml:space="preserve"> F. </w:t>
      </w:r>
      <w:proofErr w:type="spellStart"/>
      <w:r w:rsidRPr="000D023E">
        <w:t>Yang</w:t>
      </w:r>
      <w:proofErr w:type="spellEnd"/>
      <w:r w:rsidRPr="000D023E">
        <w:t xml:space="preserve">, </w:t>
      </w:r>
      <w:proofErr w:type="spellStart"/>
      <w:r w:rsidRPr="000D023E">
        <w:t>Negotiation</w:t>
      </w:r>
      <w:proofErr w:type="spellEnd"/>
      <w:r w:rsidRPr="000D023E">
        <w:t xml:space="preserve"> </w:t>
      </w:r>
      <w:proofErr w:type="spellStart"/>
      <w:r w:rsidRPr="000D023E">
        <w:t>in</w:t>
      </w:r>
      <w:proofErr w:type="spellEnd"/>
      <w:r w:rsidRPr="000D023E">
        <w:t xml:space="preserve"> </w:t>
      </w:r>
      <w:proofErr w:type="spellStart"/>
      <w:r w:rsidRPr="000D023E">
        <w:t>Decentralization</w:t>
      </w:r>
      <w:proofErr w:type="spellEnd"/>
      <w:r w:rsidRPr="000D023E">
        <w:t xml:space="preserve">, </w:t>
      </w:r>
      <w:proofErr w:type="spellStart"/>
      <w:r w:rsidRPr="000D023E">
        <w:t>Green</w:t>
      </w:r>
      <w:proofErr w:type="spellEnd"/>
      <w:r w:rsidRPr="000D023E">
        <w:t xml:space="preserve"> </w:t>
      </w:r>
      <w:proofErr w:type="spellStart"/>
      <w:r w:rsidRPr="000D023E">
        <w:t>Energy</w:t>
      </w:r>
      <w:proofErr w:type="spellEnd"/>
      <w:r w:rsidRPr="000D023E">
        <w:t xml:space="preserve"> </w:t>
      </w:r>
      <w:proofErr w:type="spellStart"/>
      <w:r w:rsidRPr="000D023E">
        <w:t>and</w:t>
      </w:r>
      <w:proofErr w:type="spellEnd"/>
      <w:r w:rsidRPr="000D023E">
        <w:t xml:space="preserve"> </w:t>
      </w:r>
      <w:proofErr w:type="spellStart"/>
      <w:r w:rsidRPr="000D023E">
        <w:t>Technology</w:t>
      </w:r>
      <w:proofErr w:type="spellEnd"/>
      <w:r w:rsidRPr="000D023E">
        <w:t xml:space="preserve">// </w:t>
      </w:r>
      <w:proofErr w:type="spellStart"/>
      <w:r w:rsidRPr="000D023E">
        <w:t>Spr</w:t>
      </w:r>
      <w:r>
        <w:t>inger-Verlag</w:t>
      </w:r>
      <w:proofErr w:type="spellEnd"/>
      <w:r>
        <w:t xml:space="preserve"> </w:t>
      </w:r>
      <w:proofErr w:type="spellStart"/>
      <w:r>
        <w:t>London</w:t>
      </w:r>
      <w:proofErr w:type="spellEnd"/>
      <w:r>
        <w:t>, 2012, p. 67</w:t>
      </w:r>
    </w:p>
  </w:footnote>
  <w:footnote w:id="39">
    <w:p w14:paraId="5C654E06" w14:textId="44FAD6BA" w:rsidR="00BA77D7" w:rsidRDefault="00BA77D7" w:rsidP="002E3B02">
      <w:pPr>
        <w:pStyle w:val="FootnoteText"/>
        <w:jc w:val="both"/>
      </w:pPr>
      <w:r w:rsidRPr="002E3B02">
        <w:rPr>
          <w:rStyle w:val="FootnoteReference"/>
        </w:rPr>
        <w:footnoteRef/>
      </w:r>
      <w:r w:rsidRPr="002E3B02">
        <w:t xml:space="preserve"> </w:t>
      </w:r>
      <w:proofErr w:type="spellStart"/>
      <w:r w:rsidRPr="002E3B02">
        <w:t>Ibid</w:t>
      </w:r>
      <w:proofErr w:type="spellEnd"/>
      <w:r w:rsidRPr="002E3B02">
        <w:t>., p. 67</w:t>
      </w:r>
    </w:p>
  </w:footnote>
  <w:footnote w:id="40">
    <w:p w14:paraId="2CD55741" w14:textId="0771341A" w:rsidR="00BA77D7" w:rsidRPr="003F0512" w:rsidRDefault="00BA77D7" w:rsidP="002E3B02">
      <w:pPr>
        <w:pStyle w:val="FootnoteText"/>
        <w:jc w:val="both"/>
        <w:rPr>
          <w:lang w:val="en-US"/>
        </w:rPr>
      </w:pPr>
      <w:r w:rsidRPr="002E3B02">
        <w:rPr>
          <w:rStyle w:val="FootnoteReference"/>
        </w:rPr>
        <w:footnoteRef/>
      </w:r>
      <w:r w:rsidRPr="002E3B02">
        <w:rPr>
          <w:lang w:val="en-US"/>
        </w:rPr>
        <w:t xml:space="preserve"> C.</w:t>
      </w:r>
      <w:r>
        <w:rPr>
          <w:lang w:val="en-US"/>
        </w:rPr>
        <w:t>-J.</w:t>
      </w:r>
      <w:r w:rsidRPr="002E3B02">
        <w:rPr>
          <w:lang w:val="en-US"/>
        </w:rPr>
        <w:t xml:space="preserve"> Yang, X. </w:t>
      </w:r>
      <w:proofErr w:type="spellStart"/>
      <w:r w:rsidRPr="002E3B02">
        <w:rPr>
          <w:lang w:val="en-US"/>
        </w:rPr>
        <w:t>Xuan</w:t>
      </w:r>
      <w:proofErr w:type="spellEnd"/>
      <w:r w:rsidRPr="002E3B02">
        <w:rPr>
          <w:lang w:val="en-US"/>
        </w:rPr>
        <w:t>, R. B. Jackson, China’s coal price disturbances: Observations, explanations, and implications for global energy economies// Energy Policy №51, 2012, p.722</w:t>
      </w:r>
    </w:p>
  </w:footnote>
  <w:footnote w:id="41">
    <w:p w14:paraId="180053F5" w14:textId="60DA593F" w:rsidR="00BA77D7" w:rsidRDefault="00BA77D7">
      <w:pPr>
        <w:pStyle w:val="FootnoteText"/>
      </w:pPr>
      <w:r w:rsidRPr="00AD0764">
        <w:rPr>
          <w:rStyle w:val="FootnoteReference"/>
        </w:rPr>
        <w:footnoteRef/>
      </w:r>
      <w:r w:rsidRPr="00AD0764">
        <w:t xml:space="preserve"> IEA, </w:t>
      </w:r>
      <w:proofErr w:type="spellStart"/>
      <w:r w:rsidRPr="00AD0764">
        <w:t>Cleaner</w:t>
      </w:r>
      <w:proofErr w:type="spellEnd"/>
      <w:r w:rsidRPr="00AD0764">
        <w:t xml:space="preserve"> </w:t>
      </w:r>
      <w:proofErr w:type="spellStart"/>
      <w:r w:rsidRPr="00AD0764">
        <w:t>coal</w:t>
      </w:r>
      <w:proofErr w:type="spellEnd"/>
      <w:r w:rsidRPr="00AD0764">
        <w:t xml:space="preserve"> </w:t>
      </w:r>
      <w:proofErr w:type="spellStart"/>
      <w:r w:rsidRPr="00AD0764">
        <w:t>in</w:t>
      </w:r>
      <w:proofErr w:type="spellEnd"/>
      <w:r w:rsidRPr="00AD0764">
        <w:t xml:space="preserve"> </w:t>
      </w:r>
      <w:proofErr w:type="spellStart"/>
      <w:r w:rsidRPr="00AD0764">
        <w:t>China</w:t>
      </w:r>
      <w:proofErr w:type="spellEnd"/>
      <w:r w:rsidRPr="00AD0764">
        <w:t>// OECD/IEA, 2009, p. 35</w:t>
      </w:r>
    </w:p>
  </w:footnote>
  <w:footnote w:id="42">
    <w:p w14:paraId="424990F1" w14:textId="42221FBD" w:rsidR="00BA77D7" w:rsidRDefault="00BA77D7">
      <w:pPr>
        <w:pStyle w:val="FootnoteText"/>
      </w:pPr>
      <w:r w:rsidRPr="0064690C">
        <w:rPr>
          <w:rStyle w:val="FootnoteReference"/>
        </w:rPr>
        <w:footnoteRef/>
      </w:r>
      <w:r w:rsidRPr="0064690C">
        <w:t xml:space="preserve"> Статистические данные Государственного статистического управления КНР</w:t>
      </w:r>
    </w:p>
  </w:footnote>
  <w:footnote w:id="43">
    <w:p w14:paraId="13380D83" w14:textId="7FCFD138" w:rsidR="00BA77D7" w:rsidRPr="004E4E1D" w:rsidRDefault="00BA77D7">
      <w:pPr>
        <w:pStyle w:val="FootnoteText"/>
        <w:rPr>
          <w:lang w:val="en-US"/>
        </w:rPr>
      </w:pPr>
      <w:r w:rsidRPr="004E4E1D">
        <w:rPr>
          <w:rStyle w:val="FootnoteReference"/>
        </w:rPr>
        <w:footnoteRef/>
      </w:r>
      <w:r w:rsidRPr="004E4E1D">
        <w:t xml:space="preserve"> </w:t>
      </w:r>
      <w:r w:rsidRPr="004E4E1D">
        <w:rPr>
          <w:lang w:val="en-US"/>
        </w:rPr>
        <w:t>Ibid.</w:t>
      </w:r>
    </w:p>
  </w:footnote>
  <w:footnote w:id="44">
    <w:p w14:paraId="0F8115C2" w14:textId="025E70EA" w:rsidR="00BA77D7" w:rsidRPr="004E4E1D" w:rsidRDefault="00BA77D7" w:rsidP="00C11171">
      <w:pPr>
        <w:pStyle w:val="FootnoteText"/>
      </w:pPr>
      <w:r w:rsidRPr="004E4E1D">
        <w:rPr>
          <w:rStyle w:val="FootnoteReference"/>
        </w:rPr>
        <w:footnoteRef/>
      </w:r>
      <w:r w:rsidRPr="004E4E1D">
        <w:t xml:space="preserve"> С.П. Попов, География газовой промышленности Китая// Институт систем энергетики им. Л.А. Мелентьева Сибирского отделения РАН, 2012, стр. 8</w:t>
      </w:r>
    </w:p>
  </w:footnote>
  <w:footnote w:id="45">
    <w:p w14:paraId="7FA55657" w14:textId="34FD8687" w:rsidR="00BA77D7" w:rsidRPr="004E4E1D" w:rsidRDefault="00BA77D7">
      <w:pPr>
        <w:pStyle w:val="FootnoteText"/>
        <w:rPr>
          <w:lang w:val="en-US"/>
        </w:rPr>
      </w:pPr>
      <w:r w:rsidRPr="004E4E1D">
        <w:rPr>
          <w:rStyle w:val="FootnoteReference"/>
        </w:rPr>
        <w:footnoteRef/>
      </w:r>
      <w:r w:rsidRPr="004E4E1D">
        <w:t xml:space="preserve"> </w:t>
      </w:r>
      <w:r w:rsidRPr="004E4E1D">
        <w:rPr>
          <w:lang w:val="en-US"/>
        </w:rPr>
        <w:t>Ibid., p.10</w:t>
      </w:r>
    </w:p>
  </w:footnote>
  <w:footnote w:id="46">
    <w:p w14:paraId="662C6F58" w14:textId="77777777" w:rsidR="00BA77D7" w:rsidRDefault="00BA77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1297">
        <w:t>Автомобильные газовые наполнительные компрессорные станции</w:t>
      </w:r>
    </w:p>
  </w:footnote>
  <w:footnote w:id="47">
    <w:p w14:paraId="55485EFA" w14:textId="2104D9AA" w:rsidR="00BA77D7" w:rsidRDefault="00BA77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1E55">
        <w:t xml:space="preserve">N. </w:t>
      </w:r>
      <w:proofErr w:type="spellStart"/>
      <w:r w:rsidRPr="001D1E55">
        <w:t>Higashi</w:t>
      </w:r>
      <w:proofErr w:type="spellEnd"/>
      <w:r w:rsidRPr="001D1E55">
        <w:t xml:space="preserve">, </w:t>
      </w:r>
      <w:proofErr w:type="spellStart"/>
      <w:r w:rsidRPr="001D1E55">
        <w:t>Natural</w:t>
      </w:r>
      <w:proofErr w:type="spellEnd"/>
      <w:r w:rsidRPr="001D1E55">
        <w:t xml:space="preserve"> </w:t>
      </w:r>
      <w:proofErr w:type="spellStart"/>
      <w:r w:rsidRPr="001D1E55">
        <w:t>Gas</w:t>
      </w:r>
      <w:proofErr w:type="spellEnd"/>
      <w:r w:rsidRPr="001D1E55">
        <w:t xml:space="preserve"> </w:t>
      </w:r>
      <w:proofErr w:type="spellStart"/>
      <w:r w:rsidRPr="001D1E55">
        <w:t>in</w:t>
      </w:r>
      <w:proofErr w:type="spellEnd"/>
      <w:r w:rsidRPr="001D1E55">
        <w:t xml:space="preserve"> </w:t>
      </w:r>
      <w:proofErr w:type="spellStart"/>
      <w:r w:rsidRPr="001D1E55">
        <w:t>China</w:t>
      </w:r>
      <w:proofErr w:type="spellEnd"/>
      <w:r w:rsidRPr="001D1E55">
        <w:t xml:space="preserve">. </w:t>
      </w:r>
      <w:proofErr w:type="spellStart"/>
      <w:r w:rsidRPr="001D1E55">
        <w:t>Market</w:t>
      </w:r>
      <w:proofErr w:type="spellEnd"/>
      <w:r w:rsidRPr="001D1E55">
        <w:t xml:space="preserve"> </w:t>
      </w:r>
      <w:proofErr w:type="spellStart"/>
      <w:r w:rsidRPr="001D1E55">
        <w:t>evolution</w:t>
      </w:r>
      <w:proofErr w:type="spellEnd"/>
      <w:r w:rsidRPr="001D1E55">
        <w:t xml:space="preserve"> </w:t>
      </w:r>
      <w:proofErr w:type="spellStart"/>
      <w:r w:rsidRPr="001D1E55">
        <w:t>and</w:t>
      </w:r>
      <w:proofErr w:type="spellEnd"/>
      <w:r w:rsidRPr="001D1E55">
        <w:t xml:space="preserve"> </w:t>
      </w:r>
      <w:proofErr w:type="spellStart"/>
      <w:r w:rsidRPr="001D1E55">
        <w:t>strategy</w:t>
      </w:r>
      <w:proofErr w:type="spellEnd"/>
      <w:r w:rsidRPr="001D1E55">
        <w:t xml:space="preserve">// </w:t>
      </w:r>
      <w:proofErr w:type="spellStart"/>
      <w:r w:rsidRPr="001D1E55">
        <w:t>International</w:t>
      </w:r>
      <w:proofErr w:type="spellEnd"/>
      <w:r w:rsidRPr="001D1E55">
        <w:t xml:space="preserve"> </w:t>
      </w:r>
      <w:proofErr w:type="spellStart"/>
      <w:r w:rsidRPr="001D1E55">
        <w:t>Energy</w:t>
      </w:r>
      <w:proofErr w:type="spellEnd"/>
      <w:r w:rsidRPr="001D1E55">
        <w:t xml:space="preserve"> </w:t>
      </w:r>
      <w:proofErr w:type="spellStart"/>
      <w:r w:rsidRPr="001D1E55">
        <w:t>Agency</w:t>
      </w:r>
      <w:proofErr w:type="spellEnd"/>
      <w:r w:rsidRPr="001D1E55">
        <w:t xml:space="preserve">, </w:t>
      </w:r>
      <w:proofErr w:type="spellStart"/>
      <w:r w:rsidRPr="001D1E55">
        <w:t>Working</w:t>
      </w:r>
      <w:proofErr w:type="spellEnd"/>
      <w:r w:rsidRPr="001D1E55">
        <w:t xml:space="preserve"> </w:t>
      </w:r>
      <w:proofErr w:type="spellStart"/>
      <w:r w:rsidRPr="001D1E55">
        <w:t>Paper</w:t>
      </w:r>
      <w:proofErr w:type="spellEnd"/>
      <w:r w:rsidRPr="001D1E55">
        <w:t xml:space="preserve"> </w:t>
      </w:r>
      <w:proofErr w:type="spellStart"/>
      <w:r w:rsidRPr="001D1E55">
        <w:t>Series</w:t>
      </w:r>
      <w:proofErr w:type="spellEnd"/>
      <w:r w:rsidRPr="001D1E55">
        <w:t>, 2009</w:t>
      </w:r>
      <w:r>
        <w:t>, p. 24</w:t>
      </w:r>
    </w:p>
  </w:footnote>
  <w:footnote w:id="48">
    <w:p w14:paraId="635E82EE" w14:textId="5BE4387F" w:rsidR="00BA77D7" w:rsidRPr="00B5027D" w:rsidRDefault="00BA77D7">
      <w:pPr>
        <w:pStyle w:val="FootnoteText"/>
      </w:pPr>
      <w:r w:rsidRPr="00B5027D">
        <w:rPr>
          <w:rStyle w:val="FootnoteReference"/>
        </w:rPr>
        <w:footnoteRef/>
      </w:r>
      <w:r w:rsidRPr="00B5027D">
        <w:t xml:space="preserve"> http://www.bloomberg.com/apps/news?pid=newsarchive&amp;sid=amAfQGI2bCqo</w:t>
      </w:r>
    </w:p>
  </w:footnote>
  <w:footnote w:id="49">
    <w:p w14:paraId="51B861D4" w14:textId="213C211C" w:rsidR="00BA77D7" w:rsidRPr="00A8383C" w:rsidRDefault="00BA77D7" w:rsidP="00197ED0">
      <w:pPr>
        <w:pStyle w:val="FootnoteText"/>
      </w:pPr>
      <w:r w:rsidRPr="00A8383C">
        <w:rPr>
          <w:rStyle w:val="FootnoteReference"/>
        </w:rPr>
        <w:footnoteRef/>
      </w:r>
      <w:r w:rsidRPr="00A8383C">
        <w:t xml:space="preserve"> К. Кушкина, Э. </w:t>
      </w:r>
      <w:proofErr w:type="spellStart"/>
      <w:r w:rsidRPr="00A8383C">
        <w:t>Чоу</w:t>
      </w:r>
      <w:proofErr w:type="spellEnd"/>
      <w:r w:rsidRPr="00A8383C">
        <w:t>, Золотой век газа в Китае? О дальнейшем расширении экспортных</w:t>
      </w:r>
      <w:r w:rsidRPr="00B5027D">
        <w:t xml:space="preserve"> поставок природного газа в Китай// USRF, IREX, 2012</w:t>
      </w:r>
      <w:r>
        <w:t>, стр. 4</w:t>
      </w:r>
    </w:p>
  </w:footnote>
  <w:footnote w:id="50">
    <w:p w14:paraId="78AAE616" w14:textId="72CE03B9" w:rsidR="00BA77D7" w:rsidRDefault="00BA77D7">
      <w:pPr>
        <w:pStyle w:val="FootnoteText"/>
      </w:pPr>
      <w:r w:rsidRPr="003C7B8C">
        <w:rPr>
          <w:rStyle w:val="FootnoteReference"/>
        </w:rPr>
        <w:footnoteRef/>
      </w:r>
      <w:r w:rsidRPr="003C7B8C">
        <w:t xml:space="preserve"> С.П. Попов, География газовой промышленности Китая// Институт систем энергетики им. Л.А. Мелентьева Сибирс</w:t>
      </w:r>
      <w:r>
        <w:t>кого отделения РАН, 2012, стр. 9</w:t>
      </w:r>
    </w:p>
  </w:footnote>
  <w:footnote w:id="51">
    <w:p w14:paraId="298DDA35" w14:textId="52E925F0" w:rsidR="00BA77D7" w:rsidRDefault="00BA77D7">
      <w:pPr>
        <w:pStyle w:val="FootnoteText"/>
      </w:pPr>
      <w:r>
        <w:rPr>
          <w:rStyle w:val="FootnoteReference"/>
        </w:rPr>
        <w:footnoteRef/>
      </w:r>
      <w:r>
        <w:t xml:space="preserve"> Статистические данные Министерства энергетики РФ</w:t>
      </w:r>
    </w:p>
  </w:footnote>
  <w:footnote w:id="52">
    <w:p w14:paraId="500CA64A" w14:textId="152B30AB" w:rsidR="00BA77D7" w:rsidRDefault="00BA77D7">
      <w:pPr>
        <w:pStyle w:val="FootnoteText"/>
      </w:pPr>
      <w:r w:rsidRPr="00FD55AD">
        <w:rPr>
          <w:rStyle w:val="FootnoteReference"/>
        </w:rPr>
        <w:footnoteRef/>
      </w:r>
      <w:r w:rsidRPr="00FD55AD">
        <w:t xml:space="preserve"> http://energyland.info/news-show-tek-electro-73589</w:t>
      </w:r>
    </w:p>
  </w:footnote>
  <w:footnote w:id="53">
    <w:p w14:paraId="74315B4B" w14:textId="428EBC90" w:rsidR="00BA77D7" w:rsidRPr="000B4A12" w:rsidRDefault="00BA77D7">
      <w:pPr>
        <w:pStyle w:val="FootnoteText"/>
      </w:pPr>
      <w:r w:rsidRPr="000B4A12">
        <w:rPr>
          <w:rStyle w:val="FootnoteReference"/>
        </w:rPr>
        <w:footnoteRef/>
      </w:r>
      <w:r w:rsidRPr="000B4A12">
        <w:t xml:space="preserve"> А.М. </w:t>
      </w:r>
      <w:proofErr w:type="spellStart"/>
      <w:r w:rsidRPr="000B4A12">
        <w:t>Белогорьев</w:t>
      </w:r>
      <w:proofErr w:type="spellEnd"/>
      <w:r w:rsidRPr="000B4A12">
        <w:t>, Энергетическая стратегия Китая и российский газ// Академия энергетики,  №1(44), 2012, стр. 42</w:t>
      </w:r>
    </w:p>
  </w:footnote>
  <w:footnote w:id="54">
    <w:p w14:paraId="0E6B803E" w14:textId="78E4AADD" w:rsidR="00BA77D7" w:rsidRDefault="00BA77D7">
      <w:pPr>
        <w:pStyle w:val="FootnoteText"/>
      </w:pPr>
      <w:r w:rsidRPr="000B4A12">
        <w:rPr>
          <w:rStyle w:val="FootnoteReference"/>
        </w:rPr>
        <w:footnoteRef/>
      </w:r>
      <w:r w:rsidRPr="000B4A12">
        <w:t xml:space="preserve"> </w:t>
      </w:r>
      <w:r w:rsidRPr="000B4A12">
        <w:rPr>
          <w:lang w:val="en-US"/>
        </w:rPr>
        <w:t xml:space="preserve">Ibid., </w:t>
      </w:r>
      <w:proofErr w:type="spellStart"/>
      <w:r w:rsidRPr="000B4A12">
        <w:rPr>
          <w:lang w:val="en-US"/>
        </w:rPr>
        <w:t>стр</w:t>
      </w:r>
      <w:proofErr w:type="spellEnd"/>
      <w:r w:rsidRPr="000B4A12">
        <w:rPr>
          <w:lang w:val="en-US"/>
        </w:rPr>
        <w:t xml:space="preserve">. </w:t>
      </w:r>
      <w:r w:rsidRPr="000B4A12">
        <w:t>10</w:t>
      </w:r>
    </w:p>
  </w:footnote>
  <w:footnote w:id="55">
    <w:p w14:paraId="41F8F513" w14:textId="07C71142" w:rsidR="00BA77D7" w:rsidRDefault="00BA77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7B8C">
        <w:t>Энергетический бюллетень Аналитического центра при Правительстве Российской Федерации, №1, 2013</w:t>
      </w:r>
      <w:r>
        <w:t>, стр. 10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90F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14B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72A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02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82E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1C0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C2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C872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C8D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0F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A14F3C"/>
    <w:multiLevelType w:val="hybridMultilevel"/>
    <w:tmpl w:val="E17873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37571A"/>
    <w:multiLevelType w:val="hybridMultilevel"/>
    <w:tmpl w:val="96A26F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935E92"/>
    <w:multiLevelType w:val="hybridMultilevel"/>
    <w:tmpl w:val="C0949D80"/>
    <w:lvl w:ilvl="0" w:tplc="BED4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45669"/>
    <w:multiLevelType w:val="hybridMultilevel"/>
    <w:tmpl w:val="77A2E1A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0578AB"/>
    <w:multiLevelType w:val="hybridMultilevel"/>
    <w:tmpl w:val="FBA0C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Moves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37"/>
    <w:rsid w:val="000036E1"/>
    <w:rsid w:val="000050DD"/>
    <w:rsid w:val="00010624"/>
    <w:rsid w:val="0001106D"/>
    <w:rsid w:val="000130F0"/>
    <w:rsid w:val="00015384"/>
    <w:rsid w:val="00015FB7"/>
    <w:rsid w:val="000165D5"/>
    <w:rsid w:val="00017E04"/>
    <w:rsid w:val="00021587"/>
    <w:rsid w:val="000215B6"/>
    <w:rsid w:val="00031EE9"/>
    <w:rsid w:val="0003491B"/>
    <w:rsid w:val="00042FFF"/>
    <w:rsid w:val="00047A7C"/>
    <w:rsid w:val="00051D27"/>
    <w:rsid w:val="00053ED0"/>
    <w:rsid w:val="00061791"/>
    <w:rsid w:val="00061AD6"/>
    <w:rsid w:val="000672E1"/>
    <w:rsid w:val="00072048"/>
    <w:rsid w:val="00072E44"/>
    <w:rsid w:val="0007392D"/>
    <w:rsid w:val="0007710C"/>
    <w:rsid w:val="00083926"/>
    <w:rsid w:val="00090884"/>
    <w:rsid w:val="00092000"/>
    <w:rsid w:val="000924FE"/>
    <w:rsid w:val="0009610B"/>
    <w:rsid w:val="000A0062"/>
    <w:rsid w:val="000A06F1"/>
    <w:rsid w:val="000A0C33"/>
    <w:rsid w:val="000A4307"/>
    <w:rsid w:val="000A4744"/>
    <w:rsid w:val="000A4C50"/>
    <w:rsid w:val="000A7E65"/>
    <w:rsid w:val="000B0BB5"/>
    <w:rsid w:val="000B0FF0"/>
    <w:rsid w:val="000B1A56"/>
    <w:rsid w:val="000B4A12"/>
    <w:rsid w:val="000B4F22"/>
    <w:rsid w:val="000B781C"/>
    <w:rsid w:val="000C74B1"/>
    <w:rsid w:val="000D023E"/>
    <w:rsid w:val="000D45C3"/>
    <w:rsid w:val="000D4A28"/>
    <w:rsid w:val="000E302F"/>
    <w:rsid w:val="000E4905"/>
    <w:rsid w:val="000E689A"/>
    <w:rsid w:val="000E6F41"/>
    <w:rsid w:val="000F2683"/>
    <w:rsid w:val="000F2EB7"/>
    <w:rsid w:val="00105089"/>
    <w:rsid w:val="00106BF3"/>
    <w:rsid w:val="00106F1E"/>
    <w:rsid w:val="00107693"/>
    <w:rsid w:val="001149C4"/>
    <w:rsid w:val="00115295"/>
    <w:rsid w:val="00121559"/>
    <w:rsid w:val="001220C0"/>
    <w:rsid w:val="00124186"/>
    <w:rsid w:val="0012537E"/>
    <w:rsid w:val="00131C85"/>
    <w:rsid w:val="001334A0"/>
    <w:rsid w:val="00135374"/>
    <w:rsid w:val="00136C13"/>
    <w:rsid w:val="001418D6"/>
    <w:rsid w:val="00141A61"/>
    <w:rsid w:val="00143ED1"/>
    <w:rsid w:val="00147C8B"/>
    <w:rsid w:val="00153CB3"/>
    <w:rsid w:val="00156BD7"/>
    <w:rsid w:val="00162996"/>
    <w:rsid w:val="00163D09"/>
    <w:rsid w:val="0016485A"/>
    <w:rsid w:val="00164F78"/>
    <w:rsid w:val="00167F74"/>
    <w:rsid w:val="00176B60"/>
    <w:rsid w:val="00183F63"/>
    <w:rsid w:val="001853A5"/>
    <w:rsid w:val="0018742A"/>
    <w:rsid w:val="001978FB"/>
    <w:rsid w:val="00197ED0"/>
    <w:rsid w:val="001A02B9"/>
    <w:rsid w:val="001A0657"/>
    <w:rsid w:val="001A3701"/>
    <w:rsid w:val="001A4D02"/>
    <w:rsid w:val="001A4D20"/>
    <w:rsid w:val="001B0E71"/>
    <w:rsid w:val="001B37C6"/>
    <w:rsid w:val="001B4126"/>
    <w:rsid w:val="001B54E2"/>
    <w:rsid w:val="001B6C3C"/>
    <w:rsid w:val="001C43E9"/>
    <w:rsid w:val="001C690B"/>
    <w:rsid w:val="001C7D9A"/>
    <w:rsid w:val="001D1E55"/>
    <w:rsid w:val="001D2A26"/>
    <w:rsid w:val="001E1259"/>
    <w:rsid w:val="001E2373"/>
    <w:rsid w:val="001E4430"/>
    <w:rsid w:val="001E4823"/>
    <w:rsid w:val="001E5FC2"/>
    <w:rsid w:val="001E7F74"/>
    <w:rsid w:val="001F2C93"/>
    <w:rsid w:val="001F3C6B"/>
    <w:rsid w:val="00201225"/>
    <w:rsid w:val="002033A9"/>
    <w:rsid w:val="0020341C"/>
    <w:rsid w:val="002047E1"/>
    <w:rsid w:val="00206B34"/>
    <w:rsid w:val="00217B57"/>
    <w:rsid w:val="00217E83"/>
    <w:rsid w:val="002222BE"/>
    <w:rsid w:val="0023015C"/>
    <w:rsid w:val="00236F4B"/>
    <w:rsid w:val="00240314"/>
    <w:rsid w:val="00242D2A"/>
    <w:rsid w:val="0024443E"/>
    <w:rsid w:val="00244BDC"/>
    <w:rsid w:val="00244CA1"/>
    <w:rsid w:val="00246415"/>
    <w:rsid w:val="002518D5"/>
    <w:rsid w:val="002523E7"/>
    <w:rsid w:val="00254DA7"/>
    <w:rsid w:val="0025561D"/>
    <w:rsid w:val="00270311"/>
    <w:rsid w:val="002718D6"/>
    <w:rsid w:val="00274931"/>
    <w:rsid w:val="002836C4"/>
    <w:rsid w:val="002857B8"/>
    <w:rsid w:val="002879E0"/>
    <w:rsid w:val="00290FCB"/>
    <w:rsid w:val="0029434A"/>
    <w:rsid w:val="002977E0"/>
    <w:rsid w:val="002A102D"/>
    <w:rsid w:val="002A2704"/>
    <w:rsid w:val="002A6AE3"/>
    <w:rsid w:val="002B1A99"/>
    <w:rsid w:val="002B5778"/>
    <w:rsid w:val="002B690A"/>
    <w:rsid w:val="002B7CDA"/>
    <w:rsid w:val="002C205B"/>
    <w:rsid w:val="002C2B99"/>
    <w:rsid w:val="002C562D"/>
    <w:rsid w:val="002C6CCA"/>
    <w:rsid w:val="002D23FF"/>
    <w:rsid w:val="002D395E"/>
    <w:rsid w:val="002D69C0"/>
    <w:rsid w:val="002E2921"/>
    <w:rsid w:val="002E3B02"/>
    <w:rsid w:val="002E74EC"/>
    <w:rsid w:val="002E78B9"/>
    <w:rsid w:val="002E7E19"/>
    <w:rsid w:val="002F4B8E"/>
    <w:rsid w:val="002F7354"/>
    <w:rsid w:val="00310949"/>
    <w:rsid w:val="0031191A"/>
    <w:rsid w:val="00315D59"/>
    <w:rsid w:val="00317B20"/>
    <w:rsid w:val="00321DBB"/>
    <w:rsid w:val="0032485C"/>
    <w:rsid w:val="00333A15"/>
    <w:rsid w:val="00343EE3"/>
    <w:rsid w:val="00351537"/>
    <w:rsid w:val="00352797"/>
    <w:rsid w:val="00354455"/>
    <w:rsid w:val="003611E4"/>
    <w:rsid w:val="00361432"/>
    <w:rsid w:val="003676D0"/>
    <w:rsid w:val="003743C7"/>
    <w:rsid w:val="00374476"/>
    <w:rsid w:val="0037557C"/>
    <w:rsid w:val="00375F69"/>
    <w:rsid w:val="00383488"/>
    <w:rsid w:val="00384F99"/>
    <w:rsid w:val="003856BC"/>
    <w:rsid w:val="00387ACA"/>
    <w:rsid w:val="00393143"/>
    <w:rsid w:val="00393FA4"/>
    <w:rsid w:val="003B50A7"/>
    <w:rsid w:val="003C7B8C"/>
    <w:rsid w:val="003D0822"/>
    <w:rsid w:val="003D0D92"/>
    <w:rsid w:val="003D295D"/>
    <w:rsid w:val="003D3410"/>
    <w:rsid w:val="003D577B"/>
    <w:rsid w:val="003E175D"/>
    <w:rsid w:val="003E30B4"/>
    <w:rsid w:val="003E5193"/>
    <w:rsid w:val="003F0512"/>
    <w:rsid w:val="003F0CB1"/>
    <w:rsid w:val="003F16E8"/>
    <w:rsid w:val="003F21B7"/>
    <w:rsid w:val="003F2BC9"/>
    <w:rsid w:val="003F4E91"/>
    <w:rsid w:val="003F6779"/>
    <w:rsid w:val="00402675"/>
    <w:rsid w:val="00403DE2"/>
    <w:rsid w:val="004100F1"/>
    <w:rsid w:val="00412491"/>
    <w:rsid w:val="00420CFD"/>
    <w:rsid w:val="00420FF8"/>
    <w:rsid w:val="00421B75"/>
    <w:rsid w:val="00421BCD"/>
    <w:rsid w:val="00423B27"/>
    <w:rsid w:val="00423B2A"/>
    <w:rsid w:val="00424465"/>
    <w:rsid w:val="00426CE9"/>
    <w:rsid w:val="00432DA3"/>
    <w:rsid w:val="004347CA"/>
    <w:rsid w:val="004415C2"/>
    <w:rsid w:val="004439FE"/>
    <w:rsid w:val="00447F77"/>
    <w:rsid w:val="004502D2"/>
    <w:rsid w:val="004523AE"/>
    <w:rsid w:val="00452B52"/>
    <w:rsid w:val="00454539"/>
    <w:rsid w:val="00455ED3"/>
    <w:rsid w:val="00456866"/>
    <w:rsid w:val="00457560"/>
    <w:rsid w:val="00457649"/>
    <w:rsid w:val="00460235"/>
    <w:rsid w:val="00460AB9"/>
    <w:rsid w:val="004612B4"/>
    <w:rsid w:val="004630FA"/>
    <w:rsid w:val="00463416"/>
    <w:rsid w:val="00463E99"/>
    <w:rsid w:val="00466CAD"/>
    <w:rsid w:val="00467FF4"/>
    <w:rsid w:val="00470377"/>
    <w:rsid w:val="0047061A"/>
    <w:rsid w:val="00473517"/>
    <w:rsid w:val="00476F55"/>
    <w:rsid w:val="004771E0"/>
    <w:rsid w:val="004840AE"/>
    <w:rsid w:val="00487EC4"/>
    <w:rsid w:val="00491835"/>
    <w:rsid w:val="0049315A"/>
    <w:rsid w:val="004A2FBD"/>
    <w:rsid w:val="004B0C3C"/>
    <w:rsid w:val="004B1351"/>
    <w:rsid w:val="004B221F"/>
    <w:rsid w:val="004B7892"/>
    <w:rsid w:val="004C26A1"/>
    <w:rsid w:val="004C5689"/>
    <w:rsid w:val="004C5747"/>
    <w:rsid w:val="004C5877"/>
    <w:rsid w:val="004D1BA5"/>
    <w:rsid w:val="004D54BC"/>
    <w:rsid w:val="004D5E44"/>
    <w:rsid w:val="004D6EAA"/>
    <w:rsid w:val="004E4E1D"/>
    <w:rsid w:val="004E6C3B"/>
    <w:rsid w:val="004F0FC1"/>
    <w:rsid w:val="004F319D"/>
    <w:rsid w:val="004F5E23"/>
    <w:rsid w:val="00506CB5"/>
    <w:rsid w:val="00507ED0"/>
    <w:rsid w:val="005102EE"/>
    <w:rsid w:val="0051091F"/>
    <w:rsid w:val="00510A19"/>
    <w:rsid w:val="00511307"/>
    <w:rsid w:val="00520A74"/>
    <w:rsid w:val="00523EAB"/>
    <w:rsid w:val="00525DF8"/>
    <w:rsid w:val="00527840"/>
    <w:rsid w:val="0053256F"/>
    <w:rsid w:val="005327E8"/>
    <w:rsid w:val="005364D1"/>
    <w:rsid w:val="00537EB3"/>
    <w:rsid w:val="00544FD2"/>
    <w:rsid w:val="00547B23"/>
    <w:rsid w:val="005501DD"/>
    <w:rsid w:val="00551426"/>
    <w:rsid w:val="0055397D"/>
    <w:rsid w:val="0056064A"/>
    <w:rsid w:val="00560C45"/>
    <w:rsid w:val="005673D3"/>
    <w:rsid w:val="00571C69"/>
    <w:rsid w:val="00573E11"/>
    <w:rsid w:val="00576CE2"/>
    <w:rsid w:val="005831C3"/>
    <w:rsid w:val="005904EE"/>
    <w:rsid w:val="0059591B"/>
    <w:rsid w:val="005A0EC9"/>
    <w:rsid w:val="005A726D"/>
    <w:rsid w:val="005A781C"/>
    <w:rsid w:val="005A7CDE"/>
    <w:rsid w:val="005B1E01"/>
    <w:rsid w:val="005B2679"/>
    <w:rsid w:val="005B31EA"/>
    <w:rsid w:val="005B6168"/>
    <w:rsid w:val="005B762E"/>
    <w:rsid w:val="005C076B"/>
    <w:rsid w:val="005C07ED"/>
    <w:rsid w:val="005C0C0C"/>
    <w:rsid w:val="005C10F8"/>
    <w:rsid w:val="005C2E15"/>
    <w:rsid w:val="005C50B7"/>
    <w:rsid w:val="005C7B43"/>
    <w:rsid w:val="005D0442"/>
    <w:rsid w:val="005D34AF"/>
    <w:rsid w:val="005E08FF"/>
    <w:rsid w:val="005E0CBC"/>
    <w:rsid w:val="005E5745"/>
    <w:rsid w:val="005E5B0D"/>
    <w:rsid w:val="005F1DB7"/>
    <w:rsid w:val="005F3A7D"/>
    <w:rsid w:val="005F51F1"/>
    <w:rsid w:val="0060258D"/>
    <w:rsid w:val="00616E77"/>
    <w:rsid w:val="00617B43"/>
    <w:rsid w:val="0062105A"/>
    <w:rsid w:val="00621583"/>
    <w:rsid w:val="00623B0A"/>
    <w:rsid w:val="00627099"/>
    <w:rsid w:val="00635084"/>
    <w:rsid w:val="00637D3C"/>
    <w:rsid w:val="006431F3"/>
    <w:rsid w:val="006468AE"/>
    <w:rsid w:val="0064690C"/>
    <w:rsid w:val="0065048C"/>
    <w:rsid w:val="00650D01"/>
    <w:rsid w:val="00652D54"/>
    <w:rsid w:val="006547C9"/>
    <w:rsid w:val="00664745"/>
    <w:rsid w:val="00667F28"/>
    <w:rsid w:val="00671910"/>
    <w:rsid w:val="00672106"/>
    <w:rsid w:val="006723E2"/>
    <w:rsid w:val="00676A41"/>
    <w:rsid w:val="006805A7"/>
    <w:rsid w:val="00684A58"/>
    <w:rsid w:val="0069275A"/>
    <w:rsid w:val="006936FF"/>
    <w:rsid w:val="00693C9A"/>
    <w:rsid w:val="00694E7D"/>
    <w:rsid w:val="00695277"/>
    <w:rsid w:val="00695637"/>
    <w:rsid w:val="00697BA3"/>
    <w:rsid w:val="006A0295"/>
    <w:rsid w:val="006A0E51"/>
    <w:rsid w:val="006A1A1E"/>
    <w:rsid w:val="006A3ACC"/>
    <w:rsid w:val="006A7C4C"/>
    <w:rsid w:val="006B06D1"/>
    <w:rsid w:val="006B1A07"/>
    <w:rsid w:val="006B2657"/>
    <w:rsid w:val="006B560E"/>
    <w:rsid w:val="006C51A4"/>
    <w:rsid w:val="006C659F"/>
    <w:rsid w:val="006D1BF5"/>
    <w:rsid w:val="006D2E98"/>
    <w:rsid w:val="006F4272"/>
    <w:rsid w:val="006F4806"/>
    <w:rsid w:val="006F5E0D"/>
    <w:rsid w:val="006F6CE5"/>
    <w:rsid w:val="007102A9"/>
    <w:rsid w:val="00717BD3"/>
    <w:rsid w:val="00717E99"/>
    <w:rsid w:val="00721DD1"/>
    <w:rsid w:val="00723A79"/>
    <w:rsid w:val="00723F9E"/>
    <w:rsid w:val="00731CEE"/>
    <w:rsid w:val="00733964"/>
    <w:rsid w:val="007349EE"/>
    <w:rsid w:val="00741E9D"/>
    <w:rsid w:val="00754191"/>
    <w:rsid w:val="00755153"/>
    <w:rsid w:val="00756698"/>
    <w:rsid w:val="007570FD"/>
    <w:rsid w:val="00761154"/>
    <w:rsid w:val="007619E0"/>
    <w:rsid w:val="007625F2"/>
    <w:rsid w:val="00766537"/>
    <w:rsid w:val="00773F0A"/>
    <w:rsid w:val="007825D6"/>
    <w:rsid w:val="007842A8"/>
    <w:rsid w:val="007866BF"/>
    <w:rsid w:val="0079182E"/>
    <w:rsid w:val="00794968"/>
    <w:rsid w:val="00796B12"/>
    <w:rsid w:val="007A7215"/>
    <w:rsid w:val="007B520E"/>
    <w:rsid w:val="007B6C85"/>
    <w:rsid w:val="007C001D"/>
    <w:rsid w:val="007C4B8B"/>
    <w:rsid w:val="007C6805"/>
    <w:rsid w:val="007C7430"/>
    <w:rsid w:val="007D20C2"/>
    <w:rsid w:val="007D2D78"/>
    <w:rsid w:val="007D751E"/>
    <w:rsid w:val="007D76D6"/>
    <w:rsid w:val="007E05C2"/>
    <w:rsid w:val="008020B2"/>
    <w:rsid w:val="00811A60"/>
    <w:rsid w:val="00812DBA"/>
    <w:rsid w:val="00814103"/>
    <w:rsid w:val="00820A99"/>
    <w:rsid w:val="0082219F"/>
    <w:rsid w:val="0082252D"/>
    <w:rsid w:val="00826A32"/>
    <w:rsid w:val="00830666"/>
    <w:rsid w:val="00832C7A"/>
    <w:rsid w:val="00832E33"/>
    <w:rsid w:val="00840421"/>
    <w:rsid w:val="00842599"/>
    <w:rsid w:val="0084267E"/>
    <w:rsid w:val="00843670"/>
    <w:rsid w:val="0084465D"/>
    <w:rsid w:val="00845E3B"/>
    <w:rsid w:val="00847978"/>
    <w:rsid w:val="00853155"/>
    <w:rsid w:val="008536CE"/>
    <w:rsid w:val="0086562E"/>
    <w:rsid w:val="0086659C"/>
    <w:rsid w:val="00870FE8"/>
    <w:rsid w:val="00871113"/>
    <w:rsid w:val="00871F32"/>
    <w:rsid w:val="00873539"/>
    <w:rsid w:val="00873A1A"/>
    <w:rsid w:val="00876C79"/>
    <w:rsid w:val="00877033"/>
    <w:rsid w:val="0087770E"/>
    <w:rsid w:val="00880D2B"/>
    <w:rsid w:val="008812C0"/>
    <w:rsid w:val="008813DD"/>
    <w:rsid w:val="00881671"/>
    <w:rsid w:val="00881CAA"/>
    <w:rsid w:val="00883328"/>
    <w:rsid w:val="008845B4"/>
    <w:rsid w:val="008864EA"/>
    <w:rsid w:val="0089627F"/>
    <w:rsid w:val="00896CF0"/>
    <w:rsid w:val="008A62EA"/>
    <w:rsid w:val="008A6BA4"/>
    <w:rsid w:val="008B0B0A"/>
    <w:rsid w:val="008B262B"/>
    <w:rsid w:val="008B3B77"/>
    <w:rsid w:val="008B46EE"/>
    <w:rsid w:val="008C1F05"/>
    <w:rsid w:val="008D077B"/>
    <w:rsid w:val="008D0CC7"/>
    <w:rsid w:val="008E1F3C"/>
    <w:rsid w:val="008E3F34"/>
    <w:rsid w:val="008E405C"/>
    <w:rsid w:val="008E5BE3"/>
    <w:rsid w:val="008F55FE"/>
    <w:rsid w:val="008F5C86"/>
    <w:rsid w:val="00900BA2"/>
    <w:rsid w:val="00900C16"/>
    <w:rsid w:val="00904DD4"/>
    <w:rsid w:val="00905C0D"/>
    <w:rsid w:val="00905EDF"/>
    <w:rsid w:val="00910129"/>
    <w:rsid w:val="00911D52"/>
    <w:rsid w:val="00914033"/>
    <w:rsid w:val="00915778"/>
    <w:rsid w:val="00920AC7"/>
    <w:rsid w:val="00925D21"/>
    <w:rsid w:val="009262A5"/>
    <w:rsid w:val="0093296D"/>
    <w:rsid w:val="0093381F"/>
    <w:rsid w:val="00933B9E"/>
    <w:rsid w:val="00943EED"/>
    <w:rsid w:val="00946272"/>
    <w:rsid w:val="00947C26"/>
    <w:rsid w:val="00950683"/>
    <w:rsid w:val="00954602"/>
    <w:rsid w:val="00955A36"/>
    <w:rsid w:val="009569A5"/>
    <w:rsid w:val="00957612"/>
    <w:rsid w:val="0096398E"/>
    <w:rsid w:val="00963B77"/>
    <w:rsid w:val="00964F1A"/>
    <w:rsid w:val="009666D4"/>
    <w:rsid w:val="00966EA0"/>
    <w:rsid w:val="00974B0E"/>
    <w:rsid w:val="009810F8"/>
    <w:rsid w:val="009818C5"/>
    <w:rsid w:val="0098294B"/>
    <w:rsid w:val="0099108D"/>
    <w:rsid w:val="009928FA"/>
    <w:rsid w:val="00993511"/>
    <w:rsid w:val="00995564"/>
    <w:rsid w:val="009960DD"/>
    <w:rsid w:val="009A1297"/>
    <w:rsid w:val="009A5D77"/>
    <w:rsid w:val="009C197C"/>
    <w:rsid w:val="009C51BF"/>
    <w:rsid w:val="009D2592"/>
    <w:rsid w:val="009D395B"/>
    <w:rsid w:val="009D474A"/>
    <w:rsid w:val="009D5C50"/>
    <w:rsid w:val="009D5D14"/>
    <w:rsid w:val="009D7930"/>
    <w:rsid w:val="009D7DC5"/>
    <w:rsid w:val="00A02C50"/>
    <w:rsid w:val="00A03A97"/>
    <w:rsid w:val="00A040E6"/>
    <w:rsid w:val="00A04715"/>
    <w:rsid w:val="00A066AA"/>
    <w:rsid w:val="00A163A8"/>
    <w:rsid w:val="00A164D1"/>
    <w:rsid w:val="00A1766C"/>
    <w:rsid w:val="00A177A3"/>
    <w:rsid w:val="00A2045E"/>
    <w:rsid w:val="00A219BA"/>
    <w:rsid w:val="00A270E2"/>
    <w:rsid w:val="00A27922"/>
    <w:rsid w:val="00A31559"/>
    <w:rsid w:val="00A3163F"/>
    <w:rsid w:val="00A328B4"/>
    <w:rsid w:val="00A362BA"/>
    <w:rsid w:val="00A364CC"/>
    <w:rsid w:val="00A40372"/>
    <w:rsid w:val="00A44DA6"/>
    <w:rsid w:val="00A45633"/>
    <w:rsid w:val="00A46076"/>
    <w:rsid w:val="00A47F16"/>
    <w:rsid w:val="00A50CDB"/>
    <w:rsid w:val="00A54997"/>
    <w:rsid w:val="00A55FD4"/>
    <w:rsid w:val="00A60339"/>
    <w:rsid w:val="00A61701"/>
    <w:rsid w:val="00A6402D"/>
    <w:rsid w:val="00A64FD3"/>
    <w:rsid w:val="00A721C5"/>
    <w:rsid w:val="00A83836"/>
    <w:rsid w:val="00A8383C"/>
    <w:rsid w:val="00A83873"/>
    <w:rsid w:val="00A843CD"/>
    <w:rsid w:val="00A86B26"/>
    <w:rsid w:val="00A86BE0"/>
    <w:rsid w:val="00A90046"/>
    <w:rsid w:val="00A91522"/>
    <w:rsid w:val="00A94614"/>
    <w:rsid w:val="00A95F4F"/>
    <w:rsid w:val="00AA0629"/>
    <w:rsid w:val="00AA46B9"/>
    <w:rsid w:val="00AA6AC3"/>
    <w:rsid w:val="00AB0E1E"/>
    <w:rsid w:val="00AB44BD"/>
    <w:rsid w:val="00AC13A5"/>
    <w:rsid w:val="00AC52A8"/>
    <w:rsid w:val="00AD0764"/>
    <w:rsid w:val="00AD2575"/>
    <w:rsid w:val="00AD5A1D"/>
    <w:rsid w:val="00AD6835"/>
    <w:rsid w:val="00AD6E65"/>
    <w:rsid w:val="00AD7B48"/>
    <w:rsid w:val="00AF05D9"/>
    <w:rsid w:val="00AF5B65"/>
    <w:rsid w:val="00AF6651"/>
    <w:rsid w:val="00B0671A"/>
    <w:rsid w:val="00B11A36"/>
    <w:rsid w:val="00B13925"/>
    <w:rsid w:val="00B2343E"/>
    <w:rsid w:val="00B2426D"/>
    <w:rsid w:val="00B30F66"/>
    <w:rsid w:val="00B36F21"/>
    <w:rsid w:val="00B409FF"/>
    <w:rsid w:val="00B41B33"/>
    <w:rsid w:val="00B5027D"/>
    <w:rsid w:val="00B51074"/>
    <w:rsid w:val="00B51CEA"/>
    <w:rsid w:val="00B51D36"/>
    <w:rsid w:val="00B52402"/>
    <w:rsid w:val="00B54440"/>
    <w:rsid w:val="00B55201"/>
    <w:rsid w:val="00B612F1"/>
    <w:rsid w:val="00B67CF1"/>
    <w:rsid w:val="00B752CB"/>
    <w:rsid w:val="00B75875"/>
    <w:rsid w:val="00B7647C"/>
    <w:rsid w:val="00B766E7"/>
    <w:rsid w:val="00B76D3C"/>
    <w:rsid w:val="00B822E5"/>
    <w:rsid w:val="00B823F7"/>
    <w:rsid w:val="00B82650"/>
    <w:rsid w:val="00B84B81"/>
    <w:rsid w:val="00B84B87"/>
    <w:rsid w:val="00B85C42"/>
    <w:rsid w:val="00B86951"/>
    <w:rsid w:val="00B90D81"/>
    <w:rsid w:val="00B92916"/>
    <w:rsid w:val="00B93FB5"/>
    <w:rsid w:val="00BA07BC"/>
    <w:rsid w:val="00BA4345"/>
    <w:rsid w:val="00BA5023"/>
    <w:rsid w:val="00BA5B1F"/>
    <w:rsid w:val="00BA5F8D"/>
    <w:rsid w:val="00BA77D7"/>
    <w:rsid w:val="00BB14C6"/>
    <w:rsid w:val="00BB24C6"/>
    <w:rsid w:val="00BB4C6A"/>
    <w:rsid w:val="00BB5272"/>
    <w:rsid w:val="00BB75A8"/>
    <w:rsid w:val="00BC73C6"/>
    <w:rsid w:val="00BE0BA6"/>
    <w:rsid w:val="00BE38C6"/>
    <w:rsid w:val="00BE48CA"/>
    <w:rsid w:val="00BF0822"/>
    <w:rsid w:val="00BF2C85"/>
    <w:rsid w:val="00BF5D57"/>
    <w:rsid w:val="00C00110"/>
    <w:rsid w:val="00C0230F"/>
    <w:rsid w:val="00C06D86"/>
    <w:rsid w:val="00C11171"/>
    <w:rsid w:val="00C157DD"/>
    <w:rsid w:val="00C15E7B"/>
    <w:rsid w:val="00C16095"/>
    <w:rsid w:val="00C16169"/>
    <w:rsid w:val="00C21040"/>
    <w:rsid w:val="00C24C72"/>
    <w:rsid w:val="00C3706D"/>
    <w:rsid w:val="00C4080C"/>
    <w:rsid w:val="00C41A67"/>
    <w:rsid w:val="00C47F55"/>
    <w:rsid w:val="00C500CF"/>
    <w:rsid w:val="00C51C77"/>
    <w:rsid w:val="00C608C8"/>
    <w:rsid w:val="00C618A6"/>
    <w:rsid w:val="00C67EA9"/>
    <w:rsid w:val="00C70AC8"/>
    <w:rsid w:val="00C70F20"/>
    <w:rsid w:val="00C73A5B"/>
    <w:rsid w:val="00C756D6"/>
    <w:rsid w:val="00C771DE"/>
    <w:rsid w:val="00C77C4C"/>
    <w:rsid w:val="00C85FF0"/>
    <w:rsid w:val="00C907D6"/>
    <w:rsid w:val="00C9369E"/>
    <w:rsid w:val="00C93951"/>
    <w:rsid w:val="00C96680"/>
    <w:rsid w:val="00C967A2"/>
    <w:rsid w:val="00C976BC"/>
    <w:rsid w:val="00CA2D82"/>
    <w:rsid w:val="00CA6CFA"/>
    <w:rsid w:val="00CB0039"/>
    <w:rsid w:val="00CB06A3"/>
    <w:rsid w:val="00CB0C3F"/>
    <w:rsid w:val="00CB7F18"/>
    <w:rsid w:val="00CC0B02"/>
    <w:rsid w:val="00CD1709"/>
    <w:rsid w:val="00CD4E4C"/>
    <w:rsid w:val="00CD54E1"/>
    <w:rsid w:val="00CD74B5"/>
    <w:rsid w:val="00CE029C"/>
    <w:rsid w:val="00CE5936"/>
    <w:rsid w:val="00D02507"/>
    <w:rsid w:val="00D03E6D"/>
    <w:rsid w:val="00D078F6"/>
    <w:rsid w:val="00D10EE4"/>
    <w:rsid w:val="00D13577"/>
    <w:rsid w:val="00D160FA"/>
    <w:rsid w:val="00D216C7"/>
    <w:rsid w:val="00D21CD8"/>
    <w:rsid w:val="00D31C9E"/>
    <w:rsid w:val="00D345AA"/>
    <w:rsid w:val="00D529BC"/>
    <w:rsid w:val="00D53EB8"/>
    <w:rsid w:val="00D565EB"/>
    <w:rsid w:val="00D579C2"/>
    <w:rsid w:val="00D60F65"/>
    <w:rsid w:val="00D63BDE"/>
    <w:rsid w:val="00D74E54"/>
    <w:rsid w:val="00D74EB6"/>
    <w:rsid w:val="00D80CD1"/>
    <w:rsid w:val="00D905D8"/>
    <w:rsid w:val="00D9160A"/>
    <w:rsid w:val="00D928B1"/>
    <w:rsid w:val="00D94178"/>
    <w:rsid w:val="00D95AE1"/>
    <w:rsid w:val="00D9639E"/>
    <w:rsid w:val="00D96993"/>
    <w:rsid w:val="00DA3006"/>
    <w:rsid w:val="00DA32FF"/>
    <w:rsid w:val="00DA6141"/>
    <w:rsid w:val="00DB371D"/>
    <w:rsid w:val="00DB3D1C"/>
    <w:rsid w:val="00DB5DB6"/>
    <w:rsid w:val="00DB6C14"/>
    <w:rsid w:val="00DB7A11"/>
    <w:rsid w:val="00DC13C1"/>
    <w:rsid w:val="00DC2C24"/>
    <w:rsid w:val="00DC2CD0"/>
    <w:rsid w:val="00DC3B59"/>
    <w:rsid w:val="00DC3EC6"/>
    <w:rsid w:val="00DC676A"/>
    <w:rsid w:val="00DE71FE"/>
    <w:rsid w:val="00DE751C"/>
    <w:rsid w:val="00DE798B"/>
    <w:rsid w:val="00DE79C1"/>
    <w:rsid w:val="00DF03ED"/>
    <w:rsid w:val="00DF376D"/>
    <w:rsid w:val="00E02065"/>
    <w:rsid w:val="00E118E4"/>
    <w:rsid w:val="00E15199"/>
    <w:rsid w:val="00E22FDD"/>
    <w:rsid w:val="00E25DB6"/>
    <w:rsid w:val="00E27853"/>
    <w:rsid w:val="00E409CD"/>
    <w:rsid w:val="00E40E52"/>
    <w:rsid w:val="00E44221"/>
    <w:rsid w:val="00E52328"/>
    <w:rsid w:val="00E53CF4"/>
    <w:rsid w:val="00E54B3D"/>
    <w:rsid w:val="00E6106F"/>
    <w:rsid w:val="00E613FA"/>
    <w:rsid w:val="00E63D31"/>
    <w:rsid w:val="00E669F1"/>
    <w:rsid w:val="00E67CC8"/>
    <w:rsid w:val="00E7301F"/>
    <w:rsid w:val="00E7522C"/>
    <w:rsid w:val="00E76E0B"/>
    <w:rsid w:val="00E830BD"/>
    <w:rsid w:val="00E84545"/>
    <w:rsid w:val="00E91216"/>
    <w:rsid w:val="00EA1930"/>
    <w:rsid w:val="00EA2A40"/>
    <w:rsid w:val="00EA55D6"/>
    <w:rsid w:val="00EA5FB6"/>
    <w:rsid w:val="00EB6A07"/>
    <w:rsid w:val="00EC0A46"/>
    <w:rsid w:val="00EC3FDD"/>
    <w:rsid w:val="00EC48DD"/>
    <w:rsid w:val="00EC7053"/>
    <w:rsid w:val="00ED0BF6"/>
    <w:rsid w:val="00ED17DC"/>
    <w:rsid w:val="00ED4C90"/>
    <w:rsid w:val="00EE1FD0"/>
    <w:rsid w:val="00EE2AEB"/>
    <w:rsid w:val="00EE653E"/>
    <w:rsid w:val="00EE7C2B"/>
    <w:rsid w:val="00EF183B"/>
    <w:rsid w:val="00EF2B3B"/>
    <w:rsid w:val="00EF5E2F"/>
    <w:rsid w:val="00EF71A2"/>
    <w:rsid w:val="00F01767"/>
    <w:rsid w:val="00F02DA9"/>
    <w:rsid w:val="00F16044"/>
    <w:rsid w:val="00F21315"/>
    <w:rsid w:val="00F234C4"/>
    <w:rsid w:val="00F3132B"/>
    <w:rsid w:val="00F32203"/>
    <w:rsid w:val="00F32F87"/>
    <w:rsid w:val="00F339FC"/>
    <w:rsid w:val="00F37079"/>
    <w:rsid w:val="00F3719A"/>
    <w:rsid w:val="00F40D0B"/>
    <w:rsid w:val="00F43856"/>
    <w:rsid w:val="00F512EB"/>
    <w:rsid w:val="00F51CAE"/>
    <w:rsid w:val="00F53E68"/>
    <w:rsid w:val="00F56295"/>
    <w:rsid w:val="00F56F07"/>
    <w:rsid w:val="00F65A03"/>
    <w:rsid w:val="00F70707"/>
    <w:rsid w:val="00F773F2"/>
    <w:rsid w:val="00F84B78"/>
    <w:rsid w:val="00F9351A"/>
    <w:rsid w:val="00F9388E"/>
    <w:rsid w:val="00FA196E"/>
    <w:rsid w:val="00FA65A5"/>
    <w:rsid w:val="00FB1DCD"/>
    <w:rsid w:val="00FB3542"/>
    <w:rsid w:val="00FB3E96"/>
    <w:rsid w:val="00FB4C7C"/>
    <w:rsid w:val="00FC06FB"/>
    <w:rsid w:val="00FC0921"/>
    <w:rsid w:val="00FC4B48"/>
    <w:rsid w:val="00FC5BD1"/>
    <w:rsid w:val="00FC5C6C"/>
    <w:rsid w:val="00FC72DE"/>
    <w:rsid w:val="00FD225C"/>
    <w:rsid w:val="00FD25A4"/>
    <w:rsid w:val="00FD55AD"/>
    <w:rsid w:val="00FD600F"/>
    <w:rsid w:val="00FE1350"/>
    <w:rsid w:val="00FE7854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EA1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523AE"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23F9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A5FB6"/>
    <w:pPr>
      <w:keepNext/>
      <w:spacing w:after="120" w:line="360" w:lineRule="auto"/>
      <w:outlineLvl w:val="1"/>
    </w:pPr>
    <w:rPr>
      <w:rFonts w:eastAsia="MS Gothic"/>
      <w:b/>
      <w:bCs/>
      <w:iCs/>
      <w:sz w:val="28"/>
      <w:szCs w:val="28"/>
      <w:lang w:eastAsia="zh-TW"/>
    </w:rPr>
  </w:style>
  <w:style w:type="paragraph" w:styleId="Heading5">
    <w:name w:val="heading 5"/>
    <w:basedOn w:val="Normal"/>
    <w:next w:val="Normal"/>
    <w:qFormat/>
    <w:rsid w:val="00B76D3C"/>
    <w:pPr>
      <w:keepNext/>
      <w:jc w:val="center"/>
      <w:outlineLvl w:val="4"/>
    </w:pPr>
    <w:rPr>
      <w:rFonts w:ascii="Tahoma" w:hAnsi="Tahoma"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6">
    <w:name w:val="heading 6"/>
    <w:basedOn w:val="Normal"/>
    <w:next w:val="Normal"/>
    <w:qFormat/>
    <w:rsid w:val="00B76D3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5">
    <w:name w:val="Font Style35"/>
    <w:rsid w:val="00351537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rsid w:val="00B76D3C"/>
    <w:pPr>
      <w:widowControl w:val="0"/>
      <w:spacing w:before="480"/>
      <w:ind w:left="1680" w:right="200"/>
      <w:jc w:val="center"/>
    </w:pPr>
    <w:rPr>
      <w:b/>
      <w:snapToGrid w:val="0"/>
      <w:sz w:val="40"/>
      <w:lang w:eastAsia="ru-RU"/>
    </w:rPr>
  </w:style>
  <w:style w:type="paragraph" w:styleId="BodyText2">
    <w:name w:val="Body Text 2"/>
    <w:basedOn w:val="Normal"/>
    <w:rsid w:val="00B76D3C"/>
    <w:pPr>
      <w:autoSpaceDE w:val="0"/>
      <w:autoSpaceDN w:val="0"/>
      <w:adjustRightInd w:val="0"/>
      <w:spacing w:before="35"/>
      <w:ind w:right="278"/>
    </w:pPr>
    <w:rPr>
      <w:szCs w:val="18"/>
    </w:rPr>
  </w:style>
  <w:style w:type="paragraph" w:styleId="FootnoteText">
    <w:name w:val="footnote text"/>
    <w:basedOn w:val="Normal"/>
    <w:link w:val="FootnoteTextChar"/>
    <w:uiPriority w:val="99"/>
    <w:rsid w:val="009D2592"/>
  </w:style>
  <w:style w:type="character" w:styleId="FootnoteReference">
    <w:name w:val="footnote reference"/>
    <w:aliases w:val="Odwołanie przypisu,Footnote symbol,SUPERS"/>
    <w:uiPriority w:val="99"/>
    <w:rsid w:val="009D2592"/>
    <w:rPr>
      <w:vertAlign w:val="superscript"/>
    </w:rPr>
  </w:style>
  <w:style w:type="paragraph" w:styleId="BalloonText">
    <w:name w:val="Balloon Text"/>
    <w:basedOn w:val="Normal"/>
    <w:semiHidden/>
    <w:rsid w:val="002718D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A07B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A07BC"/>
    <w:rPr>
      <w:lang w:eastAsia="ru-RU"/>
    </w:rPr>
  </w:style>
  <w:style w:type="character" w:styleId="PageNumber">
    <w:name w:val="page number"/>
    <w:rsid w:val="00BA07BC"/>
  </w:style>
  <w:style w:type="character" w:customStyle="1" w:styleId="Heading1Char">
    <w:name w:val="Heading 1 Char"/>
    <w:link w:val="Heading1"/>
    <w:rsid w:val="00723F9E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link w:val="Heading2"/>
    <w:rsid w:val="00EA5FB6"/>
    <w:rPr>
      <w:rFonts w:eastAsia="MS Gothic"/>
      <w:b/>
      <w:bCs/>
      <w:iCs/>
      <w:sz w:val="28"/>
      <w:szCs w:val="28"/>
      <w:lang w:eastAsia="zh-TW"/>
    </w:rPr>
  </w:style>
  <w:style w:type="paragraph" w:styleId="TOCHeading">
    <w:name w:val="TOC Heading"/>
    <w:basedOn w:val="Heading1"/>
    <w:next w:val="Normal"/>
    <w:uiPriority w:val="39"/>
    <w:qFormat/>
    <w:rsid w:val="00723F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53CB3"/>
    <w:pPr>
      <w:tabs>
        <w:tab w:val="right" w:leader="dot" w:pos="9344"/>
      </w:tabs>
      <w:spacing w:before="120" w:line="360" w:lineRule="auto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723F9E"/>
    <w:pPr>
      <w:ind w:left="20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723F9E"/>
    <w:pPr>
      <w:ind w:left="40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723F9E"/>
    <w:pPr>
      <w:ind w:left="600"/>
    </w:pPr>
    <w:rPr>
      <w:rFonts w:ascii="Cambria" w:hAnsi="Cambria"/>
    </w:rPr>
  </w:style>
  <w:style w:type="paragraph" w:styleId="TOC5">
    <w:name w:val="toc 5"/>
    <w:basedOn w:val="Normal"/>
    <w:next w:val="Normal"/>
    <w:autoRedefine/>
    <w:rsid w:val="00723F9E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rsid w:val="00723F9E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rsid w:val="00723F9E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rsid w:val="00723F9E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rsid w:val="00723F9E"/>
    <w:pPr>
      <w:ind w:left="1600"/>
    </w:pPr>
    <w:rPr>
      <w:rFonts w:ascii="Cambria" w:hAnsi="Cambria"/>
    </w:rPr>
  </w:style>
  <w:style w:type="paragraph" w:customStyle="1" w:styleId="TOCHeadin">
    <w:name w:val="TOC Headin"/>
    <w:basedOn w:val="TOCHeading"/>
    <w:rsid w:val="00820A99"/>
  </w:style>
  <w:style w:type="character" w:styleId="Emphasis">
    <w:name w:val="Emphasis"/>
    <w:qFormat/>
    <w:rsid w:val="00820A99"/>
    <w:rPr>
      <w:i/>
      <w:iCs/>
    </w:rPr>
  </w:style>
  <w:style w:type="paragraph" w:styleId="Caption">
    <w:name w:val="caption"/>
    <w:basedOn w:val="Normal"/>
    <w:next w:val="Normal"/>
    <w:qFormat/>
    <w:rsid w:val="00551426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629"/>
    <w:rPr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AA0629"/>
    <w:pPr>
      <w:ind w:left="720"/>
      <w:contextualSpacing/>
    </w:pPr>
    <w:rPr>
      <w:rFonts w:ascii="Helvetica" w:eastAsia="MS ??" w:hAnsi="Helvetica"/>
      <w:lang w:eastAsia="en-US"/>
    </w:rPr>
  </w:style>
  <w:style w:type="character" w:styleId="Hyperlink">
    <w:name w:val="Hyperlink"/>
    <w:basedOn w:val="DefaultParagraphFont"/>
    <w:rsid w:val="0086659C"/>
    <w:rPr>
      <w:color w:val="0000FF"/>
      <w:u w:val="single"/>
    </w:rPr>
  </w:style>
  <w:style w:type="character" w:styleId="FollowedHyperlink">
    <w:name w:val="FollowedHyperlink"/>
    <w:basedOn w:val="DefaultParagraphFont"/>
    <w:rsid w:val="004B0C3C"/>
    <w:rPr>
      <w:color w:val="800080"/>
      <w:u w:val="single"/>
    </w:rPr>
  </w:style>
  <w:style w:type="table" w:styleId="TableGrid">
    <w:name w:val="Table Grid"/>
    <w:basedOn w:val="TableNormal"/>
    <w:rsid w:val="004B0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14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rsid w:val="006A3ACC"/>
    <w:rPr>
      <w:sz w:val="16"/>
      <w:szCs w:val="16"/>
    </w:rPr>
  </w:style>
  <w:style w:type="paragraph" w:styleId="CommentText">
    <w:name w:val="annotation text"/>
    <w:basedOn w:val="Normal"/>
    <w:semiHidden/>
    <w:rsid w:val="006A3ACC"/>
  </w:style>
  <w:style w:type="paragraph" w:styleId="CommentSubject">
    <w:name w:val="annotation subject"/>
    <w:basedOn w:val="CommentText"/>
    <w:next w:val="CommentText"/>
    <w:semiHidden/>
    <w:rsid w:val="006A3ACC"/>
    <w:rPr>
      <w:b/>
      <w:bCs/>
    </w:rPr>
  </w:style>
  <w:style w:type="paragraph" w:styleId="BodyText">
    <w:name w:val="Body Text"/>
    <w:basedOn w:val="Normal"/>
    <w:link w:val="BodyTextChar"/>
    <w:rsid w:val="00E53C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3CF4"/>
    <w:rPr>
      <w:lang w:val="ru-RU" w:eastAsia="ru-RU" w:bidi="ar-SA"/>
    </w:rPr>
  </w:style>
  <w:style w:type="paragraph" w:styleId="Header">
    <w:name w:val="header"/>
    <w:basedOn w:val="Normal"/>
    <w:link w:val="HeaderChar"/>
    <w:rsid w:val="00FE78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E7854"/>
    <w:rPr>
      <w:lang w:eastAsia="ru-RU"/>
    </w:rPr>
  </w:style>
  <w:style w:type="paragraph" w:styleId="NormalWeb">
    <w:name w:val="Normal (Web)"/>
    <w:basedOn w:val="Normal"/>
    <w:uiPriority w:val="99"/>
    <w:unhideWhenUsed/>
    <w:rsid w:val="00361432"/>
    <w:pPr>
      <w:spacing w:before="100" w:beforeAutospacing="1" w:after="100" w:afterAutospacing="1"/>
    </w:pPr>
    <w:rPr>
      <w:rFonts w:ascii="Times" w:hAnsi="Times"/>
      <w:lang w:eastAsia="en-US"/>
    </w:rPr>
  </w:style>
  <w:style w:type="character" w:customStyle="1" w:styleId="apple-converted-space">
    <w:name w:val="apple-converted-space"/>
    <w:basedOn w:val="DefaultParagraphFont"/>
    <w:rsid w:val="00361432"/>
  </w:style>
  <w:style w:type="paragraph" w:customStyle="1" w:styleId="a">
    <w:name w:val="Источник данных"/>
    <w:autoRedefine/>
    <w:qFormat/>
    <w:rsid w:val="00C16095"/>
    <w:pPr>
      <w:spacing w:after="120" w:line="360" w:lineRule="auto"/>
    </w:pPr>
    <w:rPr>
      <w:rFonts w:eastAsia="MS Mincho"/>
      <w:i/>
      <w:iCs/>
      <w:sz w:val="28"/>
      <w:szCs w:val="28"/>
    </w:rPr>
  </w:style>
  <w:style w:type="paragraph" w:customStyle="1" w:styleId="a0">
    <w:name w:val="Категория объекта"/>
    <w:autoRedefine/>
    <w:qFormat/>
    <w:rsid w:val="00420CFD"/>
    <w:pPr>
      <w:spacing w:after="120" w:line="360" w:lineRule="auto"/>
    </w:pPr>
    <w:rPr>
      <w:rFonts w:eastAsia="MS Mincho"/>
      <w:b/>
      <w:bCs/>
      <w:sz w:val="28"/>
      <w:szCs w:val="28"/>
    </w:rPr>
  </w:style>
  <w:style w:type="paragraph" w:customStyle="1" w:styleId="1">
    <w:name w:val="Название объекта1"/>
    <w:autoRedefine/>
    <w:qFormat/>
    <w:rsid w:val="000215B6"/>
    <w:rPr>
      <w:rFonts w:ascii="Trebuchet MS" w:eastAsia="MS Mincho" w:hAnsi="Trebuchet MS"/>
      <w:b/>
      <w:bCs/>
      <w:color w:val="47132B"/>
      <w:sz w:val="22"/>
    </w:rPr>
  </w:style>
  <w:style w:type="paragraph" w:styleId="Revision">
    <w:name w:val="Revision"/>
    <w:hidden/>
    <w:uiPriority w:val="99"/>
    <w:semiHidden/>
    <w:rsid w:val="00EE2AEB"/>
    <w:rPr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523AE"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23F9E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A5FB6"/>
    <w:pPr>
      <w:keepNext/>
      <w:spacing w:after="120" w:line="360" w:lineRule="auto"/>
      <w:outlineLvl w:val="1"/>
    </w:pPr>
    <w:rPr>
      <w:rFonts w:eastAsia="MS Gothic"/>
      <w:b/>
      <w:bCs/>
      <w:iCs/>
      <w:sz w:val="28"/>
      <w:szCs w:val="28"/>
      <w:lang w:eastAsia="zh-TW"/>
    </w:rPr>
  </w:style>
  <w:style w:type="paragraph" w:styleId="Heading5">
    <w:name w:val="heading 5"/>
    <w:basedOn w:val="Normal"/>
    <w:next w:val="Normal"/>
    <w:qFormat/>
    <w:rsid w:val="00B76D3C"/>
    <w:pPr>
      <w:keepNext/>
      <w:jc w:val="center"/>
      <w:outlineLvl w:val="4"/>
    </w:pPr>
    <w:rPr>
      <w:rFonts w:ascii="Tahoma" w:hAnsi="Tahoma"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6">
    <w:name w:val="heading 6"/>
    <w:basedOn w:val="Normal"/>
    <w:next w:val="Normal"/>
    <w:qFormat/>
    <w:rsid w:val="00B76D3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5">
    <w:name w:val="Font Style35"/>
    <w:rsid w:val="00351537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rsid w:val="00B76D3C"/>
    <w:pPr>
      <w:widowControl w:val="0"/>
      <w:spacing w:before="480"/>
      <w:ind w:left="1680" w:right="200"/>
      <w:jc w:val="center"/>
    </w:pPr>
    <w:rPr>
      <w:b/>
      <w:snapToGrid w:val="0"/>
      <w:sz w:val="40"/>
      <w:lang w:eastAsia="ru-RU"/>
    </w:rPr>
  </w:style>
  <w:style w:type="paragraph" w:styleId="BodyText2">
    <w:name w:val="Body Text 2"/>
    <w:basedOn w:val="Normal"/>
    <w:rsid w:val="00B76D3C"/>
    <w:pPr>
      <w:autoSpaceDE w:val="0"/>
      <w:autoSpaceDN w:val="0"/>
      <w:adjustRightInd w:val="0"/>
      <w:spacing w:before="35"/>
      <w:ind w:right="278"/>
    </w:pPr>
    <w:rPr>
      <w:szCs w:val="18"/>
    </w:rPr>
  </w:style>
  <w:style w:type="paragraph" w:styleId="FootnoteText">
    <w:name w:val="footnote text"/>
    <w:basedOn w:val="Normal"/>
    <w:link w:val="FootnoteTextChar"/>
    <w:uiPriority w:val="99"/>
    <w:rsid w:val="009D2592"/>
  </w:style>
  <w:style w:type="character" w:styleId="FootnoteReference">
    <w:name w:val="footnote reference"/>
    <w:aliases w:val="Odwołanie przypisu,Footnote symbol,SUPERS"/>
    <w:uiPriority w:val="99"/>
    <w:rsid w:val="009D2592"/>
    <w:rPr>
      <w:vertAlign w:val="superscript"/>
    </w:rPr>
  </w:style>
  <w:style w:type="paragraph" w:styleId="BalloonText">
    <w:name w:val="Balloon Text"/>
    <w:basedOn w:val="Normal"/>
    <w:semiHidden/>
    <w:rsid w:val="002718D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A07B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A07BC"/>
    <w:rPr>
      <w:lang w:eastAsia="ru-RU"/>
    </w:rPr>
  </w:style>
  <w:style w:type="character" w:styleId="PageNumber">
    <w:name w:val="page number"/>
    <w:rsid w:val="00BA07BC"/>
  </w:style>
  <w:style w:type="character" w:customStyle="1" w:styleId="Heading1Char">
    <w:name w:val="Heading 1 Char"/>
    <w:link w:val="Heading1"/>
    <w:rsid w:val="00723F9E"/>
    <w:rPr>
      <w:rFonts w:ascii="Calibri" w:eastAsia="MS Gothic" w:hAnsi="Calibri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link w:val="Heading2"/>
    <w:rsid w:val="00EA5FB6"/>
    <w:rPr>
      <w:rFonts w:eastAsia="MS Gothic"/>
      <w:b/>
      <w:bCs/>
      <w:iCs/>
      <w:sz w:val="28"/>
      <w:szCs w:val="28"/>
      <w:lang w:eastAsia="zh-TW"/>
    </w:rPr>
  </w:style>
  <w:style w:type="paragraph" w:styleId="TOCHeading">
    <w:name w:val="TOC Heading"/>
    <w:basedOn w:val="Heading1"/>
    <w:next w:val="Normal"/>
    <w:uiPriority w:val="39"/>
    <w:qFormat/>
    <w:rsid w:val="00723F9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153CB3"/>
    <w:pPr>
      <w:tabs>
        <w:tab w:val="right" w:leader="dot" w:pos="9344"/>
      </w:tabs>
      <w:spacing w:before="120" w:line="360" w:lineRule="auto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rsid w:val="00723F9E"/>
    <w:pPr>
      <w:ind w:left="20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723F9E"/>
    <w:pPr>
      <w:ind w:left="40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723F9E"/>
    <w:pPr>
      <w:ind w:left="600"/>
    </w:pPr>
    <w:rPr>
      <w:rFonts w:ascii="Cambria" w:hAnsi="Cambria"/>
    </w:rPr>
  </w:style>
  <w:style w:type="paragraph" w:styleId="TOC5">
    <w:name w:val="toc 5"/>
    <w:basedOn w:val="Normal"/>
    <w:next w:val="Normal"/>
    <w:autoRedefine/>
    <w:rsid w:val="00723F9E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rsid w:val="00723F9E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rsid w:val="00723F9E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rsid w:val="00723F9E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rsid w:val="00723F9E"/>
    <w:pPr>
      <w:ind w:left="1600"/>
    </w:pPr>
    <w:rPr>
      <w:rFonts w:ascii="Cambria" w:hAnsi="Cambria"/>
    </w:rPr>
  </w:style>
  <w:style w:type="paragraph" w:customStyle="1" w:styleId="TOCHeadin">
    <w:name w:val="TOC Headin"/>
    <w:basedOn w:val="TOCHeading"/>
    <w:rsid w:val="00820A99"/>
  </w:style>
  <w:style w:type="character" w:styleId="Emphasis">
    <w:name w:val="Emphasis"/>
    <w:qFormat/>
    <w:rsid w:val="00820A99"/>
    <w:rPr>
      <w:i/>
      <w:iCs/>
    </w:rPr>
  </w:style>
  <w:style w:type="paragraph" w:styleId="Caption">
    <w:name w:val="caption"/>
    <w:basedOn w:val="Normal"/>
    <w:next w:val="Normal"/>
    <w:qFormat/>
    <w:rsid w:val="00551426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629"/>
    <w:rPr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AA0629"/>
    <w:pPr>
      <w:ind w:left="720"/>
      <w:contextualSpacing/>
    </w:pPr>
    <w:rPr>
      <w:rFonts w:ascii="Helvetica" w:eastAsia="MS ??" w:hAnsi="Helvetica"/>
      <w:lang w:eastAsia="en-US"/>
    </w:rPr>
  </w:style>
  <w:style w:type="character" w:styleId="Hyperlink">
    <w:name w:val="Hyperlink"/>
    <w:basedOn w:val="DefaultParagraphFont"/>
    <w:rsid w:val="0086659C"/>
    <w:rPr>
      <w:color w:val="0000FF"/>
      <w:u w:val="single"/>
    </w:rPr>
  </w:style>
  <w:style w:type="character" w:styleId="FollowedHyperlink">
    <w:name w:val="FollowedHyperlink"/>
    <w:basedOn w:val="DefaultParagraphFont"/>
    <w:rsid w:val="004B0C3C"/>
    <w:rPr>
      <w:color w:val="800080"/>
      <w:u w:val="single"/>
    </w:rPr>
  </w:style>
  <w:style w:type="table" w:styleId="TableGrid">
    <w:name w:val="Table Grid"/>
    <w:basedOn w:val="TableNormal"/>
    <w:rsid w:val="004B0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14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CommentReference">
    <w:name w:val="annotation reference"/>
    <w:basedOn w:val="DefaultParagraphFont"/>
    <w:semiHidden/>
    <w:rsid w:val="006A3ACC"/>
    <w:rPr>
      <w:sz w:val="16"/>
      <w:szCs w:val="16"/>
    </w:rPr>
  </w:style>
  <w:style w:type="paragraph" w:styleId="CommentText">
    <w:name w:val="annotation text"/>
    <w:basedOn w:val="Normal"/>
    <w:semiHidden/>
    <w:rsid w:val="006A3ACC"/>
  </w:style>
  <w:style w:type="paragraph" w:styleId="CommentSubject">
    <w:name w:val="annotation subject"/>
    <w:basedOn w:val="CommentText"/>
    <w:next w:val="CommentText"/>
    <w:semiHidden/>
    <w:rsid w:val="006A3ACC"/>
    <w:rPr>
      <w:b/>
      <w:bCs/>
    </w:rPr>
  </w:style>
  <w:style w:type="paragraph" w:styleId="BodyText">
    <w:name w:val="Body Text"/>
    <w:basedOn w:val="Normal"/>
    <w:link w:val="BodyTextChar"/>
    <w:rsid w:val="00E53CF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3CF4"/>
    <w:rPr>
      <w:lang w:val="ru-RU" w:eastAsia="ru-RU" w:bidi="ar-SA"/>
    </w:rPr>
  </w:style>
  <w:style w:type="paragraph" w:styleId="Header">
    <w:name w:val="header"/>
    <w:basedOn w:val="Normal"/>
    <w:link w:val="HeaderChar"/>
    <w:rsid w:val="00FE78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E7854"/>
    <w:rPr>
      <w:lang w:eastAsia="ru-RU"/>
    </w:rPr>
  </w:style>
  <w:style w:type="paragraph" w:styleId="NormalWeb">
    <w:name w:val="Normal (Web)"/>
    <w:basedOn w:val="Normal"/>
    <w:uiPriority w:val="99"/>
    <w:unhideWhenUsed/>
    <w:rsid w:val="00361432"/>
    <w:pPr>
      <w:spacing w:before="100" w:beforeAutospacing="1" w:after="100" w:afterAutospacing="1"/>
    </w:pPr>
    <w:rPr>
      <w:rFonts w:ascii="Times" w:hAnsi="Times"/>
      <w:lang w:eastAsia="en-US"/>
    </w:rPr>
  </w:style>
  <w:style w:type="character" w:customStyle="1" w:styleId="apple-converted-space">
    <w:name w:val="apple-converted-space"/>
    <w:basedOn w:val="DefaultParagraphFont"/>
    <w:rsid w:val="00361432"/>
  </w:style>
  <w:style w:type="paragraph" w:customStyle="1" w:styleId="a">
    <w:name w:val="Источник данных"/>
    <w:autoRedefine/>
    <w:qFormat/>
    <w:rsid w:val="00C16095"/>
    <w:pPr>
      <w:spacing w:after="120" w:line="360" w:lineRule="auto"/>
    </w:pPr>
    <w:rPr>
      <w:rFonts w:eastAsia="MS Mincho"/>
      <w:i/>
      <w:iCs/>
      <w:sz w:val="28"/>
      <w:szCs w:val="28"/>
    </w:rPr>
  </w:style>
  <w:style w:type="paragraph" w:customStyle="1" w:styleId="a0">
    <w:name w:val="Категория объекта"/>
    <w:autoRedefine/>
    <w:qFormat/>
    <w:rsid w:val="00420CFD"/>
    <w:pPr>
      <w:spacing w:after="120" w:line="360" w:lineRule="auto"/>
    </w:pPr>
    <w:rPr>
      <w:rFonts w:eastAsia="MS Mincho"/>
      <w:b/>
      <w:bCs/>
      <w:sz w:val="28"/>
      <w:szCs w:val="28"/>
    </w:rPr>
  </w:style>
  <w:style w:type="paragraph" w:customStyle="1" w:styleId="1">
    <w:name w:val="Название объекта1"/>
    <w:autoRedefine/>
    <w:qFormat/>
    <w:rsid w:val="000215B6"/>
    <w:rPr>
      <w:rFonts w:ascii="Trebuchet MS" w:eastAsia="MS Mincho" w:hAnsi="Trebuchet MS"/>
      <w:b/>
      <w:bCs/>
      <w:color w:val="47132B"/>
      <w:sz w:val="22"/>
    </w:rPr>
  </w:style>
  <w:style w:type="paragraph" w:styleId="Revision">
    <w:name w:val="Revision"/>
    <w:hidden/>
    <w:uiPriority w:val="99"/>
    <w:semiHidden/>
    <w:rsid w:val="00EE2AE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58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389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20" Type="http://schemas.openxmlformats.org/officeDocument/2006/relationships/chart" Target="charts/chart11.xml"/><Relationship Id="rId21" Type="http://schemas.openxmlformats.org/officeDocument/2006/relationships/chart" Target="charts/chart12.xml"/><Relationship Id="rId22" Type="http://schemas.openxmlformats.org/officeDocument/2006/relationships/chart" Target="charts/chart13.xml"/><Relationship Id="rId23" Type="http://schemas.openxmlformats.org/officeDocument/2006/relationships/chart" Target="charts/chart14.xml"/><Relationship Id="rId24" Type="http://schemas.openxmlformats.org/officeDocument/2006/relationships/footer" Target="footer1.xml"/><Relationship Id="rId25" Type="http://schemas.openxmlformats.org/officeDocument/2006/relationships/footer" Target="foot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cta.ornl.gov" TargetMode="External"/><Relationship Id="rId11" Type="http://schemas.openxmlformats.org/officeDocument/2006/relationships/hyperlink" Target="http://www.biomassenergycentre.org.uk/" TargetMode="External"/><Relationship Id="rId12" Type="http://schemas.openxmlformats.org/officeDocument/2006/relationships/chart" Target="charts/chart3.xml"/><Relationship Id="rId13" Type="http://schemas.openxmlformats.org/officeDocument/2006/relationships/chart" Target="charts/chart4.xml"/><Relationship Id="rId14" Type="http://schemas.openxmlformats.org/officeDocument/2006/relationships/chart" Target="charts/chart5.xml"/><Relationship Id="rId15" Type="http://schemas.openxmlformats.org/officeDocument/2006/relationships/chart" Target="charts/chart6.xml"/><Relationship Id="rId16" Type="http://schemas.openxmlformats.org/officeDocument/2006/relationships/chart" Target="charts/chart7.xml"/><Relationship Id="rId17" Type="http://schemas.openxmlformats.org/officeDocument/2006/relationships/chart" Target="charts/chart8.xml"/><Relationship Id="rId18" Type="http://schemas.openxmlformats.org/officeDocument/2006/relationships/chart" Target="charts/chart9.xml"/><Relationship Id="rId19" Type="http://schemas.openxmlformats.org/officeDocument/2006/relationships/chart" Target="charts/chart10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wc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>
        <c:manualLayout>
          <c:xMode val="edge"/>
          <c:yMode val="edge"/>
          <c:x val="0.563236913094197"/>
          <c:y val="0.0277777777777778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066752333041703"/>
          <c:y val="0.207413926200401"/>
          <c:w val="0.723083807232429"/>
          <c:h val="0.67634861818743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Всего: 12717 Мтнэ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Sheet1!$A$2:$A$8</c:f>
              <c:strCache>
                <c:ptCount val="7"/>
                <c:pt idx="0">
                  <c:v>Нефть</c:v>
                </c:pt>
                <c:pt idx="1">
                  <c:v>Уголь</c:v>
                </c:pt>
                <c:pt idx="2">
                  <c:v>Газ</c:v>
                </c:pt>
                <c:pt idx="3">
                  <c:v>Атом</c:v>
                </c:pt>
                <c:pt idx="4">
                  <c:v>Гидро</c:v>
                </c:pt>
                <c:pt idx="5">
                  <c:v>Биотопливо</c:v>
                </c:pt>
                <c:pt idx="6">
                  <c:v>Другое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32.4</c:v>
                </c:pt>
                <c:pt idx="1">
                  <c:v>27.3</c:v>
                </c:pt>
                <c:pt idx="2">
                  <c:v>21.4</c:v>
                </c:pt>
                <c:pt idx="3">
                  <c:v>5.7</c:v>
                </c:pt>
                <c:pt idx="4">
                  <c:v>2.3</c:v>
                </c:pt>
                <c:pt idx="5">
                  <c:v>10.0</c:v>
                </c:pt>
                <c:pt idx="6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883681466899971"/>
          <c:y val="0.0515873015873016"/>
          <c:w val="0.703065215806357"/>
          <c:h val="0.7089951256092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Производство в 2012 г. (левая шкала)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Всего</c:v>
                </c:pt>
                <c:pt idx="1">
                  <c:v>ТЭС</c:v>
                </c:pt>
                <c:pt idx="2">
                  <c:v>ГЭС</c:v>
                </c:pt>
                <c:pt idx="3">
                  <c:v>АЭС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4937.77</c:v>
                </c:pt>
                <c:pt idx="1">
                  <c:v>3855.450000000001</c:v>
                </c:pt>
                <c:pt idx="2">
                  <c:v>860.8499999999981</c:v>
                </c:pt>
                <c:pt idx="3">
                  <c:v>97.39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8196824"/>
        <c:axId val="2101700360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Рост к 2011 г. (правая шкала)</c:v>
                </c:pt>
              </c:strCache>
            </c:strRef>
          </c:tx>
          <c:marker>
            <c:symbol val="none"/>
          </c:marker>
          <c:cat>
            <c:strRef>
              <c:f>Sheet1!$A$2:$A$5</c:f>
              <c:strCache>
                <c:ptCount val="4"/>
                <c:pt idx="0">
                  <c:v>Всего</c:v>
                </c:pt>
                <c:pt idx="1">
                  <c:v>ТЭС</c:v>
                </c:pt>
                <c:pt idx="2">
                  <c:v>ГЭС</c:v>
                </c:pt>
                <c:pt idx="3">
                  <c:v>АЭС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4.8</c:v>
                </c:pt>
                <c:pt idx="1">
                  <c:v>0.6</c:v>
                </c:pt>
                <c:pt idx="2">
                  <c:v>23.2</c:v>
                </c:pt>
                <c:pt idx="3">
                  <c:v>12.8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1780616"/>
        <c:axId val="2101777320"/>
      </c:lineChart>
      <c:catAx>
        <c:axId val="2068196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101700360"/>
        <c:crosses val="autoZero"/>
        <c:auto val="1"/>
        <c:lblAlgn val="ctr"/>
        <c:lblOffset val="100"/>
        <c:noMultiLvlLbl val="0"/>
      </c:catAx>
      <c:valAx>
        <c:axId val="2101700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8196824"/>
        <c:crosses val="autoZero"/>
        <c:crossBetween val="between"/>
      </c:valAx>
      <c:valAx>
        <c:axId val="210177732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2101780616"/>
        <c:crosses val="max"/>
        <c:crossBetween val="between"/>
      </c:valAx>
      <c:catAx>
        <c:axId val="2101780616"/>
        <c:scaling>
          <c:orientation val="minMax"/>
        </c:scaling>
        <c:delete val="1"/>
        <c:axPos val="b"/>
        <c:majorTickMark val="out"/>
        <c:minorTickMark val="none"/>
        <c:tickLblPos val="none"/>
        <c:crossAx val="2101777320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0208333333333333"/>
          <c:y val="0.8325184351956"/>
          <c:w val="0.9375"/>
          <c:h val="0.136550431196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Потребление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2007.0</c:v>
                </c:pt>
                <c:pt idx="1">
                  <c:v>2008.0</c:v>
                </c:pt>
                <c:pt idx="2">
                  <c:v>2009.0</c:v>
                </c:pt>
                <c:pt idx="3">
                  <c:v>2010.0</c:v>
                </c:pt>
                <c:pt idx="4">
                  <c:v>2011.0</c:v>
                </c:pt>
              </c:numCache>
            </c:numRef>
          </c:cat>
          <c:val>
            <c:numRef>
              <c:f>Sheet1!$B$2:$B$6</c:f>
              <c:numCache>
                <c:formatCode>0.0_ </c:formatCode>
                <c:ptCount val="5"/>
                <c:pt idx="0">
                  <c:v>1845.80185</c:v>
                </c:pt>
                <c:pt idx="1">
                  <c:v>1957.95</c:v>
                </c:pt>
                <c:pt idx="2">
                  <c:v>2158.794879999998</c:v>
                </c:pt>
                <c:pt idx="3">
                  <c:v>2209.5852</c:v>
                </c:pt>
                <c:pt idx="4">
                  <c:v>2380.33368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Производство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2007.0</c:v>
                </c:pt>
                <c:pt idx="1">
                  <c:v>2008.0</c:v>
                </c:pt>
                <c:pt idx="2">
                  <c:v>2009.0</c:v>
                </c:pt>
                <c:pt idx="3">
                  <c:v>2010.0</c:v>
                </c:pt>
                <c:pt idx="4">
                  <c:v>2011.0</c:v>
                </c:pt>
              </c:numCache>
            </c:numRef>
          </c:cat>
          <c:val>
            <c:numRef>
              <c:f>Sheet1!$C$2:$C$6</c:f>
              <c:numCache>
                <c:formatCode>0.0_ </c:formatCode>
                <c:ptCount val="5"/>
                <c:pt idx="0">
                  <c:v>1803.5087</c:v>
                </c:pt>
                <c:pt idx="1">
                  <c:v>1994.2</c:v>
                </c:pt>
                <c:pt idx="2">
                  <c:v>2122.79714</c:v>
                </c:pt>
                <c:pt idx="3">
                  <c:v>2271.4074</c:v>
                </c:pt>
                <c:pt idx="4">
                  <c:v>2473.93886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Импорт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2007.0</c:v>
                </c:pt>
                <c:pt idx="1">
                  <c:v>2008.0</c:v>
                </c:pt>
                <c:pt idx="2">
                  <c:v>2009.0</c:v>
                </c:pt>
                <c:pt idx="3">
                  <c:v>2010.0</c:v>
                </c:pt>
                <c:pt idx="4">
                  <c:v>2011.0</c:v>
                </c:pt>
              </c:numCache>
            </c:numRef>
          </c:cat>
          <c:val>
            <c:numRef>
              <c:f>Sheet1!$D$2:$D$6</c:f>
              <c:numCache>
                <c:formatCode>0.0</c:formatCode>
                <c:ptCount val="5"/>
                <c:pt idx="0">
                  <c:v>51.02</c:v>
                </c:pt>
                <c:pt idx="1">
                  <c:v>40.4</c:v>
                </c:pt>
                <c:pt idx="2">
                  <c:v>125.83</c:v>
                </c:pt>
                <c:pt idx="3">
                  <c:v>164.78</c:v>
                </c:pt>
                <c:pt idx="4">
                  <c:v>182.4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1703576"/>
        <c:axId val="2102353560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Прирост импорта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  <c:pt idx="0">
                  <c:v>2007.0</c:v>
                </c:pt>
                <c:pt idx="1">
                  <c:v>2008.0</c:v>
                </c:pt>
                <c:pt idx="2">
                  <c:v>2009.0</c:v>
                </c:pt>
                <c:pt idx="3">
                  <c:v>2010.0</c:v>
                </c:pt>
                <c:pt idx="4">
                  <c:v>2011.0</c:v>
                </c:pt>
              </c:numCache>
            </c:numRef>
          </c:cat>
          <c:val>
            <c:numRef>
              <c:f>Sheet1!$E$2:$E$6</c:f>
              <c:numCache>
                <c:formatCode>0%</c:formatCode>
                <c:ptCount val="5"/>
                <c:pt idx="0">
                  <c:v>0.333856209150327</c:v>
                </c:pt>
                <c:pt idx="1">
                  <c:v>-0.208153665229322</c:v>
                </c:pt>
                <c:pt idx="2">
                  <c:v>2.11460396039604</c:v>
                </c:pt>
                <c:pt idx="3">
                  <c:v>0.309544623698641</c:v>
                </c:pt>
                <c:pt idx="4">
                  <c:v>0.106930452724845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0343720"/>
        <c:axId val="2123654424"/>
      </c:lineChart>
      <c:catAx>
        <c:axId val="2101703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2353560"/>
        <c:crosses val="autoZero"/>
        <c:auto val="1"/>
        <c:lblAlgn val="ctr"/>
        <c:lblOffset val="100"/>
        <c:noMultiLvlLbl val="0"/>
      </c:catAx>
      <c:valAx>
        <c:axId val="2102353560"/>
        <c:scaling>
          <c:orientation val="minMax"/>
        </c:scaling>
        <c:delete val="0"/>
        <c:axPos val="l"/>
        <c:majorGridlines/>
        <c:numFmt formatCode="0.0_ " sourceLinked="1"/>
        <c:majorTickMark val="out"/>
        <c:minorTickMark val="none"/>
        <c:tickLblPos val="nextTo"/>
        <c:crossAx val="2101703576"/>
        <c:crosses val="autoZero"/>
        <c:crossBetween val="between"/>
      </c:valAx>
      <c:valAx>
        <c:axId val="2123654424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2100343720"/>
        <c:crosses val="max"/>
        <c:crossBetween val="between"/>
      </c:valAx>
      <c:catAx>
        <c:axId val="21003437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23654424"/>
        <c:crosses val="autoZero"/>
        <c:auto val="1"/>
        <c:lblAlgn val="ctr"/>
        <c:lblOffset val="100"/>
        <c:noMultiLvlLbl val="0"/>
      </c:cat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218612006369252"/>
          <c:y val="0.0269251480883145"/>
          <c:w val="0.611702533939513"/>
          <c:h val="0.88577037724888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Государственные</c:v>
                </c:pt>
                <c:pt idx="1">
                  <c:v>Коллективные</c:v>
                </c:pt>
                <c:pt idx="2">
                  <c:v>Частные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59.2</c:v>
                </c:pt>
                <c:pt idx="1">
                  <c:v>28.4</c:v>
                </c:pt>
                <c:pt idx="2">
                  <c:v>12.3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9912085346524"/>
          <c:y val="0.228572882347703"/>
          <c:w val="0.228278787945114"/>
          <c:h val="0.31668299136275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711531562151853"/>
          <c:y val="0.0643564356435643"/>
          <c:w val="0.635551859156912"/>
          <c:h val="0.8102315428393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Потребление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2007.0</c:v>
                </c:pt>
                <c:pt idx="1">
                  <c:v>2008.0</c:v>
                </c:pt>
                <c:pt idx="2">
                  <c:v>2009.0</c:v>
                </c:pt>
                <c:pt idx="3">
                  <c:v>2010.0</c:v>
                </c:pt>
                <c:pt idx="4">
                  <c:v>2011.0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68.0</c:v>
                </c:pt>
                <c:pt idx="1">
                  <c:v>77.0</c:v>
                </c:pt>
                <c:pt idx="2">
                  <c:v>87.0</c:v>
                </c:pt>
                <c:pt idx="3">
                  <c:v>108.0</c:v>
                </c:pt>
                <c:pt idx="4">
                  <c:v>131.0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Производство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2007.0</c:v>
                </c:pt>
                <c:pt idx="1">
                  <c:v>2008.0</c:v>
                </c:pt>
                <c:pt idx="2">
                  <c:v>2009.0</c:v>
                </c:pt>
                <c:pt idx="3">
                  <c:v>2010.0</c:v>
                </c:pt>
                <c:pt idx="4">
                  <c:v>2011.0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67.0</c:v>
                </c:pt>
                <c:pt idx="1">
                  <c:v>76.0</c:v>
                </c:pt>
                <c:pt idx="2">
                  <c:v>83.0</c:v>
                </c:pt>
                <c:pt idx="3">
                  <c:v>94.0</c:v>
                </c:pt>
                <c:pt idx="4">
                  <c:v>103.0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Импорт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2007.0</c:v>
                </c:pt>
                <c:pt idx="1">
                  <c:v>2008.0</c:v>
                </c:pt>
                <c:pt idx="2">
                  <c:v>2009.0</c:v>
                </c:pt>
                <c:pt idx="3">
                  <c:v>2010.0</c:v>
                </c:pt>
                <c:pt idx="4">
                  <c:v>2011.0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3.93</c:v>
                </c:pt>
                <c:pt idx="1">
                  <c:v>4.5</c:v>
                </c:pt>
                <c:pt idx="2">
                  <c:v>7.470000000000002</c:v>
                </c:pt>
                <c:pt idx="3">
                  <c:v>17.0</c:v>
                </c:pt>
                <c:pt idx="4">
                  <c:v>31.0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374600"/>
        <c:axId val="2101642056"/>
      </c:barChart>
      <c:lineChart>
        <c:grouping val="standard"/>
        <c:varyColors val="0"/>
        <c:ser>
          <c:idx val="3"/>
          <c:order val="3"/>
          <c:tx>
            <c:strRef>
              <c:f>Sheet1!$E$1</c:f>
              <c:strCache>
                <c:ptCount val="1"/>
                <c:pt idx="0">
                  <c:v>Прирост импорта</c:v>
                </c:pt>
              </c:strCache>
            </c:strRef>
          </c:tx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  <c:pt idx="0">
                  <c:v>2007.0</c:v>
                </c:pt>
                <c:pt idx="1">
                  <c:v>2008.0</c:v>
                </c:pt>
                <c:pt idx="2">
                  <c:v>2009.0</c:v>
                </c:pt>
                <c:pt idx="3">
                  <c:v>2010.0</c:v>
                </c:pt>
                <c:pt idx="4">
                  <c:v>2011.0</c:v>
                </c:pt>
              </c:numCache>
            </c:numRef>
          </c:cat>
          <c:val>
            <c:numRef>
              <c:f>Sheet1!$E$2:$E$6</c:f>
              <c:numCache>
                <c:formatCode>0%</c:formatCode>
                <c:ptCount val="5"/>
                <c:pt idx="1">
                  <c:v>0.145038167938931</c:v>
                </c:pt>
                <c:pt idx="2">
                  <c:v>0.66</c:v>
                </c:pt>
                <c:pt idx="3">
                  <c:v>1.275769745649263</c:v>
                </c:pt>
                <c:pt idx="4">
                  <c:v>0.823529411764706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1623752"/>
        <c:axId val="2101644696"/>
      </c:lineChart>
      <c:catAx>
        <c:axId val="2028374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1642056"/>
        <c:crosses val="autoZero"/>
        <c:auto val="1"/>
        <c:lblAlgn val="ctr"/>
        <c:lblOffset val="100"/>
        <c:noMultiLvlLbl val="0"/>
      </c:catAx>
      <c:valAx>
        <c:axId val="2101642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8374600"/>
        <c:crosses val="autoZero"/>
        <c:crossBetween val="between"/>
      </c:valAx>
      <c:valAx>
        <c:axId val="2101644696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crossAx val="2101623752"/>
        <c:crosses val="max"/>
        <c:crossBetween val="between"/>
      </c:valAx>
      <c:catAx>
        <c:axId val="2101623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01644696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784172661870504"/>
          <c:y val="0.152448740937086"/>
          <c:w val="0.198386745149335"/>
          <c:h val="0.5416371715911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755508165645961"/>
          <c:y val="0.0515873015873016"/>
          <c:w val="0.472759373031281"/>
          <c:h val="0.7900362454693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Внешнеторговый оборот РФ-КНР</c:v>
                </c:pt>
              </c:strCache>
            </c:strRef>
          </c:tx>
          <c:invertIfNegative val="0"/>
          <c:cat>
            <c:numRef>
              <c:f>Sheet1!$A$2:$A$12</c:f>
              <c:numCache>
                <c:formatCode>General</c:formatCode>
                <c:ptCount val="11"/>
                <c:pt idx="0">
                  <c:v>2002.0</c:v>
                </c:pt>
                <c:pt idx="1">
                  <c:v>2003.0</c:v>
                </c:pt>
                <c:pt idx="2">
                  <c:v>2004.0</c:v>
                </c:pt>
                <c:pt idx="3">
                  <c:v>2005.0</c:v>
                </c:pt>
                <c:pt idx="4">
                  <c:v>2006.0</c:v>
                </c:pt>
                <c:pt idx="5">
                  <c:v>2007.0</c:v>
                </c:pt>
                <c:pt idx="6">
                  <c:v>2008.0</c:v>
                </c:pt>
                <c:pt idx="7">
                  <c:v>2009.0</c:v>
                </c:pt>
                <c:pt idx="8">
                  <c:v>2010.0</c:v>
                </c:pt>
                <c:pt idx="9">
                  <c:v>2011.0</c:v>
                </c:pt>
                <c:pt idx="10">
                  <c:v>2012.0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11.93</c:v>
                </c:pt>
                <c:pt idx="1">
                  <c:v>15.76</c:v>
                </c:pt>
                <c:pt idx="2">
                  <c:v>21.23</c:v>
                </c:pt>
                <c:pt idx="3">
                  <c:v>29.1</c:v>
                </c:pt>
                <c:pt idx="4">
                  <c:v>33.4</c:v>
                </c:pt>
                <c:pt idx="5">
                  <c:v>48.2</c:v>
                </c:pt>
                <c:pt idx="6">
                  <c:v>56.8</c:v>
                </c:pt>
                <c:pt idx="7">
                  <c:v>38.7</c:v>
                </c:pt>
                <c:pt idx="8">
                  <c:v>55.45</c:v>
                </c:pt>
                <c:pt idx="9">
                  <c:v>79.25</c:v>
                </c:pt>
                <c:pt idx="10">
                  <c:v>88.16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4173224"/>
        <c:axId val="212417626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Доля во внешнеторговом обороте Китая</c:v>
                </c:pt>
              </c:strCache>
            </c:strRef>
          </c:tx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2002.0</c:v>
                </c:pt>
                <c:pt idx="1">
                  <c:v>2003.0</c:v>
                </c:pt>
                <c:pt idx="2">
                  <c:v>2004.0</c:v>
                </c:pt>
                <c:pt idx="3">
                  <c:v>2005.0</c:v>
                </c:pt>
                <c:pt idx="4">
                  <c:v>2006.0</c:v>
                </c:pt>
                <c:pt idx="5">
                  <c:v>2007.0</c:v>
                </c:pt>
                <c:pt idx="6">
                  <c:v>2008.0</c:v>
                </c:pt>
                <c:pt idx="7">
                  <c:v>2009.0</c:v>
                </c:pt>
                <c:pt idx="8">
                  <c:v>2010.0</c:v>
                </c:pt>
                <c:pt idx="9">
                  <c:v>2011.0</c:v>
                </c:pt>
                <c:pt idx="10">
                  <c:v>2012.0</c:v>
                </c:pt>
              </c:numCache>
            </c:numRef>
          </c:cat>
          <c:val>
            <c:numRef>
              <c:f>Sheet1!$C$2:$C$12</c:f>
              <c:numCache>
                <c:formatCode>0.0%</c:formatCode>
                <c:ptCount val="11"/>
                <c:pt idx="0">
                  <c:v>0.0192171391752577</c:v>
                </c:pt>
                <c:pt idx="1">
                  <c:v>0.018515037593985</c:v>
                </c:pt>
                <c:pt idx="2">
                  <c:v>0.0183841357810876</c:v>
                </c:pt>
                <c:pt idx="3">
                  <c:v>0.0204626960129386</c:v>
                </c:pt>
                <c:pt idx="4">
                  <c:v>0.0188732553540148</c:v>
                </c:pt>
                <c:pt idx="5">
                  <c:v>0.0221731530039562</c:v>
                </c:pt>
                <c:pt idx="6">
                  <c:v>0.0221589357468888</c:v>
                </c:pt>
                <c:pt idx="7">
                  <c:v>0.0175327322973769</c:v>
                </c:pt>
                <c:pt idx="8">
                  <c:v>0.0186524488697524</c:v>
                </c:pt>
                <c:pt idx="9">
                  <c:v>0.0217600219659528</c:v>
                </c:pt>
                <c:pt idx="10">
                  <c:v>0.0227980346521852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Доля в общем внешнеторговом обороте России</c:v>
                </c:pt>
              </c:strCache>
            </c:strRef>
          </c:tx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2002.0</c:v>
                </c:pt>
                <c:pt idx="1">
                  <c:v>2003.0</c:v>
                </c:pt>
                <c:pt idx="2">
                  <c:v>2004.0</c:v>
                </c:pt>
                <c:pt idx="3">
                  <c:v>2005.0</c:v>
                </c:pt>
                <c:pt idx="4">
                  <c:v>2006.0</c:v>
                </c:pt>
                <c:pt idx="5">
                  <c:v>2007.0</c:v>
                </c:pt>
                <c:pt idx="6">
                  <c:v>2008.0</c:v>
                </c:pt>
                <c:pt idx="7">
                  <c:v>2009.0</c:v>
                </c:pt>
                <c:pt idx="8">
                  <c:v>2010.0</c:v>
                </c:pt>
                <c:pt idx="9">
                  <c:v>2011.0</c:v>
                </c:pt>
                <c:pt idx="10">
                  <c:v>2012.0</c:v>
                </c:pt>
              </c:numCache>
            </c:numRef>
          </c:cat>
          <c:val>
            <c:numRef>
              <c:f>Sheet1!$D$2:$D$12</c:f>
              <c:numCache>
                <c:formatCode>0.0%</c:formatCode>
                <c:ptCount val="11"/>
                <c:pt idx="0">
                  <c:v>0.0712408933476651</c:v>
                </c:pt>
                <c:pt idx="1">
                  <c:v>0.0745611960070019</c:v>
                </c:pt>
                <c:pt idx="2">
                  <c:v>0.075661997932927</c:v>
                </c:pt>
                <c:pt idx="3">
                  <c:v>0.078567957233112</c:v>
                </c:pt>
                <c:pt idx="4">
                  <c:v>0.0712730997396611</c:v>
                </c:pt>
                <c:pt idx="5">
                  <c:v>0.0833578333880982</c:v>
                </c:pt>
                <c:pt idx="6">
                  <c:v>0.0772789115646258</c:v>
                </c:pt>
                <c:pt idx="7">
                  <c:v>0.0781518205133383</c:v>
                </c:pt>
                <c:pt idx="8">
                  <c:v>0.0855155609018847</c:v>
                </c:pt>
                <c:pt idx="9">
                  <c:v>0.0936982738235989</c:v>
                </c:pt>
                <c:pt idx="10">
                  <c:v>0.101954435064184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4182536"/>
        <c:axId val="2124179528"/>
      </c:lineChart>
      <c:catAx>
        <c:axId val="2124173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24176264"/>
        <c:crosses val="autoZero"/>
        <c:auto val="1"/>
        <c:lblAlgn val="ctr"/>
        <c:lblOffset val="100"/>
        <c:noMultiLvlLbl val="0"/>
      </c:catAx>
      <c:valAx>
        <c:axId val="2124176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4173224"/>
        <c:crosses val="autoZero"/>
        <c:crossBetween val="between"/>
      </c:valAx>
      <c:valAx>
        <c:axId val="2124179528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crossAx val="2124182536"/>
        <c:crosses val="max"/>
        <c:crossBetween val="between"/>
      </c:valAx>
      <c:catAx>
        <c:axId val="2124182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24179528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664731893797775"/>
          <c:y val="0.245190288713911"/>
          <c:w val="0.316749663976764"/>
          <c:h val="0.509619422572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>
        <c:manualLayout>
          <c:xMode val="edge"/>
          <c:yMode val="edge"/>
          <c:x val="0.582520596383785"/>
          <c:y val="0.0515873015873016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163531641878099"/>
          <c:y val="0.194859238968534"/>
          <c:w val="0.684965186643336"/>
          <c:h val="0.69355888942357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Всего: 8677 Мтнэ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Нефть</c:v>
                </c:pt>
                <c:pt idx="1">
                  <c:v>Уголь</c:v>
                </c:pt>
                <c:pt idx="2">
                  <c:v>Газ</c:v>
                </c:pt>
                <c:pt idx="3">
                  <c:v>Электричество</c:v>
                </c:pt>
                <c:pt idx="4">
                  <c:v>Биотопливо</c:v>
                </c:pt>
                <c:pt idx="5">
                  <c:v>Остальное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41.2</c:v>
                </c:pt>
                <c:pt idx="1">
                  <c:v>9.8</c:v>
                </c:pt>
                <c:pt idx="2">
                  <c:v>15.2</c:v>
                </c:pt>
                <c:pt idx="3">
                  <c:v>17.7</c:v>
                </c:pt>
                <c:pt idx="4">
                  <c:v>12.7</c:v>
                </c:pt>
                <c:pt idx="5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704192184310294"/>
          <c:y val="0.0515873015873016"/>
          <c:w val="0.888586504811897"/>
          <c:h val="0.77440615096627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ВВП</c:v>
                </c:pt>
              </c:strCache>
            </c:strRef>
          </c:tx>
          <c:marker>
            <c:symbol val="none"/>
          </c:marker>
          <c:cat>
            <c:numRef>
              <c:f>Sheet1!$A$2:$A$33</c:f>
              <c:numCache>
                <c:formatCode>General</c:formatCode>
                <c:ptCount val="32"/>
                <c:pt idx="0">
                  <c:v>1980.0</c:v>
                </c:pt>
                <c:pt idx="1">
                  <c:v>1981.0</c:v>
                </c:pt>
                <c:pt idx="2">
                  <c:v>1982.0</c:v>
                </c:pt>
                <c:pt idx="3">
                  <c:v>1983.0</c:v>
                </c:pt>
                <c:pt idx="4">
                  <c:v>1984.0</c:v>
                </c:pt>
                <c:pt idx="5">
                  <c:v>1985.0</c:v>
                </c:pt>
                <c:pt idx="6">
                  <c:v>1986.0</c:v>
                </c:pt>
                <c:pt idx="7">
                  <c:v>1987.0</c:v>
                </c:pt>
                <c:pt idx="8">
                  <c:v>1988.0</c:v>
                </c:pt>
                <c:pt idx="9">
                  <c:v>1989.0</c:v>
                </c:pt>
                <c:pt idx="10">
                  <c:v>1990.0</c:v>
                </c:pt>
                <c:pt idx="11">
                  <c:v>1991.0</c:v>
                </c:pt>
                <c:pt idx="12">
                  <c:v>1992.0</c:v>
                </c:pt>
                <c:pt idx="13">
                  <c:v>1993.0</c:v>
                </c:pt>
                <c:pt idx="14">
                  <c:v>1994.0</c:v>
                </c:pt>
                <c:pt idx="15">
                  <c:v>1995.0</c:v>
                </c:pt>
                <c:pt idx="16">
                  <c:v>1996.0</c:v>
                </c:pt>
                <c:pt idx="17">
                  <c:v>1997.0</c:v>
                </c:pt>
                <c:pt idx="18">
                  <c:v>1998.0</c:v>
                </c:pt>
                <c:pt idx="19">
                  <c:v>1999.0</c:v>
                </c:pt>
                <c:pt idx="20">
                  <c:v>2000.0</c:v>
                </c:pt>
                <c:pt idx="21">
                  <c:v>2001.0</c:v>
                </c:pt>
                <c:pt idx="22">
                  <c:v>2002.0</c:v>
                </c:pt>
                <c:pt idx="23">
                  <c:v>2003.0</c:v>
                </c:pt>
                <c:pt idx="24">
                  <c:v>2004.0</c:v>
                </c:pt>
                <c:pt idx="25">
                  <c:v>2005.0</c:v>
                </c:pt>
                <c:pt idx="26">
                  <c:v>2006.0</c:v>
                </c:pt>
                <c:pt idx="27">
                  <c:v>2007.0</c:v>
                </c:pt>
                <c:pt idx="28">
                  <c:v>2008.0</c:v>
                </c:pt>
                <c:pt idx="29">
                  <c:v>2009.0</c:v>
                </c:pt>
                <c:pt idx="30">
                  <c:v>2010.0</c:v>
                </c:pt>
                <c:pt idx="31">
                  <c:v>2011.0</c:v>
                </c:pt>
              </c:numCache>
            </c:numRef>
          </c:cat>
          <c:val>
            <c:numRef>
              <c:f>Sheet1!$B$2:$B$33</c:f>
              <c:numCache>
                <c:formatCode>General</c:formatCode>
                <c:ptCount val="32"/>
                <c:pt idx="0">
                  <c:v>7.8</c:v>
                </c:pt>
                <c:pt idx="1">
                  <c:v>5.2</c:v>
                </c:pt>
                <c:pt idx="2">
                  <c:v>9.1</c:v>
                </c:pt>
                <c:pt idx="3">
                  <c:v>10.9</c:v>
                </c:pt>
                <c:pt idx="4">
                  <c:v>15.2</c:v>
                </c:pt>
                <c:pt idx="5">
                  <c:v>13.5</c:v>
                </c:pt>
                <c:pt idx="6">
                  <c:v>8.8</c:v>
                </c:pt>
                <c:pt idx="7">
                  <c:v>11.6</c:v>
                </c:pt>
                <c:pt idx="8">
                  <c:v>11.3</c:v>
                </c:pt>
                <c:pt idx="9">
                  <c:v>4.1</c:v>
                </c:pt>
                <c:pt idx="10">
                  <c:v>3.8</c:v>
                </c:pt>
                <c:pt idx="11">
                  <c:v>9.200000000000001</c:v>
                </c:pt>
                <c:pt idx="12">
                  <c:v>14.2</c:v>
                </c:pt>
                <c:pt idx="13">
                  <c:v>14.0</c:v>
                </c:pt>
                <c:pt idx="14">
                  <c:v>13.1</c:v>
                </c:pt>
                <c:pt idx="15">
                  <c:v>10.9</c:v>
                </c:pt>
                <c:pt idx="16">
                  <c:v>10.0</c:v>
                </c:pt>
                <c:pt idx="17">
                  <c:v>9.3</c:v>
                </c:pt>
                <c:pt idx="18">
                  <c:v>7.8</c:v>
                </c:pt>
                <c:pt idx="19">
                  <c:v>7.6</c:v>
                </c:pt>
                <c:pt idx="20">
                  <c:v>8.4</c:v>
                </c:pt>
                <c:pt idx="21">
                  <c:v>8.3</c:v>
                </c:pt>
                <c:pt idx="22">
                  <c:v>9.1</c:v>
                </c:pt>
                <c:pt idx="23">
                  <c:v>10.0</c:v>
                </c:pt>
                <c:pt idx="24">
                  <c:v>10.1</c:v>
                </c:pt>
                <c:pt idx="25">
                  <c:v>11.3</c:v>
                </c:pt>
                <c:pt idx="26">
                  <c:v>12.7</c:v>
                </c:pt>
                <c:pt idx="27">
                  <c:v>14.2</c:v>
                </c:pt>
                <c:pt idx="28">
                  <c:v>9.6</c:v>
                </c:pt>
                <c:pt idx="29">
                  <c:v>9.200000000000001</c:v>
                </c:pt>
                <c:pt idx="30">
                  <c:v>10.4</c:v>
                </c:pt>
                <c:pt idx="31">
                  <c:v>9.3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Потребление энергии</c:v>
                </c:pt>
              </c:strCache>
            </c:strRef>
          </c:tx>
          <c:marker>
            <c:symbol val="none"/>
          </c:marker>
          <c:cat>
            <c:numRef>
              <c:f>Sheet1!$A$2:$A$33</c:f>
              <c:numCache>
                <c:formatCode>General</c:formatCode>
                <c:ptCount val="32"/>
                <c:pt idx="0">
                  <c:v>1980.0</c:v>
                </c:pt>
                <c:pt idx="1">
                  <c:v>1981.0</c:v>
                </c:pt>
                <c:pt idx="2">
                  <c:v>1982.0</c:v>
                </c:pt>
                <c:pt idx="3">
                  <c:v>1983.0</c:v>
                </c:pt>
                <c:pt idx="4">
                  <c:v>1984.0</c:v>
                </c:pt>
                <c:pt idx="5">
                  <c:v>1985.0</c:v>
                </c:pt>
                <c:pt idx="6">
                  <c:v>1986.0</c:v>
                </c:pt>
                <c:pt idx="7">
                  <c:v>1987.0</c:v>
                </c:pt>
                <c:pt idx="8">
                  <c:v>1988.0</c:v>
                </c:pt>
                <c:pt idx="9">
                  <c:v>1989.0</c:v>
                </c:pt>
                <c:pt idx="10">
                  <c:v>1990.0</c:v>
                </c:pt>
                <c:pt idx="11">
                  <c:v>1991.0</c:v>
                </c:pt>
                <c:pt idx="12">
                  <c:v>1992.0</c:v>
                </c:pt>
                <c:pt idx="13">
                  <c:v>1993.0</c:v>
                </c:pt>
                <c:pt idx="14">
                  <c:v>1994.0</c:v>
                </c:pt>
                <c:pt idx="15">
                  <c:v>1995.0</c:v>
                </c:pt>
                <c:pt idx="16">
                  <c:v>1996.0</c:v>
                </c:pt>
                <c:pt idx="17">
                  <c:v>1997.0</c:v>
                </c:pt>
                <c:pt idx="18">
                  <c:v>1998.0</c:v>
                </c:pt>
                <c:pt idx="19">
                  <c:v>1999.0</c:v>
                </c:pt>
                <c:pt idx="20">
                  <c:v>2000.0</c:v>
                </c:pt>
                <c:pt idx="21">
                  <c:v>2001.0</c:v>
                </c:pt>
                <c:pt idx="22">
                  <c:v>2002.0</c:v>
                </c:pt>
                <c:pt idx="23">
                  <c:v>2003.0</c:v>
                </c:pt>
                <c:pt idx="24">
                  <c:v>2004.0</c:v>
                </c:pt>
                <c:pt idx="25">
                  <c:v>2005.0</c:v>
                </c:pt>
                <c:pt idx="26">
                  <c:v>2006.0</c:v>
                </c:pt>
                <c:pt idx="27">
                  <c:v>2007.0</c:v>
                </c:pt>
                <c:pt idx="28">
                  <c:v>2008.0</c:v>
                </c:pt>
                <c:pt idx="29">
                  <c:v>2009.0</c:v>
                </c:pt>
                <c:pt idx="30">
                  <c:v>2010.0</c:v>
                </c:pt>
                <c:pt idx="31">
                  <c:v>2011.0</c:v>
                </c:pt>
              </c:numCache>
            </c:numRef>
          </c:cat>
          <c:val>
            <c:numRef>
              <c:f>Sheet1!$C$2:$C$33</c:f>
              <c:numCache>
                <c:formatCode>0.0</c:formatCode>
                <c:ptCount val="32"/>
                <c:pt idx="0">
                  <c:v>2.879429234655559</c:v>
                </c:pt>
                <c:pt idx="1">
                  <c:v>-1.373703857320617</c:v>
                </c:pt>
                <c:pt idx="2">
                  <c:v>4.407287163355589</c:v>
                </c:pt>
                <c:pt idx="3">
                  <c:v>6.401147147437447</c:v>
                </c:pt>
                <c:pt idx="4">
                  <c:v>7.365233192004842</c:v>
                </c:pt>
                <c:pt idx="5">
                  <c:v>8.149046598217324</c:v>
                </c:pt>
                <c:pt idx="6">
                  <c:v>5.435434652199987</c:v>
                </c:pt>
                <c:pt idx="7">
                  <c:v>7.151515151515134</c:v>
                </c:pt>
                <c:pt idx="8">
                  <c:v>7.347169637085575</c:v>
                </c:pt>
                <c:pt idx="9">
                  <c:v>4.233469896878387</c:v>
                </c:pt>
                <c:pt idx="10">
                  <c:v>1.824953060845514</c:v>
                </c:pt>
                <c:pt idx="11">
                  <c:v>5.146753391487603</c:v>
                </c:pt>
                <c:pt idx="12">
                  <c:v>5.190638158465235</c:v>
                </c:pt>
                <c:pt idx="13">
                  <c:v>6.249885499679397</c:v>
                </c:pt>
                <c:pt idx="14">
                  <c:v>5.814143956962885</c:v>
                </c:pt>
                <c:pt idx="15">
                  <c:v>6.875677261135604</c:v>
                </c:pt>
                <c:pt idx="16">
                  <c:v>5.924864304445935</c:v>
                </c:pt>
                <c:pt idx="17">
                  <c:v>-0.557762616230528</c:v>
                </c:pt>
                <c:pt idx="18">
                  <c:v>-4.312709429483332</c:v>
                </c:pt>
                <c:pt idx="19">
                  <c:v>-1.584552316698684</c:v>
                </c:pt>
                <c:pt idx="20">
                  <c:v>6.48175900521831</c:v>
                </c:pt>
                <c:pt idx="21">
                  <c:v>3.353445973742871</c:v>
                </c:pt>
                <c:pt idx="22">
                  <c:v>6.00372348188855</c:v>
                </c:pt>
                <c:pt idx="23">
                  <c:v>15.2792694486747</c:v>
                </c:pt>
                <c:pt idx="24">
                  <c:v>16.13635064860852</c:v>
                </c:pt>
                <c:pt idx="25">
                  <c:v>10.55716021985267</c:v>
                </c:pt>
                <c:pt idx="26">
                  <c:v>9.60831308248984</c:v>
                </c:pt>
                <c:pt idx="27">
                  <c:v>7.842140023872157</c:v>
                </c:pt>
                <c:pt idx="28">
                  <c:v>7.311085423389295</c:v>
                </c:pt>
                <c:pt idx="29">
                  <c:v>7.595438596491229</c:v>
                </c:pt>
                <c:pt idx="30">
                  <c:v>5.965165157330738</c:v>
                </c:pt>
                <c:pt idx="31">
                  <c:v>7.097639864713079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28969144"/>
        <c:axId val="2068135480"/>
      </c:lineChart>
      <c:catAx>
        <c:axId val="2028969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68135480"/>
        <c:crosses val="autoZero"/>
        <c:auto val="1"/>
        <c:lblAlgn val="ctr"/>
        <c:lblOffset val="100"/>
        <c:noMultiLvlLbl val="0"/>
      </c:catAx>
      <c:valAx>
        <c:axId val="2068135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8969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28085812190143"/>
          <c:y val="0.815068741407324"/>
          <c:w val="0.793243532178747"/>
          <c:h val="0.1563835434013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75742530214199"/>
          <c:y val="0.0317460317460317"/>
          <c:w val="0.874905421211278"/>
          <c:h val="0.640248406449195"/>
        </c:manualLayout>
      </c:layout>
      <c:barChart>
        <c:barDir val="col"/>
        <c:grouping val="percentStacked"/>
        <c:varyColors val="0"/>
        <c:ser>
          <c:idx val="2"/>
          <c:order val="0"/>
          <c:tx>
            <c:strRef>
              <c:f>Sheet1!$C$1</c:f>
              <c:strCache>
                <c:ptCount val="1"/>
                <c:pt idx="0">
                  <c:v>Газ</c:v>
                </c:pt>
              </c:strCache>
            </c:strRef>
          </c:tx>
          <c:invertIfNegative val="0"/>
          <c:cat>
            <c:numRef>
              <c:f>Sheet1!$A$2:$A$35</c:f>
              <c:numCache>
                <c:formatCode>General</c:formatCode>
                <c:ptCount val="34"/>
                <c:pt idx="0">
                  <c:v>1978.0</c:v>
                </c:pt>
                <c:pt idx="1">
                  <c:v>1979.0</c:v>
                </c:pt>
                <c:pt idx="2">
                  <c:v>1980.0</c:v>
                </c:pt>
                <c:pt idx="3">
                  <c:v>1981.0</c:v>
                </c:pt>
                <c:pt idx="4">
                  <c:v>1982.0</c:v>
                </c:pt>
                <c:pt idx="5">
                  <c:v>1983.0</c:v>
                </c:pt>
                <c:pt idx="6">
                  <c:v>1984.0</c:v>
                </c:pt>
                <c:pt idx="7">
                  <c:v>1985.0</c:v>
                </c:pt>
                <c:pt idx="8">
                  <c:v>1986.0</c:v>
                </c:pt>
                <c:pt idx="9">
                  <c:v>1987.0</c:v>
                </c:pt>
                <c:pt idx="10">
                  <c:v>1988.0</c:v>
                </c:pt>
                <c:pt idx="11">
                  <c:v>1989.0</c:v>
                </c:pt>
                <c:pt idx="12">
                  <c:v>1990.0</c:v>
                </c:pt>
                <c:pt idx="13">
                  <c:v>1991.0</c:v>
                </c:pt>
                <c:pt idx="14">
                  <c:v>1992.0</c:v>
                </c:pt>
                <c:pt idx="15">
                  <c:v>1993.0</c:v>
                </c:pt>
                <c:pt idx="16">
                  <c:v>1994.0</c:v>
                </c:pt>
                <c:pt idx="17">
                  <c:v>1995.0</c:v>
                </c:pt>
                <c:pt idx="18">
                  <c:v>1996.0</c:v>
                </c:pt>
                <c:pt idx="19">
                  <c:v>1997.0</c:v>
                </c:pt>
                <c:pt idx="20">
                  <c:v>1998.0</c:v>
                </c:pt>
                <c:pt idx="21">
                  <c:v>1999.0</c:v>
                </c:pt>
                <c:pt idx="22">
                  <c:v>2000.0</c:v>
                </c:pt>
                <c:pt idx="23">
                  <c:v>2001.0</c:v>
                </c:pt>
                <c:pt idx="24">
                  <c:v>2002.0</c:v>
                </c:pt>
                <c:pt idx="25">
                  <c:v>2003.0</c:v>
                </c:pt>
                <c:pt idx="26">
                  <c:v>2004.0</c:v>
                </c:pt>
                <c:pt idx="27">
                  <c:v>2005.0</c:v>
                </c:pt>
                <c:pt idx="28">
                  <c:v>2006.0</c:v>
                </c:pt>
                <c:pt idx="29">
                  <c:v>2007.0</c:v>
                </c:pt>
                <c:pt idx="30">
                  <c:v>2008.0</c:v>
                </c:pt>
                <c:pt idx="31">
                  <c:v>2009.0</c:v>
                </c:pt>
                <c:pt idx="32">
                  <c:v>2010.0</c:v>
                </c:pt>
                <c:pt idx="33">
                  <c:v>2011.0</c:v>
                </c:pt>
              </c:numCache>
            </c:numRef>
          </c:cat>
          <c:val>
            <c:numRef>
              <c:f>Sheet1!$C$2:$C$35</c:f>
              <c:numCache>
                <c:formatCode>General</c:formatCode>
                <c:ptCount val="34"/>
                <c:pt idx="0">
                  <c:v>1828.608</c:v>
                </c:pt>
                <c:pt idx="1">
                  <c:v>1933.404</c:v>
                </c:pt>
                <c:pt idx="2">
                  <c:v>1868.525</c:v>
                </c:pt>
                <c:pt idx="3">
                  <c:v>1664.516</c:v>
                </c:pt>
                <c:pt idx="4">
                  <c:v>1551.675</c:v>
                </c:pt>
                <c:pt idx="5">
                  <c:v>1584.96</c:v>
                </c:pt>
                <c:pt idx="6">
                  <c:v>1701.696</c:v>
                </c:pt>
                <c:pt idx="7">
                  <c:v>1687.004</c:v>
                </c:pt>
                <c:pt idx="8">
                  <c:v>1859.55</c:v>
                </c:pt>
                <c:pt idx="9">
                  <c:v>1819.272</c:v>
                </c:pt>
                <c:pt idx="10">
                  <c:v>1952.937</c:v>
                </c:pt>
                <c:pt idx="11">
                  <c:v>2035.614</c:v>
                </c:pt>
                <c:pt idx="12">
                  <c:v>2072.762999999999</c:v>
                </c:pt>
                <c:pt idx="13">
                  <c:v>2075.66</c:v>
                </c:pt>
                <c:pt idx="14">
                  <c:v>2074.23</c:v>
                </c:pt>
                <c:pt idx="15">
                  <c:v>2203.867</c:v>
                </c:pt>
                <c:pt idx="16">
                  <c:v>2332.003</c:v>
                </c:pt>
                <c:pt idx="17">
                  <c:v>2361.168</c:v>
                </c:pt>
                <c:pt idx="18">
                  <c:v>2501.064</c:v>
                </c:pt>
                <c:pt idx="19">
                  <c:v>2348.941000000001</c:v>
                </c:pt>
                <c:pt idx="20">
                  <c:v>2908.708</c:v>
                </c:pt>
                <c:pt idx="21">
                  <c:v>2732.499000000001</c:v>
                </c:pt>
                <c:pt idx="22">
                  <c:v>3325.272</c:v>
                </c:pt>
                <c:pt idx="23">
                  <c:v>3723.1818</c:v>
                </c:pt>
                <c:pt idx="24">
                  <c:v>3946.711340000001</c:v>
                </c:pt>
                <c:pt idx="25">
                  <c:v>4549.74</c:v>
                </c:pt>
                <c:pt idx="26">
                  <c:v>5283.902000000001</c:v>
                </c:pt>
                <c:pt idx="27">
                  <c:v>6291.096000000001</c:v>
                </c:pt>
                <c:pt idx="28">
                  <c:v>7388.1045</c:v>
                </c:pt>
                <c:pt idx="29">
                  <c:v>9295.404999999981</c:v>
                </c:pt>
                <c:pt idx="30">
                  <c:v>10830.0</c:v>
                </c:pt>
                <c:pt idx="31">
                  <c:v>11959.23300000001</c:v>
                </c:pt>
                <c:pt idx="32">
                  <c:v>14297.31599999999</c:v>
                </c:pt>
                <c:pt idx="33">
                  <c:v>17400.09999999999</c:v>
                </c:pt>
              </c:numCache>
            </c:numRef>
          </c:val>
        </c:ser>
        <c:ser>
          <c:idx val="3"/>
          <c:order val="1"/>
          <c:tx>
            <c:strRef>
              <c:f>Sheet1!$B$1</c:f>
              <c:strCache>
                <c:ptCount val="1"/>
                <c:pt idx="0">
                  <c:v>Остальные источники</c:v>
                </c:pt>
              </c:strCache>
            </c:strRef>
          </c:tx>
          <c:invertIfNegative val="0"/>
          <c:cat>
            <c:numRef>
              <c:f>Sheet1!$A$2:$A$35</c:f>
              <c:numCache>
                <c:formatCode>General</c:formatCode>
                <c:ptCount val="34"/>
                <c:pt idx="0">
                  <c:v>1978.0</c:v>
                </c:pt>
                <c:pt idx="1">
                  <c:v>1979.0</c:v>
                </c:pt>
                <c:pt idx="2">
                  <c:v>1980.0</c:v>
                </c:pt>
                <c:pt idx="3">
                  <c:v>1981.0</c:v>
                </c:pt>
                <c:pt idx="4">
                  <c:v>1982.0</c:v>
                </c:pt>
                <c:pt idx="5">
                  <c:v>1983.0</c:v>
                </c:pt>
                <c:pt idx="6">
                  <c:v>1984.0</c:v>
                </c:pt>
                <c:pt idx="7">
                  <c:v>1985.0</c:v>
                </c:pt>
                <c:pt idx="8">
                  <c:v>1986.0</c:v>
                </c:pt>
                <c:pt idx="9">
                  <c:v>1987.0</c:v>
                </c:pt>
                <c:pt idx="10">
                  <c:v>1988.0</c:v>
                </c:pt>
                <c:pt idx="11">
                  <c:v>1989.0</c:v>
                </c:pt>
                <c:pt idx="12">
                  <c:v>1990.0</c:v>
                </c:pt>
                <c:pt idx="13">
                  <c:v>1991.0</c:v>
                </c:pt>
                <c:pt idx="14">
                  <c:v>1992.0</c:v>
                </c:pt>
                <c:pt idx="15">
                  <c:v>1993.0</c:v>
                </c:pt>
                <c:pt idx="16">
                  <c:v>1994.0</c:v>
                </c:pt>
                <c:pt idx="17">
                  <c:v>1995.0</c:v>
                </c:pt>
                <c:pt idx="18">
                  <c:v>1996.0</c:v>
                </c:pt>
                <c:pt idx="19">
                  <c:v>1997.0</c:v>
                </c:pt>
                <c:pt idx="20">
                  <c:v>1998.0</c:v>
                </c:pt>
                <c:pt idx="21">
                  <c:v>1999.0</c:v>
                </c:pt>
                <c:pt idx="22">
                  <c:v>2000.0</c:v>
                </c:pt>
                <c:pt idx="23">
                  <c:v>2001.0</c:v>
                </c:pt>
                <c:pt idx="24">
                  <c:v>2002.0</c:v>
                </c:pt>
                <c:pt idx="25">
                  <c:v>2003.0</c:v>
                </c:pt>
                <c:pt idx="26">
                  <c:v>2004.0</c:v>
                </c:pt>
                <c:pt idx="27">
                  <c:v>2005.0</c:v>
                </c:pt>
                <c:pt idx="28">
                  <c:v>2006.0</c:v>
                </c:pt>
                <c:pt idx="29">
                  <c:v>2007.0</c:v>
                </c:pt>
                <c:pt idx="30">
                  <c:v>2008.0</c:v>
                </c:pt>
                <c:pt idx="31">
                  <c:v>2009.0</c:v>
                </c:pt>
                <c:pt idx="32">
                  <c:v>2010.0</c:v>
                </c:pt>
                <c:pt idx="33">
                  <c:v>2011.0</c:v>
                </c:pt>
              </c:numCache>
            </c:numRef>
          </c:cat>
          <c:val>
            <c:numRef>
              <c:f>Sheet1!$B$2:$B$35</c:f>
              <c:numCache>
                <c:formatCode>General</c:formatCode>
                <c:ptCount val="34"/>
                <c:pt idx="0">
                  <c:v>1942.896</c:v>
                </c:pt>
                <c:pt idx="1">
                  <c:v>2109.168</c:v>
                </c:pt>
                <c:pt idx="2">
                  <c:v>2411.0</c:v>
                </c:pt>
                <c:pt idx="3">
                  <c:v>2675.115</c:v>
                </c:pt>
                <c:pt idx="4">
                  <c:v>3041.282999999999</c:v>
                </c:pt>
                <c:pt idx="5">
                  <c:v>3500.12</c:v>
                </c:pt>
                <c:pt idx="6">
                  <c:v>3474.296</c:v>
                </c:pt>
                <c:pt idx="7">
                  <c:v>3757.418000000001</c:v>
                </c:pt>
                <c:pt idx="8">
                  <c:v>3799.950000000001</c:v>
                </c:pt>
                <c:pt idx="9">
                  <c:v>4071.704</c:v>
                </c:pt>
                <c:pt idx="10">
                  <c:v>4370.859</c:v>
                </c:pt>
                <c:pt idx="11">
                  <c:v>4555.898</c:v>
                </c:pt>
                <c:pt idx="12">
                  <c:v>5033.853</c:v>
                </c:pt>
                <c:pt idx="13">
                  <c:v>4981.584</c:v>
                </c:pt>
                <c:pt idx="14">
                  <c:v>5349.33</c:v>
                </c:pt>
                <c:pt idx="15">
                  <c:v>6031.636</c:v>
                </c:pt>
                <c:pt idx="16">
                  <c:v>6996.009</c:v>
                </c:pt>
                <c:pt idx="17">
                  <c:v>8001.736</c:v>
                </c:pt>
                <c:pt idx="18">
                  <c:v>7642.14</c:v>
                </c:pt>
                <c:pt idx="19">
                  <c:v>8566.726</c:v>
                </c:pt>
                <c:pt idx="20">
                  <c:v>8858.338000000001</c:v>
                </c:pt>
                <c:pt idx="21">
                  <c:v>8067.378000000001</c:v>
                </c:pt>
                <c:pt idx="22">
                  <c:v>9283.050999999927</c:v>
                </c:pt>
                <c:pt idx="23">
                  <c:v>11312.74470000001</c:v>
                </c:pt>
                <c:pt idx="24">
                  <c:v>11688.33743</c:v>
                </c:pt>
                <c:pt idx="25">
                  <c:v>11899.32</c:v>
                </c:pt>
                <c:pt idx="26">
                  <c:v>14429.117</c:v>
                </c:pt>
                <c:pt idx="27">
                  <c:v>15952.422</c:v>
                </c:pt>
                <c:pt idx="28">
                  <c:v>17731.45080000001</c:v>
                </c:pt>
                <c:pt idx="29">
                  <c:v>19387.559</c:v>
                </c:pt>
                <c:pt idx="30">
                  <c:v>25365.0</c:v>
                </c:pt>
                <c:pt idx="31">
                  <c:v>23918.46600000001</c:v>
                </c:pt>
                <c:pt idx="32">
                  <c:v>27944.754</c:v>
                </c:pt>
                <c:pt idx="33">
                  <c:v>27840.16</c:v>
                </c:pt>
              </c:numCache>
            </c:numRef>
          </c:val>
        </c:ser>
        <c:ser>
          <c:idx val="5"/>
          <c:order val="2"/>
          <c:tx>
            <c:strRef>
              <c:f>Sheet1!$D$1</c:f>
              <c:strCache>
                <c:ptCount val="1"/>
                <c:pt idx="0">
                  <c:v>Нефть</c:v>
                </c:pt>
              </c:strCache>
            </c:strRef>
          </c:tx>
          <c:invertIfNegative val="0"/>
          <c:cat>
            <c:numRef>
              <c:f>Sheet1!$A$2:$A$35</c:f>
              <c:numCache>
                <c:formatCode>General</c:formatCode>
                <c:ptCount val="34"/>
                <c:pt idx="0">
                  <c:v>1978.0</c:v>
                </c:pt>
                <c:pt idx="1">
                  <c:v>1979.0</c:v>
                </c:pt>
                <c:pt idx="2">
                  <c:v>1980.0</c:v>
                </c:pt>
                <c:pt idx="3">
                  <c:v>1981.0</c:v>
                </c:pt>
                <c:pt idx="4">
                  <c:v>1982.0</c:v>
                </c:pt>
                <c:pt idx="5">
                  <c:v>1983.0</c:v>
                </c:pt>
                <c:pt idx="6">
                  <c:v>1984.0</c:v>
                </c:pt>
                <c:pt idx="7">
                  <c:v>1985.0</c:v>
                </c:pt>
                <c:pt idx="8">
                  <c:v>1986.0</c:v>
                </c:pt>
                <c:pt idx="9">
                  <c:v>1987.0</c:v>
                </c:pt>
                <c:pt idx="10">
                  <c:v>1988.0</c:v>
                </c:pt>
                <c:pt idx="11">
                  <c:v>1989.0</c:v>
                </c:pt>
                <c:pt idx="12">
                  <c:v>1990.0</c:v>
                </c:pt>
                <c:pt idx="13">
                  <c:v>1991.0</c:v>
                </c:pt>
                <c:pt idx="14">
                  <c:v>1992.0</c:v>
                </c:pt>
                <c:pt idx="15">
                  <c:v>1993.0</c:v>
                </c:pt>
                <c:pt idx="16">
                  <c:v>1994.0</c:v>
                </c:pt>
                <c:pt idx="17">
                  <c:v>1995.0</c:v>
                </c:pt>
                <c:pt idx="18">
                  <c:v>1996.0</c:v>
                </c:pt>
                <c:pt idx="19">
                  <c:v>1997.0</c:v>
                </c:pt>
                <c:pt idx="20">
                  <c:v>1998.0</c:v>
                </c:pt>
                <c:pt idx="21">
                  <c:v>1999.0</c:v>
                </c:pt>
                <c:pt idx="22">
                  <c:v>2000.0</c:v>
                </c:pt>
                <c:pt idx="23">
                  <c:v>2001.0</c:v>
                </c:pt>
                <c:pt idx="24">
                  <c:v>2002.0</c:v>
                </c:pt>
                <c:pt idx="25">
                  <c:v>2003.0</c:v>
                </c:pt>
                <c:pt idx="26">
                  <c:v>2004.0</c:v>
                </c:pt>
                <c:pt idx="27">
                  <c:v>2005.0</c:v>
                </c:pt>
                <c:pt idx="28">
                  <c:v>2006.0</c:v>
                </c:pt>
                <c:pt idx="29">
                  <c:v>2007.0</c:v>
                </c:pt>
                <c:pt idx="30">
                  <c:v>2008.0</c:v>
                </c:pt>
                <c:pt idx="31">
                  <c:v>2009.0</c:v>
                </c:pt>
                <c:pt idx="32">
                  <c:v>2010.0</c:v>
                </c:pt>
                <c:pt idx="33">
                  <c:v>2011.0</c:v>
                </c:pt>
              </c:numCache>
            </c:numRef>
          </c:cat>
          <c:val>
            <c:numRef>
              <c:f>Sheet1!$D$2:$D$35</c:f>
              <c:numCache>
                <c:formatCode>General</c:formatCode>
                <c:ptCount val="34"/>
                <c:pt idx="0">
                  <c:v>12971.688</c:v>
                </c:pt>
                <c:pt idx="1">
                  <c:v>12772.184</c:v>
                </c:pt>
                <c:pt idx="2">
                  <c:v>12476.925</c:v>
                </c:pt>
                <c:pt idx="3">
                  <c:v>11889.4</c:v>
                </c:pt>
                <c:pt idx="4">
                  <c:v>11730.663</c:v>
                </c:pt>
                <c:pt idx="5">
                  <c:v>11953.24000000001</c:v>
                </c:pt>
                <c:pt idx="6">
                  <c:v>12337.296</c:v>
                </c:pt>
                <c:pt idx="7">
                  <c:v>13112.622</c:v>
                </c:pt>
                <c:pt idx="8">
                  <c:v>13906.2</c:v>
                </c:pt>
                <c:pt idx="9">
                  <c:v>14727.44</c:v>
                </c:pt>
                <c:pt idx="10">
                  <c:v>15809.49</c:v>
                </c:pt>
                <c:pt idx="11">
                  <c:v>16575.714</c:v>
                </c:pt>
                <c:pt idx="12">
                  <c:v>16384.698</c:v>
                </c:pt>
                <c:pt idx="13">
                  <c:v>17746.893</c:v>
                </c:pt>
                <c:pt idx="14">
                  <c:v>19104.75</c:v>
                </c:pt>
                <c:pt idx="15">
                  <c:v>21110.72600000001</c:v>
                </c:pt>
                <c:pt idx="16">
                  <c:v>21356.238</c:v>
                </c:pt>
                <c:pt idx="17">
                  <c:v>22955.8</c:v>
                </c:pt>
                <c:pt idx="18">
                  <c:v>25010.63999999989</c:v>
                </c:pt>
                <c:pt idx="19">
                  <c:v>28187.292</c:v>
                </c:pt>
                <c:pt idx="20">
                  <c:v>28426.01</c:v>
                </c:pt>
                <c:pt idx="21">
                  <c:v>29406.894</c:v>
                </c:pt>
                <c:pt idx="22">
                  <c:v>32144.29600000001</c:v>
                </c:pt>
                <c:pt idx="23">
                  <c:v>32792.6397</c:v>
                </c:pt>
                <c:pt idx="24">
                  <c:v>35520.40206</c:v>
                </c:pt>
                <c:pt idx="25">
                  <c:v>38847.78</c:v>
                </c:pt>
                <c:pt idx="26">
                  <c:v>45319.621</c:v>
                </c:pt>
                <c:pt idx="27">
                  <c:v>47183.22</c:v>
                </c:pt>
                <c:pt idx="28">
                  <c:v>50239.1106</c:v>
                </c:pt>
                <c:pt idx="29">
                  <c:v>52319.851</c:v>
                </c:pt>
                <c:pt idx="30">
                  <c:v>53295.0</c:v>
                </c:pt>
                <c:pt idx="31">
                  <c:v>54889.813</c:v>
                </c:pt>
                <c:pt idx="32">
                  <c:v>61738.41</c:v>
                </c:pt>
                <c:pt idx="33">
                  <c:v>64728.37200000001</c:v>
                </c:pt>
              </c:numCache>
            </c:numRef>
          </c:val>
        </c:ser>
        <c:ser>
          <c:idx val="6"/>
          <c:order val="3"/>
          <c:tx>
            <c:strRef>
              <c:f>Sheet1!$E$1</c:f>
              <c:strCache>
                <c:ptCount val="1"/>
                <c:pt idx="0">
                  <c:v>Уголь</c:v>
                </c:pt>
              </c:strCache>
            </c:strRef>
          </c:tx>
          <c:invertIfNegative val="0"/>
          <c:cat>
            <c:numRef>
              <c:f>Sheet1!$A$2:$A$35</c:f>
              <c:numCache>
                <c:formatCode>General</c:formatCode>
                <c:ptCount val="34"/>
                <c:pt idx="0">
                  <c:v>1978.0</c:v>
                </c:pt>
                <c:pt idx="1">
                  <c:v>1979.0</c:v>
                </c:pt>
                <c:pt idx="2">
                  <c:v>1980.0</c:v>
                </c:pt>
                <c:pt idx="3">
                  <c:v>1981.0</c:v>
                </c:pt>
                <c:pt idx="4">
                  <c:v>1982.0</c:v>
                </c:pt>
                <c:pt idx="5">
                  <c:v>1983.0</c:v>
                </c:pt>
                <c:pt idx="6">
                  <c:v>1984.0</c:v>
                </c:pt>
                <c:pt idx="7">
                  <c:v>1985.0</c:v>
                </c:pt>
                <c:pt idx="8">
                  <c:v>1986.0</c:v>
                </c:pt>
                <c:pt idx="9">
                  <c:v>1987.0</c:v>
                </c:pt>
                <c:pt idx="10">
                  <c:v>1988.0</c:v>
                </c:pt>
                <c:pt idx="11">
                  <c:v>1989.0</c:v>
                </c:pt>
                <c:pt idx="12">
                  <c:v>1990.0</c:v>
                </c:pt>
                <c:pt idx="13">
                  <c:v>1991.0</c:v>
                </c:pt>
                <c:pt idx="14">
                  <c:v>1992.0</c:v>
                </c:pt>
                <c:pt idx="15">
                  <c:v>1993.0</c:v>
                </c:pt>
                <c:pt idx="16">
                  <c:v>1994.0</c:v>
                </c:pt>
                <c:pt idx="17">
                  <c:v>1995.0</c:v>
                </c:pt>
                <c:pt idx="18">
                  <c:v>1996.0</c:v>
                </c:pt>
                <c:pt idx="19">
                  <c:v>1997.0</c:v>
                </c:pt>
                <c:pt idx="20">
                  <c:v>1998.0</c:v>
                </c:pt>
                <c:pt idx="21">
                  <c:v>1999.0</c:v>
                </c:pt>
                <c:pt idx="22">
                  <c:v>2000.0</c:v>
                </c:pt>
                <c:pt idx="23">
                  <c:v>2001.0</c:v>
                </c:pt>
                <c:pt idx="24">
                  <c:v>2002.0</c:v>
                </c:pt>
                <c:pt idx="25">
                  <c:v>2003.0</c:v>
                </c:pt>
                <c:pt idx="26">
                  <c:v>2004.0</c:v>
                </c:pt>
                <c:pt idx="27">
                  <c:v>2005.0</c:v>
                </c:pt>
                <c:pt idx="28">
                  <c:v>2006.0</c:v>
                </c:pt>
                <c:pt idx="29">
                  <c:v>2007.0</c:v>
                </c:pt>
                <c:pt idx="30">
                  <c:v>2008.0</c:v>
                </c:pt>
                <c:pt idx="31">
                  <c:v>2009.0</c:v>
                </c:pt>
                <c:pt idx="32">
                  <c:v>2010.0</c:v>
                </c:pt>
                <c:pt idx="33">
                  <c:v>2011.0</c:v>
                </c:pt>
              </c:numCache>
            </c:numRef>
          </c:cat>
          <c:val>
            <c:numRef>
              <c:f>Sheet1!$E$2:$E$35</c:f>
              <c:numCache>
                <c:formatCode>General</c:formatCode>
                <c:ptCount val="34"/>
                <c:pt idx="0">
                  <c:v>40400.80800000001</c:v>
                </c:pt>
                <c:pt idx="1">
                  <c:v>41773.244</c:v>
                </c:pt>
                <c:pt idx="2">
                  <c:v>43518.55</c:v>
                </c:pt>
                <c:pt idx="3">
                  <c:v>43217.969</c:v>
                </c:pt>
                <c:pt idx="4">
                  <c:v>45743.37900000001</c:v>
                </c:pt>
                <c:pt idx="5">
                  <c:v>49001.68</c:v>
                </c:pt>
                <c:pt idx="6">
                  <c:v>53390.712</c:v>
                </c:pt>
                <c:pt idx="7">
                  <c:v>58124.95600000001</c:v>
                </c:pt>
                <c:pt idx="8">
                  <c:v>61284.3</c:v>
                </c:pt>
                <c:pt idx="9">
                  <c:v>66013.584</c:v>
                </c:pt>
                <c:pt idx="10">
                  <c:v>70863.71399999991</c:v>
                </c:pt>
                <c:pt idx="11">
                  <c:v>73766.774</c:v>
                </c:pt>
                <c:pt idx="12">
                  <c:v>75211.686</c:v>
                </c:pt>
                <c:pt idx="13">
                  <c:v>78978.863</c:v>
                </c:pt>
                <c:pt idx="14">
                  <c:v>82641.69</c:v>
                </c:pt>
                <c:pt idx="15">
                  <c:v>86646.77100000002</c:v>
                </c:pt>
                <c:pt idx="16">
                  <c:v>92052.75</c:v>
                </c:pt>
                <c:pt idx="17">
                  <c:v>97857.29599999999</c:v>
                </c:pt>
                <c:pt idx="18">
                  <c:v>103794.156</c:v>
                </c:pt>
                <c:pt idx="19">
                  <c:v>99070.04099999997</c:v>
                </c:pt>
                <c:pt idx="20">
                  <c:v>92020.94399999942</c:v>
                </c:pt>
                <c:pt idx="21">
                  <c:v>89912.229</c:v>
                </c:pt>
                <c:pt idx="22">
                  <c:v>93938.93400000001</c:v>
                </c:pt>
                <c:pt idx="23">
                  <c:v>95513.93310000001</c:v>
                </c:pt>
                <c:pt idx="24">
                  <c:v>100641.13917</c:v>
                </c:pt>
                <c:pt idx="25">
                  <c:v>119693.16</c:v>
                </c:pt>
                <c:pt idx="26">
                  <c:v>138194.3599999999</c:v>
                </c:pt>
                <c:pt idx="27">
                  <c:v>155255.2620000001</c:v>
                </c:pt>
                <c:pt idx="28">
                  <c:v>170911.4840999999</c:v>
                </c:pt>
                <c:pt idx="29">
                  <c:v>184580.185</c:v>
                </c:pt>
                <c:pt idx="30">
                  <c:v>195795.0</c:v>
                </c:pt>
                <c:pt idx="31">
                  <c:v>215879.488</c:v>
                </c:pt>
                <c:pt idx="32">
                  <c:v>220958.52</c:v>
                </c:pt>
                <c:pt idx="33">
                  <c:v>238033.368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28807288"/>
        <c:axId val="2100351880"/>
      </c:barChart>
      <c:catAx>
        <c:axId val="2028807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 anchor="t" anchorCtr="0"/>
          <a:lstStyle/>
          <a:p>
            <a:pPr>
              <a:defRPr b="0" i="0"/>
            </a:pPr>
            <a:endParaRPr lang="en-US"/>
          </a:p>
        </c:txPr>
        <c:crossAx val="2100351880"/>
        <c:crosses val="autoZero"/>
        <c:auto val="1"/>
        <c:lblAlgn val="ctr"/>
        <c:lblOffset val="100"/>
        <c:noMultiLvlLbl val="0"/>
      </c:catAx>
      <c:valAx>
        <c:axId val="21003518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28807288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0539726356119033"/>
          <c:y val="0.841752586040625"/>
          <c:w val="0.768028215223098"/>
          <c:h val="0.1484551931008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883681466899971"/>
          <c:y val="0.0515873015873016"/>
          <c:w val="0.851838729445935"/>
          <c:h val="0.624573200473834"/>
        </c:manualLayout>
      </c:layout>
      <c:lineChart>
        <c:grouping val="standar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На душу</c:v>
                </c:pt>
              </c:strCache>
            </c:strRef>
          </c:tx>
          <c:marker>
            <c:symbol val="none"/>
          </c:marker>
          <c:cat>
            <c:strRef>
              <c:f>Table1[[#All];[ ]]</c:f>
              <c:strCache>
                <c:ptCount val="23"/>
                <c:pt idx="0">
                  <c:v> 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</c:strCache>
            </c:strRef>
          </c:cat>
          <c:val>
            <c:numRef>
              <c:f>Sheet1!$B$2:$B$23</c:f>
              <c:numCache>
                <c:formatCode>General</c:formatCode>
                <c:ptCount val="22"/>
                <c:pt idx="0">
                  <c:v>0.847821713765929</c:v>
                </c:pt>
                <c:pt idx="1">
                  <c:v>0.852188252764995</c:v>
                </c:pt>
                <c:pt idx="2">
                  <c:v>0.885739645475416</c:v>
                </c:pt>
                <c:pt idx="3">
                  <c:v>0.921133677025237</c:v>
                </c:pt>
                <c:pt idx="4">
                  <c:v>0.967818105965791</c:v>
                </c:pt>
                <c:pt idx="5">
                  <c:v>1.013342029870955</c:v>
                </c:pt>
                <c:pt idx="6">
                  <c:v>1.071795667911332</c:v>
                </c:pt>
                <c:pt idx="7">
                  <c:v>1.123938330124731</c:v>
                </c:pt>
                <c:pt idx="8">
                  <c:v>1.10449579596188</c:v>
                </c:pt>
                <c:pt idx="9">
                  <c:v>1.051102666433467</c:v>
                </c:pt>
                <c:pt idx="10">
                  <c:v>1.055924193052082</c:v>
                </c:pt>
                <c:pt idx="11">
                  <c:v>1.085608844523494</c:v>
                </c:pt>
                <c:pt idx="12">
                  <c:v>1.114796851766794</c:v>
                </c:pt>
                <c:pt idx="13">
                  <c:v>1.174653903595998</c:v>
                </c:pt>
                <c:pt idx="14">
                  <c:v>1.346201187801951</c:v>
                </c:pt>
                <c:pt idx="15">
                  <c:v>1.554246076661874</c:v>
                </c:pt>
                <c:pt idx="16">
                  <c:v>1.709284279715173</c:v>
                </c:pt>
                <c:pt idx="17">
                  <c:v>1.863860318325273</c:v>
                </c:pt>
                <c:pt idx="18">
                  <c:v>1.999066279122303</c:v>
                </c:pt>
                <c:pt idx="19">
                  <c:v>2.135247314083638</c:v>
                </c:pt>
                <c:pt idx="20">
                  <c:v>2.28853790344251</c:v>
                </c:pt>
                <c:pt idx="21">
                  <c:v>2.412142353508735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На $1000 ВВП</c:v>
                </c:pt>
              </c:strCache>
            </c:strRef>
          </c:tx>
          <c:marker>
            <c:symbol val="none"/>
          </c:marker>
          <c:cat>
            <c:strRef>
              <c:f>Table1[[#All];[ ]]</c:f>
              <c:strCache>
                <c:ptCount val="23"/>
                <c:pt idx="0">
                  <c:v> 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</c:strCache>
            </c:strRef>
          </c:cat>
          <c:val>
            <c:numRef>
              <c:f>Sheet1!$C$2:$C$23</c:f>
              <c:numCache>
                <c:formatCode>General</c:formatCode>
                <c:ptCount val="22"/>
                <c:pt idx="0">
                  <c:v>2.483710371298482</c:v>
                </c:pt>
                <c:pt idx="1">
                  <c:v>2.41225594064124</c:v>
                </c:pt>
                <c:pt idx="2">
                  <c:v>2.125733785040411</c:v>
                </c:pt>
                <c:pt idx="3">
                  <c:v>1.780265906529925</c:v>
                </c:pt>
                <c:pt idx="4">
                  <c:v>2.074177789222208</c:v>
                </c:pt>
                <c:pt idx="5">
                  <c:v>1.685991804731167</c:v>
                </c:pt>
                <c:pt idx="6">
                  <c:v>1.53227775279324</c:v>
                </c:pt>
                <c:pt idx="7">
                  <c:v>1.458537368800602</c:v>
                </c:pt>
                <c:pt idx="8">
                  <c:v>1.351673725945646</c:v>
                </c:pt>
                <c:pt idx="9">
                  <c:v>1.220498135752655</c:v>
                </c:pt>
                <c:pt idx="10">
                  <c:v>1.11667744425207</c:v>
                </c:pt>
                <c:pt idx="11">
                  <c:v>1.045826672040989</c:v>
                </c:pt>
                <c:pt idx="12">
                  <c:v>0.984984385962499</c:v>
                </c:pt>
                <c:pt idx="13">
                  <c:v>0.925046588411948</c:v>
                </c:pt>
                <c:pt idx="14">
                  <c:v>0.905912269548633</c:v>
                </c:pt>
                <c:pt idx="15">
                  <c:v>0.900182891798838</c:v>
                </c:pt>
                <c:pt idx="16">
                  <c:v>0.828017003900873</c:v>
                </c:pt>
                <c:pt idx="17">
                  <c:v>0.704501347955639</c:v>
                </c:pt>
                <c:pt idx="18">
                  <c:v>0.587107821683581</c:v>
                </c:pt>
                <c:pt idx="19">
                  <c:v>0.571082086337192</c:v>
                </c:pt>
                <c:pt idx="20">
                  <c:v>0.51692717312154</c:v>
                </c:pt>
                <c:pt idx="21">
                  <c:v>0.443688914275479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2151016"/>
        <c:axId val="2068101096"/>
      </c:lineChart>
      <c:catAx>
        <c:axId val="2102151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68101096"/>
        <c:crosses val="autoZero"/>
        <c:auto val="1"/>
        <c:lblAlgn val="ctr"/>
        <c:lblOffset val="100"/>
        <c:noMultiLvlLbl val="0"/>
      </c:catAx>
      <c:valAx>
        <c:axId val="2068101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2151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0418841124768426"/>
          <c:y val="0.84442303672218"/>
          <c:w val="0.622685185185185"/>
          <c:h val="0.1555768028996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185476815398"/>
          <c:y val="0.0515873015873016"/>
          <c:w val="0.773752916302129"/>
          <c:h val="0.6732808398950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Импорт полезных ископаемых (левая шкала)</c:v>
                </c:pt>
              </c:strCache>
            </c:strRef>
          </c:tx>
          <c:invertIfNegative val="0"/>
          <c:cat>
            <c:numRef>
              <c:f>Sheet1!$A$2:$A$11</c:f>
              <c:numCache>
                <c:formatCode>General</c:formatCode>
                <c:ptCount val="10"/>
                <c:pt idx="0">
                  <c:v>2002.0</c:v>
                </c:pt>
                <c:pt idx="1">
                  <c:v>2003.0</c:v>
                </c:pt>
                <c:pt idx="2">
                  <c:v>2004.0</c:v>
                </c:pt>
                <c:pt idx="3">
                  <c:v>2005.0</c:v>
                </c:pt>
                <c:pt idx="4">
                  <c:v>2006.0</c:v>
                </c:pt>
                <c:pt idx="5">
                  <c:v>2007.0</c:v>
                </c:pt>
                <c:pt idx="6">
                  <c:v>2008.0</c:v>
                </c:pt>
                <c:pt idx="7">
                  <c:v>2009.0</c:v>
                </c:pt>
                <c:pt idx="8">
                  <c:v>2010.0</c:v>
                </c:pt>
                <c:pt idx="9">
                  <c:v>2011.0</c:v>
                </c:pt>
              </c:numCache>
            </c:numRef>
          </c:cat>
          <c:val>
            <c:numRef>
              <c:f>Sheet1!$B$2:$B$11</c:f>
              <c:numCache>
                <c:formatCode>0.00</c:formatCode>
                <c:ptCount val="10"/>
                <c:pt idx="0">
                  <c:v>19.285</c:v>
                </c:pt>
                <c:pt idx="1">
                  <c:v>29.189</c:v>
                </c:pt>
                <c:pt idx="2">
                  <c:v>47.99</c:v>
                </c:pt>
                <c:pt idx="3">
                  <c:v>63.95</c:v>
                </c:pt>
                <c:pt idx="4">
                  <c:v>89.001</c:v>
                </c:pt>
                <c:pt idx="5">
                  <c:v>104.83</c:v>
                </c:pt>
                <c:pt idx="6">
                  <c:v>169.11</c:v>
                </c:pt>
                <c:pt idx="7">
                  <c:v>123.96</c:v>
                </c:pt>
                <c:pt idx="8">
                  <c:v>188.7</c:v>
                </c:pt>
                <c:pt idx="9">
                  <c:v>275.78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2339656"/>
        <c:axId val="2123864328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Доля в суммарном импорте (правая шкала)</c:v>
                </c:pt>
              </c:strCache>
            </c:strRef>
          </c:tx>
          <c:marker>
            <c:symbol val="none"/>
          </c:marker>
          <c:cat>
            <c:numRef>
              <c:f>Sheet1!$A$2:$A$11</c:f>
              <c:numCache>
                <c:formatCode>General</c:formatCode>
                <c:ptCount val="10"/>
                <c:pt idx="0">
                  <c:v>2002.0</c:v>
                </c:pt>
                <c:pt idx="1">
                  <c:v>2003.0</c:v>
                </c:pt>
                <c:pt idx="2">
                  <c:v>2004.0</c:v>
                </c:pt>
                <c:pt idx="3">
                  <c:v>2005.0</c:v>
                </c:pt>
                <c:pt idx="4">
                  <c:v>2006.0</c:v>
                </c:pt>
                <c:pt idx="5">
                  <c:v>2007.0</c:v>
                </c:pt>
                <c:pt idx="6">
                  <c:v>2008.0</c:v>
                </c:pt>
                <c:pt idx="7">
                  <c:v>2009.0</c:v>
                </c:pt>
                <c:pt idx="8">
                  <c:v>2010.0</c:v>
                </c:pt>
                <c:pt idx="9">
                  <c:v>2011.0</c:v>
                </c:pt>
              </c:numCache>
            </c:numRef>
          </c:cat>
          <c:val>
            <c:numRef>
              <c:f>Sheet1!$C$2:$C$11</c:f>
              <c:numCache>
                <c:formatCode>0.00</c:formatCode>
                <c:ptCount val="10"/>
                <c:pt idx="0">
                  <c:v>6.53</c:v>
                </c:pt>
                <c:pt idx="1">
                  <c:v>7.07</c:v>
                </c:pt>
                <c:pt idx="2">
                  <c:v>8.55</c:v>
                </c:pt>
                <c:pt idx="3">
                  <c:v>9.69</c:v>
                </c:pt>
                <c:pt idx="4">
                  <c:v>11.25</c:v>
                </c:pt>
                <c:pt idx="5" formatCode="General">
                  <c:v>10.97</c:v>
                </c:pt>
                <c:pt idx="6" formatCode="General">
                  <c:v>14.92</c:v>
                </c:pt>
                <c:pt idx="7" formatCode="General">
                  <c:v>12.33</c:v>
                </c:pt>
                <c:pt idx="8" formatCode="General">
                  <c:v>13.53</c:v>
                </c:pt>
                <c:pt idx="9" formatCode="General">
                  <c:v>15.82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3867176"/>
        <c:axId val="2123865752"/>
      </c:lineChart>
      <c:catAx>
        <c:axId val="2102339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23864328"/>
        <c:crosses val="autoZero"/>
        <c:auto val="1"/>
        <c:lblAlgn val="ctr"/>
        <c:lblOffset val="100"/>
        <c:noMultiLvlLbl val="0"/>
      </c:catAx>
      <c:valAx>
        <c:axId val="212386432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102339656"/>
        <c:crosses val="autoZero"/>
        <c:crossBetween val="between"/>
        <c:majorUnit val="30.0"/>
      </c:valAx>
      <c:valAx>
        <c:axId val="2123865752"/>
        <c:scaling>
          <c:orientation val="minMax"/>
        </c:scaling>
        <c:delete val="0"/>
        <c:axPos val="r"/>
        <c:numFmt formatCode="0.00" sourceLinked="1"/>
        <c:majorTickMark val="out"/>
        <c:minorTickMark val="none"/>
        <c:tickLblPos val="nextTo"/>
        <c:crossAx val="2123867176"/>
        <c:crosses val="max"/>
        <c:crossBetween val="between"/>
      </c:valAx>
      <c:catAx>
        <c:axId val="21238671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23865752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00231481481481481"/>
          <c:y val="0.831703537057868"/>
          <c:w val="0.872685185185185"/>
          <c:h val="0.1405186851643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820319335083"/>
          <c:y val="0.0515873015873016"/>
          <c:w val="0.775846495316274"/>
          <c:h val="0.655882780226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Выбросы СО2 (левая шкала)</c:v>
                </c:pt>
              </c:strCache>
            </c:strRef>
          </c:tx>
          <c:invertIfNegative val="0"/>
          <c:cat>
            <c:numRef>
              <c:f>Sheet1!$A$2:$A$22</c:f>
              <c:numCache>
                <c:formatCode>General</c:formatCode>
                <c:ptCount val="21"/>
                <c:pt idx="0">
                  <c:v>1991.0</c:v>
                </c:pt>
                <c:pt idx="1">
                  <c:v>1992.0</c:v>
                </c:pt>
                <c:pt idx="2">
                  <c:v>1993.0</c:v>
                </c:pt>
                <c:pt idx="3">
                  <c:v>1994.0</c:v>
                </c:pt>
                <c:pt idx="4">
                  <c:v>1995.0</c:v>
                </c:pt>
                <c:pt idx="5">
                  <c:v>1996.0</c:v>
                </c:pt>
                <c:pt idx="6">
                  <c:v>1997.0</c:v>
                </c:pt>
                <c:pt idx="7">
                  <c:v>1998.0</c:v>
                </c:pt>
                <c:pt idx="8">
                  <c:v>1999.0</c:v>
                </c:pt>
                <c:pt idx="9">
                  <c:v>2000.0</c:v>
                </c:pt>
                <c:pt idx="10">
                  <c:v>2001.0</c:v>
                </c:pt>
                <c:pt idx="11">
                  <c:v>2002.0</c:v>
                </c:pt>
                <c:pt idx="12">
                  <c:v>2003.0</c:v>
                </c:pt>
                <c:pt idx="13">
                  <c:v>2004.0</c:v>
                </c:pt>
                <c:pt idx="14">
                  <c:v>2005.0</c:v>
                </c:pt>
                <c:pt idx="15">
                  <c:v>2006.0</c:v>
                </c:pt>
                <c:pt idx="16">
                  <c:v>2007.0</c:v>
                </c:pt>
                <c:pt idx="17">
                  <c:v>2008.0</c:v>
                </c:pt>
                <c:pt idx="18">
                  <c:v>2009.0</c:v>
                </c:pt>
                <c:pt idx="19">
                  <c:v>2010.0</c:v>
                </c:pt>
                <c:pt idx="20">
                  <c:v>2011.0</c:v>
                </c:pt>
              </c:numCache>
            </c:num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2.584538E9</c:v>
                </c:pt>
                <c:pt idx="1">
                  <c:v>2.695982E9</c:v>
                </c:pt>
                <c:pt idx="2">
                  <c:v>2.878694E9</c:v>
                </c:pt>
                <c:pt idx="3">
                  <c:v>3.058241E9</c:v>
                </c:pt>
                <c:pt idx="4">
                  <c:v>3.320285E9</c:v>
                </c:pt>
                <c:pt idx="5">
                  <c:v>3.463089E9</c:v>
                </c:pt>
                <c:pt idx="6">
                  <c:v>3.46951E9</c:v>
                </c:pt>
                <c:pt idx="7">
                  <c:v>3.324345E9</c:v>
                </c:pt>
                <c:pt idx="8">
                  <c:v>3.318056E9</c:v>
                </c:pt>
                <c:pt idx="9">
                  <c:v>3.40518E9</c:v>
                </c:pt>
                <c:pt idx="10">
                  <c:v>3.487566E9</c:v>
                </c:pt>
                <c:pt idx="11">
                  <c:v>3.694242E9</c:v>
                </c:pt>
                <c:pt idx="12">
                  <c:v>4.525177E9</c:v>
                </c:pt>
                <c:pt idx="13">
                  <c:v>5.288166E9</c:v>
                </c:pt>
                <c:pt idx="14">
                  <c:v>5.790017E9</c:v>
                </c:pt>
                <c:pt idx="15">
                  <c:v>6.414463E9</c:v>
                </c:pt>
                <c:pt idx="16">
                  <c:v>6.791805E9</c:v>
                </c:pt>
                <c:pt idx="17">
                  <c:v>7.03771E9</c:v>
                </c:pt>
                <c:pt idx="18">
                  <c:v>7.687114E9</c:v>
                </c:pt>
                <c:pt idx="19">
                  <c:v>8.33E9</c:v>
                </c:pt>
                <c:pt idx="20">
                  <c:v>9.05E9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3784728"/>
        <c:axId val="2124310472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Выбросы CO2 на $10000 ВВП (правая шкала)</c:v>
                </c:pt>
              </c:strCache>
            </c:strRef>
          </c:tx>
          <c:marker>
            <c:symbol val="none"/>
          </c:marker>
          <c:cat>
            <c:numRef>
              <c:f>Sheet1!$A$2:$A$22</c:f>
              <c:numCache>
                <c:formatCode>General</c:formatCode>
                <c:ptCount val="21"/>
                <c:pt idx="0">
                  <c:v>1991.0</c:v>
                </c:pt>
                <c:pt idx="1">
                  <c:v>1992.0</c:v>
                </c:pt>
                <c:pt idx="2">
                  <c:v>1993.0</c:v>
                </c:pt>
                <c:pt idx="3">
                  <c:v>1994.0</c:v>
                </c:pt>
                <c:pt idx="4">
                  <c:v>1995.0</c:v>
                </c:pt>
                <c:pt idx="5">
                  <c:v>1996.0</c:v>
                </c:pt>
                <c:pt idx="6">
                  <c:v>1997.0</c:v>
                </c:pt>
                <c:pt idx="7">
                  <c:v>1998.0</c:v>
                </c:pt>
                <c:pt idx="8">
                  <c:v>1999.0</c:v>
                </c:pt>
                <c:pt idx="9">
                  <c:v>2000.0</c:v>
                </c:pt>
                <c:pt idx="10">
                  <c:v>2001.0</c:v>
                </c:pt>
                <c:pt idx="11">
                  <c:v>2002.0</c:v>
                </c:pt>
                <c:pt idx="12">
                  <c:v>2003.0</c:v>
                </c:pt>
                <c:pt idx="13">
                  <c:v>2004.0</c:v>
                </c:pt>
                <c:pt idx="14">
                  <c:v>2005.0</c:v>
                </c:pt>
                <c:pt idx="15">
                  <c:v>2006.0</c:v>
                </c:pt>
                <c:pt idx="16">
                  <c:v>2007.0</c:v>
                </c:pt>
                <c:pt idx="17">
                  <c:v>2008.0</c:v>
                </c:pt>
                <c:pt idx="18">
                  <c:v>2009.0</c:v>
                </c:pt>
                <c:pt idx="19">
                  <c:v>2010.0</c:v>
                </c:pt>
                <c:pt idx="20">
                  <c:v>2011.0</c:v>
                </c:pt>
              </c:numCache>
            </c:numRef>
          </c:cat>
          <c:val>
            <c:numRef>
              <c:f>Sheet1!$C$2:$C$22</c:f>
              <c:numCache>
                <c:formatCode>General</c:formatCode>
                <c:ptCount val="21"/>
                <c:pt idx="0">
                  <c:v>66.22283033419656</c:v>
                </c:pt>
                <c:pt idx="1">
                  <c:v>65.8885605843983</c:v>
                </c:pt>
                <c:pt idx="2">
                  <c:v>58.96280790296218</c:v>
                </c:pt>
                <c:pt idx="3">
                  <c:v>49.87159646653824</c:v>
                </c:pt>
                <c:pt idx="4">
                  <c:v>59.37307769337509</c:v>
                </c:pt>
                <c:pt idx="5">
                  <c:v>47.57114540077282</c:v>
                </c:pt>
                <c:pt idx="6">
                  <c:v>40.5276345222729</c:v>
                </c:pt>
                <c:pt idx="7">
                  <c:v>34.895654556276</c:v>
                </c:pt>
                <c:pt idx="8">
                  <c:v>32.54712779878014</c:v>
                </c:pt>
                <c:pt idx="9">
                  <c:v>31.43400730559717</c:v>
                </c:pt>
                <c:pt idx="10">
                  <c:v>29.10003128976408</c:v>
                </c:pt>
                <c:pt idx="11">
                  <c:v>27.88490192615136</c:v>
                </c:pt>
                <c:pt idx="12">
                  <c:v>31.12611602536765</c:v>
                </c:pt>
                <c:pt idx="13">
                  <c:v>32.22593277374424</c:v>
                </c:pt>
                <c:pt idx="14">
                  <c:v>29.9745553528497</c:v>
                </c:pt>
                <c:pt idx="15">
                  <c:v>28.41251336031456</c:v>
                </c:pt>
                <c:pt idx="16">
                  <c:v>25.02973102953938</c:v>
                </c:pt>
                <c:pt idx="17">
                  <c:v>20.13268437698818</c:v>
                </c:pt>
                <c:pt idx="18">
                  <c:v>17.00001791311344</c:v>
                </c:pt>
                <c:pt idx="19">
                  <c:v>16.69162729539932</c:v>
                </c:pt>
                <c:pt idx="20">
                  <c:v>15.25828739970627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4313320"/>
        <c:axId val="2124311896"/>
      </c:lineChart>
      <c:catAx>
        <c:axId val="2123784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24310472"/>
        <c:crosses val="autoZero"/>
        <c:auto val="1"/>
        <c:lblAlgn val="ctr"/>
        <c:lblOffset val="100"/>
        <c:noMultiLvlLbl val="0"/>
      </c:catAx>
      <c:valAx>
        <c:axId val="2124310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3784728"/>
        <c:crosses val="autoZero"/>
        <c:crossBetween val="between"/>
      </c:valAx>
      <c:valAx>
        <c:axId val="212431189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2124313320"/>
        <c:crosses val="max"/>
        <c:crossBetween val="between"/>
      </c:valAx>
      <c:catAx>
        <c:axId val="2124313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24311896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0372650197665776"/>
          <c:y val="0.844423327049389"/>
          <c:w val="0.864573967168427"/>
          <c:h val="0.1555766729506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598133566637"/>
          <c:y val="0.0872506572979393"/>
          <c:w val="0.792642332473034"/>
          <c:h val="0.50863972208399"/>
        </c:manualLayout>
      </c:layout>
      <c:barChart>
        <c:barDir val="bar"/>
        <c:grouping val="cluster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Потребление электричества к ВРП (нижняя шкала)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Восток</c:v>
                </c:pt>
                <c:pt idx="1">
                  <c:v>Центр</c:v>
                </c:pt>
                <c:pt idx="2">
                  <c:v>Запад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1111.576923076923</c:v>
                </c:pt>
                <c:pt idx="1">
                  <c:v>1399.375</c:v>
                </c:pt>
                <c:pt idx="2">
                  <c:v>2360.522222222222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369608"/>
        <c:axId val="2028372584"/>
      </c:barChar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Потреблении энергии к ВРП (верхняя шкала)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Восток</c:v>
                </c:pt>
                <c:pt idx="1">
                  <c:v>Центр</c:v>
                </c:pt>
                <c:pt idx="2">
                  <c:v>Запад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1.149538461538462</c:v>
                </c:pt>
                <c:pt idx="1">
                  <c:v>1.634375</c:v>
                </c:pt>
                <c:pt idx="2">
                  <c:v>2.274111111111112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Потребление энергии к региональной добавленной стоимости в промышленности (верхняя шкала)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Восток</c:v>
                </c:pt>
                <c:pt idx="1">
                  <c:v>Центр</c:v>
                </c:pt>
                <c:pt idx="2">
                  <c:v>Запад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2.044615384615384</c:v>
                </c:pt>
                <c:pt idx="1">
                  <c:v>3.643750000000001</c:v>
                </c:pt>
                <c:pt idx="2">
                  <c:v>4.084444444444443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2128760"/>
        <c:axId val="2102377208"/>
      </c:barChart>
      <c:catAx>
        <c:axId val="2028369608"/>
        <c:scaling>
          <c:orientation val="minMax"/>
        </c:scaling>
        <c:delete val="0"/>
        <c:axPos val="l"/>
        <c:majorTickMark val="out"/>
        <c:minorTickMark val="none"/>
        <c:tickLblPos val="nextTo"/>
        <c:crossAx val="2028372584"/>
        <c:crosses val="autoZero"/>
        <c:auto val="1"/>
        <c:lblAlgn val="ctr"/>
        <c:lblOffset val="100"/>
        <c:noMultiLvlLbl val="0"/>
      </c:catAx>
      <c:valAx>
        <c:axId val="20283725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28369608"/>
        <c:crosses val="autoZero"/>
        <c:crossBetween val="between"/>
      </c:valAx>
      <c:valAx>
        <c:axId val="2102377208"/>
        <c:scaling>
          <c:orientation val="minMax"/>
        </c:scaling>
        <c:delete val="0"/>
        <c:axPos val="t"/>
        <c:numFmt formatCode="General" sourceLinked="1"/>
        <c:majorTickMark val="out"/>
        <c:minorTickMark val="none"/>
        <c:tickLblPos val="nextTo"/>
        <c:crossAx val="2102128760"/>
        <c:crosses val="max"/>
        <c:crossBetween val="between"/>
      </c:valAx>
      <c:catAx>
        <c:axId val="2102128760"/>
        <c:scaling>
          <c:orientation val="minMax"/>
        </c:scaling>
        <c:delete val="1"/>
        <c:axPos val="l"/>
        <c:majorTickMark val="out"/>
        <c:minorTickMark val="none"/>
        <c:tickLblPos val="none"/>
        <c:crossAx val="2102377208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0149668590977122"/>
          <c:y val="0.720354337488424"/>
          <c:w val="0.958007983377078"/>
          <c:h val="0.27911195963600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0105430854445692"/>
          <c:y val="0.0343769894945461"/>
          <c:w val="0.625308191702679"/>
          <c:h val="0.87500041519886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Промышленность</c:v>
                </c:pt>
                <c:pt idx="1">
                  <c:v>Транспорт</c:v>
                </c:pt>
                <c:pt idx="2">
                  <c:v>Домохозяйства</c:v>
                </c:pt>
                <c:pt idx="3">
                  <c:v>Сфера услуг</c:v>
                </c:pt>
                <c:pt idx="4">
                  <c:v>Сельское хозяйство</c:v>
                </c:pt>
                <c:pt idx="5">
                  <c:v>Неэнергетическое использование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0.470201721532295</c:v>
                </c:pt>
                <c:pt idx="1">
                  <c:v>0.115644917537289</c:v>
                </c:pt>
                <c:pt idx="2">
                  <c:v>0.23431237269203</c:v>
                </c:pt>
                <c:pt idx="3">
                  <c:v>0.0436296734345226</c:v>
                </c:pt>
                <c:pt idx="4">
                  <c:v>0.0208949339641238</c:v>
                </c:pt>
                <c:pt idx="5">
                  <c:v>0.0879821276036533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0724883347915"/>
          <c:y val="0.0967616547931508"/>
          <c:w val="0.285362363932076"/>
          <c:h val="0.8775820294551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62</Pages>
  <Words>11390</Words>
  <Characters>75404</Characters>
  <Application>Microsoft Macintosh Word</Application>
  <DocSecurity>0</DocSecurity>
  <Lines>2432</Lines>
  <Paragraphs>1356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/>
  <LinksUpToDate>false</LinksUpToDate>
  <CharactersWithSpaces>85438</CharactersWithSpaces>
  <SharedDoc>false</SharedDoc>
  <HLinks>
    <vt:vector size="114" baseType="variant">
      <vt:variant>
        <vt:i4>7798822</vt:i4>
      </vt:variant>
      <vt:variant>
        <vt:i4>102</vt:i4>
      </vt:variant>
      <vt:variant>
        <vt:i4>0</vt:i4>
      </vt:variant>
      <vt:variant>
        <vt:i4>5</vt:i4>
      </vt:variant>
      <vt:variant>
        <vt:lpwstr>http://www.biomassenergycentre.org.uk/</vt:lpwstr>
      </vt:variant>
      <vt:variant>
        <vt:lpwstr/>
      </vt:variant>
      <vt:variant>
        <vt:i4>4587612</vt:i4>
      </vt:variant>
      <vt:variant>
        <vt:i4>99</vt:i4>
      </vt:variant>
      <vt:variant>
        <vt:i4>0</vt:i4>
      </vt:variant>
      <vt:variant>
        <vt:i4>5</vt:i4>
      </vt:variant>
      <vt:variant>
        <vt:lpwstr>http://cta.ornl.gov/</vt:lpwstr>
      </vt:variant>
      <vt:variant>
        <vt:lpwstr/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_Toc355224193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_Toc355224192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_Toc355224191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_Toc355224190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_Toc355224189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_Toc355224188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_Toc355224187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_Toc355224186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_Toc355224185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_Toc355224184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_Toc355224183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_Toc355224182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_Toc355224180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_Toc355224179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_Toc355224178</vt:lpwstr>
      </vt:variant>
      <vt:variant>
        <vt:i4>3276859</vt:i4>
      </vt:variant>
      <vt:variant>
        <vt:i4>3</vt:i4>
      </vt:variant>
      <vt:variant>
        <vt:i4>0</vt:i4>
      </vt:variant>
      <vt:variant>
        <vt:i4>5</vt:i4>
      </vt:variant>
      <vt:variant>
        <vt:lpwstr>http://www.greenpeace.org/</vt:lpwstr>
      </vt:variant>
      <vt:variant>
        <vt:lpwstr/>
      </vt:variant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http://www.pwc.com/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USER</dc:creator>
  <cp:keywords/>
  <dc:description/>
  <cp:lastModifiedBy>Vera Kulpina</cp:lastModifiedBy>
  <cp:revision>47</cp:revision>
  <dcterms:created xsi:type="dcterms:W3CDTF">2013-05-15T23:34:00Z</dcterms:created>
  <dcterms:modified xsi:type="dcterms:W3CDTF">2013-05-20T19:47:00Z</dcterms:modified>
</cp:coreProperties>
</file>