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CB" w:rsidRPr="006D3CCB" w:rsidRDefault="006D3CCB" w:rsidP="006D3CCB">
      <w:pPr>
        <w:spacing w:before="240" w:after="60" w:line="240" w:lineRule="auto"/>
        <w:jc w:val="center"/>
        <w:rPr>
          <w:rFonts w:ascii="Times New Roman" w:hAnsi="Times New Roman" w:cs="Times New Roman"/>
          <w:b/>
          <w:sz w:val="32"/>
          <w:szCs w:val="32"/>
        </w:rPr>
      </w:pPr>
      <w:r w:rsidRPr="006D3CCB">
        <w:rPr>
          <w:rFonts w:ascii="Times New Roman" w:hAnsi="Times New Roman" w:cs="Times New Roman"/>
          <w:b/>
          <w:sz w:val="32"/>
          <w:szCs w:val="32"/>
        </w:rPr>
        <w:t>Национальный исследовательский университет</w:t>
      </w:r>
    </w:p>
    <w:p w:rsidR="006D3CCB" w:rsidRPr="006D3CCB" w:rsidRDefault="006D3CCB" w:rsidP="006D3CCB">
      <w:pPr>
        <w:spacing w:before="240" w:after="60" w:line="240" w:lineRule="auto"/>
        <w:jc w:val="center"/>
        <w:rPr>
          <w:rFonts w:ascii="Times New Roman" w:hAnsi="Times New Roman" w:cs="Times New Roman"/>
          <w:b/>
          <w:sz w:val="32"/>
          <w:szCs w:val="32"/>
        </w:rPr>
      </w:pPr>
      <w:r w:rsidRPr="006D3CCB">
        <w:rPr>
          <w:rFonts w:ascii="Times New Roman" w:hAnsi="Times New Roman" w:cs="Times New Roman"/>
          <w:b/>
          <w:sz w:val="32"/>
          <w:szCs w:val="32"/>
        </w:rPr>
        <w:t>Высшая школа экономики</w:t>
      </w:r>
    </w:p>
    <w:p w:rsidR="006D3CCB" w:rsidRDefault="006D3CCB" w:rsidP="008022B8">
      <w:pPr>
        <w:spacing w:before="360" w:after="0" w:line="240" w:lineRule="auto"/>
        <w:jc w:val="center"/>
        <w:rPr>
          <w:rFonts w:ascii="Times New Roman" w:hAnsi="Times New Roman" w:cs="Times New Roman"/>
          <w:b/>
          <w:sz w:val="32"/>
          <w:szCs w:val="32"/>
        </w:rPr>
      </w:pPr>
      <w:r w:rsidRPr="006D3CCB">
        <w:rPr>
          <w:rFonts w:ascii="Times New Roman" w:hAnsi="Times New Roman" w:cs="Times New Roman"/>
          <w:b/>
          <w:sz w:val="32"/>
          <w:szCs w:val="32"/>
        </w:rPr>
        <w:t>Отделение статистики, анализа данных и демографии</w:t>
      </w:r>
    </w:p>
    <w:p w:rsidR="006D3CCB" w:rsidRPr="006D3CCB" w:rsidRDefault="006D3CCB" w:rsidP="006D3CCB">
      <w:pPr>
        <w:spacing w:after="0" w:line="240" w:lineRule="auto"/>
        <w:jc w:val="center"/>
        <w:rPr>
          <w:rFonts w:ascii="Times New Roman" w:hAnsi="Times New Roman" w:cs="Times New Roman"/>
          <w:b/>
          <w:sz w:val="32"/>
          <w:szCs w:val="32"/>
        </w:rPr>
      </w:pPr>
      <w:r w:rsidRPr="006D3CCB">
        <w:rPr>
          <w:rFonts w:ascii="Times New Roman" w:hAnsi="Times New Roman" w:cs="Times New Roman"/>
          <w:b/>
          <w:sz w:val="32"/>
          <w:szCs w:val="32"/>
        </w:rPr>
        <w:t>факультета экономики</w:t>
      </w:r>
    </w:p>
    <w:p w:rsidR="006D3CCB" w:rsidRPr="008022B8" w:rsidRDefault="006D3CCB" w:rsidP="008022B8">
      <w:pPr>
        <w:spacing w:after="0" w:line="240" w:lineRule="auto"/>
        <w:jc w:val="center"/>
        <w:rPr>
          <w:rFonts w:ascii="Times New Roman" w:hAnsi="Times New Roman" w:cs="Times New Roman"/>
          <w:sz w:val="24"/>
          <w:szCs w:val="24"/>
        </w:rPr>
      </w:pPr>
    </w:p>
    <w:p w:rsidR="006D3CCB" w:rsidRDefault="006D3CCB" w:rsidP="00802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Профиль специальных дисциплин «Статистика и анализ данных»</w:t>
      </w:r>
    </w:p>
    <w:p w:rsidR="008022B8" w:rsidRPr="008022B8" w:rsidRDefault="008022B8" w:rsidP="008022B8">
      <w:pPr>
        <w:spacing w:after="0" w:line="240" w:lineRule="auto"/>
        <w:jc w:val="center"/>
        <w:rPr>
          <w:rFonts w:ascii="Times New Roman" w:hAnsi="Times New Roman" w:cs="Times New Roman"/>
          <w:sz w:val="24"/>
          <w:szCs w:val="24"/>
        </w:rPr>
      </w:pPr>
    </w:p>
    <w:p w:rsidR="006D3CCB" w:rsidRDefault="006D3CCB" w:rsidP="00802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статистических методов</w:t>
      </w:r>
    </w:p>
    <w:p w:rsidR="006D3CCB" w:rsidRDefault="006D3CCB" w:rsidP="008022B8">
      <w:pPr>
        <w:spacing w:before="240" w:after="60" w:line="360" w:lineRule="auto"/>
        <w:jc w:val="center"/>
        <w:rPr>
          <w:rFonts w:ascii="Times New Roman" w:hAnsi="Times New Roman" w:cs="Times New Roman"/>
          <w:sz w:val="28"/>
          <w:szCs w:val="28"/>
        </w:rPr>
      </w:pPr>
    </w:p>
    <w:p w:rsidR="0055673E" w:rsidRPr="008022B8" w:rsidRDefault="0055673E" w:rsidP="008022B8">
      <w:pPr>
        <w:spacing w:before="240" w:after="60" w:line="360" w:lineRule="auto"/>
        <w:jc w:val="center"/>
        <w:rPr>
          <w:rFonts w:ascii="Times New Roman" w:hAnsi="Times New Roman" w:cs="Times New Roman"/>
          <w:sz w:val="28"/>
          <w:szCs w:val="28"/>
        </w:rPr>
      </w:pPr>
    </w:p>
    <w:p w:rsidR="006D3CCB" w:rsidRDefault="006D3CCB" w:rsidP="008022B8">
      <w:pPr>
        <w:spacing w:after="0" w:line="240" w:lineRule="auto"/>
        <w:jc w:val="center"/>
        <w:rPr>
          <w:rFonts w:ascii="Times New Roman" w:hAnsi="Times New Roman" w:cs="Times New Roman"/>
          <w:b/>
          <w:sz w:val="36"/>
          <w:szCs w:val="36"/>
        </w:rPr>
      </w:pPr>
      <w:r w:rsidRPr="006D3CCB">
        <w:rPr>
          <w:rFonts w:ascii="Times New Roman" w:hAnsi="Times New Roman" w:cs="Times New Roman"/>
          <w:b/>
          <w:sz w:val="36"/>
          <w:szCs w:val="36"/>
        </w:rPr>
        <w:t>БАКАЛАВРСКАЯ РАБОТА</w:t>
      </w:r>
    </w:p>
    <w:p w:rsidR="008022B8" w:rsidRPr="008022B8" w:rsidRDefault="008022B8" w:rsidP="008022B8">
      <w:pPr>
        <w:spacing w:after="0" w:line="240" w:lineRule="auto"/>
        <w:jc w:val="center"/>
        <w:rPr>
          <w:rFonts w:ascii="Times New Roman" w:hAnsi="Times New Roman" w:cs="Times New Roman"/>
          <w:b/>
          <w:sz w:val="24"/>
          <w:szCs w:val="24"/>
        </w:rPr>
      </w:pPr>
    </w:p>
    <w:p w:rsidR="00386D92" w:rsidRPr="00386D92" w:rsidRDefault="006D3CCB" w:rsidP="006D3CCB">
      <w:pPr>
        <w:spacing w:after="0" w:line="360" w:lineRule="auto"/>
        <w:jc w:val="center"/>
        <w:rPr>
          <w:rFonts w:ascii="Times New Roman" w:hAnsi="Times New Roman" w:cs="Times New Roman"/>
          <w:b/>
          <w:i/>
          <w:sz w:val="32"/>
          <w:szCs w:val="32"/>
        </w:rPr>
      </w:pPr>
      <w:r w:rsidRPr="00386D92">
        <w:rPr>
          <w:rFonts w:ascii="Times New Roman" w:eastAsia="Calibri" w:hAnsi="Times New Roman" w:cs="Times New Roman"/>
          <w:b/>
          <w:i/>
          <w:sz w:val="32"/>
          <w:szCs w:val="32"/>
        </w:rPr>
        <w:t>«</w:t>
      </w:r>
      <w:r w:rsidRPr="00386D92">
        <w:rPr>
          <w:rFonts w:ascii="Times New Roman" w:hAnsi="Times New Roman" w:cs="Times New Roman"/>
          <w:b/>
          <w:i/>
          <w:sz w:val="32"/>
          <w:szCs w:val="32"/>
        </w:rPr>
        <w:t xml:space="preserve">Статистическое исследование и оценка резервов убытков </w:t>
      </w:r>
    </w:p>
    <w:p w:rsidR="006D3CCB" w:rsidRPr="00386D92" w:rsidRDefault="006D3CCB" w:rsidP="006D3CCB">
      <w:pPr>
        <w:spacing w:after="0" w:line="360" w:lineRule="auto"/>
        <w:jc w:val="center"/>
        <w:rPr>
          <w:rFonts w:ascii="Times New Roman" w:eastAsia="Calibri" w:hAnsi="Times New Roman" w:cs="Times New Roman"/>
          <w:b/>
          <w:i/>
          <w:sz w:val="32"/>
          <w:szCs w:val="32"/>
        </w:rPr>
      </w:pPr>
      <w:r w:rsidRPr="00386D92">
        <w:rPr>
          <w:rFonts w:ascii="Times New Roman" w:hAnsi="Times New Roman" w:cs="Times New Roman"/>
          <w:b/>
          <w:i/>
          <w:sz w:val="32"/>
          <w:szCs w:val="32"/>
        </w:rPr>
        <w:t>в добровольном медицинском страховании</w:t>
      </w:r>
      <w:r w:rsidRPr="00386D92">
        <w:rPr>
          <w:rFonts w:ascii="Times New Roman" w:eastAsia="Calibri" w:hAnsi="Times New Roman" w:cs="Times New Roman"/>
          <w:b/>
          <w:i/>
          <w:sz w:val="32"/>
          <w:szCs w:val="32"/>
        </w:rPr>
        <w:t>»</w:t>
      </w:r>
    </w:p>
    <w:p w:rsidR="006D3CCB" w:rsidRPr="00386D92" w:rsidRDefault="006D3CCB" w:rsidP="003D350E">
      <w:pPr>
        <w:spacing w:after="0" w:line="360" w:lineRule="auto"/>
        <w:jc w:val="center"/>
        <w:rPr>
          <w:rFonts w:ascii="Times New Roman" w:hAnsi="Times New Roman" w:cs="Times New Roman"/>
          <w:b/>
          <w:sz w:val="32"/>
          <w:szCs w:val="32"/>
        </w:rPr>
      </w:pPr>
    </w:p>
    <w:p w:rsidR="006D3CCB" w:rsidRDefault="006D3CCB" w:rsidP="003D350E">
      <w:pPr>
        <w:spacing w:after="0" w:line="360" w:lineRule="auto"/>
        <w:jc w:val="center"/>
        <w:rPr>
          <w:rFonts w:ascii="Times New Roman" w:hAnsi="Times New Roman" w:cs="Times New Roman"/>
          <w:b/>
          <w:sz w:val="28"/>
          <w:szCs w:val="28"/>
        </w:rPr>
      </w:pPr>
    </w:p>
    <w:p w:rsidR="008022B8" w:rsidRDefault="008022B8" w:rsidP="003D350E">
      <w:pPr>
        <w:spacing w:after="0" w:line="360" w:lineRule="auto"/>
        <w:jc w:val="center"/>
        <w:rPr>
          <w:rFonts w:ascii="Times New Roman" w:hAnsi="Times New Roman" w:cs="Times New Roman"/>
          <w:b/>
          <w:sz w:val="28"/>
          <w:szCs w:val="28"/>
        </w:rPr>
      </w:pPr>
    </w:p>
    <w:p w:rsidR="006D3CCB" w:rsidRDefault="00386D92" w:rsidP="008022B8">
      <w:pPr>
        <w:spacing w:after="120" w:line="360" w:lineRule="auto"/>
        <w:ind w:left="5387"/>
        <w:rPr>
          <w:rFonts w:ascii="Times New Roman" w:hAnsi="Times New Roman" w:cs="Times New Roman"/>
          <w:b/>
          <w:sz w:val="24"/>
          <w:szCs w:val="24"/>
        </w:rPr>
      </w:pPr>
      <w:r>
        <w:rPr>
          <w:rFonts w:ascii="Times New Roman" w:hAnsi="Times New Roman" w:cs="Times New Roman"/>
          <w:b/>
          <w:sz w:val="24"/>
          <w:szCs w:val="24"/>
        </w:rPr>
        <w:t>Выполнил</w:t>
      </w:r>
    </w:p>
    <w:p w:rsidR="00386D92" w:rsidRPr="00386D92" w:rsidRDefault="00386D92" w:rsidP="008022B8">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Студент группы № 41С</w:t>
      </w:r>
    </w:p>
    <w:p w:rsidR="006D3CCB" w:rsidRPr="00386D92" w:rsidRDefault="00386D92" w:rsidP="008022B8">
      <w:pPr>
        <w:spacing w:after="0" w:line="240" w:lineRule="auto"/>
        <w:ind w:left="5387"/>
        <w:rPr>
          <w:rFonts w:ascii="Times New Roman" w:hAnsi="Times New Roman" w:cs="Times New Roman"/>
          <w:b/>
          <w:sz w:val="24"/>
          <w:szCs w:val="24"/>
        </w:rPr>
      </w:pPr>
      <w:r w:rsidRPr="00386D92">
        <w:rPr>
          <w:rFonts w:ascii="Times New Roman" w:hAnsi="Times New Roman" w:cs="Times New Roman"/>
          <w:b/>
          <w:sz w:val="24"/>
          <w:szCs w:val="24"/>
        </w:rPr>
        <w:t>Нарышкина Д.М.</w:t>
      </w:r>
    </w:p>
    <w:p w:rsidR="006D3CCB" w:rsidRDefault="006D3CCB" w:rsidP="008022B8">
      <w:pPr>
        <w:spacing w:after="0" w:line="360" w:lineRule="auto"/>
        <w:ind w:left="5387"/>
        <w:jc w:val="center"/>
        <w:rPr>
          <w:rFonts w:ascii="Times New Roman" w:hAnsi="Times New Roman" w:cs="Times New Roman"/>
          <w:b/>
          <w:sz w:val="28"/>
          <w:szCs w:val="28"/>
        </w:rPr>
      </w:pPr>
    </w:p>
    <w:p w:rsidR="006D3CCB" w:rsidRPr="00386D92" w:rsidRDefault="00386D92" w:rsidP="008022B8">
      <w:pPr>
        <w:spacing w:after="120" w:line="360" w:lineRule="auto"/>
        <w:ind w:left="5387"/>
        <w:rPr>
          <w:rFonts w:ascii="Times New Roman" w:hAnsi="Times New Roman" w:cs="Times New Roman"/>
          <w:b/>
          <w:sz w:val="24"/>
          <w:szCs w:val="24"/>
        </w:rPr>
      </w:pPr>
      <w:r w:rsidRPr="00386D92">
        <w:rPr>
          <w:rFonts w:ascii="Times New Roman" w:hAnsi="Times New Roman" w:cs="Times New Roman"/>
          <w:b/>
          <w:sz w:val="24"/>
          <w:szCs w:val="24"/>
        </w:rPr>
        <w:t>Научный руководитель</w:t>
      </w:r>
    </w:p>
    <w:p w:rsidR="006D3CCB" w:rsidRPr="00386D92" w:rsidRDefault="00386D92" w:rsidP="008022B8">
      <w:pPr>
        <w:spacing w:after="0" w:line="360" w:lineRule="auto"/>
        <w:ind w:left="5387"/>
        <w:rPr>
          <w:rFonts w:ascii="Times New Roman" w:hAnsi="Times New Roman" w:cs="Times New Roman"/>
          <w:b/>
          <w:sz w:val="24"/>
          <w:szCs w:val="24"/>
        </w:rPr>
      </w:pPr>
      <w:r w:rsidRPr="00386D92">
        <w:rPr>
          <w:rFonts w:ascii="Times New Roman" w:hAnsi="Times New Roman" w:cs="Times New Roman"/>
          <w:b/>
          <w:sz w:val="24"/>
          <w:szCs w:val="24"/>
        </w:rPr>
        <w:t>к.т.н., доцент Миронкина Ю.Н.</w:t>
      </w:r>
    </w:p>
    <w:p w:rsidR="006D3CCB" w:rsidRDefault="006D3CCB" w:rsidP="003D350E">
      <w:pPr>
        <w:spacing w:after="0" w:line="360" w:lineRule="auto"/>
        <w:jc w:val="center"/>
        <w:rPr>
          <w:rFonts w:ascii="Times New Roman" w:hAnsi="Times New Roman" w:cs="Times New Roman"/>
          <w:b/>
          <w:sz w:val="28"/>
          <w:szCs w:val="28"/>
        </w:rPr>
      </w:pPr>
    </w:p>
    <w:p w:rsidR="006D3CCB" w:rsidRDefault="006D3CCB" w:rsidP="003D350E">
      <w:pPr>
        <w:spacing w:after="0" w:line="360" w:lineRule="auto"/>
        <w:jc w:val="center"/>
        <w:rPr>
          <w:rFonts w:ascii="Times New Roman" w:hAnsi="Times New Roman" w:cs="Times New Roman"/>
          <w:b/>
          <w:sz w:val="28"/>
          <w:szCs w:val="28"/>
        </w:rPr>
      </w:pPr>
    </w:p>
    <w:p w:rsidR="006D3CCB" w:rsidRDefault="006D3CCB" w:rsidP="003D350E">
      <w:pPr>
        <w:spacing w:after="0" w:line="360" w:lineRule="auto"/>
        <w:jc w:val="center"/>
        <w:rPr>
          <w:rFonts w:ascii="Times New Roman" w:hAnsi="Times New Roman" w:cs="Times New Roman"/>
          <w:b/>
          <w:sz w:val="28"/>
          <w:szCs w:val="28"/>
        </w:rPr>
      </w:pPr>
    </w:p>
    <w:p w:rsidR="006D3CCB" w:rsidRDefault="006D3CCB" w:rsidP="003D350E">
      <w:pPr>
        <w:spacing w:after="0" w:line="360" w:lineRule="auto"/>
        <w:jc w:val="center"/>
        <w:rPr>
          <w:rFonts w:ascii="Times New Roman" w:hAnsi="Times New Roman" w:cs="Times New Roman"/>
          <w:b/>
          <w:sz w:val="28"/>
          <w:szCs w:val="28"/>
        </w:rPr>
      </w:pPr>
    </w:p>
    <w:p w:rsidR="006D3CCB" w:rsidRDefault="006D3CCB" w:rsidP="003D350E">
      <w:pPr>
        <w:spacing w:after="0" w:line="360" w:lineRule="auto"/>
        <w:jc w:val="center"/>
        <w:rPr>
          <w:rFonts w:ascii="Times New Roman" w:hAnsi="Times New Roman" w:cs="Times New Roman"/>
          <w:b/>
          <w:sz w:val="28"/>
          <w:szCs w:val="28"/>
        </w:rPr>
      </w:pPr>
    </w:p>
    <w:p w:rsidR="008022B8" w:rsidRDefault="008022B8" w:rsidP="003D350E">
      <w:pPr>
        <w:spacing w:after="0" w:line="360" w:lineRule="auto"/>
        <w:jc w:val="center"/>
        <w:rPr>
          <w:rFonts w:ascii="Times New Roman" w:hAnsi="Times New Roman" w:cs="Times New Roman"/>
          <w:b/>
          <w:sz w:val="28"/>
          <w:szCs w:val="28"/>
        </w:rPr>
      </w:pPr>
    </w:p>
    <w:p w:rsidR="006D3CCB" w:rsidRPr="008022B8" w:rsidRDefault="00386D92" w:rsidP="008022B8">
      <w:pPr>
        <w:spacing w:after="0" w:line="360" w:lineRule="auto"/>
        <w:jc w:val="center"/>
        <w:rPr>
          <w:rFonts w:ascii="Times New Roman" w:hAnsi="Times New Roman" w:cs="Times New Roman"/>
          <w:b/>
          <w:sz w:val="24"/>
          <w:szCs w:val="24"/>
        </w:rPr>
      </w:pPr>
      <w:r w:rsidRPr="008022B8">
        <w:rPr>
          <w:rFonts w:ascii="Times New Roman" w:hAnsi="Times New Roman" w:cs="Times New Roman"/>
          <w:b/>
          <w:sz w:val="24"/>
          <w:szCs w:val="24"/>
        </w:rPr>
        <w:t>Москва 2013</w:t>
      </w:r>
    </w:p>
    <w:p w:rsidR="00B179F6" w:rsidRDefault="00B179F6" w:rsidP="00EA757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rPr>
        <w:id w:val="442014"/>
        <w:docPartObj>
          <w:docPartGallery w:val="Table of Contents"/>
          <w:docPartUnique/>
        </w:docPartObj>
      </w:sdtPr>
      <w:sdtContent>
        <w:p w:rsidR="00163245" w:rsidRPr="00163245" w:rsidRDefault="00163245" w:rsidP="00647656">
          <w:pPr>
            <w:pStyle w:val="ae"/>
            <w:spacing w:before="0" w:line="360" w:lineRule="auto"/>
            <w:rPr>
              <w:rFonts w:ascii="Times New Roman" w:hAnsi="Times New Roman" w:cs="Times New Roman"/>
            </w:rPr>
          </w:pPr>
          <w:r w:rsidRPr="00163245">
            <w:rPr>
              <w:rFonts w:ascii="Times New Roman" w:hAnsi="Times New Roman" w:cs="Times New Roman"/>
              <w:color w:val="auto"/>
            </w:rPr>
            <w:t xml:space="preserve">Введение </w:t>
          </w:r>
          <w:r w:rsidRPr="00163245">
            <w:rPr>
              <w:rFonts w:ascii="Times New Roman" w:hAnsi="Times New Roman" w:cs="Times New Roman"/>
              <w:b w:val="0"/>
              <w:color w:val="auto"/>
            </w:rPr>
            <w:ptab w:relativeTo="margin" w:alignment="right" w:leader="dot"/>
          </w:r>
          <w:r w:rsidR="00A750BE">
            <w:rPr>
              <w:rFonts w:ascii="Times New Roman" w:hAnsi="Times New Roman" w:cs="Times New Roman"/>
              <w:b w:val="0"/>
              <w:color w:val="auto"/>
            </w:rPr>
            <w:t>3</w:t>
          </w:r>
        </w:p>
        <w:p w:rsidR="00163245" w:rsidRPr="00A83849" w:rsidRDefault="00163245" w:rsidP="00647656">
          <w:pPr>
            <w:pStyle w:val="13"/>
          </w:pPr>
          <w:r w:rsidRPr="00A83849">
            <w:t>Глава 1. ДМС как объект статистического и актуарного исследования</w:t>
          </w:r>
          <w:r w:rsidRPr="00FF3F66">
            <w:rPr>
              <w:b w:val="0"/>
            </w:rPr>
            <w:ptab w:relativeTo="margin" w:alignment="right" w:leader="dot"/>
          </w:r>
          <w:r w:rsidR="00A750BE">
            <w:rPr>
              <w:b w:val="0"/>
            </w:rPr>
            <w:t>6</w:t>
          </w:r>
        </w:p>
        <w:p w:rsidR="00163245" w:rsidRPr="00163245" w:rsidRDefault="00163245" w:rsidP="00647656">
          <w:pPr>
            <w:pStyle w:val="21"/>
            <w:spacing w:after="0" w:line="360" w:lineRule="auto"/>
            <w:ind w:left="216"/>
            <w:rPr>
              <w:rFonts w:ascii="Times New Roman" w:hAnsi="Times New Roman" w:cs="Times New Roman"/>
              <w:sz w:val="28"/>
              <w:szCs w:val="28"/>
            </w:rPr>
          </w:pPr>
          <w:r w:rsidRPr="00647656">
            <w:rPr>
              <w:rFonts w:ascii="Times New Roman" w:hAnsi="Times New Roman" w:cs="Times New Roman"/>
              <w:sz w:val="28"/>
              <w:szCs w:val="28"/>
            </w:rPr>
            <w:t>§ 1.1. Основополагающие понятия ДМС как вида страхования</w:t>
          </w:r>
          <w:r w:rsidRPr="00647656">
            <w:rPr>
              <w:rFonts w:ascii="Times New Roman" w:hAnsi="Times New Roman" w:cs="Times New Roman"/>
              <w:sz w:val="28"/>
              <w:szCs w:val="28"/>
            </w:rPr>
            <w:ptab w:relativeTo="margin" w:alignment="right" w:leader="dot"/>
          </w:r>
          <w:r w:rsidR="00A750BE">
            <w:rPr>
              <w:rFonts w:ascii="Times New Roman" w:eastAsiaTheme="majorEastAsia" w:hAnsi="Times New Roman" w:cs="Times New Roman"/>
              <w:bCs/>
              <w:sz w:val="28"/>
              <w:szCs w:val="28"/>
            </w:rPr>
            <w:t>6</w:t>
          </w:r>
        </w:p>
        <w:p w:rsidR="00163245" w:rsidRPr="00431E35" w:rsidRDefault="00163245" w:rsidP="00647656">
          <w:pPr>
            <w:pStyle w:val="3"/>
            <w:spacing w:after="0"/>
            <w:rPr>
              <w:rFonts w:ascii="Times New Roman" w:eastAsiaTheme="majorEastAsia" w:hAnsi="Times New Roman" w:cs="Times New Roman"/>
              <w:bCs/>
              <w:sz w:val="28"/>
              <w:szCs w:val="28"/>
            </w:rPr>
          </w:pPr>
          <w:r w:rsidRPr="00647656">
            <w:rPr>
              <w:rFonts w:ascii="Times New Roman" w:hAnsi="Times New Roman" w:cs="Times New Roman"/>
              <w:sz w:val="28"/>
              <w:szCs w:val="28"/>
            </w:rPr>
            <w:t xml:space="preserve">§ 1.2. Экономико-статистический анализ развития рынка ДМС в </w:t>
          </w:r>
          <w:r w:rsidRPr="00431E35">
            <w:rPr>
              <w:rFonts w:ascii="Times New Roman" w:eastAsiaTheme="majorEastAsia" w:hAnsi="Times New Roman" w:cs="Times New Roman"/>
              <w:bCs/>
              <w:sz w:val="28"/>
              <w:szCs w:val="28"/>
            </w:rPr>
            <w:t>России</w:t>
          </w:r>
          <w:r w:rsidRPr="00431E35">
            <w:rPr>
              <w:rFonts w:ascii="Times New Roman" w:eastAsiaTheme="majorEastAsia" w:hAnsi="Times New Roman" w:cs="Times New Roman"/>
              <w:bCs/>
              <w:sz w:val="28"/>
              <w:szCs w:val="28"/>
            </w:rPr>
            <w:ptab w:relativeTo="margin" w:alignment="right" w:leader="dot"/>
          </w:r>
          <w:r w:rsidRPr="00431E35">
            <w:rPr>
              <w:rFonts w:ascii="Times New Roman" w:eastAsiaTheme="majorEastAsia" w:hAnsi="Times New Roman" w:cs="Times New Roman"/>
              <w:bCs/>
              <w:sz w:val="28"/>
              <w:szCs w:val="28"/>
            </w:rPr>
            <w:t>1</w:t>
          </w:r>
          <w:r w:rsidR="00A750BE">
            <w:rPr>
              <w:rFonts w:ascii="Times New Roman" w:eastAsiaTheme="majorEastAsia" w:hAnsi="Times New Roman" w:cs="Times New Roman"/>
              <w:bCs/>
              <w:sz w:val="28"/>
              <w:szCs w:val="28"/>
            </w:rPr>
            <w:t>5</w:t>
          </w:r>
        </w:p>
        <w:p w:rsidR="003F1B7D" w:rsidRPr="00546CC5" w:rsidRDefault="00163245" w:rsidP="00647656">
          <w:pPr>
            <w:spacing w:after="0" w:line="360" w:lineRule="auto"/>
            <w:ind w:left="215"/>
            <w:rPr>
              <w:rFonts w:ascii="Times New Roman" w:eastAsiaTheme="majorEastAsia" w:hAnsi="Times New Roman" w:cs="Times New Roman"/>
              <w:b/>
              <w:bCs/>
              <w:sz w:val="28"/>
              <w:szCs w:val="28"/>
            </w:rPr>
          </w:pPr>
          <w:r w:rsidRPr="00647656">
            <w:rPr>
              <w:rFonts w:ascii="Times New Roman" w:eastAsiaTheme="minorEastAsia" w:hAnsi="Times New Roman" w:cs="Times New Roman"/>
              <w:sz w:val="28"/>
              <w:szCs w:val="28"/>
            </w:rPr>
            <w:t>§ 1.3. Особенности формирования страховых резервов в ДМС</w:t>
          </w:r>
          <w:r w:rsidR="003F1B7D" w:rsidRPr="00647656">
            <w:rPr>
              <w:rFonts w:ascii="Times New Roman" w:eastAsiaTheme="minorEastAsia" w:hAnsi="Times New Roman" w:cs="Times New Roman"/>
              <w:sz w:val="28"/>
              <w:szCs w:val="28"/>
            </w:rPr>
            <w:ptab w:relativeTo="margin" w:alignment="right" w:leader="dot"/>
          </w:r>
          <w:r w:rsidR="009F00A4">
            <w:rPr>
              <w:rFonts w:ascii="Times New Roman" w:eastAsiaTheme="minorEastAsia" w:hAnsi="Times New Roman" w:cs="Times New Roman"/>
              <w:sz w:val="28"/>
              <w:szCs w:val="28"/>
            </w:rPr>
            <w:t>29</w:t>
          </w:r>
        </w:p>
        <w:p w:rsidR="003F1B7D" w:rsidRPr="003F1B7D" w:rsidRDefault="003F1B7D" w:rsidP="00647656">
          <w:pPr>
            <w:pStyle w:val="13"/>
          </w:pPr>
          <w:r>
            <w:t>Глава 2. Расчет резервов убытков в ДМС стандартными актуарными методами</w:t>
          </w:r>
          <w:r w:rsidRPr="00FF3F66">
            <w:rPr>
              <w:b w:val="0"/>
            </w:rPr>
            <w:ptab w:relativeTo="margin" w:alignment="right" w:leader="dot"/>
          </w:r>
          <w:r w:rsidR="00546CC5" w:rsidRPr="00431E35">
            <w:rPr>
              <w:rFonts w:eastAsiaTheme="majorEastAsia"/>
              <w:b w:val="0"/>
              <w:bCs/>
            </w:rPr>
            <w:t>3</w:t>
          </w:r>
          <w:r w:rsidR="009F00A4">
            <w:rPr>
              <w:rFonts w:eastAsiaTheme="majorEastAsia"/>
              <w:b w:val="0"/>
              <w:bCs/>
            </w:rPr>
            <w:t>4</w:t>
          </w:r>
        </w:p>
        <w:p w:rsidR="003F1B7D" w:rsidRPr="00A83849" w:rsidRDefault="003F1B7D" w:rsidP="00647656">
          <w:pPr>
            <w:pStyle w:val="3"/>
            <w:spacing w:after="0"/>
            <w:rPr>
              <w:rFonts w:ascii="Times New Roman" w:hAnsi="Times New Roman" w:cs="Times New Roman"/>
              <w:b/>
              <w:sz w:val="28"/>
              <w:szCs w:val="28"/>
            </w:rPr>
          </w:pPr>
          <w:r w:rsidRPr="00647656">
            <w:rPr>
              <w:rFonts w:ascii="Times New Roman" w:hAnsi="Times New Roman" w:cs="Times New Roman"/>
              <w:sz w:val="28"/>
              <w:szCs w:val="28"/>
            </w:rPr>
            <w:t>§ 2.1. Треугольник развития как инструмент представления данных по убыткам</w:t>
          </w:r>
          <w:r w:rsidR="002D2F29">
            <w:rPr>
              <w:rFonts w:ascii="Times New Roman" w:hAnsi="Times New Roman" w:cs="Times New Roman"/>
              <w:sz w:val="28"/>
              <w:szCs w:val="28"/>
            </w:rPr>
            <w:t xml:space="preserve"> страховой компании</w:t>
          </w:r>
          <w:r w:rsidRPr="00A83849">
            <w:rPr>
              <w:rFonts w:ascii="Times New Roman" w:hAnsi="Times New Roman" w:cs="Times New Roman"/>
              <w:sz w:val="28"/>
              <w:szCs w:val="28"/>
            </w:rPr>
            <w:ptab w:relativeTo="margin" w:alignment="right" w:leader="dot"/>
          </w:r>
          <w:r w:rsidR="00546CC5" w:rsidRPr="00431E35">
            <w:rPr>
              <w:rFonts w:ascii="Times New Roman" w:eastAsiaTheme="majorEastAsia" w:hAnsi="Times New Roman" w:cs="Times New Roman"/>
              <w:bCs/>
              <w:sz w:val="28"/>
              <w:szCs w:val="28"/>
            </w:rPr>
            <w:t>3</w:t>
          </w:r>
          <w:r w:rsidR="009F00A4">
            <w:rPr>
              <w:rFonts w:ascii="Times New Roman" w:eastAsiaTheme="majorEastAsia" w:hAnsi="Times New Roman" w:cs="Times New Roman"/>
              <w:bCs/>
              <w:sz w:val="28"/>
              <w:szCs w:val="28"/>
            </w:rPr>
            <w:t>4</w:t>
          </w:r>
        </w:p>
        <w:p w:rsidR="003F1B7D" w:rsidRPr="00546CC5" w:rsidRDefault="003F1B7D" w:rsidP="00647656">
          <w:pPr>
            <w:spacing w:after="0" w:line="360" w:lineRule="auto"/>
            <w:ind w:left="215"/>
            <w:rPr>
              <w:rFonts w:ascii="Times New Roman" w:eastAsiaTheme="majorEastAsia" w:hAnsi="Times New Roman" w:cs="Times New Roman"/>
              <w:b/>
              <w:bCs/>
              <w:sz w:val="28"/>
              <w:szCs w:val="28"/>
            </w:rPr>
          </w:pPr>
          <w:r w:rsidRPr="00647656">
            <w:rPr>
              <w:rFonts w:ascii="Times New Roman" w:eastAsiaTheme="minorEastAsia" w:hAnsi="Times New Roman" w:cs="Times New Roman"/>
              <w:sz w:val="28"/>
              <w:szCs w:val="28"/>
            </w:rPr>
            <w:t>§ 2.2. Расчет резерв</w:t>
          </w:r>
          <w:r w:rsidR="003626BF">
            <w:rPr>
              <w:rFonts w:ascii="Times New Roman" w:eastAsiaTheme="minorEastAsia" w:hAnsi="Times New Roman" w:cs="Times New Roman"/>
              <w:sz w:val="28"/>
              <w:szCs w:val="28"/>
            </w:rPr>
            <w:t>ов</w:t>
          </w:r>
          <w:r w:rsidRPr="00647656">
            <w:rPr>
              <w:rFonts w:ascii="Times New Roman" w:eastAsiaTheme="minorEastAsia" w:hAnsi="Times New Roman" w:cs="Times New Roman"/>
              <w:sz w:val="28"/>
              <w:szCs w:val="28"/>
            </w:rPr>
            <w:t xml:space="preserve"> произошедших, но незаявленных убытков методом цепной лестницы</w:t>
          </w:r>
          <w:r w:rsidRPr="00647656">
            <w:rPr>
              <w:rFonts w:ascii="Times New Roman" w:eastAsiaTheme="minorEastAsia" w:hAnsi="Times New Roman" w:cs="Times New Roman"/>
              <w:sz w:val="28"/>
              <w:szCs w:val="28"/>
            </w:rPr>
            <w:ptab w:relativeTo="margin" w:alignment="right" w:leader="dot"/>
          </w:r>
          <w:r w:rsidR="009F00A4">
            <w:rPr>
              <w:rFonts w:ascii="Times New Roman" w:eastAsiaTheme="majorEastAsia" w:hAnsi="Times New Roman" w:cs="Times New Roman"/>
              <w:bCs/>
              <w:sz w:val="28"/>
              <w:szCs w:val="28"/>
            </w:rPr>
            <w:t>39</w:t>
          </w:r>
        </w:p>
        <w:p w:rsidR="00A83849" w:rsidRPr="00A83849" w:rsidRDefault="00A83849" w:rsidP="00647656">
          <w:pPr>
            <w:spacing w:after="0" w:line="360" w:lineRule="auto"/>
            <w:ind w:left="215"/>
            <w:rPr>
              <w:rFonts w:ascii="Times New Roman" w:hAnsi="Times New Roman" w:cs="Times New Roman"/>
              <w:b/>
              <w:sz w:val="28"/>
              <w:szCs w:val="28"/>
            </w:rPr>
          </w:pPr>
          <w:r w:rsidRPr="00647656">
            <w:rPr>
              <w:rFonts w:ascii="Times New Roman" w:eastAsiaTheme="minorEastAsia" w:hAnsi="Times New Roman" w:cs="Times New Roman"/>
              <w:sz w:val="28"/>
              <w:szCs w:val="28"/>
            </w:rPr>
            <w:t xml:space="preserve">§ 2.3. Применение метода Борнхуеттера-Фергюсона для оценки величины </w:t>
          </w:r>
          <w:r w:rsidR="001221EF" w:rsidRPr="00647656">
            <w:rPr>
              <w:rFonts w:ascii="Times New Roman" w:eastAsiaTheme="minorEastAsia" w:hAnsi="Times New Roman" w:cs="Times New Roman"/>
              <w:sz w:val="28"/>
              <w:szCs w:val="28"/>
            </w:rPr>
            <w:t>резервов</w:t>
          </w:r>
          <w:r w:rsidR="003626BF">
            <w:rPr>
              <w:rFonts w:ascii="Times New Roman" w:eastAsiaTheme="minorEastAsia" w:hAnsi="Times New Roman" w:cs="Times New Roman"/>
              <w:sz w:val="28"/>
              <w:szCs w:val="28"/>
            </w:rPr>
            <w:t xml:space="preserve"> убытков</w:t>
          </w:r>
          <w:r w:rsidR="001221EF" w:rsidRPr="00647656">
            <w:rPr>
              <w:rFonts w:ascii="Times New Roman" w:eastAsiaTheme="minorEastAsia" w:hAnsi="Times New Roman" w:cs="Times New Roman"/>
              <w:sz w:val="28"/>
              <w:szCs w:val="28"/>
            </w:rPr>
            <w:t xml:space="preserve"> в ДМС</w:t>
          </w:r>
          <w:r w:rsidRPr="00647656">
            <w:rPr>
              <w:rFonts w:ascii="Times New Roman" w:eastAsiaTheme="minorEastAsia" w:hAnsi="Times New Roman" w:cs="Times New Roman"/>
              <w:sz w:val="28"/>
              <w:szCs w:val="28"/>
            </w:rPr>
            <w:ptab w:relativeTo="margin" w:alignment="right" w:leader="dot"/>
          </w:r>
          <w:r w:rsidR="00A750BE">
            <w:rPr>
              <w:rFonts w:ascii="Times New Roman" w:eastAsiaTheme="minorEastAsia" w:hAnsi="Times New Roman" w:cs="Times New Roman"/>
              <w:sz w:val="28"/>
              <w:szCs w:val="28"/>
            </w:rPr>
            <w:t>4</w:t>
          </w:r>
          <w:r w:rsidR="009F00A4">
            <w:rPr>
              <w:rFonts w:ascii="Times New Roman" w:eastAsiaTheme="minorEastAsia" w:hAnsi="Times New Roman" w:cs="Times New Roman"/>
              <w:sz w:val="28"/>
              <w:szCs w:val="28"/>
            </w:rPr>
            <w:t>5</w:t>
          </w:r>
        </w:p>
        <w:p w:rsidR="00A83849" w:rsidRPr="00A83849" w:rsidRDefault="00A83849" w:rsidP="00647656">
          <w:pPr>
            <w:spacing w:after="0" w:line="360" w:lineRule="auto"/>
            <w:ind w:left="215"/>
            <w:rPr>
              <w:rFonts w:ascii="Times New Roman" w:hAnsi="Times New Roman" w:cs="Times New Roman"/>
              <w:b/>
              <w:sz w:val="28"/>
              <w:szCs w:val="28"/>
            </w:rPr>
          </w:pPr>
          <w:r w:rsidRPr="00647656">
            <w:rPr>
              <w:rFonts w:ascii="Times New Roman" w:eastAsiaTheme="minorEastAsia" w:hAnsi="Times New Roman" w:cs="Times New Roman"/>
              <w:sz w:val="28"/>
              <w:szCs w:val="28"/>
            </w:rPr>
            <w:t xml:space="preserve">§ 2.4. Определение </w:t>
          </w:r>
          <w:r w:rsidR="00DF09DF">
            <w:rPr>
              <w:rFonts w:ascii="Times New Roman" w:eastAsiaTheme="minorEastAsia" w:hAnsi="Times New Roman" w:cs="Times New Roman"/>
              <w:sz w:val="28"/>
              <w:szCs w:val="28"/>
            </w:rPr>
            <w:t>величины</w:t>
          </w:r>
          <w:r w:rsidRPr="00647656">
            <w:rPr>
              <w:rFonts w:ascii="Times New Roman" w:eastAsiaTheme="minorEastAsia" w:hAnsi="Times New Roman" w:cs="Times New Roman"/>
              <w:sz w:val="28"/>
              <w:szCs w:val="28"/>
            </w:rPr>
            <w:t xml:space="preserve"> резерва произошедших, но незаявленных убытков посредством мультипликативного метода</w:t>
          </w:r>
          <w:r w:rsidRPr="00647656">
            <w:rPr>
              <w:rFonts w:ascii="Times New Roman" w:eastAsiaTheme="minorEastAsia" w:hAnsi="Times New Roman" w:cs="Times New Roman"/>
              <w:sz w:val="28"/>
              <w:szCs w:val="28"/>
            </w:rPr>
            <w:ptab w:relativeTo="margin" w:alignment="right" w:leader="dot"/>
          </w:r>
          <w:r w:rsidR="00A750BE">
            <w:rPr>
              <w:rFonts w:ascii="Times New Roman" w:eastAsiaTheme="minorEastAsia" w:hAnsi="Times New Roman" w:cs="Times New Roman"/>
              <w:sz w:val="28"/>
              <w:szCs w:val="28"/>
            </w:rPr>
            <w:t>5</w:t>
          </w:r>
          <w:r w:rsidR="009F00A4">
            <w:rPr>
              <w:rFonts w:ascii="Times New Roman" w:eastAsiaTheme="minorEastAsia" w:hAnsi="Times New Roman" w:cs="Times New Roman"/>
              <w:sz w:val="28"/>
              <w:szCs w:val="28"/>
            </w:rPr>
            <w:t>1</w:t>
          </w:r>
        </w:p>
        <w:p w:rsidR="00A83849" w:rsidRPr="001B29BF" w:rsidRDefault="00A83849" w:rsidP="00647656">
          <w:pPr>
            <w:spacing w:after="0" w:line="360" w:lineRule="auto"/>
            <w:rPr>
              <w:rFonts w:ascii="Times New Roman" w:hAnsi="Times New Roman" w:cs="Times New Roman"/>
              <w:b/>
              <w:sz w:val="28"/>
              <w:szCs w:val="28"/>
            </w:rPr>
          </w:pPr>
          <w:r>
            <w:rPr>
              <w:rFonts w:ascii="Times New Roman" w:hAnsi="Times New Roman" w:cs="Times New Roman"/>
              <w:b/>
              <w:sz w:val="28"/>
              <w:szCs w:val="28"/>
            </w:rPr>
            <w:t>Глава 3. Ра</w:t>
          </w:r>
          <w:r w:rsidR="00AF378F">
            <w:rPr>
              <w:rFonts w:ascii="Times New Roman" w:hAnsi="Times New Roman" w:cs="Times New Roman"/>
              <w:b/>
              <w:sz w:val="28"/>
              <w:szCs w:val="28"/>
            </w:rPr>
            <w:t>счет</w:t>
          </w:r>
          <w:r>
            <w:rPr>
              <w:rFonts w:ascii="Times New Roman" w:hAnsi="Times New Roman" w:cs="Times New Roman"/>
              <w:b/>
              <w:sz w:val="28"/>
              <w:szCs w:val="28"/>
            </w:rPr>
            <w:t xml:space="preserve"> страховых резервов</w:t>
          </w:r>
          <w:r w:rsidR="00AF378F">
            <w:rPr>
              <w:rFonts w:ascii="Times New Roman" w:hAnsi="Times New Roman" w:cs="Times New Roman"/>
              <w:b/>
              <w:sz w:val="28"/>
              <w:szCs w:val="28"/>
            </w:rPr>
            <w:t xml:space="preserve"> </w:t>
          </w:r>
          <w:r w:rsidR="00F3117A">
            <w:rPr>
              <w:rFonts w:ascii="Times New Roman" w:hAnsi="Times New Roman" w:cs="Times New Roman"/>
              <w:b/>
              <w:sz w:val="28"/>
              <w:szCs w:val="28"/>
            </w:rPr>
            <w:t xml:space="preserve">в ДМС </w:t>
          </w:r>
          <w:r w:rsidR="00AF378F">
            <w:rPr>
              <w:rFonts w:ascii="Times New Roman" w:hAnsi="Times New Roman" w:cs="Times New Roman"/>
              <w:b/>
              <w:sz w:val="28"/>
              <w:szCs w:val="28"/>
            </w:rPr>
            <w:t>модифицированными мет</w:t>
          </w:r>
          <w:r w:rsidR="00AF378F">
            <w:rPr>
              <w:rFonts w:ascii="Times New Roman" w:hAnsi="Times New Roman" w:cs="Times New Roman"/>
              <w:b/>
              <w:sz w:val="28"/>
              <w:szCs w:val="28"/>
            </w:rPr>
            <w:t>о</w:t>
          </w:r>
          <w:r w:rsidR="00AF378F">
            <w:rPr>
              <w:rFonts w:ascii="Times New Roman" w:hAnsi="Times New Roman" w:cs="Times New Roman"/>
              <w:b/>
              <w:sz w:val="28"/>
              <w:szCs w:val="28"/>
            </w:rPr>
            <w:t>дами</w:t>
          </w:r>
          <w:r w:rsidR="001B29BF" w:rsidRPr="00FF3F66">
            <w:ptab w:relativeTo="margin" w:alignment="right" w:leader="dot"/>
          </w:r>
          <w:r w:rsidR="00A750BE">
            <w:rPr>
              <w:rFonts w:ascii="Times New Roman" w:eastAsiaTheme="majorEastAsia" w:hAnsi="Times New Roman" w:cs="Times New Roman"/>
              <w:bCs/>
              <w:sz w:val="28"/>
              <w:szCs w:val="28"/>
            </w:rPr>
            <w:t>57</w:t>
          </w:r>
        </w:p>
        <w:p w:rsidR="00A83849" w:rsidRPr="00431E35" w:rsidRDefault="00A83849" w:rsidP="00647656">
          <w:pPr>
            <w:spacing w:after="0" w:line="360" w:lineRule="auto"/>
            <w:ind w:left="215"/>
            <w:rPr>
              <w:rFonts w:ascii="Times New Roman" w:eastAsiaTheme="majorEastAsia" w:hAnsi="Times New Roman" w:cs="Times New Roman"/>
              <w:bCs/>
              <w:sz w:val="28"/>
              <w:szCs w:val="28"/>
            </w:rPr>
          </w:pPr>
          <w:r w:rsidRPr="00647656">
            <w:rPr>
              <w:rFonts w:ascii="Times New Roman" w:eastAsiaTheme="minorEastAsia" w:hAnsi="Times New Roman" w:cs="Times New Roman"/>
              <w:sz w:val="28"/>
              <w:szCs w:val="28"/>
            </w:rPr>
            <w:t xml:space="preserve">§ 3.1. Моделирование динамики цен на медицинские услуги </w:t>
          </w:r>
          <w:r w:rsidR="00647656">
            <w:rPr>
              <w:rFonts w:ascii="Times New Roman" w:eastAsiaTheme="minorEastAsia" w:hAnsi="Times New Roman" w:cs="Times New Roman"/>
              <w:sz w:val="28"/>
              <w:szCs w:val="28"/>
            </w:rPr>
            <w:t xml:space="preserve"> </w:t>
          </w:r>
          <w:r w:rsidRPr="00647656">
            <w:rPr>
              <w:rFonts w:ascii="Times New Roman" w:eastAsiaTheme="minorEastAsia" w:hAnsi="Times New Roman" w:cs="Times New Roman"/>
              <w:sz w:val="28"/>
              <w:szCs w:val="28"/>
            </w:rPr>
            <w:t xml:space="preserve">в </w:t>
          </w:r>
          <w:r w:rsidRPr="00431E35">
            <w:rPr>
              <w:rFonts w:ascii="Times New Roman" w:eastAsiaTheme="majorEastAsia" w:hAnsi="Times New Roman" w:cs="Times New Roman"/>
              <w:bCs/>
              <w:sz w:val="28"/>
              <w:szCs w:val="28"/>
            </w:rPr>
            <w:t>России</w:t>
          </w:r>
          <w:r w:rsidR="001B29BF" w:rsidRPr="00431E35">
            <w:rPr>
              <w:rFonts w:ascii="Times New Roman" w:eastAsiaTheme="majorEastAsia" w:hAnsi="Times New Roman" w:cs="Times New Roman"/>
              <w:bCs/>
              <w:sz w:val="28"/>
              <w:szCs w:val="28"/>
            </w:rPr>
            <w:ptab w:relativeTo="margin" w:alignment="right" w:leader="dot"/>
          </w:r>
          <w:r w:rsidR="00A750BE">
            <w:rPr>
              <w:rFonts w:ascii="Times New Roman" w:eastAsiaTheme="majorEastAsia" w:hAnsi="Times New Roman" w:cs="Times New Roman"/>
              <w:bCs/>
              <w:sz w:val="28"/>
              <w:szCs w:val="28"/>
            </w:rPr>
            <w:t>57</w:t>
          </w:r>
        </w:p>
        <w:p w:rsidR="001B29BF" w:rsidRPr="00431E35" w:rsidRDefault="001B29BF" w:rsidP="00647656">
          <w:pPr>
            <w:spacing w:after="0" w:line="360" w:lineRule="auto"/>
            <w:ind w:left="215"/>
            <w:rPr>
              <w:rFonts w:ascii="Times New Roman" w:eastAsiaTheme="majorEastAsia" w:hAnsi="Times New Roman" w:cs="Times New Roman"/>
              <w:bCs/>
              <w:sz w:val="28"/>
              <w:szCs w:val="28"/>
            </w:rPr>
          </w:pPr>
          <w:r w:rsidRPr="00647656">
            <w:rPr>
              <w:rFonts w:ascii="Times New Roman" w:eastAsiaTheme="minorEastAsia" w:hAnsi="Times New Roman" w:cs="Times New Roman"/>
              <w:sz w:val="28"/>
              <w:szCs w:val="28"/>
            </w:rPr>
            <w:t xml:space="preserve">§ 3.2. Формирование резервов убытков с помощью скорректированного с учетом инфляции метода цепной </w:t>
          </w:r>
          <w:r w:rsidRPr="00431E35">
            <w:rPr>
              <w:rFonts w:ascii="Times New Roman" w:eastAsiaTheme="majorEastAsia" w:hAnsi="Times New Roman" w:cs="Times New Roman"/>
              <w:bCs/>
              <w:sz w:val="28"/>
              <w:szCs w:val="28"/>
            </w:rPr>
            <w:t>лестницы</w:t>
          </w:r>
          <w:r w:rsidRPr="00431E35">
            <w:rPr>
              <w:rFonts w:ascii="Times New Roman" w:eastAsiaTheme="majorEastAsia" w:hAnsi="Times New Roman" w:cs="Times New Roman"/>
              <w:bCs/>
              <w:sz w:val="28"/>
              <w:szCs w:val="28"/>
            </w:rPr>
            <w:ptab w:relativeTo="margin" w:alignment="right" w:leader="dot"/>
          </w:r>
          <w:r w:rsidR="00A750BE">
            <w:rPr>
              <w:rFonts w:ascii="Times New Roman" w:eastAsiaTheme="majorEastAsia" w:hAnsi="Times New Roman" w:cs="Times New Roman"/>
              <w:bCs/>
              <w:sz w:val="28"/>
              <w:szCs w:val="28"/>
            </w:rPr>
            <w:t>61</w:t>
          </w:r>
        </w:p>
        <w:p w:rsidR="00A83849" w:rsidRPr="00757775" w:rsidRDefault="001B29BF" w:rsidP="00647656">
          <w:pPr>
            <w:spacing w:after="0" w:line="360" w:lineRule="auto"/>
            <w:ind w:left="215"/>
            <w:rPr>
              <w:rFonts w:ascii="Times New Roman" w:hAnsi="Times New Roman" w:cs="Times New Roman"/>
              <w:b/>
              <w:sz w:val="28"/>
              <w:szCs w:val="28"/>
            </w:rPr>
          </w:pPr>
          <w:r w:rsidRPr="00647656">
            <w:rPr>
              <w:rFonts w:ascii="Times New Roman" w:eastAsiaTheme="minorEastAsia" w:hAnsi="Times New Roman" w:cs="Times New Roman"/>
              <w:sz w:val="28"/>
              <w:szCs w:val="28"/>
            </w:rPr>
            <w:t>§ 3.3. Корректировка мультипликативного метода на фактор инфляции</w:t>
          </w:r>
          <w:r w:rsidRPr="00647656">
            <w:rPr>
              <w:rFonts w:ascii="Times New Roman" w:eastAsiaTheme="minorEastAsia" w:hAnsi="Times New Roman" w:cs="Times New Roman"/>
              <w:sz w:val="28"/>
              <w:szCs w:val="28"/>
            </w:rPr>
            <w:ptab w:relativeTo="margin" w:alignment="right" w:leader="dot"/>
          </w:r>
          <w:r w:rsidR="00A750BE">
            <w:rPr>
              <w:rFonts w:ascii="Times New Roman" w:eastAsiaTheme="majorEastAsia" w:hAnsi="Times New Roman" w:cs="Times New Roman"/>
              <w:bCs/>
              <w:sz w:val="28"/>
              <w:szCs w:val="28"/>
            </w:rPr>
            <w:t>6</w:t>
          </w:r>
          <w:r w:rsidR="00546CC5" w:rsidRPr="00431E35">
            <w:rPr>
              <w:rFonts w:ascii="Times New Roman" w:eastAsiaTheme="majorEastAsia" w:hAnsi="Times New Roman" w:cs="Times New Roman"/>
              <w:bCs/>
              <w:sz w:val="28"/>
              <w:szCs w:val="28"/>
            </w:rPr>
            <w:t>4</w:t>
          </w:r>
        </w:p>
        <w:p w:rsidR="007C1F45" w:rsidRPr="007C1F45" w:rsidRDefault="007C1F45" w:rsidP="00647656">
          <w:pPr>
            <w:spacing w:after="0" w:line="360" w:lineRule="auto"/>
            <w:ind w:left="215"/>
            <w:rPr>
              <w:rFonts w:ascii="Times New Roman" w:hAnsi="Times New Roman" w:cs="Times New Roman"/>
              <w:b/>
              <w:sz w:val="28"/>
              <w:szCs w:val="28"/>
            </w:rPr>
          </w:pPr>
          <w:r w:rsidRPr="00647656">
            <w:rPr>
              <w:rFonts w:ascii="Times New Roman" w:eastAsiaTheme="minorEastAsia" w:hAnsi="Times New Roman" w:cs="Times New Roman"/>
              <w:sz w:val="28"/>
              <w:szCs w:val="28"/>
            </w:rPr>
            <w:t>§ 3.4. Решение задачи резервирования в ДМС методом на основе финанс</w:t>
          </w:r>
          <w:r w:rsidRPr="00647656">
            <w:rPr>
              <w:rFonts w:ascii="Times New Roman" w:eastAsiaTheme="minorEastAsia" w:hAnsi="Times New Roman" w:cs="Times New Roman"/>
              <w:sz w:val="28"/>
              <w:szCs w:val="28"/>
            </w:rPr>
            <w:t>о</w:t>
          </w:r>
          <w:r w:rsidRPr="00647656">
            <w:rPr>
              <w:rFonts w:ascii="Times New Roman" w:eastAsiaTheme="minorEastAsia" w:hAnsi="Times New Roman" w:cs="Times New Roman"/>
              <w:sz w:val="28"/>
              <w:szCs w:val="28"/>
            </w:rPr>
            <w:t>вых потоков по календарным периодам</w:t>
          </w:r>
          <w:r w:rsidRPr="00647656">
            <w:rPr>
              <w:rFonts w:ascii="Times New Roman" w:eastAsiaTheme="minorEastAsia" w:hAnsi="Times New Roman" w:cs="Times New Roman"/>
              <w:sz w:val="28"/>
              <w:szCs w:val="28"/>
            </w:rPr>
            <w:ptab w:relativeTo="margin" w:alignment="right" w:leader="dot"/>
          </w:r>
          <w:r w:rsidR="00A750BE">
            <w:rPr>
              <w:rFonts w:ascii="Times New Roman" w:eastAsiaTheme="minorEastAsia" w:hAnsi="Times New Roman" w:cs="Times New Roman"/>
              <w:sz w:val="28"/>
              <w:szCs w:val="28"/>
            </w:rPr>
            <w:t>66</w:t>
          </w:r>
        </w:p>
        <w:p w:rsidR="001221EF" w:rsidRPr="007C1F45" w:rsidRDefault="001221EF" w:rsidP="00647656">
          <w:pPr>
            <w:spacing w:after="0" w:line="360" w:lineRule="auto"/>
            <w:ind w:left="215"/>
            <w:rPr>
              <w:rFonts w:ascii="Times New Roman" w:hAnsi="Times New Roman" w:cs="Times New Roman"/>
              <w:b/>
              <w:sz w:val="28"/>
              <w:szCs w:val="28"/>
            </w:rPr>
          </w:pPr>
          <w:r w:rsidRPr="00647656">
            <w:rPr>
              <w:rFonts w:ascii="Times New Roman" w:eastAsiaTheme="minorEastAsia" w:hAnsi="Times New Roman" w:cs="Times New Roman"/>
              <w:sz w:val="28"/>
              <w:szCs w:val="28"/>
            </w:rPr>
            <w:t>§ 3.5. Сопоставление полученных различными методами оценок резерва произошедших, но незаявленных убытков</w:t>
          </w:r>
          <w:r w:rsidRPr="00647656">
            <w:rPr>
              <w:rFonts w:ascii="Times New Roman" w:eastAsiaTheme="minorEastAsia" w:hAnsi="Times New Roman" w:cs="Times New Roman"/>
              <w:sz w:val="28"/>
              <w:szCs w:val="28"/>
            </w:rPr>
            <w:ptab w:relativeTo="margin" w:alignment="right" w:leader="dot"/>
          </w:r>
          <w:r w:rsidR="00A750BE">
            <w:rPr>
              <w:rFonts w:ascii="Times New Roman" w:eastAsiaTheme="minorEastAsia" w:hAnsi="Times New Roman" w:cs="Times New Roman"/>
              <w:sz w:val="28"/>
              <w:szCs w:val="28"/>
            </w:rPr>
            <w:t>74</w:t>
          </w:r>
        </w:p>
        <w:p w:rsidR="007C1F45" w:rsidRDefault="007C1F45" w:rsidP="00647656">
          <w:pPr>
            <w:spacing w:after="0" w:line="360" w:lineRule="auto"/>
            <w:rPr>
              <w:rFonts w:ascii="Times New Roman" w:hAnsi="Times New Roman" w:cs="Times New Roman"/>
              <w:sz w:val="28"/>
              <w:szCs w:val="28"/>
            </w:rPr>
          </w:pPr>
          <w:r w:rsidRPr="008219C1">
            <w:rPr>
              <w:rFonts w:ascii="Times New Roman" w:hAnsi="Times New Roman" w:cs="Times New Roman"/>
              <w:b/>
              <w:sz w:val="28"/>
              <w:szCs w:val="28"/>
            </w:rPr>
            <w:t>Заключение</w:t>
          </w:r>
          <w:r w:rsidRPr="00FF3F66">
            <w:ptab w:relativeTo="margin" w:alignment="right" w:leader="dot"/>
          </w:r>
          <w:r w:rsidR="00A750BE" w:rsidRPr="00A750BE">
            <w:rPr>
              <w:rFonts w:ascii="Times New Roman" w:eastAsiaTheme="minorEastAsia" w:hAnsi="Times New Roman" w:cs="Times New Roman"/>
              <w:sz w:val="28"/>
              <w:szCs w:val="28"/>
            </w:rPr>
            <w:t>79</w:t>
          </w:r>
        </w:p>
        <w:p w:rsidR="007C1F45" w:rsidRDefault="00CC11F8" w:rsidP="00647656">
          <w:pPr>
            <w:spacing w:after="0" w:line="360"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r w:rsidR="007C1F45" w:rsidRPr="00FF3F66">
            <w:ptab w:relativeTo="margin" w:alignment="right" w:leader="dot"/>
          </w:r>
          <w:r w:rsidR="00A750BE">
            <w:rPr>
              <w:rFonts w:ascii="Times New Roman" w:eastAsiaTheme="majorEastAsia" w:hAnsi="Times New Roman" w:cs="Times New Roman"/>
              <w:bCs/>
              <w:sz w:val="28"/>
              <w:szCs w:val="28"/>
            </w:rPr>
            <w:t>81</w:t>
          </w:r>
        </w:p>
        <w:p w:rsidR="00A83849" w:rsidRDefault="007C1F45" w:rsidP="006332EF">
          <w:pPr>
            <w:spacing w:after="0" w:line="360" w:lineRule="auto"/>
          </w:pPr>
          <w:r>
            <w:rPr>
              <w:rFonts w:ascii="Times New Roman" w:hAnsi="Times New Roman" w:cs="Times New Roman"/>
              <w:b/>
              <w:sz w:val="28"/>
              <w:szCs w:val="28"/>
            </w:rPr>
            <w:t>Приложения</w:t>
          </w:r>
          <w:r w:rsidRPr="00FF3F66">
            <w:ptab w:relativeTo="margin" w:alignment="right" w:leader="dot"/>
          </w:r>
          <w:r w:rsidR="00A750BE">
            <w:rPr>
              <w:rFonts w:ascii="Times New Roman" w:eastAsiaTheme="majorEastAsia" w:hAnsi="Times New Roman" w:cs="Times New Roman"/>
              <w:bCs/>
              <w:sz w:val="28"/>
              <w:szCs w:val="28"/>
            </w:rPr>
            <w:t>8</w:t>
          </w:r>
          <w:r w:rsidR="00CD46C1">
            <w:rPr>
              <w:rFonts w:ascii="Times New Roman" w:eastAsiaTheme="majorEastAsia" w:hAnsi="Times New Roman" w:cs="Times New Roman"/>
              <w:bCs/>
              <w:sz w:val="28"/>
              <w:szCs w:val="28"/>
            </w:rPr>
            <w:t>6</w:t>
          </w:r>
        </w:p>
      </w:sdtContent>
    </w:sdt>
    <w:p w:rsidR="006810EB" w:rsidRDefault="006810EB" w:rsidP="00EA7579">
      <w:pPr>
        <w:spacing w:after="0" w:line="360" w:lineRule="auto"/>
        <w:jc w:val="center"/>
        <w:rPr>
          <w:rFonts w:ascii="Times New Roman" w:hAnsi="Times New Roman" w:cs="Times New Roman"/>
          <w:b/>
          <w:sz w:val="28"/>
          <w:szCs w:val="28"/>
        </w:rPr>
      </w:pPr>
    </w:p>
    <w:p w:rsidR="00B179F6" w:rsidRDefault="00B179F6" w:rsidP="00EA757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37098" w:rsidRDefault="00B37098" w:rsidP="00B37098">
      <w:pPr>
        <w:shd w:val="clear" w:color="auto" w:fill="FFFFFF"/>
        <w:spacing w:after="0" w:line="360" w:lineRule="auto"/>
        <w:ind w:firstLine="709"/>
        <w:jc w:val="both"/>
        <w:rPr>
          <w:rFonts w:ascii="Times New Roman" w:hAnsi="Times New Roman" w:cs="Times New Roman"/>
          <w:bCs/>
          <w:iCs/>
          <w:sz w:val="28"/>
          <w:szCs w:val="28"/>
        </w:rPr>
      </w:pPr>
      <w:r w:rsidRPr="00D7106C">
        <w:rPr>
          <w:rFonts w:ascii="Times New Roman" w:hAnsi="Times New Roman" w:cs="Times New Roman"/>
          <w:bCs/>
          <w:iCs/>
          <w:sz w:val="28"/>
          <w:szCs w:val="28"/>
        </w:rPr>
        <w:t>Рынок добровольного медицинского страхования (ДМС) в Российской Федерации в настоящее время находится на стадии своего становления, зн</w:t>
      </w:r>
      <w:r w:rsidRPr="00D7106C">
        <w:rPr>
          <w:rFonts w:ascii="Times New Roman" w:hAnsi="Times New Roman" w:cs="Times New Roman"/>
          <w:bCs/>
          <w:iCs/>
          <w:sz w:val="28"/>
          <w:szCs w:val="28"/>
        </w:rPr>
        <w:t>а</w:t>
      </w:r>
      <w:r w:rsidRPr="00D7106C">
        <w:rPr>
          <w:rFonts w:ascii="Times New Roman" w:hAnsi="Times New Roman" w:cs="Times New Roman"/>
          <w:bCs/>
          <w:iCs/>
          <w:sz w:val="28"/>
          <w:szCs w:val="28"/>
        </w:rPr>
        <w:t>чительно уступая по объему собираемых премий другим видам страхования</w:t>
      </w:r>
      <w:r>
        <w:rPr>
          <w:rFonts w:ascii="Times New Roman" w:hAnsi="Times New Roman" w:cs="Times New Roman"/>
          <w:bCs/>
          <w:iCs/>
          <w:sz w:val="28"/>
          <w:szCs w:val="28"/>
        </w:rPr>
        <w:t xml:space="preserve">. </w:t>
      </w:r>
    </w:p>
    <w:p w:rsidR="00B37098" w:rsidRDefault="00B37098" w:rsidP="00B37098">
      <w:pPr>
        <w:shd w:val="clear" w:color="auto" w:fill="FFFFFF"/>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ДМС востребовано, в основном, корпоративными клиентами (</w:t>
      </w:r>
      <w:r w:rsidRPr="00D7106C">
        <w:rPr>
          <w:rFonts w:ascii="Times New Roman" w:hAnsi="Times New Roman" w:cs="Times New Roman"/>
          <w:bCs/>
          <w:iCs/>
          <w:sz w:val="28"/>
          <w:szCs w:val="28"/>
        </w:rPr>
        <w:t>предпр</w:t>
      </w:r>
      <w:r w:rsidRPr="00D7106C">
        <w:rPr>
          <w:rFonts w:ascii="Times New Roman" w:hAnsi="Times New Roman" w:cs="Times New Roman"/>
          <w:bCs/>
          <w:iCs/>
          <w:sz w:val="28"/>
          <w:szCs w:val="28"/>
        </w:rPr>
        <w:t>и</w:t>
      </w:r>
      <w:r w:rsidRPr="00D7106C">
        <w:rPr>
          <w:rFonts w:ascii="Times New Roman" w:hAnsi="Times New Roman" w:cs="Times New Roman"/>
          <w:bCs/>
          <w:iCs/>
          <w:sz w:val="28"/>
          <w:szCs w:val="28"/>
        </w:rPr>
        <w:t>ятия</w:t>
      </w:r>
      <w:r>
        <w:rPr>
          <w:rFonts w:ascii="Times New Roman" w:hAnsi="Times New Roman" w:cs="Times New Roman"/>
          <w:bCs/>
          <w:iCs/>
          <w:sz w:val="28"/>
          <w:szCs w:val="28"/>
        </w:rPr>
        <w:t>ми и организациями)</w:t>
      </w:r>
      <w:r w:rsidRPr="00D7106C">
        <w:rPr>
          <w:rFonts w:ascii="Times New Roman" w:hAnsi="Times New Roman" w:cs="Times New Roman"/>
          <w:bCs/>
          <w:iCs/>
          <w:sz w:val="28"/>
          <w:szCs w:val="28"/>
        </w:rPr>
        <w:t xml:space="preserve">, </w:t>
      </w:r>
      <w:r>
        <w:rPr>
          <w:rFonts w:ascii="Times New Roman" w:hAnsi="Times New Roman" w:cs="Times New Roman"/>
          <w:bCs/>
          <w:iCs/>
          <w:sz w:val="28"/>
          <w:szCs w:val="28"/>
        </w:rPr>
        <w:t>все чаще рассматривающими</w:t>
      </w:r>
      <w:r w:rsidRPr="00D7106C">
        <w:rPr>
          <w:rFonts w:ascii="Times New Roman" w:hAnsi="Times New Roman" w:cs="Times New Roman"/>
          <w:bCs/>
          <w:iCs/>
          <w:sz w:val="28"/>
          <w:szCs w:val="28"/>
        </w:rPr>
        <w:t xml:space="preserve"> медицинскую стр</w:t>
      </w:r>
      <w:r w:rsidRPr="00D7106C">
        <w:rPr>
          <w:rFonts w:ascii="Times New Roman" w:hAnsi="Times New Roman" w:cs="Times New Roman"/>
          <w:bCs/>
          <w:iCs/>
          <w:sz w:val="28"/>
          <w:szCs w:val="28"/>
        </w:rPr>
        <w:t>а</w:t>
      </w:r>
      <w:r w:rsidRPr="00D7106C">
        <w:rPr>
          <w:rFonts w:ascii="Times New Roman" w:hAnsi="Times New Roman" w:cs="Times New Roman"/>
          <w:bCs/>
          <w:iCs/>
          <w:sz w:val="28"/>
          <w:szCs w:val="28"/>
        </w:rPr>
        <w:t xml:space="preserve">ховку </w:t>
      </w:r>
      <w:r>
        <w:rPr>
          <w:rFonts w:ascii="Times New Roman" w:hAnsi="Times New Roman" w:cs="Times New Roman"/>
          <w:bCs/>
          <w:iCs/>
          <w:sz w:val="28"/>
          <w:szCs w:val="28"/>
        </w:rPr>
        <w:t xml:space="preserve">не только как </w:t>
      </w:r>
      <w:r w:rsidRPr="00D7106C">
        <w:rPr>
          <w:rFonts w:ascii="Times New Roman" w:hAnsi="Times New Roman" w:cs="Times New Roman"/>
          <w:bCs/>
          <w:iCs/>
          <w:sz w:val="28"/>
          <w:szCs w:val="28"/>
        </w:rPr>
        <w:t xml:space="preserve">инструмент </w:t>
      </w:r>
      <w:r>
        <w:rPr>
          <w:rFonts w:ascii="Times New Roman" w:hAnsi="Times New Roman" w:cs="Times New Roman"/>
          <w:bCs/>
          <w:iCs/>
          <w:sz w:val="28"/>
          <w:szCs w:val="28"/>
        </w:rPr>
        <w:t>материального стимулирования сотрудн</w:t>
      </w:r>
      <w:r>
        <w:rPr>
          <w:rFonts w:ascii="Times New Roman" w:hAnsi="Times New Roman" w:cs="Times New Roman"/>
          <w:bCs/>
          <w:iCs/>
          <w:sz w:val="28"/>
          <w:szCs w:val="28"/>
        </w:rPr>
        <w:t>и</w:t>
      </w:r>
      <w:r>
        <w:rPr>
          <w:rFonts w:ascii="Times New Roman" w:hAnsi="Times New Roman" w:cs="Times New Roman"/>
          <w:bCs/>
          <w:iCs/>
          <w:sz w:val="28"/>
          <w:szCs w:val="28"/>
        </w:rPr>
        <w:t xml:space="preserve">ков, но и </w:t>
      </w:r>
      <w:r w:rsidRPr="00D01908">
        <w:rPr>
          <w:rFonts w:ascii="Times New Roman" w:hAnsi="Times New Roman" w:cs="Times New Roman"/>
          <w:bCs/>
          <w:iCs/>
          <w:sz w:val="28"/>
          <w:szCs w:val="28"/>
        </w:rPr>
        <w:t xml:space="preserve">как </w:t>
      </w:r>
      <w:r>
        <w:rPr>
          <w:rFonts w:ascii="Times New Roman" w:hAnsi="Times New Roman" w:cs="Times New Roman"/>
          <w:bCs/>
          <w:iCs/>
          <w:sz w:val="28"/>
          <w:szCs w:val="28"/>
        </w:rPr>
        <w:t>залог</w:t>
      </w:r>
      <w:r w:rsidRPr="00D01908">
        <w:rPr>
          <w:rFonts w:ascii="Times New Roman" w:hAnsi="Times New Roman" w:cs="Times New Roman"/>
          <w:bCs/>
          <w:iCs/>
          <w:sz w:val="28"/>
          <w:szCs w:val="28"/>
        </w:rPr>
        <w:t xml:space="preserve"> эффективности бизнеса за счет улучшения здоровья пе</w:t>
      </w:r>
      <w:r w:rsidRPr="00D01908">
        <w:rPr>
          <w:rFonts w:ascii="Times New Roman" w:hAnsi="Times New Roman" w:cs="Times New Roman"/>
          <w:bCs/>
          <w:iCs/>
          <w:sz w:val="28"/>
          <w:szCs w:val="28"/>
        </w:rPr>
        <w:t>р</w:t>
      </w:r>
      <w:r w:rsidRPr="00D01908">
        <w:rPr>
          <w:rFonts w:ascii="Times New Roman" w:hAnsi="Times New Roman" w:cs="Times New Roman"/>
          <w:bCs/>
          <w:iCs/>
          <w:sz w:val="28"/>
          <w:szCs w:val="28"/>
        </w:rPr>
        <w:t>сонала</w:t>
      </w:r>
      <w:r>
        <w:rPr>
          <w:rFonts w:ascii="Times New Roman" w:hAnsi="Times New Roman" w:cs="Times New Roman"/>
          <w:bCs/>
          <w:iCs/>
          <w:sz w:val="28"/>
          <w:szCs w:val="28"/>
        </w:rPr>
        <w:t>. Низкий спрос на ДМС со стороны частных клиентов, предпочита</w:t>
      </w:r>
      <w:r>
        <w:rPr>
          <w:rFonts w:ascii="Times New Roman" w:hAnsi="Times New Roman" w:cs="Times New Roman"/>
          <w:bCs/>
          <w:iCs/>
          <w:sz w:val="28"/>
          <w:szCs w:val="28"/>
        </w:rPr>
        <w:t>ю</w:t>
      </w:r>
      <w:r>
        <w:rPr>
          <w:rFonts w:ascii="Times New Roman" w:hAnsi="Times New Roman" w:cs="Times New Roman"/>
          <w:bCs/>
          <w:iCs/>
          <w:sz w:val="28"/>
          <w:szCs w:val="28"/>
        </w:rPr>
        <w:t xml:space="preserve">щих оплачивать медицинские услуги напрямую в лечебных учреждениях, обусловлен высокой стоимостью страхового полиса для физических лиц и низкой страховой грамотностью населения. </w:t>
      </w:r>
    </w:p>
    <w:p w:rsidR="00B37098" w:rsidRDefault="00B37098" w:rsidP="00B37098">
      <w:pPr>
        <w:shd w:val="clear" w:color="auto" w:fill="FFFFFF"/>
        <w:spacing w:after="0" w:line="360" w:lineRule="auto"/>
        <w:ind w:firstLine="709"/>
        <w:jc w:val="both"/>
        <w:rPr>
          <w:rFonts w:ascii="Times New Roman" w:hAnsi="Times New Roman" w:cs="Times New Roman"/>
          <w:bCs/>
          <w:iCs/>
          <w:sz w:val="24"/>
          <w:szCs w:val="24"/>
        </w:rPr>
      </w:pPr>
      <w:r w:rsidRPr="00D7106C">
        <w:rPr>
          <w:rFonts w:ascii="Times New Roman" w:hAnsi="Times New Roman" w:cs="Times New Roman"/>
          <w:bCs/>
          <w:iCs/>
          <w:sz w:val="28"/>
          <w:szCs w:val="28"/>
        </w:rPr>
        <w:t>ДМС традиционно как в нашей стране, так и в мире относится к наиб</w:t>
      </w:r>
      <w:r w:rsidRPr="00D7106C">
        <w:rPr>
          <w:rFonts w:ascii="Times New Roman" w:hAnsi="Times New Roman" w:cs="Times New Roman"/>
          <w:bCs/>
          <w:iCs/>
          <w:sz w:val="28"/>
          <w:szCs w:val="28"/>
        </w:rPr>
        <w:t>о</w:t>
      </w:r>
      <w:r w:rsidRPr="00D7106C">
        <w:rPr>
          <w:rFonts w:ascii="Times New Roman" w:hAnsi="Times New Roman" w:cs="Times New Roman"/>
          <w:bCs/>
          <w:iCs/>
          <w:sz w:val="28"/>
          <w:szCs w:val="28"/>
        </w:rPr>
        <w:t xml:space="preserve">лее убыточным видам страхования. </w:t>
      </w:r>
      <w:r>
        <w:rPr>
          <w:rFonts w:ascii="Times New Roman" w:hAnsi="Times New Roman" w:cs="Times New Roman"/>
          <w:bCs/>
          <w:iCs/>
          <w:sz w:val="28"/>
          <w:szCs w:val="28"/>
        </w:rPr>
        <w:t xml:space="preserve">Соответственно, при расчете страховых резервов по договорам этой учетной группы проблема точности оценивания </w:t>
      </w:r>
      <w:r w:rsidRPr="00D7106C">
        <w:rPr>
          <w:rFonts w:ascii="Times New Roman" w:hAnsi="Times New Roman" w:cs="Times New Roman"/>
          <w:bCs/>
          <w:iCs/>
          <w:sz w:val="28"/>
          <w:szCs w:val="28"/>
        </w:rPr>
        <w:t>актуариям</w:t>
      </w:r>
      <w:r>
        <w:rPr>
          <w:rFonts w:ascii="Times New Roman" w:hAnsi="Times New Roman" w:cs="Times New Roman"/>
          <w:bCs/>
          <w:iCs/>
          <w:sz w:val="28"/>
          <w:szCs w:val="28"/>
        </w:rPr>
        <w:t>и</w:t>
      </w:r>
      <w:r w:rsidRPr="00D7106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конечного убытка </w:t>
      </w:r>
      <w:r w:rsidRPr="00D7106C">
        <w:rPr>
          <w:rFonts w:ascii="Times New Roman" w:hAnsi="Times New Roman" w:cs="Times New Roman"/>
          <w:bCs/>
          <w:iCs/>
          <w:sz w:val="28"/>
          <w:szCs w:val="28"/>
        </w:rPr>
        <w:t>по каждому периоду наступления страховых случаев</w:t>
      </w:r>
      <w:r>
        <w:rPr>
          <w:rFonts w:ascii="Times New Roman" w:hAnsi="Times New Roman" w:cs="Times New Roman"/>
          <w:bCs/>
          <w:iCs/>
          <w:sz w:val="28"/>
          <w:szCs w:val="28"/>
        </w:rPr>
        <w:t xml:space="preserve"> встает наиболее остро. </w:t>
      </w:r>
      <w:r w:rsidRPr="00D7106C">
        <w:rPr>
          <w:rFonts w:ascii="Times New Roman" w:hAnsi="Times New Roman" w:cs="Times New Roman"/>
          <w:bCs/>
          <w:iCs/>
          <w:sz w:val="28"/>
          <w:szCs w:val="28"/>
        </w:rPr>
        <w:t>От корректной оценки страховых резервов з</w:t>
      </w:r>
      <w:r w:rsidRPr="00D7106C">
        <w:rPr>
          <w:rFonts w:ascii="Times New Roman" w:hAnsi="Times New Roman" w:cs="Times New Roman"/>
          <w:bCs/>
          <w:iCs/>
          <w:sz w:val="28"/>
          <w:szCs w:val="28"/>
        </w:rPr>
        <w:t>а</w:t>
      </w:r>
      <w:r w:rsidRPr="00D7106C">
        <w:rPr>
          <w:rFonts w:ascii="Times New Roman" w:hAnsi="Times New Roman" w:cs="Times New Roman"/>
          <w:bCs/>
          <w:iCs/>
          <w:sz w:val="28"/>
          <w:szCs w:val="28"/>
        </w:rPr>
        <w:t>висит финансовая устойчивость страховой компании, ее способность выпо</w:t>
      </w:r>
      <w:r w:rsidRPr="00D7106C">
        <w:rPr>
          <w:rFonts w:ascii="Times New Roman" w:hAnsi="Times New Roman" w:cs="Times New Roman"/>
          <w:bCs/>
          <w:iCs/>
          <w:sz w:val="28"/>
          <w:szCs w:val="28"/>
        </w:rPr>
        <w:t>л</w:t>
      </w:r>
      <w:r w:rsidRPr="00D7106C">
        <w:rPr>
          <w:rFonts w:ascii="Times New Roman" w:hAnsi="Times New Roman" w:cs="Times New Roman"/>
          <w:bCs/>
          <w:iCs/>
          <w:sz w:val="28"/>
          <w:szCs w:val="28"/>
        </w:rPr>
        <w:t>нять принятые на себя обязательства по страховым выплатам.</w:t>
      </w:r>
      <w:r w:rsidRPr="00D7106C">
        <w:rPr>
          <w:rFonts w:ascii="Times New Roman" w:hAnsi="Times New Roman" w:cs="Times New Roman"/>
          <w:bCs/>
          <w:iCs/>
          <w:sz w:val="24"/>
          <w:szCs w:val="24"/>
        </w:rPr>
        <w:t xml:space="preserve"> </w:t>
      </w:r>
    </w:p>
    <w:p w:rsidR="00B37098" w:rsidRPr="00D7106C" w:rsidRDefault="00B37098" w:rsidP="00B37098">
      <w:pPr>
        <w:shd w:val="clear" w:color="auto" w:fill="FFFFFF"/>
        <w:spacing w:after="0" w:line="360" w:lineRule="auto"/>
        <w:ind w:firstLine="709"/>
        <w:jc w:val="both"/>
        <w:rPr>
          <w:rFonts w:ascii="Times New Roman" w:hAnsi="Times New Roman" w:cs="Times New Roman"/>
          <w:bCs/>
          <w:iCs/>
          <w:sz w:val="28"/>
          <w:szCs w:val="28"/>
        </w:rPr>
      </w:pPr>
      <w:r w:rsidRPr="00297413">
        <w:rPr>
          <w:rFonts w:ascii="Times New Roman" w:hAnsi="Times New Roman" w:cs="Times New Roman"/>
          <w:bCs/>
          <w:iCs/>
          <w:sz w:val="28"/>
          <w:szCs w:val="28"/>
        </w:rPr>
        <w:t xml:space="preserve">Неверные </w:t>
      </w:r>
      <w:r>
        <w:rPr>
          <w:rFonts w:ascii="Times New Roman" w:hAnsi="Times New Roman" w:cs="Times New Roman"/>
          <w:bCs/>
          <w:iCs/>
          <w:sz w:val="28"/>
          <w:szCs w:val="28"/>
        </w:rPr>
        <w:t>представления собственников компании о величине ее акт</w:t>
      </w:r>
      <w:r>
        <w:rPr>
          <w:rFonts w:ascii="Times New Roman" w:hAnsi="Times New Roman" w:cs="Times New Roman"/>
          <w:bCs/>
          <w:iCs/>
          <w:sz w:val="28"/>
          <w:szCs w:val="28"/>
        </w:rPr>
        <w:t>и</w:t>
      </w:r>
      <w:r>
        <w:rPr>
          <w:rFonts w:ascii="Times New Roman" w:hAnsi="Times New Roman" w:cs="Times New Roman"/>
          <w:bCs/>
          <w:iCs/>
          <w:sz w:val="28"/>
          <w:szCs w:val="28"/>
        </w:rPr>
        <w:t xml:space="preserve">вов и обязательств, как результат неправильного формирования страховых резервов, </w:t>
      </w:r>
      <w:r w:rsidRPr="00D7106C">
        <w:rPr>
          <w:rFonts w:ascii="Times New Roman" w:hAnsi="Times New Roman" w:cs="Times New Roman"/>
          <w:bCs/>
          <w:iCs/>
          <w:sz w:val="28"/>
          <w:szCs w:val="28"/>
        </w:rPr>
        <w:t xml:space="preserve">могут побудить </w:t>
      </w:r>
      <w:r>
        <w:rPr>
          <w:rFonts w:ascii="Times New Roman" w:hAnsi="Times New Roman" w:cs="Times New Roman"/>
          <w:bCs/>
          <w:iCs/>
          <w:sz w:val="28"/>
          <w:szCs w:val="28"/>
        </w:rPr>
        <w:t>их к принятию нерациональных финансовых и стратегических решений</w:t>
      </w:r>
      <w:r w:rsidRPr="00D7106C">
        <w:rPr>
          <w:rFonts w:ascii="Times New Roman" w:hAnsi="Times New Roman" w:cs="Times New Roman"/>
          <w:bCs/>
          <w:iCs/>
          <w:sz w:val="28"/>
          <w:szCs w:val="28"/>
        </w:rPr>
        <w:t>, что, в конечном счете, негативно скажется на р</w:t>
      </w:r>
      <w:r w:rsidRPr="00D7106C">
        <w:rPr>
          <w:rFonts w:ascii="Times New Roman" w:hAnsi="Times New Roman" w:cs="Times New Roman"/>
          <w:bCs/>
          <w:iCs/>
          <w:sz w:val="28"/>
          <w:szCs w:val="28"/>
        </w:rPr>
        <w:t>ы</w:t>
      </w:r>
      <w:r w:rsidRPr="00D7106C">
        <w:rPr>
          <w:rFonts w:ascii="Times New Roman" w:hAnsi="Times New Roman" w:cs="Times New Roman"/>
          <w:bCs/>
          <w:iCs/>
          <w:sz w:val="28"/>
          <w:szCs w:val="28"/>
        </w:rPr>
        <w:t>ночном положе</w:t>
      </w:r>
      <w:r>
        <w:rPr>
          <w:rFonts w:ascii="Times New Roman" w:hAnsi="Times New Roman" w:cs="Times New Roman"/>
          <w:bCs/>
          <w:iCs/>
          <w:sz w:val="28"/>
          <w:szCs w:val="28"/>
        </w:rPr>
        <w:t>нии страховой компании.</w:t>
      </w:r>
    </w:p>
    <w:p w:rsidR="00B37098" w:rsidRDefault="00B37098" w:rsidP="00B37098">
      <w:pPr>
        <w:spacing w:after="0" w:line="360" w:lineRule="auto"/>
        <w:ind w:firstLine="709"/>
        <w:jc w:val="both"/>
        <w:rPr>
          <w:rFonts w:ascii="Times New Roman" w:hAnsi="Times New Roman" w:cs="Times New Roman"/>
          <w:bCs/>
          <w:iCs/>
          <w:sz w:val="28"/>
          <w:szCs w:val="28"/>
        </w:rPr>
      </w:pPr>
      <w:r w:rsidRPr="006F412A">
        <w:rPr>
          <w:rFonts w:ascii="Times New Roman" w:eastAsia="Times New Roman" w:hAnsi="Times New Roman" w:cs="Times New Roman"/>
          <w:bCs/>
          <w:i/>
          <w:iCs/>
          <w:color w:val="000000"/>
          <w:spacing w:val="-2"/>
          <w:sz w:val="28"/>
          <w:szCs w:val="28"/>
          <w:lang w:eastAsia="ru-RU"/>
        </w:rPr>
        <w:t>Объект</w:t>
      </w:r>
      <w:r>
        <w:rPr>
          <w:rFonts w:ascii="Times New Roman" w:eastAsia="Times New Roman" w:hAnsi="Times New Roman" w:cs="Times New Roman"/>
          <w:bCs/>
          <w:i/>
          <w:iCs/>
          <w:color w:val="000000"/>
          <w:spacing w:val="-2"/>
          <w:sz w:val="28"/>
          <w:szCs w:val="28"/>
          <w:lang w:eastAsia="ru-RU"/>
        </w:rPr>
        <w:t>ом</w:t>
      </w:r>
      <w:r w:rsidRPr="006F412A">
        <w:rPr>
          <w:rFonts w:ascii="Times New Roman" w:eastAsia="Times New Roman" w:hAnsi="Times New Roman" w:cs="Times New Roman"/>
          <w:bCs/>
          <w:i/>
          <w:iCs/>
          <w:color w:val="000000"/>
          <w:spacing w:val="-2"/>
          <w:sz w:val="28"/>
          <w:szCs w:val="28"/>
          <w:lang w:eastAsia="ru-RU"/>
        </w:rPr>
        <w:t xml:space="preserve"> исследования</w:t>
      </w:r>
      <w:r>
        <w:rPr>
          <w:rFonts w:ascii="Times New Roman" w:eastAsia="Times New Roman" w:hAnsi="Times New Roman" w:cs="Times New Roman"/>
          <w:bCs/>
          <w:i/>
          <w:iCs/>
          <w:color w:val="000000"/>
          <w:spacing w:val="-2"/>
          <w:sz w:val="28"/>
          <w:szCs w:val="28"/>
          <w:lang w:eastAsia="ru-RU"/>
        </w:rPr>
        <w:t xml:space="preserve"> </w:t>
      </w:r>
      <w:r w:rsidRPr="006F412A">
        <w:rPr>
          <w:rFonts w:ascii="Times New Roman" w:hAnsi="Times New Roman" w:cs="Times New Roman"/>
          <w:bCs/>
          <w:iCs/>
          <w:sz w:val="28"/>
          <w:szCs w:val="28"/>
        </w:rPr>
        <w:t xml:space="preserve">является </w:t>
      </w:r>
      <w:r>
        <w:rPr>
          <w:rFonts w:ascii="Times New Roman" w:hAnsi="Times New Roman" w:cs="Times New Roman"/>
          <w:bCs/>
          <w:iCs/>
          <w:sz w:val="28"/>
          <w:szCs w:val="28"/>
        </w:rPr>
        <w:t>рынок добровольного медицинского страхования в России. В главах, посвященных описанию методов оценки р</w:t>
      </w:r>
      <w:r>
        <w:rPr>
          <w:rFonts w:ascii="Times New Roman" w:hAnsi="Times New Roman" w:cs="Times New Roman"/>
          <w:bCs/>
          <w:iCs/>
          <w:sz w:val="28"/>
          <w:szCs w:val="28"/>
        </w:rPr>
        <w:t>е</w:t>
      </w:r>
      <w:r>
        <w:rPr>
          <w:rFonts w:ascii="Times New Roman" w:hAnsi="Times New Roman" w:cs="Times New Roman"/>
          <w:bCs/>
          <w:iCs/>
          <w:sz w:val="28"/>
          <w:szCs w:val="28"/>
        </w:rPr>
        <w:t>зерва произошедших, но незаявленных убытков (РПНУ), объектом исслед</w:t>
      </w:r>
      <w:r>
        <w:rPr>
          <w:rFonts w:ascii="Times New Roman" w:hAnsi="Times New Roman" w:cs="Times New Roman"/>
          <w:bCs/>
          <w:iCs/>
          <w:sz w:val="28"/>
          <w:szCs w:val="28"/>
        </w:rPr>
        <w:t>о</w:t>
      </w:r>
      <w:r>
        <w:rPr>
          <w:rFonts w:ascii="Times New Roman" w:hAnsi="Times New Roman" w:cs="Times New Roman"/>
          <w:bCs/>
          <w:iCs/>
          <w:sz w:val="28"/>
          <w:szCs w:val="28"/>
        </w:rPr>
        <w:t>вания является треугольник развития убытков конкретной страховой орган</w:t>
      </w:r>
      <w:r>
        <w:rPr>
          <w:rFonts w:ascii="Times New Roman" w:hAnsi="Times New Roman" w:cs="Times New Roman"/>
          <w:bCs/>
          <w:iCs/>
          <w:sz w:val="28"/>
          <w:szCs w:val="28"/>
        </w:rPr>
        <w:t>и</w:t>
      </w:r>
      <w:r>
        <w:rPr>
          <w:rFonts w:ascii="Times New Roman" w:hAnsi="Times New Roman" w:cs="Times New Roman"/>
          <w:bCs/>
          <w:iCs/>
          <w:sz w:val="28"/>
          <w:szCs w:val="28"/>
        </w:rPr>
        <w:t>зации.</w:t>
      </w:r>
    </w:p>
    <w:p w:rsidR="00B37098"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sidRPr="00CC6191">
        <w:rPr>
          <w:rFonts w:ascii="Times New Roman" w:eastAsia="Times New Roman" w:hAnsi="Times New Roman" w:cs="Times New Roman"/>
          <w:bCs/>
          <w:i/>
          <w:iCs/>
          <w:color w:val="000000"/>
          <w:spacing w:val="-2"/>
          <w:sz w:val="28"/>
          <w:szCs w:val="28"/>
          <w:lang w:eastAsia="ru-RU"/>
        </w:rPr>
        <w:lastRenderedPageBreak/>
        <w:t>Предметом исследования</w:t>
      </w:r>
      <w:r w:rsidRPr="00CC6191">
        <w:rPr>
          <w:rFonts w:ascii="Times New Roman" w:eastAsia="Times New Roman" w:hAnsi="Times New Roman" w:cs="Times New Roman"/>
          <w:bCs/>
          <w:iCs/>
          <w:color w:val="000000"/>
          <w:spacing w:val="-2"/>
          <w:sz w:val="28"/>
          <w:szCs w:val="28"/>
          <w:lang w:eastAsia="ru-RU"/>
        </w:rPr>
        <w:t xml:space="preserve"> является совокупность показателей</w:t>
      </w:r>
      <w:r>
        <w:rPr>
          <w:rFonts w:ascii="Times New Roman" w:eastAsia="Times New Roman" w:hAnsi="Times New Roman" w:cs="Times New Roman"/>
          <w:bCs/>
          <w:iCs/>
          <w:color w:val="000000"/>
          <w:spacing w:val="-2"/>
          <w:sz w:val="28"/>
          <w:szCs w:val="28"/>
          <w:lang w:eastAsia="ru-RU"/>
        </w:rPr>
        <w:t xml:space="preserve">, </w:t>
      </w:r>
      <w:r w:rsidRPr="00CC6191">
        <w:rPr>
          <w:rFonts w:ascii="Times New Roman" w:eastAsia="Times New Roman" w:hAnsi="Times New Roman" w:cs="Times New Roman"/>
          <w:bCs/>
          <w:iCs/>
          <w:color w:val="000000"/>
          <w:spacing w:val="-2"/>
          <w:sz w:val="28"/>
          <w:szCs w:val="28"/>
          <w:lang w:eastAsia="ru-RU"/>
        </w:rPr>
        <w:t>характ</w:t>
      </w:r>
      <w:r w:rsidRPr="00CC6191">
        <w:rPr>
          <w:rFonts w:ascii="Times New Roman" w:eastAsia="Times New Roman" w:hAnsi="Times New Roman" w:cs="Times New Roman"/>
          <w:bCs/>
          <w:iCs/>
          <w:color w:val="000000"/>
          <w:spacing w:val="-2"/>
          <w:sz w:val="28"/>
          <w:szCs w:val="28"/>
          <w:lang w:eastAsia="ru-RU"/>
        </w:rPr>
        <w:t>е</w:t>
      </w:r>
      <w:r w:rsidRPr="00CC6191">
        <w:rPr>
          <w:rFonts w:ascii="Times New Roman" w:eastAsia="Times New Roman" w:hAnsi="Times New Roman" w:cs="Times New Roman"/>
          <w:bCs/>
          <w:iCs/>
          <w:color w:val="000000"/>
          <w:spacing w:val="-2"/>
          <w:sz w:val="28"/>
          <w:szCs w:val="28"/>
          <w:lang w:eastAsia="ru-RU"/>
        </w:rPr>
        <w:t xml:space="preserve">ризующих </w:t>
      </w:r>
      <w:r>
        <w:rPr>
          <w:rFonts w:ascii="Times New Roman" w:eastAsia="Times New Roman" w:hAnsi="Times New Roman" w:cs="Times New Roman"/>
          <w:bCs/>
          <w:iCs/>
          <w:color w:val="000000"/>
          <w:spacing w:val="-2"/>
          <w:sz w:val="28"/>
          <w:szCs w:val="28"/>
          <w:lang w:eastAsia="ru-RU"/>
        </w:rPr>
        <w:t>рынок ДМС и резервы убытков страховых компаний.</w:t>
      </w:r>
    </w:p>
    <w:p w:rsidR="00B37098"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sidRPr="0040226F">
        <w:rPr>
          <w:rFonts w:ascii="Times New Roman" w:eastAsia="Times New Roman" w:hAnsi="Times New Roman" w:cs="Times New Roman"/>
          <w:bCs/>
          <w:i/>
          <w:iCs/>
          <w:color w:val="000000"/>
          <w:spacing w:val="-2"/>
          <w:sz w:val="28"/>
          <w:szCs w:val="28"/>
          <w:lang w:eastAsia="ru-RU"/>
        </w:rPr>
        <w:t>Целью работы</w:t>
      </w:r>
      <w:r>
        <w:rPr>
          <w:rFonts w:ascii="Times New Roman" w:eastAsia="Times New Roman" w:hAnsi="Times New Roman" w:cs="Times New Roman"/>
          <w:bCs/>
          <w:iCs/>
          <w:color w:val="000000"/>
          <w:spacing w:val="-2"/>
          <w:sz w:val="28"/>
          <w:szCs w:val="28"/>
          <w:lang w:eastAsia="ru-RU"/>
        </w:rPr>
        <w:t xml:space="preserve"> является оценка резервов убытков в добровольном мед</w:t>
      </w:r>
      <w:r>
        <w:rPr>
          <w:rFonts w:ascii="Times New Roman" w:eastAsia="Times New Roman" w:hAnsi="Times New Roman" w:cs="Times New Roman"/>
          <w:bCs/>
          <w:iCs/>
          <w:color w:val="000000"/>
          <w:spacing w:val="-2"/>
          <w:sz w:val="28"/>
          <w:szCs w:val="28"/>
          <w:lang w:eastAsia="ru-RU"/>
        </w:rPr>
        <w:t>и</w:t>
      </w:r>
      <w:r>
        <w:rPr>
          <w:rFonts w:ascii="Times New Roman" w:eastAsia="Times New Roman" w:hAnsi="Times New Roman" w:cs="Times New Roman"/>
          <w:bCs/>
          <w:iCs/>
          <w:color w:val="000000"/>
          <w:spacing w:val="-2"/>
          <w:sz w:val="28"/>
          <w:szCs w:val="28"/>
          <w:lang w:eastAsia="ru-RU"/>
        </w:rPr>
        <w:t>цинском страховании с помощью экономико-статистических и актуарных м</w:t>
      </w:r>
      <w:r>
        <w:rPr>
          <w:rFonts w:ascii="Times New Roman" w:eastAsia="Times New Roman" w:hAnsi="Times New Roman" w:cs="Times New Roman"/>
          <w:bCs/>
          <w:iCs/>
          <w:color w:val="000000"/>
          <w:spacing w:val="-2"/>
          <w:sz w:val="28"/>
          <w:szCs w:val="28"/>
          <w:lang w:eastAsia="ru-RU"/>
        </w:rPr>
        <w:t>е</w:t>
      </w:r>
      <w:r>
        <w:rPr>
          <w:rFonts w:ascii="Times New Roman" w:eastAsia="Times New Roman" w:hAnsi="Times New Roman" w:cs="Times New Roman"/>
          <w:bCs/>
          <w:iCs/>
          <w:color w:val="000000"/>
          <w:spacing w:val="-2"/>
          <w:sz w:val="28"/>
          <w:szCs w:val="28"/>
          <w:lang w:eastAsia="ru-RU"/>
        </w:rPr>
        <w:t>тодов.</w:t>
      </w:r>
    </w:p>
    <w:p w:rsidR="00B37098" w:rsidRPr="0040226F"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sidRPr="0040226F">
        <w:rPr>
          <w:rFonts w:ascii="Times New Roman" w:eastAsia="Times New Roman" w:hAnsi="Times New Roman" w:cs="Times New Roman"/>
          <w:bCs/>
          <w:iCs/>
          <w:color w:val="000000"/>
          <w:spacing w:val="-2"/>
          <w:sz w:val="28"/>
          <w:szCs w:val="28"/>
          <w:lang w:eastAsia="ru-RU"/>
        </w:rPr>
        <w:t>Для достижения цели исследования в работе были поставлены следу</w:t>
      </w:r>
      <w:r w:rsidRPr="0040226F">
        <w:rPr>
          <w:rFonts w:ascii="Times New Roman" w:eastAsia="Times New Roman" w:hAnsi="Times New Roman" w:cs="Times New Roman"/>
          <w:bCs/>
          <w:iCs/>
          <w:color w:val="000000"/>
          <w:spacing w:val="-2"/>
          <w:sz w:val="28"/>
          <w:szCs w:val="28"/>
          <w:lang w:eastAsia="ru-RU"/>
        </w:rPr>
        <w:t>ю</w:t>
      </w:r>
      <w:r w:rsidRPr="0040226F">
        <w:rPr>
          <w:rFonts w:ascii="Times New Roman" w:eastAsia="Times New Roman" w:hAnsi="Times New Roman" w:cs="Times New Roman"/>
          <w:bCs/>
          <w:iCs/>
          <w:color w:val="000000"/>
          <w:spacing w:val="-2"/>
          <w:sz w:val="28"/>
          <w:szCs w:val="28"/>
          <w:lang w:eastAsia="ru-RU"/>
        </w:rPr>
        <w:t xml:space="preserve">щие </w:t>
      </w:r>
      <w:r w:rsidRPr="009D55F9">
        <w:rPr>
          <w:rFonts w:ascii="Times New Roman" w:eastAsia="Times New Roman" w:hAnsi="Times New Roman" w:cs="Times New Roman"/>
          <w:bCs/>
          <w:i/>
          <w:iCs/>
          <w:color w:val="000000"/>
          <w:spacing w:val="-2"/>
          <w:sz w:val="28"/>
          <w:szCs w:val="28"/>
          <w:lang w:eastAsia="ru-RU"/>
        </w:rPr>
        <w:t>задачи</w:t>
      </w:r>
      <w:r w:rsidRPr="0040226F">
        <w:rPr>
          <w:rFonts w:ascii="Times New Roman" w:eastAsia="Times New Roman" w:hAnsi="Times New Roman" w:cs="Times New Roman"/>
          <w:bCs/>
          <w:iCs/>
          <w:color w:val="000000"/>
          <w:spacing w:val="-2"/>
          <w:sz w:val="28"/>
          <w:szCs w:val="28"/>
          <w:lang w:eastAsia="ru-RU"/>
        </w:rPr>
        <w:t>:</w:t>
      </w:r>
    </w:p>
    <w:p w:rsidR="00B37098" w:rsidRPr="0040226F"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sidRPr="0040226F">
        <w:rPr>
          <w:rFonts w:ascii="Times New Roman" w:eastAsia="Times New Roman" w:hAnsi="Times New Roman" w:cs="Times New Roman"/>
          <w:bCs/>
          <w:iCs/>
          <w:color w:val="000000"/>
          <w:spacing w:val="-2"/>
          <w:sz w:val="28"/>
          <w:szCs w:val="28"/>
          <w:lang w:eastAsia="ru-RU"/>
        </w:rPr>
        <w:t xml:space="preserve">1) </w:t>
      </w:r>
      <w:r>
        <w:rPr>
          <w:rFonts w:ascii="Times New Roman" w:eastAsia="Times New Roman" w:hAnsi="Times New Roman" w:cs="Times New Roman"/>
          <w:bCs/>
          <w:iCs/>
          <w:color w:val="000000"/>
          <w:spacing w:val="-2"/>
          <w:sz w:val="28"/>
          <w:szCs w:val="28"/>
          <w:lang w:eastAsia="ru-RU"/>
        </w:rPr>
        <w:t>проанализировать современное состояние рынка ДМС в России;</w:t>
      </w:r>
    </w:p>
    <w:p w:rsidR="00B37098" w:rsidRPr="0040226F"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sidRPr="0040226F">
        <w:rPr>
          <w:rFonts w:ascii="Times New Roman" w:eastAsia="Times New Roman" w:hAnsi="Times New Roman" w:cs="Times New Roman"/>
          <w:bCs/>
          <w:iCs/>
          <w:color w:val="000000"/>
          <w:spacing w:val="-2"/>
          <w:sz w:val="28"/>
          <w:szCs w:val="28"/>
          <w:lang w:eastAsia="ru-RU"/>
        </w:rPr>
        <w:t xml:space="preserve">2) </w:t>
      </w:r>
      <w:r>
        <w:rPr>
          <w:rFonts w:ascii="Times New Roman" w:eastAsia="Times New Roman" w:hAnsi="Times New Roman" w:cs="Times New Roman"/>
          <w:bCs/>
          <w:iCs/>
          <w:color w:val="000000"/>
          <w:spacing w:val="-2"/>
          <w:sz w:val="28"/>
          <w:szCs w:val="28"/>
          <w:lang w:eastAsia="ru-RU"/>
        </w:rPr>
        <w:t>подробно изучить алгоритмы реализации трех базовых методов ра</w:t>
      </w:r>
      <w:r>
        <w:rPr>
          <w:rFonts w:ascii="Times New Roman" w:eastAsia="Times New Roman" w:hAnsi="Times New Roman" w:cs="Times New Roman"/>
          <w:bCs/>
          <w:iCs/>
          <w:color w:val="000000"/>
          <w:spacing w:val="-2"/>
          <w:sz w:val="28"/>
          <w:szCs w:val="28"/>
          <w:lang w:eastAsia="ru-RU"/>
        </w:rPr>
        <w:t>с</w:t>
      </w:r>
      <w:r>
        <w:rPr>
          <w:rFonts w:ascii="Times New Roman" w:eastAsia="Times New Roman" w:hAnsi="Times New Roman" w:cs="Times New Roman"/>
          <w:bCs/>
          <w:iCs/>
          <w:color w:val="000000"/>
          <w:spacing w:val="-2"/>
          <w:sz w:val="28"/>
          <w:szCs w:val="28"/>
          <w:lang w:eastAsia="ru-RU"/>
        </w:rPr>
        <w:t>чета резервов убытков: метода цепной лестницы, метода Борнхуеттера-Фергюсона и мультипликативного метода; применить указанные методики на исследуемом массиве данных;</w:t>
      </w:r>
    </w:p>
    <w:p w:rsidR="00B37098" w:rsidRPr="0040226F"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sidRPr="0040226F">
        <w:rPr>
          <w:rFonts w:ascii="Times New Roman" w:eastAsia="Times New Roman" w:hAnsi="Times New Roman" w:cs="Times New Roman"/>
          <w:bCs/>
          <w:iCs/>
          <w:color w:val="000000"/>
          <w:spacing w:val="-2"/>
          <w:sz w:val="28"/>
          <w:szCs w:val="28"/>
          <w:lang w:eastAsia="ru-RU"/>
        </w:rPr>
        <w:t xml:space="preserve">3) </w:t>
      </w:r>
      <w:r>
        <w:rPr>
          <w:rFonts w:ascii="Times New Roman" w:eastAsia="Times New Roman" w:hAnsi="Times New Roman" w:cs="Times New Roman"/>
          <w:bCs/>
          <w:iCs/>
          <w:color w:val="000000"/>
          <w:spacing w:val="-2"/>
          <w:sz w:val="28"/>
          <w:szCs w:val="28"/>
          <w:lang w:eastAsia="ru-RU"/>
        </w:rPr>
        <w:t>смоделировать</w:t>
      </w:r>
      <w:r w:rsidRPr="0040226F">
        <w:rPr>
          <w:rFonts w:ascii="Times New Roman" w:eastAsia="Times New Roman" w:hAnsi="Times New Roman" w:cs="Times New Roman"/>
          <w:bCs/>
          <w:iCs/>
          <w:color w:val="000000"/>
          <w:spacing w:val="-2"/>
          <w:sz w:val="28"/>
          <w:szCs w:val="28"/>
          <w:lang w:eastAsia="ru-RU"/>
        </w:rPr>
        <w:t xml:space="preserve"> динамик</w:t>
      </w:r>
      <w:r>
        <w:rPr>
          <w:rFonts w:ascii="Times New Roman" w:eastAsia="Times New Roman" w:hAnsi="Times New Roman" w:cs="Times New Roman"/>
          <w:bCs/>
          <w:iCs/>
          <w:color w:val="000000"/>
          <w:spacing w:val="-2"/>
          <w:sz w:val="28"/>
          <w:szCs w:val="28"/>
          <w:lang w:eastAsia="ru-RU"/>
        </w:rPr>
        <w:t>у</w:t>
      </w:r>
      <w:r w:rsidRPr="0040226F">
        <w:rPr>
          <w:rFonts w:ascii="Times New Roman" w:eastAsia="Times New Roman" w:hAnsi="Times New Roman" w:cs="Times New Roman"/>
          <w:bCs/>
          <w:iCs/>
          <w:color w:val="000000"/>
          <w:spacing w:val="-2"/>
          <w:sz w:val="28"/>
          <w:szCs w:val="28"/>
          <w:lang w:eastAsia="ru-RU"/>
        </w:rPr>
        <w:t xml:space="preserve"> цен на медицинские услуги в Российской Федерации </w:t>
      </w:r>
      <w:r>
        <w:rPr>
          <w:rFonts w:ascii="Times New Roman" w:eastAsia="Times New Roman" w:hAnsi="Times New Roman" w:cs="Times New Roman"/>
          <w:bCs/>
          <w:iCs/>
          <w:color w:val="000000"/>
          <w:spacing w:val="-2"/>
          <w:sz w:val="28"/>
          <w:szCs w:val="28"/>
          <w:lang w:eastAsia="ru-RU"/>
        </w:rPr>
        <w:t>и скорректировать с учетом прогноза «медицинской инфляции» на 2013-2017 гг. оценки РПНУ, полученные методом цепной лестницы и мульт</w:t>
      </w:r>
      <w:r>
        <w:rPr>
          <w:rFonts w:ascii="Times New Roman" w:eastAsia="Times New Roman" w:hAnsi="Times New Roman" w:cs="Times New Roman"/>
          <w:bCs/>
          <w:iCs/>
          <w:color w:val="000000"/>
          <w:spacing w:val="-2"/>
          <w:sz w:val="28"/>
          <w:szCs w:val="28"/>
          <w:lang w:eastAsia="ru-RU"/>
        </w:rPr>
        <w:t>и</w:t>
      </w:r>
      <w:r>
        <w:rPr>
          <w:rFonts w:ascii="Times New Roman" w:eastAsia="Times New Roman" w:hAnsi="Times New Roman" w:cs="Times New Roman"/>
          <w:bCs/>
          <w:iCs/>
          <w:color w:val="000000"/>
          <w:spacing w:val="-2"/>
          <w:sz w:val="28"/>
          <w:szCs w:val="28"/>
          <w:lang w:eastAsia="ru-RU"/>
        </w:rPr>
        <w:t>пликативным методом;</w:t>
      </w:r>
    </w:p>
    <w:p w:rsidR="00B37098"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Pr>
          <w:rFonts w:ascii="Times New Roman" w:eastAsia="Times New Roman" w:hAnsi="Times New Roman" w:cs="Times New Roman"/>
          <w:bCs/>
          <w:iCs/>
          <w:color w:val="000000"/>
          <w:spacing w:val="-2"/>
          <w:sz w:val="28"/>
          <w:szCs w:val="28"/>
          <w:lang w:eastAsia="ru-RU"/>
        </w:rPr>
        <w:t>4</w:t>
      </w:r>
      <w:r w:rsidRPr="0040226F">
        <w:rPr>
          <w:rFonts w:ascii="Times New Roman" w:eastAsia="Times New Roman" w:hAnsi="Times New Roman" w:cs="Times New Roman"/>
          <w:bCs/>
          <w:iCs/>
          <w:color w:val="000000"/>
          <w:spacing w:val="-2"/>
          <w:sz w:val="28"/>
          <w:szCs w:val="28"/>
          <w:lang w:eastAsia="ru-RU"/>
        </w:rPr>
        <w:t xml:space="preserve">) </w:t>
      </w:r>
      <w:r>
        <w:rPr>
          <w:rFonts w:ascii="Times New Roman" w:eastAsia="Times New Roman" w:hAnsi="Times New Roman" w:cs="Times New Roman"/>
          <w:bCs/>
          <w:iCs/>
          <w:color w:val="000000"/>
          <w:spacing w:val="-2"/>
          <w:sz w:val="28"/>
          <w:szCs w:val="28"/>
          <w:lang w:eastAsia="ru-RU"/>
        </w:rPr>
        <w:t>разработать методику оценки страховых резервов на основании ф</w:t>
      </w:r>
      <w:r>
        <w:rPr>
          <w:rFonts w:ascii="Times New Roman" w:eastAsia="Times New Roman" w:hAnsi="Times New Roman" w:cs="Times New Roman"/>
          <w:bCs/>
          <w:iCs/>
          <w:color w:val="000000"/>
          <w:spacing w:val="-2"/>
          <w:sz w:val="28"/>
          <w:szCs w:val="28"/>
          <w:lang w:eastAsia="ru-RU"/>
        </w:rPr>
        <w:t>и</w:t>
      </w:r>
      <w:r>
        <w:rPr>
          <w:rFonts w:ascii="Times New Roman" w:eastAsia="Times New Roman" w:hAnsi="Times New Roman" w:cs="Times New Roman"/>
          <w:bCs/>
          <w:iCs/>
          <w:color w:val="000000"/>
          <w:spacing w:val="-2"/>
          <w:sz w:val="28"/>
          <w:szCs w:val="28"/>
          <w:lang w:eastAsia="ru-RU"/>
        </w:rPr>
        <w:t>нансовых потоков страховой компании по календарным годам;</w:t>
      </w:r>
    </w:p>
    <w:p w:rsidR="00B37098"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Pr>
          <w:rFonts w:ascii="Times New Roman" w:eastAsia="Times New Roman" w:hAnsi="Times New Roman" w:cs="Times New Roman"/>
          <w:bCs/>
          <w:iCs/>
          <w:color w:val="000000"/>
          <w:spacing w:val="-2"/>
          <w:sz w:val="28"/>
          <w:szCs w:val="28"/>
          <w:lang w:eastAsia="ru-RU"/>
        </w:rPr>
        <w:t>5</w:t>
      </w:r>
      <w:r w:rsidRPr="0040226F">
        <w:rPr>
          <w:rFonts w:ascii="Times New Roman" w:eastAsia="Times New Roman" w:hAnsi="Times New Roman" w:cs="Times New Roman"/>
          <w:bCs/>
          <w:iCs/>
          <w:color w:val="000000"/>
          <w:spacing w:val="-2"/>
          <w:sz w:val="28"/>
          <w:szCs w:val="28"/>
          <w:lang w:eastAsia="ru-RU"/>
        </w:rPr>
        <w:t xml:space="preserve">) </w:t>
      </w:r>
      <w:r>
        <w:rPr>
          <w:rFonts w:ascii="Times New Roman" w:eastAsia="Times New Roman" w:hAnsi="Times New Roman" w:cs="Times New Roman"/>
          <w:bCs/>
          <w:iCs/>
          <w:color w:val="000000"/>
          <w:spacing w:val="-2"/>
          <w:sz w:val="28"/>
          <w:szCs w:val="28"/>
          <w:lang w:eastAsia="ru-RU"/>
        </w:rPr>
        <w:t>спрогнозировать на пятилетнем временном горизонте (с 2013 по 2017 гг.) значения суммарных выплат рассматриваемой страховой организации;</w:t>
      </w:r>
    </w:p>
    <w:p w:rsidR="00B37098" w:rsidRPr="0040226F" w:rsidRDefault="00B37098" w:rsidP="00B37098">
      <w:pPr>
        <w:spacing w:after="0" w:line="360" w:lineRule="auto"/>
        <w:ind w:firstLine="709"/>
        <w:jc w:val="both"/>
        <w:rPr>
          <w:rFonts w:ascii="Times New Roman" w:eastAsia="Times New Roman" w:hAnsi="Times New Roman" w:cs="Times New Roman"/>
          <w:bCs/>
          <w:iCs/>
          <w:color w:val="000000"/>
          <w:spacing w:val="-2"/>
          <w:sz w:val="28"/>
          <w:szCs w:val="28"/>
          <w:lang w:eastAsia="ru-RU"/>
        </w:rPr>
      </w:pPr>
      <w:r>
        <w:rPr>
          <w:rFonts w:ascii="Times New Roman" w:eastAsia="Times New Roman" w:hAnsi="Times New Roman" w:cs="Times New Roman"/>
          <w:bCs/>
          <w:iCs/>
          <w:color w:val="000000"/>
          <w:spacing w:val="-2"/>
          <w:sz w:val="28"/>
          <w:szCs w:val="28"/>
          <w:lang w:eastAsia="ru-RU"/>
        </w:rPr>
        <w:t>6) сопоставить полученные с помощью различных моделей резервир</w:t>
      </w:r>
      <w:r>
        <w:rPr>
          <w:rFonts w:ascii="Times New Roman" w:eastAsia="Times New Roman" w:hAnsi="Times New Roman" w:cs="Times New Roman"/>
          <w:bCs/>
          <w:iCs/>
          <w:color w:val="000000"/>
          <w:spacing w:val="-2"/>
          <w:sz w:val="28"/>
          <w:szCs w:val="28"/>
          <w:lang w:eastAsia="ru-RU"/>
        </w:rPr>
        <w:t>о</w:t>
      </w:r>
      <w:r>
        <w:rPr>
          <w:rFonts w:ascii="Times New Roman" w:eastAsia="Times New Roman" w:hAnsi="Times New Roman" w:cs="Times New Roman"/>
          <w:bCs/>
          <w:iCs/>
          <w:color w:val="000000"/>
          <w:spacing w:val="-2"/>
          <w:sz w:val="28"/>
          <w:szCs w:val="28"/>
          <w:lang w:eastAsia="ru-RU"/>
        </w:rPr>
        <w:t>вания оценки РПНУ.</w:t>
      </w:r>
    </w:p>
    <w:p w:rsidR="00B37098" w:rsidRDefault="00B37098" w:rsidP="00B37098">
      <w:pPr>
        <w:shd w:val="clear" w:color="auto" w:fill="FFFFFF"/>
        <w:spacing w:after="0" w:line="360" w:lineRule="auto"/>
        <w:ind w:firstLine="709"/>
        <w:jc w:val="both"/>
        <w:rPr>
          <w:rFonts w:ascii="Times New Roman" w:eastAsia="Times New Roman" w:hAnsi="Times New Roman" w:cs="Times New Roman"/>
          <w:bCs/>
          <w:i/>
          <w:iCs/>
          <w:color w:val="000000"/>
          <w:spacing w:val="-2"/>
          <w:sz w:val="28"/>
          <w:szCs w:val="28"/>
          <w:lang w:eastAsia="ru-RU"/>
        </w:rPr>
      </w:pPr>
      <w:r w:rsidRPr="00D7106C">
        <w:rPr>
          <w:rFonts w:ascii="Times New Roman" w:eastAsia="Times New Roman" w:hAnsi="Times New Roman" w:cs="Times New Roman"/>
          <w:bCs/>
          <w:iCs/>
          <w:color w:val="000000"/>
          <w:spacing w:val="-2"/>
          <w:sz w:val="28"/>
          <w:szCs w:val="28"/>
          <w:lang w:eastAsia="ru-RU"/>
        </w:rPr>
        <w:t xml:space="preserve">В </w:t>
      </w:r>
      <w:r w:rsidRPr="00D7106C">
        <w:rPr>
          <w:rFonts w:ascii="Times New Roman" w:eastAsia="Times New Roman" w:hAnsi="Times New Roman" w:cs="Times New Roman"/>
          <w:bCs/>
          <w:i/>
          <w:iCs/>
          <w:color w:val="000000"/>
          <w:spacing w:val="-2"/>
          <w:sz w:val="28"/>
          <w:szCs w:val="28"/>
          <w:lang w:eastAsia="ru-RU"/>
        </w:rPr>
        <w:t>первой главе</w:t>
      </w:r>
      <w:r w:rsidRPr="00D7106C">
        <w:rPr>
          <w:rFonts w:ascii="Times New Roman" w:eastAsia="Times New Roman" w:hAnsi="Times New Roman" w:cs="Times New Roman"/>
          <w:bCs/>
          <w:iCs/>
          <w:color w:val="000000"/>
          <w:spacing w:val="-2"/>
          <w:sz w:val="28"/>
          <w:szCs w:val="28"/>
          <w:lang w:eastAsia="ru-RU"/>
        </w:rPr>
        <w:t xml:space="preserve"> рассматриваются </w:t>
      </w:r>
      <w:r w:rsidRPr="007471FE">
        <w:rPr>
          <w:rFonts w:ascii="Times New Roman" w:eastAsia="Times New Roman" w:hAnsi="Times New Roman" w:cs="Times New Roman"/>
          <w:bCs/>
          <w:iCs/>
          <w:color w:val="000000"/>
          <w:spacing w:val="-2"/>
          <w:sz w:val="28"/>
          <w:szCs w:val="28"/>
          <w:lang w:eastAsia="ru-RU"/>
        </w:rPr>
        <w:t>основополагающие понятия и конце</w:t>
      </w:r>
      <w:r w:rsidRPr="007471FE">
        <w:rPr>
          <w:rFonts w:ascii="Times New Roman" w:eastAsia="Times New Roman" w:hAnsi="Times New Roman" w:cs="Times New Roman"/>
          <w:bCs/>
          <w:iCs/>
          <w:color w:val="000000"/>
          <w:spacing w:val="-2"/>
          <w:sz w:val="28"/>
          <w:szCs w:val="28"/>
          <w:lang w:eastAsia="ru-RU"/>
        </w:rPr>
        <w:t>п</w:t>
      </w:r>
      <w:r w:rsidRPr="007471FE">
        <w:rPr>
          <w:rFonts w:ascii="Times New Roman" w:eastAsia="Times New Roman" w:hAnsi="Times New Roman" w:cs="Times New Roman"/>
          <w:bCs/>
          <w:iCs/>
          <w:color w:val="000000"/>
          <w:spacing w:val="-2"/>
          <w:sz w:val="28"/>
          <w:szCs w:val="28"/>
          <w:lang w:eastAsia="ru-RU"/>
        </w:rPr>
        <w:t>ции ДМС</w:t>
      </w:r>
      <w:r>
        <w:rPr>
          <w:rFonts w:ascii="Times New Roman" w:eastAsia="Times New Roman" w:hAnsi="Times New Roman" w:cs="Times New Roman"/>
          <w:bCs/>
          <w:iCs/>
          <w:color w:val="000000"/>
          <w:spacing w:val="-2"/>
          <w:sz w:val="28"/>
          <w:szCs w:val="28"/>
          <w:lang w:eastAsia="ru-RU"/>
        </w:rPr>
        <w:t xml:space="preserve"> как вида страхования</w:t>
      </w:r>
      <w:r w:rsidRPr="00D7106C">
        <w:rPr>
          <w:rFonts w:ascii="Times New Roman" w:eastAsia="Times New Roman" w:hAnsi="Times New Roman" w:cs="Times New Roman"/>
          <w:bCs/>
          <w:iCs/>
          <w:color w:val="000000"/>
          <w:spacing w:val="-2"/>
          <w:sz w:val="28"/>
          <w:szCs w:val="28"/>
          <w:lang w:eastAsia="ru-RU"/>
        </w:rPr>
        <w:t>, его преимущества по сравнению с обязател</w:t>
      </w:r>
      <w:r w:rsidRPr="00D7106C">
        <w:rPr>
          <w:rFonts w:ascii="Times New Roman" w:eastAsia="Times New Roman" w:hAnsi="Times New Roman" w:cs="Times New Roman"/>
          <w:bCs/>
          <w:iCs/>
          <w:color w:val="000000"/>
          <w:spacing w:val="-2"/>
          <w:sz w:val="28"/>
          <w:szCs w:val="28"/>
          <w:lang w:eastAsia="ru-RU"/>
        </w:rPr>
        <w:t>ь</w:t>
      </w:r>
      <w:r w:rsidRPr="00D7106C">
        <w:rPr>
          <w:rFonts w:ascii="Times New Roman" w:eastAsia="Times New Roman" w:hAnsi="Times New Roman" w:cs="Times New Roman"/>
          <w:bCs/>
          <w:iCs/>
          <w:color w:val="000000"/>
          <w:spacing w:val="-2"/>
          <w:sz w:val="28"/>
          <w:szCs w:val="28"/>
          <w:lang w:eastAsia="ru-RU"/>
        </w:rPr>
        <w:t xml:space="preserve">ным медицинским страхованием (ОМС) и прямой оплатой медицинских услуг в лечебных учреждениях; </w:t>
      </w:r>
      <w:r w:rsidRPr="00BB1D26">
        <w:rPr>
          <w:rFonts w:ascii="Times New Roman" w:eastAsia="Times New Roman" w:hAnsi="Times New Roman" w:cs="Times New Roman"/>
          <w:bCs/>
          <w:iCs/>
          <w:color w:val="000000"/>
          <w:spacing w:val="-2"/>
          <w:sz w:val="28"/>
          <w:szCs w:val="28"/>
          <w:lang w:eastAsia="ru-RU"/>
        </w:rPr>
        <w:t>приводится обзор рынка добровольного медици</w:t>
      </w:r>
      <w:r w:rsidRPr="00BB1D26">
        <w:rPr>
          <w:rFonts w:ascii="Times New Roman" w:eastAsia="Times New Roman" w:hAnsi="Times New Roman" w:cs="Times New Roman"/>
          <w:bCs/>
          <w:iCs/>
          <w:color w:val="000000"/>
          <w:spacing w:val="-2"/>
          <w:sz w:val="28"/>
          <w:szCs w:val="28"/>
          <w:lang w:eastAsia="ru-RU"/>
        </w:rPr>
        <w:t>н</w:t>
      </w:r>
      <w:r w:rsidRPr="00BB1D26">
        <w:rPr>
          <w:rFonts w:ascii="Times New Roman" w:eastAsia="Times New Roman" w:hAnsi="Times New Roman" w:cs="Times New Roman"/>
          <w:bCs/>
          <w:iCs/>
          <w:color w:val="000000"/>
          <w:spacing w:val="-2"/>
          <w:sz w:val="28"/>
          <w:szCs w:val="28"/>
          <w:lang w:eastAsia="ru-RU"/>
        </w:rPr>
        <w:t xml:space="preserve">ского страхования в Российской Федерации; </w:t>
      </w:r>
      <w:r w:rsidRPr="00D7106C">
        <w:rPr>
          <w:rFonts w:ascii="Times New Roman" w:eastAsia="Times New Roman" w:hAnsi="Times New Roman" w:cs="Times New Roman"/>
          <w:bCs/>
          <w:iCs/>
          <w:color w:val="000000"/>
          <w:spacing w:val="-2"/>
          <w:sz w:val="28"/>
          <w:szCs w:val="28"/>
          <w:lang w:eastAsia="ru-RU"/>
        </w:rPr>
        <w:t>описывается предусмотренная действующим законодательством структура резервов страховой компании</w:t>
      </w:r>
      <w:r>
        <w:rPr>
          <w:rFonts w:ascii="Times New Roman" w:eastAsia="Times New Roman" w:hAnsi="Times New Roman" w:cs="Times New Roman"/>
          <w:bCs/>
          <w:iCs/>
          <w:color w:val="000000"/>
          <w:spacing w:val="-2"/>
          <w:sz w:val="28"/>
          <w:szCs w:val="28"/>
          <w:lang w:eastAsia="ru-RU"/>
        </w:rPr>
        <w:t>.</w:t>
      </w:r>
    </w:p>
    <w:p w:rsidR="00B37098" w:rsidRPr="00D7106C" w:rsidRDefault="00B37098" w:rsidP="00B37098">
      <w:pPr>
        <w:shd w:val="clear" w:color="auto" w:fill="FFFFFF"/>
        <w:spacing w:after="0" w:line="360" w:lineRule="auto"/>
        <w:ind w:firstLine="709"/>
        <w:jc w:val="both"/>
        <w:rPr>
          <w:rFonts w:ascii="Times New Roman" w:eastAsia="Times New Roman" w:hAnsi="Times New Roman" w:cs="Times New Roman"/>
          <w:bCs/>
          <w:color w:val="000000"/>
          <w:spacing w:val="-2"/>
          <w:sz w:val="28"/>
          <w:szCs w:val="28"/>
          <w:lang w:eastAsia="ru-RU"/>
        </w:rPr>
      </w:pPr>
      <w:r w:rsidRPr="00D7106C">
        <w:rPr>
          <w:rFonts w:ascii="Times New Roman" w:eastAsia="Times New Roman" w:hAnsi="Times New Roman" w:cs="Times New Roman"/>
          <w:bCs/>
          <w:i/>
          <w:iCs/>
          <w:color w:val="000000"/>
          <w:spacing w:val="-2"/>
          <w:sz w:val="28"/>
          <w:szCs w:val="28"/>
          <w:lang w:eastAsia="ru-RU"/>
        </w:rPr>
        <w:t>Вторая глава</w:t>
      </w:r>
      <w:r w:rsidRPr="00D7106C">
        <w:rPr>
          <w:rFonts w:ascii="Times New Roman" w:eastAsia="Times New Roman" w:hAnsi="Times New Roman" w:cs="Times New Roman"/>
          <w:bCs/>
          <w:iCs/>
          <w:color w:val="000000"/>
          <w:spacing w:val="-2"/>
          <w:sz w:val="28"/>
          <w:szCs w:val="28"/>
          <w:lang w:eastAsia="ru-RU"/>
        </w:rPr>
        <w:t xml:space="preserve"> посвящена описанию и демонстрации на примере </w:t>
      </w:r>
      <w:proofErr w:type="gramStart"/>
      <w:r>
        <w:rPr>
          <w:rFonts w:ascii="Times New Roman" w:eastAsia="Times New Roman" w:hAnsi="Times New Roman" w:cs="Times New Roman"/>
          <w:bCs/>
          <w:iCs/>
          <w:color w:val="000000"/>
          <w:spacing w:val="-2"/>
          <w:sz w:val="28"/>
          <w:szCs w:val="28"/>
          <w:lang w:eastAsia="ru-RU"/>
        </w:rPr>
        <w:t>тр</w:t>
      </w:r>
      <w:r>
        <w:rPr>
          <w:rFonts w:ascii="Times New Roman" w:eastAsia="Times New Roman" w:hAnsi="Times New Roman" w:cs="Times New Roman"/>
          <w:bCs/>
          <w:iCs/>
          <w:color w:val="000000"/>
          <w:spacing w:val="-2"/>
          <w:sz w:val="28"/>
          <w:szCs w:val="28"/>
          <w:lang w:eastAsia="ru-RU"/>
        </w:rPr>
        <w:t>е</w:t>
      </w:r>
      <w:r>
        <w:rPr>
          <w:rFonts w:ascii="Times New Roman" w:eastAsia="Times New Roman" w:hAnsi="Times New Roman" w:cs="Times New Roman"/>
          <w:bCs/>
          <w:iCs/>
          <w:color w:val="000000"/>
          <w:spacing w:val="-2"/>
          <w:sz w:val="28"/>
          <w:szCs w:val="28"/>
          <w:lang w:eastAsia="ru-RU"/>
        </w:rPr>
        <w:t xml:space="preserve">угольника убытков </w:t>
      </w:r>
      <w:r w:rsidRPr="00D7106C">
        <w:rPr>
          <w:rFonts w:ascii="Times New Roman" w:eastAsia="Times New Roman" w:hAnsi="Times New Roman" w:cs="Times New Roman"/>
          <w:bCs/>
          <w:iCs/>
          <w:color w:val="000000"/>
          <w:spacing w:val="-2"/>
          <w:sz w:val="28"/>
          <w:szCs w:val="28"/>
          <w:lang w:eastAsia="ru-RU"/>
        </w:rPr>
        <w:t>конкретной страховой организации трех стандартных м</w:t>
      </w:r>
      <w:r w:rsidRPr="00D7106C">
        <w:rPr>
          <w:rFonts w:ascii="Times New Roman" w:eastAsia="Times New Roman" w:hAnsi="Times New Roman" w:cs="Times New Roman"/>
          <w:bCs/>
          <w:iCs/>
          <w:color w:val="000000"/>
          <w:spacing w:val="-2"/>
          <w:sz w:val="28"/>
          <w:szCs w:val="28"/>
          <w:lang w:eastAsia="ru-RU"/>
        </w:rPr>
        <w:t>е</w:t>
      </w:r>
      <w:r w:rsidRPr="00D7106C">
        <w:rPr>
          <w:rFonts w:ascii="Times New Roman" w:eastAsia="Times New Roman" w:hAnsi="Times New Roman" w:cs="Times New Roman"/>
          <w:bCs/>
          <w:iCs/>
          <w:color w:val="000000"/>
          <w:spacing w:val="-2"/>
          <w:sz w:val="28"/>
          <w:szCs w:val="28"/>
          <w:lang w:eastAsia="ru-RU"/>
        </w:rPr>
        <w:lastRenderedPageBreak/>
        <w:t>тодов оценки страховых</w:t>
      </w:r>
      <w:proofErr w:type="gramEnd"/>
      <w:r w:rsidRPr="00D7106C">
        <w:rPr>
          <w:rFonts w:ascii="Times New Roman" w:eastAsia="Times New Roman" w:hAnsi="Times New Roman" w:cs="Times New Roman"/>
          <w:bCs/>
          <w:iCs/>
          <w:color w:val="000000"/>
          <w:spacing w:val="-2"/>
          <w:sz w:val="28"/>
          <w:szCs w:val="28"/>
          <w:lang w:eastAsia="ru-RU"/>
        </w:rPr>
        <w:t xml:space="preserve"> резервов, наиболее часто используемы</w:t>
      </w:r>
      <w:r>
        <w:rPr>
          <w:rFonts w:ascii="Times New Roman" w:eastAsia="Times New Roman" w:hAnsi="Times New Roman" w:cs="Times New Roman"/>
          <w:bCs/>
          <w:iCs/>
          <w:color w:val="000000"/>
          <w:spacing w:val="-2"/>
          <w:sz w:val="28"/>
          <w:szCs w:val="28"/>
          <w:lang w:eastAsia="ru-RU"/>
        </w:rPr>
        <w:t>х</w:t>
      </w:r>
      <w:r w:rsidRPr="00D7106C">
        <w:rPr>
          <w:rFonts w:ascii="Times New Roman" w:eastAsia="Times New Roman" w:hAnsi="Times New Roman" w:cs="Times New Roman"/>
          <w:bCs/>
          <w:iCs/>
          <w:color w:val="000000"/>
          <w:spacing w:val="-2"/>
          <w:sz w:val="28"/>
          <w:szCs w:val="28"/>
          <w:lang w:eastAsia="ru-RU"/>
        </w:rPr>
        <w:t xml:space="preserve"> актуа</w:t>
      </w:r>
      <w:r>
        <w:rPr>
          <w:rFonts w:ascii="Times New Roman" w:eastAsia="Times New Roman" w:hAnsi="Times New Roman" w:cs="Times New Roman"/>
          <w:bCs/>
          <w:iCs/>
          <w:color w:val="000000"/>
          <w:spacing w:val="-2"/>
          <w:sz w:val="28"/>
          <w:szCs w:val="28"/>
          <w:lang w:eastAsia="ru-RU"/>
        </w:rPr>
        <w:t>риями во всем мире. В</w:t>
      </w:r>
      <w:r w:rsidRPr="00D7106C">
        <w:rPr>
          <w:rFonts w:ascii="Times New Roman" w:eastAsia="Times New Roman" w:hAnsi="Times New Roman" w:cs="Times New Roman"/>
          <w:bCs/>
          <w:iCs/>
          <w:color w:val="000000"/>
          <w:spacing w:val="-2"/>
          <w:sz w:val="28"/>
          <w:szCs w:val="28"/>
          <w:lang w:eastAsia="ru-RU"/>
        </w:rPr>
        <w:t xml:space="preserve"> частности, приводятся ключевые предпосылки каждой </w:t>
      </w:r>
      <w:r>
        <w:rPr>
          <w:rFonts w:ascii="Times New Roman" w:eastAsia="Times New Roman" w:hAnsi="Times New Roman" w:cs="Times New Roman"/>
          <w:bCs/>
          <w:iCs/>
          <w:color w:val="000000"/>
          <w:spacing w:val="-2"/>
          <w:sz w:val="28"/>
          <w:szCs w:val="28"/>
          <w:lang w:eastAsia="ru-RU"/>
        </w:rPr>
        <w:t xml:space="preserve">из </w:t>
      </w:r>
      <w:r w:rsidRPr="00D7106C">
        <w:rPr>
          <w:rFonts w:ascii="Times New Roman" w:eastAsia="Times New Roman" w:hAnsi="Times New Roman" w:cs="Times New Roman"/>
          <w:bCs/>
          <w:iCs/>
          <w:color w:val="000000"/>
          <w:spacing w:val="-2"/>
          <w:sz w:val="28"/>
          <w:szCs w:val="28"/>
          <w:lang w:eastAsia="ru-RU"/>
        </w:rPr>
        <w:t>м</w:t>
      </w:r>
      <w:r w:rsidRPr="00D7106C">
        <w:rPr>
          <w:rFonts w:ascii="Times New Roman" w:eastAsia="Times New Roman" w:hAnsi="Times New Roman" w:cs="Times New Roman"/>
          <w:bCs/>
          <w:iCs/>
          <w:color w:val="000000"/>
          <w:spacing w:val="-2"/>
          <w:sz w:val="28"/>
          <w:szCs w:val="28"/>
          <w:lang w:eastAsia="ru-RU"/>
        </w:rPr>
        <w:t>е</w:t>
      </w:r>
      <w:r w:rsidRPr="00D7106C">
        <w:rPr>
          <w:rFonts w:ascii="Times New Roman" w:eastAsia="Times New Roman" w:hAnsi="Times New Roman" w:cs="Times New Roman"/>
          <w:bCs/>
          <w:iCs/>
          <w:color w:val="000000"/>
          <w:spacing w:val="-2"/>
          <w:sz w:val="28"/>
          <w:szCs w:val="28"/>
          <w:lang w:eastAsia="ru-RU"/>
        </w:rPr>
        <w:t xml:space="preserve">тодик, ее достоинства и недостатки, </w:t>
      </w:r>
      <w:r>
        <w:rPr>
          <w:rFonts w:ascii="Times New Roman" w:eastAsia="Times New Roman" w:hAnsi="Times New Roman" w:cs="Times New Roman"/>
          <w:bCs/>
          <w:iCs/>
          <w:color w:val="000000"/>
          <w:spacing w:val="-2"/>
          <w:sz w:val="28"/>
          <w:szCs w:val="28"/>
          <w:lang w:eastAsia="ru-RU"/>
        </w:rPr>
        <w:t>процедура</w:t>
      </w:r>
      <w:r w:rsidRPr="00D7106C">
        <w:rPr>
          <w:rFonts w:ascii="Times New Roman" w:eastAsia="Times New Roman" w:hAnsi="Times New Roman" w:cs="Times New Roman"/>
          <w:bCs/>
          <w:iCs/>
          <w:color w:val="000000"/>
          <w:spacing w:val="-2"/>
          <w:sz w:val="28"/>
          <w:szCs w:val="28"/>
          <w:lang w:eastAsia="ru-RU"/>
        </w:rPr>
        <w:t xml:space="preserve"> реализации.</w:t>
      </w:r>
    </w:p>
    <w:p w:rsidR="00B37098" w:rsidRPr="00D7106C" w:rsidRDefault="00B37098" w:rsidP="00B37098">
      <w:pPr>
        <w:spacing w:after="0" w:line="360" w:lineRule="auto"/>
        <w:ind w:firstLine="709"/>
        <w:jc w:val="both"/>
        <w:rPr>
          <w:rFonts w:ascii="Times New Roman" w:hAnsi="Times New Roman" w:cs="Times New Roman"/>
          <w:bCs/>
          <w:iCs/>
          <w:sz w:val="28"/>
          <w:szCs w:val="28"/>
        </w:rPr>
      </w:pPr>
      <w:r w:rsidRPr="00D7106C">
        <w:rPr>
          <w:rFonts w:ascii="Times New Roman" w:hAnsi="Times New Roman" w:cs="Times New Roman"/>
          <w:bCs/>
          <w:iCs/>
          <w:sz w:val="28"/>
          <w:szCs w:val="28"/>
        </w:rPr>
        <w:t xml:space="preserve">В </w:t>
      </w:r>
      <w:r w:rsidRPr="006F412A">
        <w:rPr>
          <w:rFonts w:ascii="Times New Roman" w:hAnsi="Times New Roman" w:cs="Times New Roman"/>
          <w:bCs/>
          <w:i/>
          <w:iCs/>
          <w:sz w:val="28"/>
          <w:szCs w:val="28"/>
        </w:rPr>
        <w:t>третьей главе</w:t>
      </w:r>
      <w:r w:rsidRPr="00D7106C">
        <w:rPr>
          <w:rFonts w:ascii="Times New Roman" w:hAnsi="Times New Roman" w:cs="Times New Roman"/>
          <w:bCs/>
          <w:iCs/>
          <w:sz w:val="28"/>
          <w:szCs w:val="28"/>
        </w:rPr>
        <w:t xml:space="preserve"> рассматриваются</w:t>
      </w:r>
      <w:r>
        <w:rPr>
          <w:rFonts w:ascii="Times New Roman" w:hAnsi="Times New Roman" w:cs="Times New Roman"/>
          <w:bCs/>
          <w:iCs/>
          <w:sz w:val="28"/>
          <w:szCs w:val="28"/>
        </w:rPr>
        <w:t xml:space="preserve"> альтернативные</w:t>
      </w:r>
      <w:r w:rsidRPr="00D7106C">
        <w:rPr>
          <w:rFonts w:ascii="Times New Roman" w:hAnsi="Times New Roman" w:cs="Times New Roman"/>
          <w:bCs/>
          <w:iCs/>
          <w:sz w:val="28"/>
          <w:szCs w:val="28"/>
        </w:rPr>
        <w:t xml:space="preserve"> метод</w:t>
      </w:r>
      <w:r>
        <w:rPr>
          <w:rFonts w:ascii="Times New Roman" w:hAnsi="Times New Roman" w:cs="Times New Roman"/>
          <w:bCs/>
          <w:iCs/>
          <w:sz w:val="28"/>
          <w:szCs w:val="28"/>
        </w:rPr>
        <w:t>ы</w:t>
      </w:r>
      <w:r w:rsidRPr="00D7106C">
        <w:rPr>
          <w:rFonts w:ascii="Times New Roman" w:hAnsi="Times New Roman" w:cs="Times New Roman"/>
          <w:bCs/>
          <w:iCs/>
          <w:sz w:val="28"/>
          <w:szCs w:val="28"/>
        </w:rPr>
        <w:t xml:space="preserve"> оценки </w:t>
      </w:r>
      <w:r>
        <w:rPr>
          <w:rFonts w:ascii="Times New Roman" w:hAnsi="Times New Roman" w:cs="Times New Roman"/>
          <w:bCs/>
          <w:iCs/>
          <w:sz w:val="28"/>
          <w:szCs w:val="28"/>
        </w:rPr>
        <w:t>страховых резервов</w:t>
      </w:r>
      <w:r w:rsidRPr="00D7106C">
        <w:rPr>
          <w:rFonts w:ascii="Times New Roman" w:hAnsi="Times New Roman" w:cs="Times New Roman"/>
          <w:bCs/>
          <w:iCs/>
          <w:sz w:val="28"/>
          <w:szCs w:val="28"/>
        </w:rPr>
        <w:t>: метод цепной лестницы и мультипликатив</w:t>
      </w:r>
      <w:r>
        <w:rPr>
          <w:rFonts w:ascii="Times New Roman" w:hAnsi="Times New Roman" w:cs="Times New Roman"/>
          <w:bCs/>
          <w:iCs/>
          <w:sz w:val="28"/>
          <w:szCs w:val="28"/>
        </w:rPr>
        <w:t>ный метод</w:t>
      </w:r>
      <w:r w:rsidRPr="00D7106C">
        <w:rPr>
          <w:rFonts w:ascii="Times New Roman" w:hAnsi="Times New Roman" w:cs="Times New Roman"/>
          <w:bCs/>
          <w:iCs/>
          <w:sz w:val="28"/>
          <w:szCs w:val="28"/>
        </w:rPr>
        <w:t>, скорректированны</w:t>
      </w:r>
      <w:r>
        <w:rPr>
          <w:rFonts w:ascii="Times New Roman" w:hAnsi="Times New Roman" w:cs="Times New Roman"/>
          <w:bCs/>
          <w:iCs/>
          <w:sz w:val="28"/>
          <w:szCs w:val="28"/>
        </w:rPr>
        <w:t xml:space="preserve">е с учетом инфляции; </w:t>
      </w:r>
      <w:r w:rsidRPr="006F412A">
        <w:rPr>
          <w:rFonts w:ascii="Times New Roman" w:hAnsi="Times New Roman" w:cs="Times New Roman"/>
          <w:bCs/>
          <w:iCs/>
          <w:sz w:val="28"/>
          <w:szCs w:val="28"/>
        </w:rPr>
        <w:t xml:space="preserve">методика оценки </w:t>
      </w:r>
      <w:r>
        <w:rPr>
          <w:rFonts w:ascii="Times New Roman" w:hAnsi="Times New Roman" w:cs="Times New Roman"/>
          <w:bCs/>
          <w:iCs/>
          <w:sz w:val="28"/>
          <w:szCs w:val="28"/>
        </w:rPr>
        <w:t xml:space="preserve">РПНУ </w:t>
      </w:r>
      <w:r w:rsidRPr="006F412A">
        <w:rPr>
          <w:rFonts w:ascii="Times New Roman" w:hAnsi="Times New Roman" w:cs="Times New Roman"/>
          <w:bCs/>
          <w:iCs/>
          <w:sz w:val="28"/>
          <w:szCs w:val="28"/>
        </w:rPr>
        <w:t>посредством анализа финансовых потоков страховой компании по календарным периодам</w:t>
      </w:r>
      <w:r>
        <w:rPr>
          <w:rFonts w:ascii="Times New Roman" w:hAnsi="Times New Roman" w:cs="Times New Roman"/>
          <w:bCs/>
          <w:iCs/>
          <w:sz w:val="28"/>
          <w:szCs w:val="28"/>
        </w:rPr>
        <w:t>.</w:t>
      </w:r>
      <w:r w:rsidRPr="00D7106C">
        <w:rPr>
          <w:rFonts w:ascii="Times New Roman" w:hAnsi="Times New Roman" w:cs="Times New Roman"/>
          <w:bCs/>
          <w:iCs/>
          <w:sz w:val="28"/>
          <w:szCs w:val="28"/>
        </w:rPr>
        <w:t xml:space="preserve"> Для реализации вышеуказанных методов моделируется динамика цен на м</w:t>
      </w:r>
      <w:r w:rsidRPr="00D7106C">
        <w:rPr>
          <w:rFonts w:ascii="Times New Roman" w:hAnsi="Times New Roman" w:cs="Times New Roman"/>
          <w:bCs/>
          <w:iCs/>
          <w:sz w:val="28"/>
          <w:szCs w:val="28"/>
        </w:rPr>
        <w:t>е</w:t>
      </w:r>
      <w:r w:rsidRPr="00D7106C">
        <w:rPr>
          <w:rFonts w:ascii="Times New Roman" w:hAnsi="Times New Roman" w:cs="Times New Roman"/>
          <w:bCs/>
          <w:iCs/>
          <w:sz w:val="28"/>
          <w:szCs w:val="28"/>
        </w:rPr>
        <w:t>дицинские услуги в Российской Федерации, прогнозируются страховые в</w:t>
      </w:r>
      <w:r w:rsidRPr="00D7106C">
        <w:rPr>
          <w:rFonts w:ascii="Times New Roman" w:hAnsi="Times New Roman" w:cs="Times New Roman"/>
          <w:bCs/>
          <w:iCs/>
          <w:sz w:val="28"/>
          <w:szCs w:val="28"/>
        </w:rPr>
        <w:t>ы</w:t>
      </w:r>
      <w:r w:rsidRPr="00D7106C">
        <w:rPr>
          <w:rFonts w:ascii="Times New Roman" w:hAnsi="Times New Roman" w:cs="Times New Roman"/>
          <w:bCs/>
          <w:iCs/>
          <w:sz w:val="28"/>
          <w:szCs w:val="28"/>
        </w:rPr>
        <w:t xml:space="preserve">платы </w:t>
      </w:r>
      <w:r>
        <w:rPr>
          <w:rFonts w:ascii="Times New Roman" w:hAnsi="Times New Roman" w:cs="Times New Roman"/>
          <w:bCs/>
          <w:iCs/>
          <w:sz w:val="28"/>
          <w:szCs w:val="28"/>
        </w:rPr>
        <w:t xml:space="preserve">исследуемой </w:t>
      </w:r>
      <w:r w:rsidRPr="00D7106C">
        <w:rPr>
          <w:rFonts w:ascii="Times New Roman" w:hAnsi="Times New Roman" w:cs="Times New Roman"/>
          <w:bCs/>
          <w:iCs/>
          <w:sz w:val="28"/>
          <w:szCs w:val="28"/>
        </w:rPr>
        <w:t xml:space="preserve">компании в 2013-2017 гг. </w:t>
      </w:r>
    </w:p>
    <w:p w:rsidR="00B37098" w:rsidRDefault="00B37098" w:rsidP="00B37098">
      <w:pPr>
        <w:spacing w:after="0" w:line="360" w:lineRule="auto"/>
        <w:ind w:firstLine="709"/>
        <w:jc w:val="both"/>
        <w:rPr>
          <w:rFonts w:ascii="Times New Roman" w:eastAsiaTheme="minorEastAsia" w:hAnsi="Times New Roman" w:cs="Times New Roman"/>
          <w:sz w:val="28"/>
          <w:szCs w:val="28"/>
        </w:rPr>
      </w:pPr>
      <w:proofErr w:type="gramStart"/>
      <w:r w:rsidRPr="001915EF">
        <w:rPr>
          <w:rFonts w:ascii="Times New Roman" w:hAnsi="Times New Roman" w:cs="Times New Roman"/>
          <w:bCs/>
          <w:i/>
          <w:iCs/>
          <w:sz w:val="28"/>
          <w:szCs w:val="28"/>
        </w:rPr>
        <w:t>Информационную базу</w:t>
      </w:r>
      <w:r w:rsidRPr="00CC6191">
        <w:rPr>
          <w:rFonts w:ascii="Times New Roman" w:hAnsi="Times New Roman" w:cs="Times New Roman"/>
          <w:bCs/>
          <w:iCs/>
          <w:sz w:val="28"/>
          <w:szCs w:val="28"/>
        </w:rPr>
        <w:t xml:space="preserve"> исследования составили официальные стат</w:t>
      </w:r>
      <w:r w:rsidRPr="00CC6191">
        <w:rPr>
          <w:rFonts w:ascii="Times New Roman" w:hAnsi="Times New Roman" w:cs="Times New Roman"/>
          <w:bCs/>
          <w:iCs/>
          <w:sz w:val="28"/>
          <w:szCs w:val="28"/>
        </w:rPr>
        <w:t>и</w:t>
      </w:r>
      <w:r w:rsidRPr="00CC6191">
        <w:rPr>
          <w:rFonts w:ascii="Times New Roman" w:hAnsi="Times New Roman" w:cs="Times New Roman"/>
          <w:bCs/>
          <w:iCs/>
          <w:sz w:val="28"/>
          <w:szCs w:val="28"/>
        </w:rPr>
        <w:t xml:space="preserve">стические данные Федеральной службы государственной статистики </w:t>
      </w:r>
      <w:r>
        <w:rPr>
          <w:rFonts w:ascii="Times New Roman" w:hAnsi="Times New Roman" w:cs="Times New Roman"/>
          <w:bCs/>
          <w:iCs/>
          <w:sz w:val="28"/>
          <w:szCs w:val="28"/>
        </w:rPr>
        <w:t xml:space="preserve">РФ и Федеральной службы по финансовым рынкам РФ, </w:t>
      </w:r>
      <w:r w:rsidRPr="00CC6191">
        <w:rPr>
          <w:rFonts w:ascii="Times New Roman" w:hAnsi="Times New Roman" w:cs="Times New Roman"/>
          <w:bCs/>
          <w:iCs/>
          <w:sz w:val="28"/>
          <w:szCs w:val="28"/>
        </w:rPr>
        <w:t>материалы периодической печати</w:t>
      </w:r>
      <w:r>
        <w:rPr>
          <w:rFonts w:ascii="Times New Roman" w:hAnsi="Times New Roman" w:cs="Times New Roman"/>
          <w:bCs/>
          <w:iCs/>
          <w:sz w:val="28"/>
          <w:szCs w:val="28"/>
        </w:rPr>
        <w:t xml:space="preserve"> и </w:t>
      </w:r>
      <w:proofErr w:type="spellStart"/>
      <w:r>
        <w:rPr>
          <w:rFonts w:ascii="Times New Roman" w:hAnsi="Times New Roman" w:cs="Times New Roman"/>
          <w:bCs/>
          <w:iCs/>
          <w:sz w:val="28"/>
          <w:szCs w:val="28"/>
        </w:rPr>
        <w:t>Интернет-публикации</w:t>
      </w:r>
      <w:proofErr w:type="spellEnd"/>
      <w:r w:rsidRPr="00CC6191">
        <w:rPr>
          <w:rFonts w:ascii="Times New Roman" w:hAnsi="Times New Roman" w:cs="Times New Roman"/>
          <w:bCs/>
          <w:iCs/>
          <w:sz w:val="28"/>
          <w:szCs w:val="28"/>
        </w:rPr>
        <w:t xml:space="preserve"> по исследуемой тема</w:t>
      </w:r>
      <w:r>
        <w:rPr>
          <w:rFonts w:ascii="Times New Roman" w:hAnsi="Times New Roman" w:cs="Times New Roman"/>
          <w:bCs/>
          <w:iCs/>
          <w:sz w:val="28"/>
          <w:szCs w:val="28"/>
        </w:rPr>
        <w:t xml:space="preserve">тике, а также </w:t>
      </w:r>
      <w:r w:rsidR="002D2F29">
        <w:rPr>
          <w:rFonts w:ascii="Times New Roman" w:eastAsiaTheme="minorEastAsia" w:hAnsi="Times New Roman" w:cs="Times New Roman"/>
          <w:sz w:val="28"/>
          <w:szCs w:val="28"/>
        </w:rPr>
        <w:t>данные</w:t>
      </w:r>
      <w:r>
        <w:rPr>
          <w:rFonts w:ascii="Times New Roman" w:eastAsiaTheme="minorEastAsia" w:hAnsi="Times New Roman" w:cs="Times New Roman"/>
          <w:sz w:val="28"/>
          <w:szCs w:val="28"/>
        </w:rPr>
        <w:t xml:space="preserve"> об оплаченных убытках и заработанной страховой премии одной из лидиру</w:t>
      </w:r>
      <w:r>
        <w:rPr>
          <w:rFonts w:ascii="Times New Roman" w:eastAsiaTheme="minorEastAsia" w:hAnsi="Times New Roman" w:cs="Times New Roman"/>
          <w:sz w:val="28"/>
          <w:szCs w:val="28"/>
        </w:rPr>
        <w:t>ю</w:t>
      </w:r>
      <w:r>
        <w:rPr>
          <w:rFonts w:ascii="Times New Roman" w:eastAsiaTheme="minorEastAsia" w:hAnsi="Times New Roman" w:cs="Times New Roman"/>
          <w:sz w:val="28"/>
          <w:szCs w:val="28"/>
        </w:rPr>
        <w:t>щих в секторе ДМС российских страховых компаний, полученная непосре</w:t>
      </w:r>
      <w:r>
        <w:rPr>
          <w:rFonts w:ascii="Times New Roman" w:eastAsiaTheme="minorEastAsia" w:hAnsi="Times New Roman" w:cs="Times New Roman"/>
          <w:sz w:val="28"/>
          <w:szCs w:val="28"/>
        </w:rPr>
        <w:t>д</w:t>
      </w:r>
      <w:r>
        <w:rPr>
          <w:rFonts w:ascii="Times New Roman" w:eastAsiaTheme="minorEastAsia" w:hAnsi="Times New Roman" w:cs="Times New Roman"/>
          <w:sz w:val="28"/>
          <w:szCs w:val="28"/>
        </w:rPr>
        <w:t>ственно из самой компании.</w:t>
      </w:r>
      <w:proofErr w:type="gramEnd"/>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B37098" w:rsidRDefault="00B37098" w:rsidP="00EA7579">
      <w:pPr>
        <w:spacing w:after="0" w:line="360" w:lineRule="auto"/>
        <w:jc w:val="center"/>
        <w:rPr>
          <w:rFonts w:ascii="Times New Roman" w:hAnsi="Times New Roman" w:cs="Times New Roman"/>
          <w:b/>
          <w:sz w:val="28"/>
          <w:szCs w:val="28"/>
        </w:rPr>
      </w:pPr>
    </w:p>
    <w:p w:rsidR="00550324" w:rsidRDefault="00550324" w:rsidP="00EA757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 ДМС как объект статистического и актуарного исследования</w:t>
      </w:r>
    </w:p>
    <w:p w:rsidR="003D350E" w:rsidRPr="003D00F0" w:rsidRDefault="003D350E" w:rsidP="00EA7579">
      <w:pPr>
        <w:spacing w:after="0" w:line="360" w:lineRule="auto"/>
        <w:jc w:val="center"/>
        <w:rPr>
          <w:rFonts w:ascii="Times New Roman" w:hAnsi="Times New Roman" w:cs="Times New Roman"/>
          <w:b/>
          <w:sz w:val="28"/>
          <w:szCs w:val="28"/>
        </w:rPr>
      </w:pPr>
      <w:r w:rsidRPr="00D53F2B">
        <w:rPr>
          <w:rFonts w:ascii="Times New Roman" w:hAnsi="Times New Roman" w:cs="Times New Roman"/>
          <w:b/>
          <w:sz w:val="28"/>
          <w:szCs w:val="28"/>
        </w:rPr>
        <w:t>§</w:t>
      </w:r>
      <w:r>
        <w:rPr>
          <w:rFonts w:ascii="Times New Roman" w:hAnsi="Times New Roman" w:cs="Times New Roman"/>
          <w:b/>
          <w:sz w:val="28"/>
          <w:szCs w:val="28"/>
        </w:rPr>
        <w:t xml:space="preserve"> 1.</w:t>
      </w:r>
      <w:r w:rsidRPr="005B4537">
        <w:rPr>
          <w:rFonts w:ascii="Times New Roman" w:hAnsi="Times New Roman" w:cs="Times New Roman"/>
          <w:b/>
          <w:sz w:val="28"/>
          <w:szCs w:val="28"/>
        </w:rPr>
        <w:t>1</w:t>
      </w:r>
      <w:r w:rsidRPr="00D53F2B">
        <w:rPr>
          <w:rFonts w:ascii="Times New Roman" w:hAnsi="Times New Roman" w:cs="Times New Roman"/>
          <w:b/>
          <w:sz w:val="28"/>
          <w:szCs w:val="28"/>
        </w:rPr>
        <w:t xml:space="preserve">. </w:t>
      </w:r>
      <w:r w:rsidR="000474E2">
        <w:rPr>
          <w:rFonts w:ascii="Times New Roman" w:hAnsi="Times New Roman" w:cs="Times New Roman"/>
          <w:b/>
          <w:sz w:val="28"/>
          <w:szCs w:val="28"/>
        </w:rPr>
        <w:t xml:space="preserve">Основополагающие понятия </w:t>
      </w:r>
      <w:r>
        <w:rPr>
          <w:rFonts w:ascii="Times New Roman" w:hAnsi="Times New Roman" w:cs="Times New Roman"/>
          <w:b/>
          <w:sz w:val="28"/>
          <w:szCs w:val="28"/>
        </w:rPr>
        <w:t>ДМС как вид</w:t>
      </w:r>
      <w:r w:rsidR="000474E2">
        <w:rPr>
          <w:rFonts w:ascii="Times New Roman" w:hAnsi="Times New Roman" w:cs="Times New Roman"/>
          <w:b/>
          <w:sz w:val="28"/>
          <w:szCs w:val="28"/>
        </w:rPr>
        <w:t>а</w:t>
      </w:r>
      <w:r>
        <w:rPr>
          <w:rFonts w:ascii="Times New Roman" w:hAnsi="Times New Roman" w:cs="Times New Roman"/>
          <w:b/>
          <w:sz w:val="28"/>
          <w:szCs w:val="28"/>
        </w:rPr>
        <w:t xml:space="preserve"> страхования</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система здравоохранения в Российской Федерации в настоящее время функционирует за счет средств, поступающих из федерал</w:t>
      </w:r>
      <w:r>
        <w:rPr>
          <w:rFonts w:ascii="Times New Roman" w:hAnsi="Times New Roman" w:cs="Times New Roman"/>
          <w:sz w:val="28"/>
          <w:szCs w:val="28"/>
        </w:rPr>
        <w:t>ь</w:t>
      </w:r>
      <w:r>
        <w:rPr>
          <w:rFonts w:ascii="Times New Roman" w:hAnsi="Times New Roman" w:cs="Times New Roman"/>
          <w:sz w:val="28"/>
          <w:szCs w:val="28"/>
        </w:rPr>
        <w:t xml:space="preserve">ного бюджета, бюджетов субъектов РФ и муниципальных органов местного самоуправления, а также за счет средств системы </w:t>
      </w:r>
      <w:r w:rsidRPr="00A02F41">
        <w:rPr>
          <w:rFonts w:ascii="Times New Roman" w:hAnsi="Times New Roman" w:cs="Times New Roman"/>
          <w:i/>
          <w:sz w:val="28"/>
          <w:szCs w:val="28"/>
        </w:rPr>
        <w:t>обязательного медицинск</w:t>
      </w:r>
      <w:r w:rsidRPr="00A02F41">
        <w:rPr>
          <w:rFonts w:ascii="Times New Roman" w:hAnsi="Times New Roman" w:cs="Times New Roman"/>
          <w:i/>
          <w:sz w:val="28"/>
          <w:szCs w:val="28"/>
        </w:rPr>
        <w:t>о</w:t>
      </w:r>
      <w:r w:rsidRPr="00A02F41">
        <w:rPr>
          <w:rFonts w:ascii="Times New Roman" w:hAnsi="Times New Roman" w:cs="Times New Roman"/>
          <w:i/>
          <w:sz w:val="28"/>
          <w:szCs w:val="28"/>
        </w:rPr>
        <w:t>го страхования</w:t>
      </w:r>
      <w:r>
        <w:rPr>
          <w:rFonts w:ascii="Times New Roman" w:hAnsi="Times New Roman" w:cs="Times New Roman"/>
          <w:sz w:val="28"/>
          <w:szCs w:val="28"/>
        </w:rPr>
        <w:t xml:space="preserve"> (ОМС), посредством государственных страховых фондов а</w:t>
      </w:r>
      <w:r>
        <w:rPr>
          <w:rFonts w:ascii="Times New Roman" w:hAnsi="Times New Roman" w:cs="Times New Roman"/>
          <w:sz w:val="28"/>
          <w:szCs w:val="28"/>
        </w:rPr>
        <w:t>к</w:t>
      </w:r>
      <w:r>
        <w:rPr>
          <w:rFonts w:ascii="Times New Roman" w:hAnsi="Times New Roman" w:cs="Times New Roman"/>
          <w:sz w:val="28"/>
          <w:szCs w:val="28"/>
        </w:rPr>
        <w:t xml:space="preserve">кумулирующей страховые взносы предприятий, учреждений и организаций. </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1998 г. Правительством РФ ежегодно утверждается Пр</w:t>
      </w:r>
      <w:r>
        <w:rPr>
          <w:rFonts w:ascii="Times New Roman" w:hAnsi="Times New Roman" w:cs="Times New Roman"/>
          <w:sz w:val="28"/>
          <w:szCs w:val="28"/>
        </w:rPr>
        <w:t>о</w:t>
      </w:r>
      <w:r>
        <w:rPr>
          <w:rFonts w:ascii="Times New Roman" w:hAnsi="Times New Roman" w:cs="Times New Roman"/>
          <w:sz w:val="28"/>
          <w:szCs w:val="28"/>
        </w:rPr>
        <w:t>грамма государственных гарантий оказания гражданам России бесплатной медицинской помощи, а начиная с 2005 г. на регулярной основе принимаю</w:t>
      </w:r>
      <w:r>
        <w:rPr>
          <w:rFonts w:ascii="Times New Roman" w:hAnsi="Times New Roman" w:cs="Times New Roman"/>
          <w:sz w:val="28"/>
          <w:szCs w:val="28"/>
        </w:rPr>
        <w:t>т</w:t>
      </w:r>
      <w:r>
        <w:rPr>
          <w:rFonts w:ascii="Times New Roman" w:hAnsi="Times New Roman" w:cs="Times New Roman"/>
          <w:sz w:val="28"/>
          <w:szCs w:val="28"/>
        </w:rPr>
        <w:t>ся подушевые нормативы финансового обеспечения медицинской помощью.</w:t>
      </w:r>
      <w:r w:rsidRPr="00A35E2D">
        <w:t xml:space="preserve"> </w:t>
      </w:r>
      <w:r w:rsidRPr="00A35E2D">
        <w:rPr>
          <w:rFonts w:ascii="Times New Roman" w:hAnsi="Times New Roman" w:cs="Times New Roman"/>
          <w:sz w:val="28"/>
          <w:szCs w:val="28"/>
        </w:rPr>
        <w:t>Так,</w:t>
      </w:r>
      <w:r>
        <w:t xml:space="preserve"> </w:t>
      </w:r>
      <w:r>
        <w:rPr>
          <w:rFonts w:ascii="Times New Roman" w:hAnsi="Times New Roman" w:cs="Times New Roman"/>
          <w:sz w:val="28"/>
          <w:szCs w:val="28"/>
        </w:rPr>
        <w:t>с</w:t>
      </w:r>
      <w:r w:rsidRPr="00A35E2D">
        <w:rPr>
          <w:rFonts w:ascii="Times New Roman" w:hAnsi="Times New Roman" w:cs="Times New Roman"/>
          <w:sz w:val="28"/>
          <w:szCs w:val="28"/>
        </w:rPr>
        <w:t>редн</w:t>
      </w:r>
      <w:r>
        <w:rPr>
          <w:rFonts w:ascii="Times New Roman" w:hAnsi="Times New Roman" w:cs="Times New Roman"/>
          <w:sz w:val="28"/>
          <w:szCs w:val="28"/>
        </w:rPr>
        <w:t>ий по России</w:t>
      </w:r>
      <w:r w:rsidRPr="00A35E2D">
        <w:rPr>
          <w:rFonts w:ascii="Times New Roman" w:hAnsi="Times New Roman" w:cs="Times New Roman"/>
          <w:sz w:val="28"/>
          <w:szCs w:val="28"/>
        </w:rPr>
        <w:t xml:space="preserve"> норматив финансирования</w:t>
      </w:r>
      <w:r>
        <w:rPr>
          <w:rFonts w:ascii="Times New Roman" w:hAnsi="Times New Roman" w:cs="Times New Roman"/>
          <w:sz w:val="28"/>
          <w:szCs w:val="28"/>
        </w:rPr>
        <w:t xml:space="preserve"> здравоохранения</w:t>
      </w:r>
      <w:r w:rsidRPr="005D5D6A">
        <w:rPr>
          <w:rFonts w:ascii="Times New Roman" w:hAnsi="Times New Roman" w:cs="Times New Roman"/>
          <w:sz w:val="28"/>
          <w:szCs w:val="28"/>
        </w:rPr>
        <w:t xml:space="preserve"> </w:t>
      </w:r>
      <w:r>
        <w:rPr>
          <w:rFonts w:ascii="Times New Roman" w:hAnsi="Times New Roman" w:cs="Times New Roman"/>
          <w:sz w:val="28"/>
          <w:szCs w:val="28"/>
        </w:rPr>
        <w:t>в расч</w:t>
      </w:r>
      <w:r>
        <w:rPr>
          <w:rFonts w:ascii="Times New Roman" w:hAnsi="Times New Roman" w:cs="Times New Roman"/>
          <w:sz w:val="28"/>
          <w:szCs w:val="28"/>
        </w:rPr>
        <w:t>е</w:t>
      </w:r>
      <w:r>
        <w:rPr>
          <w:rFonts w:ascii="Times New Roman" w:hAnsi="Times New Roman" w:cs="Times New Roman"/>
          <w:sz w:val="28"/>
          <w:szCs w:val="28"/>
        </w:rPr>
        <w:t>те на одного жителя страны</w:t>
      </w:r>
      <w:r w:rsidRPr="00A35E2D">
        <w:rPr>
          <w:rFonts w:ascii="Times New Roman" w:hAnsi="Times New Roman" w:cs="Times New Roman"/>
          <w:sz w:val="28"/>
          <w:szCs w:val="28"/>
        </w:rPr>
        <w:t xml:space="preserve">, предусмотренный </w:t>
      </w:r>
      <w:r>
        <w:rPr>
          <w:rFonts w:ascii="Times New Roman" w:hAnsi="Times New Roman" w:cs="Times New Roman"/>
          <w:sz w:val="28"/>
          <w:szCs w:val="28"/>
        </w:rPr>
        <w:t xml:space="preserve">Программой госгарантий </w:t>
      </w:r>
      <w:r w:rsidRPr="00A35E2D">
        <w:rPr>
          <w:rFonts w:ascii="Times New Roman" w:hAnsi="Times New Roman" w:cs="Times New Roman"/>
          <w:sz w:val="28"/>
          <w:szCs w:val="28"/>
        </w:rPr>
        <w:t>на 2013 г</w:t>
      </w:r>
      <w:r>
        <w:rPr>
          <w:rFonts w:ascii="Times New Roman" w:hAnsi="Times New Roman" w:cs="Times New Roman"/>
          <w:sz w:val="28"/>
          <w:szCs w:val="28"/>
        </w:rPr>
        <w:t>.</w:t>
      </w:r>
      <w:r w:rsidRPr="00A35E2D">
        <w:rPr>
          <w:rFonts w:ascii="Times New Roman" w:hAnsi="Times New Roman" w:cs="Times New Roman"/>
          <w:sz w:val="28"/>
          <w:szCs w:val="28"/>
        </w:rPr>
        <w:t>, составляет 9032,5 руб. В Москве этот показатель более чем вдвое выше рекомендованного на федеральном уровне и составляет 22 120,0 руб</w:t>
      </w:r>
      <w:r>
        <w:rPr>
          <w:rFonts w:ascii="Times New Roman" w:hAnsi="Times New Roman" w:cs="Times New Roman"/>
          <w:sz w:val="28"/>
          <w:szCs w:val="28"/>
        </w:rPr>
        <w:t>.</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здравоохранения России совместно с Федеральным фондом ОМС разрабатывает базовую программу ОМС, после чего она у</w:t>
      </w:r>
      <w:r>
        <w:rPr>
          <w:rFonts w:ascii="Times New Roman" w:hAnsi="Times New Roman" w:cs="Times New Roman"/>
          <w:sz w:val="28"/>
          <w:szCs w:val="28"/>
        </w:rPr>
        <w:t>т</w:t>
      </w:r>
      <w:r>
        <w:rPr>
          <w:rFonts w:ascii="Times New Roman" w:hAnsi="Times New Roman" w:cs="Times New Roman"/>
          <w:sz w:val="28"/>
          <w:szCs w:val="28"/>
        </w:rPr>
        <w:t>верждается Правительством РФ. На ее основе органы государственной вл</w:t>
      </w:r>
      <w:r>
        <w:rPr>
          <w:rFonts w:ascii="Times New Roman" w:hAnsi="Times New Roman" w:cs="Times New Roman"/>
          <w:sz w:val="28"/>
          <w:szCs w:val="28"/>
        </w:rPr>
        <w:t>а</w:t>
      </w:r>
      <w:r>
        <w:rPr>
          <w:rFonts w:ascii="Times New Roman" w:hAnsi="Times New Roman" w:cs="Times New Roman"/>
          <w:sz w:val="28"/>
          <w:szCs w:val="28"/>
        </w:rPr>
        <w:t xml:space="preserve">сти субъектов федерации формируют территориальные программы ОМС. </w:t>
      </w:r>
    </w:p>
    <w:p w:rsidR="003D350E" w:rsidRPr="003A59A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Территориальная программа ОМС гарантирует всем жителям субъекта федерации оказание необходимой диагностической, лечебной и консульт</w:t>
      </w:r>
      <w:r>
        <w:rPr>
          <w:rFonts w:ascii="Times New Roman" w:hAnsi="Times New Roman" w:cs="Times New Roman"/>
          <w:sz w:val="28"/>
          <w:szCs w:val="28"/>
        </w:rPr>
        <w:t>а</w:t>
      </w:r>
      <w:r>
        <w:rPr>
          <w:rFonts w:ascii="Times New Roman" w:hAnsi="Times New Roman" w:cs="Times New Roman"/>
          <w:sz w:val="28"/>
          <w:szCs w:val="28"/>
        </w:rPr>
        <w:t>ционной помощи в случае острых и хронических заболеваний. Кроме того, она предусматривает диспансеризацию и реабилитацию больных, перене</w:t>
      </w:r>
      <w:r>
        <w:rPr>
          <w:rFonts w:ascii="Times New Roman" w:hAnsi="Times New Roman" w:cs="Times New Roman"/>
          <w:sz w:val="28"/>
          <w:szCs w:val="28"/>
        </w:rPr>
        <w:t>с</w:t>
      </w:r>
      <w:r>
        <w:rPr>
          <w:rFonts w:ascii="Times New Roman" w:hAnsi="Times New Roman" w:cs="Times New Roman"/>
          <w:sz w:val="28"/>
          <w:szCs w:val="28"/>
        </w:rPr>
        <w:t>ших тяжелое заболевание, а также проведение профилактических меропри</w:t>
      </w:r>
      <w:r>
        <w:rPr>
          <w:rFonts w:ascii="Times New Roman" w:hAnsi="Times New Roman" w:cs="Times New Roman"/>
          <w:sz w:val="28"/>
          <w:szCs w:val="28"/>
        </w:rPr>
        <w:t>я</w:t>
      </w:r>
      <w:r>
        <w:rPr>
          <w:rFonts w:ascii="Times New Roman" w:hAnsi="Times New Roman" w:cs="Times New Roman"/>
          <w:sz w:val="28"/>
          <w:szCs w:val="28"/>
        </w:rPr>
        <w:t>тий среди декретированных контингентов населения (например, вакцинация,</w:t>
      </w:r>
      <w:r w:rsidR="003A59AE">
        <w:rPr>
          <w:rFonts w:ascii="Times New Roman" w:hAnsi="Times New Roman" w:cs="Times New Roman"/>
          <w:sz w:val="28"/>
          <w:szCs w:val="28"/>
        </w:rPr>
        <w:t xml:space="preserve"> регулярный медицинский осмотр) </w:t>
      </w:r>
      <w:r w:rsidR="003A59AE" w:rsidRPr="003A59AE">
        <w:rPr>
          <w:rFonts w:ascii="Times New Roman" w:hAnsi="Times New Roman" w:cs="Times New Roman"/>
          <w:sz w:val="28"/>
          <w:szCs w:val="28"/>
        </w:rPr>
        <w:t>[5].</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все большее распространение приобретают альтернати</w:t>
      </w:r>
      <w:r>
        <w:rPr>
          <w:rFonts w:ascii="Times New Roman" w:hAnsi="Times New Roman" w:cs="Times New Roman"/>
          <w:sz w:val="28"/>
          <w:szCs w:val="28"/>
        </w:rPr>
        <w:t>в</w:t>
      </w:r>
      <w:r>
        <w:rPr>
          <w:rFonts w:ascii="Times New Roman" w:hAnsi="Times New Roman" w:cs="Times New Roman"/>
          <w:sz w:val="28"/>
          <w:szCs w:val="28"/>
        </w:rPr>
        <w:t xml:space="preserve">ные источники финансирования здравоохранения: личные средства граждан, индивидуальное и групповое добровольное медицинское страхование (ДМС), </w:t>
      </w:r>
      <w:r>
        <w:rPr>
          <w:rFonts w:ascii="Times New Roman" w:hAnsi="Times New Roman" w:cs="Times New Roman"/>
          <w:sz w:val="28"/>
          <w:szCs w:val="28"/>
        </w:rPr>
        <w:lastRenderedPageBreak/>
        <w:t>спонсорские пожертвования, средства благотворительных фондов и т.д. ДМС является третьим по размеру привлекаемых ресурсов дополнительным и</w:t>
      </w:r>
      <w:r>
        <w:rPr>
          <w:rFonts w:ascii="Times New Roman" w:hAnsi="Times New Roman" w:cs="Times New Roman"/>
          <w:sz w:val="28"/>
          <w:szCs w:val="28"/>
        </w:rPr>
        <w:t>с</w:t>
      </w:r>
      <w:r>
        <w:rPr>
          <w:rFonts w:ascii="Times New Roman" w:hAnsi="Times New Roman" w:cs="Times New Roman"/>
          <w:sz w:val="28"/>
          <w:szCs w:val="28"/>
        </w:rPr>
        <w:t>точником финансирования после соплатежей населения и платных медици</w:t>
      </w:r>
      <w:r>
        <w:rPr>
          <w:rFonts w:ascii="Times New Roman" w:hAnsi="Times New Roman" w:cs="Times New Roman"/>
          <w:sz w:val="28"/>
          <w:szCs w:val="28"/>
        </w:rPr>
        <w:t>н</w:t>
      </w:r>
      <w:r>
        <w:rPr>
          <w:rFonts w:ascii="Times New Roman" w:hAnsi="Times New Roman" w:cs="Times New Roman"/>
          <w:sz w:val="28"/>
          <w:szCs w:val="28"/>
        </w:rPr>
        <w:t>ских услуг.</w:t>
      </w:r>
    </w:p>
    <w:p w:rsidR="003D350E" w:rsidRPr="008E7894" w:rsidRDefault="003D350E" w:rsidP="003D350E">
      <w:pPr>
        <w:spacing w:after="0" w:line="360" w:lineRule="auto"/>
        <w:ind w:firstLine="709"/>
        <w:jc w:val="both"/>
        <w:rPr>
          <w:rFonts w:ascii="Times New Roman" w:hAnsi="Times New Roman" w:cs="Times New Roman"/>
          <w:sz w:val="28"/>
          <w:szCs w:val="28"/>
        </w:rPr>
      </w:pPr>
      <w:r w:rsidRPr="00C37C71">
        <w:rPr>
          <w:rFonts w:ascii="Times New Roman" w:hAnsi="Times New Roman" w:cs="Times New Roman"/>
          <w:i/>
          <w:sz w:val="28"/>
          <w:szCs w:val="28"/>
        </w:rPr>
        <w:t>Добровольное медицинское страхование</w:t>
      </w:r>
      <w:r w:rsidRPr="00A706B1">
        <w:rPr>
          <w:rFonts w:ascii="Times New Roman" w:hAnsi="Times New Roman" w:cs="Times New Roman"/>
          <w:b/>
          <w:i/>
          <w:sz w:val="28"/>
          <w:szCs w:val="28"/>
        </w:rPr>
        <w:t xml:space="preserve"> </w:t>
      </w:r>
      <w:r>
        <w:rPr>
          <w:rFonts w:ascii="Times New Roman" w:hAnsi="Times New Roman" w:cs="Times New Roman"/>
          <w:sz w:val="28"/>
          <w:szCs w:val="28"/>
        </w:rPr>
        <w:t>обеспечивает предоставление страхователям гарантий получения медицинской помощи в случае заболев</w:t>
      </w:r>
      <w:r>
        <w:rPr>
          <w:rFonts w:ascii="Times New Roman" w:hAnsi="Times New Roman" w:cs="Times New Roman"/>
          <w:sz w:val="28"/>
          <w:szCs w:val="28"/>
        </w:rPr>
        <w:t>а</w:t>
      </w:r>
      <w:r>
        <w:rPr>
          <w:rFonts w:ascii="Times New Roman" w:hAnsi="Times New Roman" w:cs="Times New Roman"/>
          <w:sz w:val="28"/>
          <w:szCs w:val="28"/>
        </w:rPr>
        <w:t xml:space="preserve">ния или несчастного случая путем страхового финансирования. ДМС наряду со страхованием жизни и страхованием от несчастных случаев и болезней относится к сфере личного страхования. Преследуя ту же социальную цель, что и </w:t>
      </w:r>
      <w:r w:rsidRPr="00A02F41">
        <w:rPr>
          <w:rFonts w:ascii="Times New Roman" w:hAnsi="Times New Roman" w:cs="Times New Roman"/>
          <w:sz w:val="28"/>
          <w:szCs w:val="28"/>
        </w:rPr>
        <w:t>обязательное медицинское страхование</w:t>
      </w:r>
      <w:r>
        <w:rPr>
          <w:rFonts w:ascii="Times New Roman" w:hAnsi="Times New Roman" w:cs="Times New Roman"/>
          <w:sz w:val="28"/>
          <w:szCs w:val="28"/>
        </w:rPr>
        <w:t>, – охрана здоровья населения, система ДМС, будучи отраслью коммерческого, а не социального страхов</w:t>
      </w:r>
      <w:r>
        <w:rPr>
          <w:rFonts w:ascii="Times New Roman" w:hAnsi="Times New Roman" w:cs="Times New Roman"/>
          <w:sz w:val="28"/>
          <w:szCs w:val="28"/>
        </w:rPr>
        <w:t>а</w:t>
      </w:r>
      <w:r>
        <w:rPr>
          <w:rFonts w:ascii="Times New Roman" w:hAnsi="Times New Roman" w:cs="Times New Roman"/>
          <w:sz w:val="28"/>
          <w:szCs w:val="28"/>
        </w:rPr>
        <w:t>ния, разительно отличается от системы ОМС.</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ОМС реализуется согласно </w:t>
      </w:r>
      <w:r w:rsidRPr="001C2B42">
        <w:rPr>
          <w:rFonts w:ascii="Times New Roman" w:hAnsi="Times New Roman" w:cs="Times New Roman"/>
          <w:i/>
          <w:sz w:val="28"/>
          <w:szCs w:val="28"/>
        </w:rPr>
        <w:t>принципу солидарности</w:t>
      </w:r>
      <w:r>
        <w:rPr>
          <w:rFonts w:ascii="Times New Roman" w:hAnsi="Times New Roman" w:cs="Times New Roman"/>
          <w:sz w:val="28"/>
          <w:szCs w:val="28"/>
        </w:rPr>
        <w:t>, который означает, что размер страховых взносов, уплачиваемых страхователем в з</w:t>
      </w:r>
      <w:r>
        <w:rPr>
          <w:rFonts w:ascii="Times New Roman" w:hAnsi="Times New Roman" w:cs="Times New Roman"/>
          <w:sz w:val="28"/>
          <w:szCs w:val="28"/>
        </w:rPr>
        <w:t>а</w:t>
      </w:r>
      <w:r>
        <w:rPr>
          <w:rFonts w:ascii="Times New Roman" w:hAnsi="Times New Roman" w:cs="Times New Roman"/>
          <w:sz w:val="28"/>
          <w:szCs w:val="28"/>
        </w:rPr>
        <w:t>висимости от получаемого им дохода, не оказывает влияния на объем мед</w:t>
      </w:r>
      <w:r>
        <w:rPr>
          <w:rFonts w:ascii="Times New Roman" w:hAnsi="Times New Roman" w:cs="Times New Roman"/>
          <w:sz w:val="28"/>
          <w:szCs w:val="28"/>
        </w:rPr>
        <w:t>и</w:t>
      </w:r>
      <w:r>
        <w:rPr>
          <w:rFonts w:ascii="Times New Roman" w:hAnsi="Times New Roman" w:cs="Times New Roman"/>
          <w:sz w:val="28"/>
          <w:szCs w:val="28"/>
        </w:rPr>
        <w:t>цинской помощи, которая будет ему оказана в случае необходимости в ра</w:t>
      </w:r>
      <w:r>
        <w:rPr>
          <w:rFonts w:ascii="Times New Roman" w:hAnsi="Times New Roman" w:cs="Times New Roman"/>
          <w:sz w:val="28"/>
          <w:szCs w:val="28"/>
        </w:rPr>
        <w:t>м</w:t>
      </w:r>
      <w:r>
        <w:rPr>
          <w:rFonts w:ascii="Times New Roman" w:hAnsi="Times New Roman" w:cs="Times New Roman"/>
          <w:sz w:val="28"/>
          <w:szCs w:val="28"/>
        </w:rPr>
        <w:t>ках системы социального страхования. В отличие от ОМС, в ДМС использ</w:t>
      </w:r>
      <w:r>
        <w:rPr>
          <w:rFonts w:ascii="Times New Roman" w:hAnsi="Times New Roman" w:cs="Times New Roman"/>
          <w:sz w:val="28"/>
          <w:szCs w:val="28"/>
        </w:rPr>
        <w:t>у</w:t>
      </w:r>
      <w:r>
        <w:rPr>
          <w:rFonts w:ascii="Times New Roman" w:hAnsi="Times New Roman" w:cs="Times New Roman"/>
          <w:sz w:val="28"/>
          <w:szCs w:val="28"/>
        </w:rPr>
        <w:t xml:space="preserve">ется </w:t>
      </w:r>
      <w:r w:rsidRPr="000B104F">
        <w:rPr>
          <w:rFonts w:ascii="Times New Roman" w:hAnsi="Times New Roman" w:cs="Times New Roman"/>
          <w:i/>
          <w:sz w:val="28"/>
          <w:szCs w:val="28"/>
        </w:rPr>
        <w:t>принцип страховой эквивалентности</w:t>
      </w:r>
      <w:r>
        <w:rPr>
          <w:rFonts w:ascii="Times New Roman" w:hAnsi="Times New Roman" w:cs="Times New Roman"/>
          <w:sz w:val="28"/>
          <w:szCs w:val="28"/>
        </w:rPr>
        <w:t>. По договору страхования ДМС застрахованный получает в точности тот спектр медицинских услуг и в том объеме, за который была внесена страховая премия</w:t>
      </w:r>
      <w:r w:rsidR="003A59AE" w:rsidRPr="003A59AE">
        <w:rPr>
          <w:rFonts w:ascii="Times New Roman" w:hAnsi="Times New Roman" w:cs="Times New Roman"/>
          <w:sz w:val="28"/>
          <w:szCs w:val="28"/>
        </w:rPr>
        <w:t xml:space="preserve"> [7]</w:t>
      </w:r>
      <w:r>
        <w:rPr>
          <w:rFonts w:ascii="Times New Roman" w:hAnsi="Times New Roman" w:cs="Times New Roman"/>
          <w:sz w:val="28"/>
          <w:szCs w:val="28"/>
        </w:rPr>
        <w:t>.</w:t>
      </w:r>
    </w:p>
    <w:p w:rsidR="003D350E" w:rsidRPr="008E7894"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программах ДМС </w:t>
      </w:r>
      <w:r w:rsidRPr="002525F6">
        <w:rPr>
          <w:rFonts w:ascii="Times New Roman" w:hAnsi="Times New Roman" w:cs="Times New Roman"/>
          <w:i/>
          <w:sz w:val="28"/>
          <w:szCs w:val="28"/>
        </w:rPr>
        <w:t>не является обязательным</w:t>
      </w:r>
      <w:r>
        <w:rPr>
          <w:rFonts w:ascii="Times New Roman" w:hAnsi="Times New Roman" w:cs="Times New Roman"/>
          <w:sz w:val="28"/>
          <w:szCs w:val="28"/>
        </w:rPr>
        <w:t xml:space="preserve"> и определяется потребностями и возможностями каждого отдельного гражданина или труд</w:t>
      </w:r>
      <w:r>
        <w:rPr>
          <w:rFonts w:ascii="Times New Roman" w:hAnsi="Times New Roman" w:cs="Times New Roman"/>
          <w:sz w:val="28"/>
          <w:szCs w:val="28"/>
        </w:rPr>
        <w:t>о</w:t>
      </w:r>
      <w:r>
        <w:rPr>
          <w:rFonts w:ascii="Times New Roman" w:hAnsi="Times New Roman" w:cs="Times New Roman"/>
          <w:sz w:val="28"/>
          <w:szCs w:val="28"/>
        </w:rPr>
        <w:t xml:space="preserve">вого коллектива. Напротив, в России ОМС является </w:t>
      </w:r>
      <w:r w:rsidRPr="008E7894">
        <w:rPr>
          <w:rFonts w:ascii="Times New Roman" w:hAnsi="Times New Roman" w:cs="Times New Roman"/>
          <w:i/>
          <w:sz w:val="28"/>
          <w:szCs w:val="28"/>
        </w:rPr>
        <w:t>государственным и вс</w:t>
      </w:r>
      <w:r w:rsidRPr="008E7894">
        <w:rPr>
          <w:rFonts w:ascii="Times New Roman" w:hAnsi="Times New Roman" w:cs="Times New Roman"/>
          <w:i/>
          <w:sz w:val="28"/>
          <w:szCs w:val="28"/>
        </w:rPr>
        <w:t>е</w:t>
      </w:r>
      <w:r w:rsidRPr="008E7894">
        <w:rPr>
          <w:rFonts w:ascii="Times New Roman" w:hAnsi="Times New Roman" w:cs="Times New Roman"/>
          <w:i/>
          <w:sz w:val="28"/>
          <w:szCs w:val="28"/>
        </w:rPr>
        <w:t>общим</w:t>
      </w:r>
      <w:r>
        <w:rPr>
          <w:rFonts w:ascii="Times New Roman" w:hAnsi="Times New Roman" w:cs="Times New Roman"/>
          <w:sz w:val="28"/>
          <w:szCs w:val="28"/>
        </w:rPr>
        <w:t>. Органами государственной власти определяются основные принципы организации страховой защиты населения, устанавливаются страховые тар</w:t>
      </w:r>
      <w:r>
        <w:rPr>
          <w:rFonts w:ascii="Times New Roman" w:hAnsi="Times New Roman" w:cs="Times New Roman"/>
          <w:sz w:val="28"/>
          <w:szCs w:val="28"/>
        </w:rPr>
        <w:t>и</w:t>
      </w:r>
      <w:r>
        <w:rPr>
          <w:rFonts w:ascii="Times New Roman" w:hAnsi="Times New Roman" w:cs="Times New Roman"/>
          <w:sz w:val="28"/>
          <w:szCs w:val="28"/>
        </w:rPr>
        <w:t>фы, очерчивается круг страхователей. Кроме того, государство гарантирует всем своим гражданам равные возможности получения медицинской, лека</w:t>
      </w:r>
      <w:r>
        <w:rPr>
          <w:rFonts w:ascii="Times New Roman" w:hAnsi="Times New Roman" w:cs="Times New Roman"/>
          <w:sz w:val="28"/>
          <w:szCs w:val="28"/>
        </w:rPr>
        <w:t>р</w:t>
      </w:r>
      <w:r>
        <w:rPr>
          <w:rFonts w:ascii="Times New Roman" w:hAnsi="Times New Roman" w:cs="Times New Roman"/>
          <w:sz w:val="28"/>
          <w:szCs w:val="28"/>
        </w:rPr>
        <w:t>ственной и профилактической помощи в размерах, зафиксированных в гос</w:t>
      </w:r>
      <w:r>
        <w:rPr>
          <w:rFonts w:ascii="Times New Roman" w:hAnsi="Times New Roman" w:cs="Times New Roman"/>
          <w:sz w:val="28"/>
          <w:szCs w:val="28"/>
        </w:rPr>
        <w:t>у</w:t>
      </w:r>
      <w:r>
        <w:rPr>
          <w:rFonts w:ascii="Times New Roman" w:hAnsi="Times New Roman" w:cs="Times New Roman"/>
          <w:sz w:val="28"/>
          <w:szCs w:val="28"/>
        </w:rPr>
        <w:t>дарственных программах ОМС.</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признаку взаимодействия с государственной системой здравоохр</w:t>
      </w:r>
      <w:r>
        <w:rPr>
          <w:rFonts w:ascii="Times New Roman" w:hAnsi="Times New Roman" w:cs="Times New Roman"/>
          <w:sz w:val="28"/>
          <w:szCs w:val="28"/>
        </w:rPr>
        <w:t>а</w:t>
      </w:r>
      <w:r>
        <w:rPr>
          <w:rFonts w:ascii="Times New Roman" w:hAnsi="Times New Roman" w:cs="Times New Roman"/>
          <w:sz w:val="28"/>
          <w:szCs w:val="28"/>
        </w:rPr>
        <w:t>нения программы ДМС можно классифицировать следующим образом:</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72CCB">
        <w:rPr>
          <w:rFonts w:ascii="Times New Roman" w:hAnsi="Times New Roman" w:cs="Times New Roman"/>
          <w:i/>
          <w:sz w:val="28"/>
          <w:szCs w:val="28"/>
        </w:rPr>
        <w:t>Замещающие</w:t>
      </w:r>
      <w:r>
        <w:rPr>
          <w:rFonts w:ascii="Times New Roman" w:hAnsi="Times New Roman" w:cs="Times New Roman"/>
          <w:sz w:val="28"/>
          <w:szCs w:val="28"/>
        </w:rPr>
        <w:t xml:space="preserve"> программы ДМС действуют в тех странах (например, Ге</w:t>
      </w:r>
      <w:r>
        <w:rPr>
          <w:rFonts w:ascii="Times New Roman" w:hAnsi="Times New Roman" w:cs="Times New Roman"/>
          <w:sz w:val="28"/>
          <w:szCs w:val="28"/>
        </w:rPr>
        <w:t>р</w:t>
      </w:r>
      <w:r>
        <w:rPr>
          <w:rFonts w:ascii="Times New Roman" w:hAnsi="Times New Roman" w:cs="Times New Roman"/>
          <w:sz w:val="28"/>
          <w:szCs w:val="28"/>
        </w:rPr>
        <w:t>мания и Нидерланды), где население имеет право отказаться от уплаты взн</w:t>
      </w:r>
      <w:r>
        <w:rPr>
          <w:rFonts w:ascii="Times New Roman" w:hAnsi="Times New Roman" w:cs="Times New Roman"/>
          <w:sz w:val="28"/>
          <w:szCs w:val="28"/>
        </w:rPr>
        <w:t>о</w:t>
      </w:r>
      <w:r>
        <w:rPr>
          <w:rFonts w:ascii="Times New Roman" w:hAnsi="Times New Roman" w:cs="Times New Roman"/>
          <w:sz w:val="28"/>
          <w:szCs w:val="28"/>
        </w:rPr>
        <w:t>сов на ОМС и оплачивать медицинскую помощь полностью из собственных средств.</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172CCB">
        <w:rPr>
          <w:rFonts w:ascii="Times New Roman" w:hAnsi="Times New Roman" w:cs="Times New Roman"/>
          <w:i/>
          <w:sz w:val="28"/>
          <w:szCs w:val="28"/>
        </w:rPr>
        <w:t>Остаточные</w:t>
      </w:r>
      <w:r>
        <w:rPr>
          <w:rFonts w:ascii="Times New Roman" w:hAnsi="Times New Roman" w:cs="Times New Roman"/>
          <w:sz w:val="28"/>
          <w:szCs w:val="28"/>
        </w:rPr>
        <w:t xml:space="preserve"> программы ДМС охватывают ту часть расходов на медици</w:t>
      </w:r>
      <w:r>
        <w:rPr>
          <w:rFonts w:ascii="Times New Roman" w:hAnsi="Times New Roman" w:cs="Times New Roman"/>
          <w:sz w:val="28"/>
          <w:szCs w:val="28"/>
        </w:rPr>
        <w:t>н</w:t>
      </w:r>
      <w:r>
        <w:rPr>
          <w:rFonts w:ascii="Times New Roman" w:hAnsi="Times New Roman" w:cs="Times New Roman"/>
          <w:sz w:val="28"/>
          <w:szCs w:val="28"/>
        </w:rPr>
        <w:t>ское обслуживание, которая не покрывается или только частично покрывае</w:t>
      </w:r>
      <w:r>
        <w:rPr>
          <w:rFonts w:ascii="Times New Roman" w:hAnsi="Times New Roman" w:cs="Times New Roman"/>
          <w:sz w:val="28"/>
          <w:szCs w:val="28"/>
        </w:rPr>
        <w:t>т</w:t>
      </w:r>
      <w:r>
        <w:rPr>
          <w:rFonts w:ascii="Times New Roman" w:hAnsi="Times New Roman" w:cs="Times New Roman"/>
          <w:sz w:val="28"/>
          <w:szCs w:val="28"/>
        </w:rPr>
        <w:t>ся государством в рамках системы ОМС (например, некоторые виды стом</w:t>
      </w:r>
      <w:r>
        <w:rPr>
          <w:rFonts w:ascii="Times New Roman" w:hAnsi="Times New Roman" w:cs="Times New Roman"/>
          <w:sz w:val="28"/>
          <w:szCs w:val="28"/>
        </w:rPr>
        <w:t>а</w:t>
      </w:r>
      <w:r>
        <w:rPr>
          <w:rFonts w:ascii="Times New Roman" w:hAnsi="Times New Roman" w:cs="Times New Roman"/>
          <w:sz w:val="28"/>
          <w:szCs w:val="28"/>
        </w:rPr>
        <w:t>тологических услуг для взрослых, дорогостоящие виды лечения и диагност</w:t>
      </w:r>
      <w:r>
        <w:rPr>
          <w:rFonts w:ascii="Times New Roman" w:hAnsi="Times New Roman" w:cs="Times New Roman"/>
          <w:sz w:val="28"/>
          <w:szCs w:val="28"/>
        </w:rPr>
        <w:t>и</w:t>
      </w:r>
      <w:r>
        <w:rPr>
          <w:rFonts w:ascii="Times New Roman" w:hAnsi="Times New Roman" w:cs="Times New Roman"/>
          <w:sz w:val="28"/>
          <w:szCs w:val="28"/>
        </w:rPr>
        <w:t>ки).</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0735B">
        <w:rPr>
          <w:rFonts w:ascii="Times New Roman" w:hAnsi="Times New Roman" w:cs="Times New Roman"/>
          <w:i/>
          <w:sz w:val="28"/>
          <w:szCs w:val="28"/>
        </w:rPr>
        <w:t>Дополнительные</w:t>
      </w:r>
      <w:r>
        <w:rPr>
          <w:rFonts w:ascii="Times New Roman" w:hAnsi="Times New Roman" w:cs="Times New Roman"/>
          <w:sz w:val="28"/>
          <w:szCs w:val="28"/>
        </w:rPr>
        <w:t xml:space="preserve"> программы ДМС позволяют страхователям выбирать к</w:t>
      </w:r>
      <w:r>
        <w:rPr>
          <w:rFonts w:ascii="Times New Roman" w:hAnsi="Times New Roman" w:cs="Times New Roman"/>
          <w:sz w:val="28"/>
          <w:szCs w:val="28"/>
        </w:rPr>
        <w:t>а</w:t>
      </w:r>
      <w:r>
        <w:rPr>
          <w:rFonts w:ascii="Times New Roman" w:hAnsi="Times New Roman" w:cs="Times New Roman"/>
          <w:sz w:val="28"/>
          <w:szCs w:val="28"/>
        </w:rPr>
        <w:t>чество оказываемой медицинской помощи, скорость и условия ее получения (например, более комфортные условия лечения с использованием новейших медицинских технологий, внеочередные консультации специалиста)</w:t>
      </w:r>
      <w:r w:rsidR="003A59AE" w:rsidRPr="003A59AE">
        <w:rPr>
          <w:rFonts w:ascii="Times New Roman" w:hAnsi="Times New Roman" w:cs="Times New Roman"/>
          <w:sz w:val="28"/>
          <w:szCs w:val="28"/>
        </w:rPr>
        <w:t xml:space="preserve"> [5]</w:t>
      </w:r>
      <w:r>
        <w:rPr>
          <w:rFonts w:ascii="Times New Roman" w:hAnsi="Times New Roman" w:cs="Times New Roman"/>
          <w:sz w:val="28"/>
          <w:szCs w:val="28"/>
        </w:rPr>
        <w:t>.</w:t>
      </w:r>
    </w:p>
    <w:p w:rsidR="003D350E" w:rsidRPr="003954B8"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же, поскольку система ДМС не претендует на универсальный охват всех видов медицинской помощи и доступна, как правило, только о</w:t>
      </w:r>
      <w:r>
        <w:rPr>
          <w:rFonts w:ascii="Times New Roman" w:hAnsi="Times New Roman" w:cs="Times New Roman"/>
          <w:sz w:val="28"/>
          <w:szCs w:val="28"/>
        </w:rPr>
        <w:t>г</w:t>
      </w:r>
      <w:r>
        <w:rPr>
          <w:rFonts w:ascii="Times New Roman" w:hAnsi="Times New Roman" w:cs="Times New Roman"/>
          <w:sz w:val="28"/>
          <w:szCs w:val="28"/>
        </w:rPr>
        <w:t>раниченному кругу наиболее состоятельных граждан, она носит подчине</w:t>
      </w:r>
      <w:r>
        <w:rPr>
          <w:rFonts w:ascii="Times New Roman" w:hAnsi="Times New Roman" w:cs="Times New Roman"/>
          <w:sz w:val="28"/>
          <w:szCs w:val="28"/>
        </w:rPr>
        <w:t>н</w:t>
      </w:r>
      <w:r>
        <w:rPr>
          <w:rFonts w:ascii="Times New Roman" w:hAnsi="Times New Roman" w:cs="Times New Roman"/>
          <w:sz w:val="28"/>
          <w:szCs w:val="28"/>
        </w:rPr>
        <w:t>ный характер по отношению к системе общественного финансирования здр</w:t>
      </w:r>
      <w:r>
        <w:rPr>
          <w:rFonts w:ascii="Times New Roman" w:hAnsi="Times New Roman" w:cs="Times New Roman"/>
          <w:sz w:val="28"/>
          <w:szCs w:val="28"/>
        </w:rPr>
        <w:t>а</w:t>
      </w:r>
      <w:r>
        <w:rPr>
          <w:rFonts w:ascii="Times New Roman" w:hAnsi="Times New Roman" w:cs="Times New Roman"/>
          <w:sz w:val="28"/>
          <w:szCs w:val="28"/>
        </w:rPr>
        <w:t>воохранения и ни в коем случае не может ее заменить.</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характеру направленности затрат выделяют следующие виды ДМС:</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954B8">
        <w:rPr>
          <w:rFonts w:ascii="Times New Roman" w:hAnsi="Times New Roman" w:cs="Times New Roman"/>
          <w:i/>
          <w:sz w:val="28"/>
          <w:szCs w:val="28"/>
        </w:rPr>
        <w:t>Страхование здоровья</w:t>
      </w:r>
      <w:r>
        <w:rPr>
          <w:rFonts w:ascii="Times New Roman" w:hAnsi="Times New Roman" w:cs="Times New Roman"/>
          <w:sz w:val="28"/>
          <w:szCs w:val="28"/>
        </w:rPr>
        <w:t>, в рамках которого компенсируются расходы, св</w:t>
      </w:r>
      <w:r>
        <w:rPr>
          <w:rFonts w:ascii="Times New Roman" w:hAnsi="Times New Roman" w:cs="Times New Roman"/>
          <w:sz w:val="28"/>
          <w:szCs w:val="28"/>
        </w:rPr>
        <w:t>я</w:t>
      </w:r>
      <w:r>
        <w:rPr>
          <w:rFonts w:ascii="Times New Roman" w:hAnsi="Times New Roman" w:cs="Times New Roman"/>
          <w:sz w:val="28"/>
          <w:szCs w:val="28"/>
        </w:rPr>
        <w:t>занные с поддержанием и сохранением здоровья. Именно такой подход к ДМС характерен, в частности, для японской системы здравоохранения, я</w:t>
      </w:r>
      <w:r>
        <w:rPr>
          <w:rFonts w:ascii="Times New Roman" w:hAnsi="Times New Roman" w:cs="Times New Roman"/>
          <w:sz w:val="28"/>
          <w:szCs w:val="28"/>
        </w:rPr>
        <w:t>в</w:t>
      </w:r>
      <w:r>
        <w:rPr>
          <w:rFonts w:ascii="Times New Roman" w:hAnsi="Times New Roman" w:cs="Times New Roman"/>
          <w:sz w:val="28"/>
          <w:szCs w:val="28"/>
        </w:rPr>
        <w:t>ляющейся составным звеном общей государственной политики профилакт</w:t>
      </w:r>
      <w:r>
        <w:rPr>
          <w:rFonts w:ascii="Times New Roman" w:hAnsi="Times New Roman" w:cs="Times New Roman"/>
          <w:sz w:val="28"/>
          <w:szCs w:val="28"/>
        </w:rPr>
        <w:t>и</w:t>
      </w:r>
      <w:r>
        <w:rPr>
          <w:rFonts w:ascii="Times New Roman" w:hAnsi="Times New Roman" w:cs="Times New Roman"/>
          <w:sz w:val="28"/>
          <w:szCs w:val="28"/>
        </w:rPr>
        <w:t>ки заболеваемости и укоренения национальной идеи здорового образа жизни. Однако такая модель ДМС требует от всех участников процесса страхования – государства, страховых организаций и граждан – высокого уровня платеж</w:t>
      </w:r>
      <w:r>
        <w:rPr>
          <w:rFonts w:ascii="Times New Roman" w:hAnsi="Times New Roman" w:cs="Times New Roman"/>
          <w:sz w:val="28"/>
          <w:szCs w:val="28"/>
        </w:rPr>
        <w:t>е</w:t>
      </w:r>
      <w:r>
        <w:rPr>
          <w:rFonts w:ascii="Times New Roman" w:hAnsi="Times New Roman" w:cs="Times New Roman"/>
          <w:sz w:val="28"/>
          <w:szCs w:val="28"/>
        </w:rPr>
        <w:t xml:space="preserve">способности и финансовой устойчивости, что является в настоящее время </w:t>
      </w:r>
      <w:r>
        <w:rPr>
          <w:rFonts w:ascii="Times New Roman" w:hAnsi="Times New Roman" w:cs="Times New Roman"/>
          <w:sz w:val="28"/>
          <w:szCs w:val="28"/>
        </w:rPr>
        <w:lastRenderedPageBreak/>
        <w:t>непреодолимым препятствием на пути внедрения данной модели ДМС в н</w:t>
      </w:r>
      <w:r>
        <w:rPr>
          <w:rFonts w:ascii="Times New Roman" w:hAnsi="Times New Roman" w:cs="Times New Roman"/>
          <w:sz w:val="28"/>
          <w:szCs w:val="28"/>
        </w:rPr>
        <w:t>а</w:t>
      </w:r>
      <w:r>
        <w:rPr>
          <w:rFonts w:ascii="Times New Roman" w:hAnsi="Times New Roman" w:cs="Times New Roman"/>
          <w:sz w:val="28"/>
          <w:szCs w:val="28"/>
        </w:rPr>
        <w:t>шей стране.</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050AA">
        <w:rPr>
          <w:rFonts w:ascii="Times New Roman" w:hAnsi="Times New Roman" w:cs="Times New Roman"/>
          <w:i/>
          <w:sz w:val="28"/>
          <w:szCs w:val="28"/>
        </w:rPr>
        <w:t>Страхование затрат на медицинскую помощь</w:t>
      </w:r>
      <w:r>
        <w:rPr>
          <w:rFonts w:ascii="Times New Roman" w:hAnsi="Times New Roman" w:cs="Times New Roman"/>
          <w:sz w:val="28"/>
          <w:szCs w:val="28"/>
        </w:rPr>
        <w:t>, связанных с лечением и восстановлением здоровья. Данный подход, направленный на лечение уже фактически наступивших заболеваний, лишь в определенной степени пред</w:t>
      </w:r>
      <w:r>
        <w:rPr>
          <w:rFonts w:ascii="Times New Roman" w:hAnsi="Times New Roman" w:cs="Times New Roman"/>
          <w:sz w:val="28"/>
          <w:szCs w:val="28"/>
        </w:rPr>
        <w:t>у</w:t>
      </w:r>
      <w:r>
        <w:rPr>
          <w:rFonts w:ascii="Times New Roman" w:hAnsi="Times New Roman" w:cs="Times New Roman"/>
          <w:sz w:val="28"/>
          <w:szCs w:val="28"/>
        </w:rPr>
        <w:t>сматривает проведение предупредительных мероприятий. Помимо России, эта модель ДМС свойственна большинству развитых стран, в том числе Ге</w:t>
      </w:r>
      <w:r>
        <w:rPr>
          <w:rFonts w:ascii="Times New Roman" w:hAnsi="Times New Roman" w:cs="Times New Roman"/>
          <w:sz w:val="28"/>
          <w:szCs w:val="28"/>
        </w:rPr>
        <w:t>р</w:t>
      </w:r>
      <w:r>
        <w:rPr>
          <w:rFonts w:ascii="Times New Roman" w:hAnsi="Times New Roman" w:cs="Times New Roman"/>
          <w:sz w:val="28"/>
          <w:szCs w:val="28"/>
        </w:rPr>
        <w:t>мании, Франции, Великобритании</w:t>
      </w:r>
      <w:r w:rsidR="003A59AE" w:rsidRPr="003A59AE">
        <w:rPr>
          <w:rFonts w:ascii="Times New Roman" w:hAnsi="Times New Roman" w:cs="Times New Roman"/>
          <w:sz w:val="28"/>
          <w:szCs w:val="28"/>
        </w:rPr>
        <w:t xml:space="preserve"> [7]</w:t>
      </w:r>
      <w:r>
        <w:rPr>
          <w:rFonts w:ascii="Times New Roman" w:hAnsi="Times New Roman" w:cs="Times New Roman"/>
          <w:sz w:val="28"/>
          <w:szCs w:val="28"/>
        </w:rPr>
        <w:t>.</w:t>
      </w:r>
    </w:p>
    <w:p w:rsidR="003D350E" w:rsidRDefault="003D350E" w:rsidP="003D35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потребностей клиентов и возможностей современной мед</w:t>
      </w:r>
      <w:r>
        <w:rPr>
          <w:rFonts w:ascii="Times New Roman" w:hAnsi="Times New Roman" w:cs="Times New Roman"/>
          <w:sz w:val="28"/>
          <w:szCs w:val="28"/>
        </w:rPr>
        <w:t>и</w:t>
      </w:r>
      <w:r>
        <w:rPr>
          <w:rFonts w:ascii="Times New Roman" w:hAnsi="Times New Roman" w:cs="Times New Roman"/>
          <w:sz w:val="28"/>
          <w:szCs w:val="28"/>
        </w:rPr>
        <w:t>цины страховая организация разрабатывает</w:t>
      </w:r>
      <w:proofErr w:type="gramEnd"/>
      <w:r>
        <w:rPr>
          <w:rFonts w:ascii="Times New Roman" w:hAnsi="Times New Roman" w:cs="Times New Roman"/>
          <w:sz w:val="28"/>
          <w:szCs w:val="28"/>
        </w:rPr>
        <w:t xml:space="preserve"> общие </w:t>
      </w:r>
      <w:r w:rsidRPr="004619E1">
        <w:rPr>
          <w:rFonts w:ascii="Times New Roman" w:hAnsi="Times New Roman" w:cs="Times New Roman"/>
          <w:i/>
          <w:sz w:val="28"/>
          <w:szCs w:val="28"/>
        </w:rPr>
        <w:t>Правила страхования</w:t>
      </w:r>
      <w:r>
        <w:rPr>
          <w:rFonts w:ascii="Times New Roman" w:hAnsi="Times New Roman" w:cs="Times New Roman"/>
          <w:sz w:val="28"/>
          <w:szCs w:val="28"/>
        </w:rPr>
        <w:t>, а затем на их основе создает различные программы ДМС, конкретизируя пер</w:t>
      </w:r>
      <w:r>
        <w:rPr>
          <w:rFonts w:ascii="Times New Roman" w:hAnsi="Times New Roman" w:cs="Times New Roman"/>
          <w:sz w:val="28"/>
          <w:szCs w:val="28"/>
        </w:rPr>
        <w:t>е</w:t>
      </w:r>
      <w:r>
        <w:rPr>
          <w:rFonts w:ascii="Times New Roman" w:hAnsi="Times New Roman" w:cs="Times New Roman"/>
          <w:sz w:val="28"/>
          <w:szCs w:val="28"/>
        </w:rPr>
        <w:t>чень медицинских услуг, входящих в страховое покрытие, шкалу страховых сумм, лимиты ответственности страховщика, список аккредитованных стр</w:t>
      </w:r>
      <w:r>
        <w:rPr>
          <w:rFonts w:ascii="Times New Roman" w:hAnsi="Times New Roman" w:cs="Times New Roman"/>
          <w:sz w:val="28"/>
          <w:szCs w:val="28"/>
        </w:rPr>
        <w:t>а</w:t>
      </w:r>
      <w:r>
        <w:rPr>
          <w:rFonts w:ascii="Times New Roman" w:hAnsi="Times New Roman" w:cs="Times New Roman"/>
          <w:sz w:val="28"/>
          <w:szCs w:val="28"/>
        </w:rPr>
        <w:t>ховщиком лечебных учреждений и частнопрактикующих врачей т.д.</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7165F">
        <w:rPr>
          <w:rFonts w:ascii="Times New Roman" w:hAnsi="Times New Roman" w:cs="Times New Roman"/>
          <w:i/>
          <w:sz w:val="28"/>
          <w:szCs w:val="28"/>
        </w:rPr>
        <w:t>убъект</w:t>
      </w:r>
      <w:r>
        <w:rPr>
          <w:rFonts w:ascii="Times New Roman" w:hAnsi="Times New Roman" w:cs="Times New Roman"/>
          <w:i/>
          <w:sz w:val="28"/>
          <w:szCs w:val="28"/>
        </w:rPr>
        <w:t>ами</w:t>
      </w:r>
      <w:r>
        <w:rPr>
          <w:rFonts w:ascii="Times New Roman" w:hAnsi="Times New Roman" w:cs="Times New Roman"/>
          <w:sz w:val="28"/>
          <w:szCs w:val="28"/>
        </w:rPr>
        <w:t xml:space="preserve"> ДМС являются:</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страховая компания;</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страхователь;</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застрахованный;</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лечебно-профилактическое учреждение (ЛПУ).</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0474E2" w:rsidRPr="000474E2">
        <w:rPr>
          <w:rFonts w:ascii="Times New Roman" w:hAnsi="Times New Roman" w:cs="Times New Roman"/>
          <w:sz w:val="28"/>
          <w:szCs w:val="28"/>
        </w:rPr>
        <w:t>рис. 1</w:t>
      </w:r>
      <w:r w:rsidR="000474E2">
        <w:rPr>
          <w:rFonts w:ascii="Times New Roman" w:hAnsi="Times New Roman" w:cs="Times New Roman"/>
          <w:i/>
          <w:sz w:val="28"/>
          <w:szCs w:val="28"/>
        </w:rPr>
        <w:t xml:space="preserve">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схематично представлен порядок взаимодейс</w:t>
      </w:r>
      <w:r>
        <w:rPr>
          <w:rFonts w:ascii="Times New Roman" w:hAnsi="Times New Roman" w:cs="Times New Roman"/>
          <w:sz w:val="28"/>
          <w:szCs w:val="28"/>
        </w:rPr>
        <w:t>т</w:t>
      </w:r>
      <w:r>
        <w:rPr>
          <w:rFonts w:ascii="Times New Roman" w:hAnsi="Times New Roman" w:cs="Times New Roman"/>
          <w:sz w:val="28"/>
          <w:szCs w:val="28"/>
        </w:rPr>
        <w:t>вия между субъектами ДМС.</w:t>
      </w:r>
    </w:p>
    <w:p w:rsidR="0065485A" w:rsidRDefault="00670FAD" w:rsidP="002E56D5">
      <w:pPr>
        <w:spacing w:after="0" w:line="360" w:lineRule="auto"/>
        <w:jc w:val="center"/>
        <w:rPr>
          <w:rFonts w:ascii="Times New Roman" w:hAnsi="Times New Roman" w:cs="Times New Roman"/>
          <w:sz w:val="28"/>
          <w:szCs w:val="28"/>
        </w:rPr>
      </w:pPr>
      <w:r w:rsidRPr="00670FAD">
        <w:rPr>
          <w:rFonts w:ascii="Times New Roman" w:hAnsi="Times New Roman" w:cs="Times New Roman"/>
          <w:noProof/>
          <w:sz w:val="28"/>
          <w:szCs w:val="28"/>
          <w:lang w:eastAsia="ru-RU"/>
        </w:rPr>
        <w:drawing>
          <wp:inline distT="0" distB="0" distL="0" distR="0">
            <wp:extent cx="5514975" cy="2371725"/>
            <wp:effectExtent l="0" t="0" r="0" b="0"/>
            <wp:docPr id="9"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63314" cy="3814683"/>
                      <a:chOff x="357158" y="1414517"/>
                      <a:chExt cx="8463314" cy="3814683"/>
                    </a:xfrm>
                  </a:grpSpPr>
                  <a:grpSp>
                    <a:nvGrpSpPr>
                      <a:cNvPr id="14" name="Группа 13"/>
                      <a:cNvGrpSpPr/>
                    </a:nvGrpSpPr>
                    <a:grpSpPr>
                      <a:xfrm>
                        <a:off x="357158" y="1414517"/>
                        <a:ext cx="8463314" cy="3814683"/>
                        <a:chOff x="357158" y="1414517"/>
                        <a:chExt cx="8463314" cy="3814683"/>
                      </a:xfrm>
                    </a:grpSpPr>
                    <a:grpSp>
                      <a:nvGrpSpPr>
                        <a:cNvPr id="3" name="Группа 24"/>
                        <a:cNvGrpSpPr/>
                      </a:nvGrpSpPr>
                      <a:grpSpPr>
                        <a:xfrm>
                          <a:off x="357158" y="1414517"/>
                          <a:ext cx="8463314" cy="3814683"/>
                          <a:chOff x="357158" y="1414517"/>
                          <a:chExt cx="8463314" cy="3814683"/>
                        </a:xfrm>
                      </a:grpSpPr>
                      <a:sp>
                        <a:nvSpPr>
                          <a:cNvPr id="15" name="TextBox 14"/>
                          <a:cNvSpPr txBox="1"/>
                        </a:nvSpPr>
                        <a:spPr>
                          <a:xfrm>
                            <a:off x="6228184" y="3573016"/>
                            <a:ext cx="2592288" cy="92333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Заключение договора на оказание медицинской помощи</a:t>
                              </a:r>
                              <a:endParaRPr lang="ru-RU" i="1" dirty="0">
                                <a:latin typeface="Times New Roman" pitchFamily="18" charset="0"/>
                                <a:cs typeface="Times New Roman" pitchFamily="18" charset="0"/>
                              </a:endParaRPr>
                            </a:p>
                          </a:txBody>
                          <a:useSpRect/>
                        </a:txSp>
                      </a:sp>
                      <a:grpSp>
                        <a:nvGrpSpPr>
                          <a:cNvPr id="7" name="Группа 23"/>
                          <a:cNvGrpSpPr/>
                        </a:nvGrpSpPr>
                        <a:grpSpPr>
                          <a:xfrm>
                            <a:off x="357158" y="1414517"/>
                            <a:ext cx="7671226" cy="3814683"/>
                            <a:chOff x="357158" y="1414517"/>
                            <a:chExt cx="7671226" cy="3814683"/>
                          </a:xfrm>
                        </a:grpSpPr>
                        <a:sp>
                          <a:nvSpPr>
                            <a:cNvPr id="6" name="Скругленный прямоугольник 5"/>
                            <a:cNvSpPr/>
                          </a:nvSpPr>
                          <a:spPr>
                            <a:xfrm>
                              <a:off x="755576" y="1556792"/>
                              <a:ext cx="2016224" cy="1152128"/>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2100" b="1" dirty="0" smtClean="0">
                                    <a:latin typeface="Times New Roman" pitchFamily="18" charset="0"/>
                                    <a:cs typeface="Times New Roman" pitchFamily="18" charset="0"/>
                                  </a:rPr>
                                  <a:t>Страхователь</a:t>
                                </a:r>
                                <a:endParaRPr lang="ru-RU" sz="2100"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2" name="Скругленный прямоугольник 6"/>
                            <a:cNvSpPr/>
                          </a:nvSpPr>
                          <a:spPr>
                            <a:xfrm>
                              <a:off x="6012160" y="1556792"/>
                              <a:ext cx="2016224" cy="1152128"/>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2100" b="1" dirty="0" smtClean="0">
                                    <a:latin typeface="Times New Roman" pitchFamily="18" charset="0"/>
                                    <a:cs typeface="Times New Roman" pitchFamily="18" charset="0"/>
                                  </a:rPr>
                                  <a:t>Страховщик</a:t>
                                </a:r>
                                <a:endParaRPr lang="ru-RU" sz="2100"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8" name="Скругленный прямоугольник 7"/>
                            <a:cNvSpPr/>
                          </a:nvSpPr>
                          <a:spPr>
                            <a:xfrm>
                              <a:off x="3419872" y="4077072"/>
                              <a:ext cx="2016224" cy="1152128"/>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2100" b="1" dirty="0" smtClean="0">
                                    <a:latin typeface="Times New Roman" pitchFamily="18" charset="0"/>
                                    <a:cs typeface="Times New Roman" pitchFamily="18" charset="0"/>
                                  </a:rPr>
                                  <a:t>Медицинское учреждение</a:t>
                                </a:r>
                                <a:endParaRPr lang="ru-RU" sz="2100"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9" name="Блок-схема: несколько документов 8"/>
                            <a:cNvSpPr/>
                          </a:nvSpPr>
                          <a:spPr>
                            <a:xfrm>
                              <a:off x="827584" y="2708920"/>
                              <a:ext cx="1728192" cy="1152128"/>
                            </a:xfrm>
                            <a:prstGeom prst="flowChartMultidocumen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latin typeface="Times New Roman" pitchFamily="18" charset="0"/>
                                    <a:cs typeface="Times New Roman" pitchFamily="18" charset="0"/>
                                  </a:rPr>
                                  <a:t>Застрахованные</a:t>
                                </a:r>
                                <a:endParaRPr lang="ru-RU"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cxnSp>
                          <a:nvCxnSpPr>
                            <a:cNvPr id="11" name="Прямая со стрелкой 10"/>
                            <a:cNvCxnSpPr>
                              <a:stCxn id="6" idx="3"/>
                              <a:endCxn id="7" idx="1"/>
                            </a:cNvCxnSpPr>
                          </a:nvCxnSpPr>
                          <a:spPr>
                            <a:xfrm>
                              <a:off x="2771800" y="2132856"/>
                              <a:ext cx="3240360" cy="0"/>
                            </a:xfrm>
                            <a:prstGeom prst="straightConnector1">
                              <a:avLst/>
                            </a:prstGeom>
                            <a:ln w="19050">
                              <a:miter lim="800000"/>
                              <a:tailEnd type="arrow"/>
                            </a:ln>
                          </a:spPr>
                          <a:style>
                            <a:lnRef idx="1">
                              <a:schemeClr val="dk1"/>
                            </a:lnRef>
                            <a:fillRef idx="0">
                              <a:schemeClr val="dk1"/>
                            </a:fillRef>
                            <a:effectRef idx="0">
                              <a:schemeClr val="dk1"/>
                            </a:effectRef>
                            <a:fontRef idx="minor">
                              <a:schemeClr val="tx1"/>
                            </a:fontRef>
                          </a:style>
                        </a:cxnSp>
                        <a:sp>
                          <a:nvSpPr>
                            <a:cNvPr id="12" name="TextBox 11"/>
                            <a:cNvSpPr txBox="1"/>
                          </a:nvSpPr>
                          <a:spPr>
                            <a:xfrm>
                              <a:off x="3059832" y="1414517"/>
                              <a:ext cx="2448272"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Заключение договора страхования</a:t>
                                </a:r>
                                <a:endParaRPr lang="ru-RU" i="1" dirty="0">
                                  <a:latin typeface="Times New Roman" pitchFamily="18" charset="0"/>
                                  <a:cs typeface="Times New Roman" pitchFamily="18" charset="0"/>
                                </a:endParaRPr>
                              </a:p>
                            </a:txBody>
                            <a:useSpRect/>
                          </a:txSp>
                        </a:sp>
                        <a:sp>
                          <a:nvSpPr>
                            <a:cNvPr id="23" name="TextBox 22"/>
                            <a:cNvSpPr txBox="1"/>
                          </a:nvSpPr>
                          <a:spPr>
                            <a:xfrm>
                              <a:off x="357158" y="4429132"/>
                              <a:ext cx="2664296"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Получение медицинской помощи</a:t>
                                </a:r>
                                <a:endParaRPr lang="ru-RU" i="1" dirty="0">
                                  <a:latin typeface="Times New Roman" pitchFamily="18" charset="0"/>
                                  <a:cs typeface="Times New Roman" pitchFamily="18" charset="0"/>
                                </a:endParaRPr>
                              </a:p>
                            </a:txBody>
                            <a:useSpRect/>
                          </a:txSp>
                        </a:sp>
                      </a:grpSp>
                    </a:grpSp>
                    <a:cxnSp>
                      <a:nvCxnSpPr>
                        <a:cNvPr id="22" name="Прямая со стрелкой 21"/>
                        <a:cNvCxnSpPr/>
                      </a:nvCxnSpPr>
                      <a:spPr>
                        <a:xfrm rot="5400000">
                          <a:off x="5249236" y="2894640"/>
                          <a:ext cx="1944216" cy="1584176"/>
                        </a:xfrm>
                        <a:prstGeom prst="straightConnector1">
                          <a:avLst/>
                        </a:prstGeom>
                        <a:ln w="19050">
                          <a:tailEnd type="arrow"/>
                        </a:ln>
                      </a:spPr>
                      <a:style>
                        <a:lnRef idx="1">
                          <a:schemeClr val="dk1"/>
                        </a:lnRef>
                        <a:fillRef idx="0">
                          <a:schemeClr val="dk1"/>
                        </a:fillRef>
                        <a:effectRef idx="0">
                          <a:schemeClr val="dk1"/>
                        </a:effectRef>
                        <a:fontRef idx="minor">
                          <a:schemeClr val="tx1"/>
                        </a:fontRef>
                      </a:style>
                    </a:cxnSp>
                    <a:cxnSp>
                      <a:nvCxnSpPr>
                        <a:cNvPr id="49" name="Прямая со стрелкой 48"/>
                        <a:cNvCxnSpPr/>
                      </a:nvCxnSpPr>
                      <a:spPr>
                        <a:xfrm rot="16200000" flipH="1">
                          <a:off x="2015894" y="3301688"/>
                          <a:ext cx="897467" cy="1928923"/>
                        </a:xfrm>
                        <a:prstGeom prst="straightConnector1">
                          <a:avLst/>
                        </a:prstGeom>
                        <a:ln w="1905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D350E" w:rsidRPr="00233750" w:rsidRDefault="003D350E" w:rsidP="003D350E">
      <w:pPr>
        <w:spacing w:after="0" w:line="240" w:lineRule="auto"/>
        <w:jc w:val="center"/>
        <w:rPr>
          <w:rFonts w:ascii="Times New Roman" w:hAnsi="Times New Roman" w:cs="Times New Roman"/>
          <w:i/>
          <w:sz w:val="26"/>
          <w:szCs w:val="26"/>
        </w:rPr>
      </w:pPr>
      <w:r w:rsidRPr="00233750">
        <w:rPr>
          <w:rFonts w:ascii="Times New Roman" w:hAnsi="Times New Roman" w:cs="Times New Roman"/>
          <w:i/>
          <w:sz w:val="26"/>
          <w:szCs w:val="26"/>
        </w:rPr>
        <w:t>Рис. 1. Порядок взаимодействия между субъектами ДМС</w:t>
      </w:r>
    </w:p>
    <w:p w:rsidR="003D350E" w:rsidRDefault="003D350E" w:rsidP="002C007E">
      <w:pPr>
        <w:spacing w:before="120" w:after="0" w:line="360" w:lineRule="auto"/>
        <w:ind w:firstLine="709"/>
        <w:jc w:val="both"/>
        <w:rPr>
          <w:rFonts w:ascii="Times New Roman" w:hAnsi="Times New Roman" w:cs="Times New Roman"/>
          <w:sz w:val="28"/>
          <w:szCs w:val="28"/>
        </w:rPr>
      </w:pPr>
      <w:r w:rsidRPr="00FD2E59">
        <w:rPr>
          <w:rFonts w:ascii="Times New Roman" w:hAnsi="Times New Roman" w:cs="Times New Roman"/>
          <w:i/>
          <w:sz w:val="28"/>
          <w:szCs w:val="28"/>
        </w:rPr>
        <w:lastRenderedPageBreak/>
        <w:t>Страхователями</w:t>
      </w:r>
      <w:r>
        <w:rPr>
          <w:rFonts w:ascii="Times New Roman" w:hAnsi="Times New Roman" w:cs="Times New Roman"/>
          <w:sz w:val="28"/>
          <w:szCs w:val="28"/>
        </w:rPr>
        <w:t xml:space="preserve"> по договору ДМС могут выступать как юридические лица, заключающие договор страхования в пользу третьих лиц – работников предприятия (</w:t>
      </w:r>
      <w:r w:rsidRPr="00FD2E59">
        <w:rPr>
          <w:rFonts w:ascii="Times New Roman" w:hAnsi="Times New Roman" w:cs="Times New Roman"/>
          <w:i/>
          <w:sz w:val="28"/>
          <w:szCs w:val="28"/>
        </w:rPr>
        <w:t>застрахованных</w:t>
      </w:r>
      <w:r>
        <w:rPr>
          <w:rFonts w:ascii="Times New Roman" w:hAnsi="Times New Roman" w:cs="Times New Roman"/>
          <w:sz w:val="28"/>
          <w:szCs w:val="28"/>
        </w:rPr>
        <w:t>), так и физические лица, заключающие дог</w:t>
      </w:r>
      <w:r>
        <w:rPr>
          <w:rFonts w:ascii="Times New Roman" w:hAnsi="Times New Roman" w:cs="Times New Roman"/>
          <w:sz w:val="28"/>
          <w:szCs w:val="28"/>
        </w:rPr>
        <w:t>о</w:t>
      </w:r>
      <w:r>
        <w:rPr>
          <w:rFonts w:ascii="Times New Roman" w:hAnsi="Times New Roman" w:cs="Times New Roman"/>
          <w:sz w:val="28"/>
          <w:szCs w:val="28"/>
        </w:rPr>
        <w:t>вор страхования в свою пользу или в пользу третьих лиц (</w:t>
      </w:r>
      <w:r w:rsidRPr="00FD2E59">
        <w:rPr>
          <w:rFonts w:ascii="Times New Roman" w:hAnsi="Times New Roman" w:cs="Times New Roman"/>
          <w:i/>
          <w:sz w:val="28"/>
          <w:szCs w:val="28"/>
        </w:rPr>
        <w:t>застрахованных</w:t>
      </w:r>
      <w:r>
        <w:rPr>
          <w:rFonts w:ascii="Times New Roman" w:hAnsi="Times New Roman" w:cs="Times New Roman"/>
          <w:sz w:val="28"/>
          <w:szCs w:val="28"/>
        </w:rPr>
        <w:t>), например, детей, супруга, партнера по бизнесу.</w:t>
      </w:r>
    </w:p>
    <w:p w:rsidR="003D350E" w:rsidRDefault="003D350E" w:rsidP="003D350E">
      <w:pPr>
        <w:spacing w:after="0" w:line="360" w:lineRule="auto"/>
        <w:ind w:firstLine="709"/>
        <w:jc w:val="both"/>
        <w:rPr>
          <w:rFonts w:ascii="Times New Roman" w:hAnsi="Times New Roman" w:cs="Times New Roman"/>
          <w:sz w:val="28"/>
          <w:szCs w:val="28"/>
        </w:rPr>
      </w:pPr>
      <w:r w:rsidRPr="0007165F">
        <w:rPr>
          <w:rFonts w:ascii="Times New Roman" w:hAnsi="Times New Roman" w:cs="Times New Roman"/>
          <w:i/>
          <w:sz w:val="28"/>
          <w:szCs w:val="28"/>
        </w:rPr>
        <w:t>Страховым случаем</w:t>
      </w:r>
      <w:r w:rsidRPr="0007165F">
        <w:rPr>
          <w:rFonts w:ascii="Times New Roman" w:hAnsi="Times New Roman" w:cs="Times New Roman"/>
          <w:sz w:val="28"/>
          <w:szCs w:val="28"/>
        </w:rPr>
        <w:t xml:space="preserve"> </w:t>
      </w:r>
      <w:r>
        <w:rPr>
          <w:rFonts w:ascii="Times New Roman" w:hAnsi="Times New Roman" w:cs="Times New Roman"/>
          <w:sz w:val="28"/>
          <w:szCs w:val="28"/>
        </w:rPr>
        <w:t>в</w:t>
      </w:r>
      <w:r w:rsidRPr="0007165F">
        <w:rPr>
          <w:rFonts w:ascii="Times New Roman" w:hAnsi="Times New Roman" w:cs="Times New Roman"/>
          <w:sz w:val="28"/>
          <w:szCs w:val="28"/>
        </w:rPr>
        <w:t xml:space="preserve"> ДМС</w:t>
      </w:r>
      <w:r>
        <w:rPr>
          <w:rFonts w:ascii="Times New Roman" w:hAnsi="Times New Roman" w:cs="Times New Roman"/>
          <w:sz w:val="28"/>
          <w:szCs w:val="28"/>
        </w:rPr>
        <w:t xml:space="preserve"> является обращение застрахованного лица в медицинское учреждение (к врачу) за медицинской помощью, установле</w:t>
      </w:r>
      <w:r>
        <w:rPr>
          <w:rFonts w:ascii="Times New Roman" w:hAnsi="Times New Roman" w:cs="Times New Roman"/>
          <w:sz w:val="28"/>
          <w:szCs w:val="28"/>
        </w:rPr>
        <w:t>н</w:t>
      </w:r>
      <w:r>
        <w:rPr>
          <w:rFonts w:ascii="Times New Roman" w:hAnsi="Times New Roman" w:cs="Times New Roman"/>
          <w:sz w:val="28"/>
          <w:szCs w:val="28"/>
        </w:rPr>
        <w:t xml:space="preserve">ной договором (полисом) страхования. </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Число страховых случаев согласно Правилам ДМС может быть неогр</w:t>
      </w:r>
      <w:r>
        <w:rPr>
          <w:rFonts w:ascii="Times New Roman" w:hAnsi="Times New Roman" w:cs="Times New Roman"/>
          <w:sz w:val="28"/>
          <w:szCs w:val="28"/>
        </w:rPr>
        <w:t>а</w:t>
      </w:r>
      <w:r>
        <w:rPr>
          <w:rFonts w:ascii="Times New Roman" w:hAnsi="Times New Roman" w:cs="Times New Roman"/>
          <w:sz w:val="28"/>
          <w:szCs w:val="28"/>
        </w:rPr>
        <w:t>ниченным. Страховой случай считается урегулированным, когда по мед</w:t>
      </w:r>
      <w:r>
        <w:rPr>
          <w:rFonts w:ascii="Times New Roman" w:hAnsi="Times New Roman" w:cs="Times New Roman"/>
          <w:sz w:val="28"/>
          <w:szCs w:val="28"/>
        </w:rPr>
        <w:t>и</w:t>
      </w:r>
      <w:r>
        <w:rPr>
          <w:rFonts w:ascii="Times New Roman" w:hAnsi="Times New Roman" w:cs="Times New Roman"/>
          <w:sz w:val="28"/>
          <w:szCs w:val="28"/>
        </w:rPr>
        <w:t xml:space="preserve">цинским показаниями исчезает необходимость в дальнейшем лечении </w:t>
      </w:r>
      <w:proofErr w:type="gramStart"/>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страхованного</w:t>
      </w:r>
      <w:proofErr w:type="gramEnd"/>
      <w:r>
        <w:rPr>
          <w:rFonts w:ascii="Times New Roman" w:hAnsi="Times New Roman" w:cs="Times New Roman"/>
          <w:sz w:val="28"/>
          <w:szCs w:val="28"/>
        </w:rPr>
        <w:t>. Урегулирование страхового случая в ДМС растянуто во вр</w:t>
      </w:r>
      <w:r>
        <w:rPr>
          <w:rFonts w:ascii="Times New Roman" w:hAnsi="Times New Roman" w:cs="Times New Roman"/>
          <w:sz w:val="28"/>
          <w:szCs w:val="28"/>
        </w:rPr>
        <w:t>е</w:t>
      </w:r>
      <w:r>
        <w:rPr>
          <w:rFonts w:ascii="Times New Roman" w:hAnsi="Times New Roman" w:cs="Times New Roman"/>
          <w:sz w:val="28"/>
          <w:szCs w:val="28"/>
        </w:rPr>
        <w:t>мени: его продолжительность определяется технологией и методикой леч</w:t>
      </w:r>
      <w:r>
        <w:rPr>
          <w:rFonts w:ascii="Times New Roman" w:hAnsi="Times New Roman" w:cs="Times New Roman"/>
          <w:sz w:val="28"/>
          <w:szCs w:val="28"/>
        </w:rPr>
        <w:t>е</w:t>
      </w:r>
      <w:r>
        <w:rPr>
          <w:rFonts w:ascii="Times New Roman" w:hAnsi="Times New Roman" w:cs="Times New Roman"/>
          <w:sz w:val="28"/>
          <w:szCs w:val="28"/>
        </w:rPr>
        <w:t>ния на основании предписаний лечащего врача. Затраты на покупку рек</w:t>
      </w:r>
      <w:r>
        <w:rPr>
          <w:rFonts w:ascii="Times New Roman" w:hAnsi="Times New Roman" w:cs="Times New Roman"/>
          <w:sz w:val="28"/>
          <w:szCs w:val="28"/>
        </w:rPr>
        <w:t>о</w:t>
      </w:r>
      <w:r>
        <w:rPr>
          <w:rFonts w:ascii="Times New Roman" w:hAnsi="Times New Roman" w:cs="Times New Roman"/>
          <w:sz w:val="28"/>
          <w:szCs w:val="28"/>
        </w:rPr>
        <w:t>мендованных им лекарств компенсируются, если они подтверждены соотве</w:t>
      </w:r>
      <w:r>
        <w:rPr>
          <w:rFonts w:ascii="Times New Roman" w:hAnsi="Times New Roman" w:cs="Times New Roman"/>
          <w:sz w:val="28"/>
          <w:szCs w:val="28"/>
        </w:rPr>
        <w:t>т</w:t>
      </w:r>
      <w:r>
        <w:rPr>
          <w:rFonts w:ascii="Times New Roman" w:hAnsi="Times New Roman" w:cs="Times New Roman"/>
          <w:sz w:val="28"/>
          <w:szCs w:val="28"/>
        </w:rPr>
        <w:t>ствующими рецептами</w:t>
      </w:r>
      <w:r w:rsidR="003A59AE" w:rsidRPr="003A59AE">
        <w:rPr>
          <w:rFonts w:ascii="Times New Roman" w:hAnsi="Times New Roman" w:cs="Times New Roman"/>
          <w:sz w:val="28"/>
          <w:szCs w:val="28"/>
        </w:rPr>
        <w:t xml:space="preserve"> [7]</w:t>
      </w:r>
      <w:r>
        <w:rPr>
          <w:rFonts w:ascii="Times New Roman" w:hAnsi="Times New Roman" w:cs="Times New Roman"/>
          <w:sz w:val="28"/>
          <w:szCs w:val="28"/>
        </w:rPr>
        <w:t>.</w:t>
      </w:r>
    </w:p>
    <w:p w:rsidR="003D350E" w:rsidRPr="005A34BB"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Страховая сумма устанавливается исходя из стоимости медицинских услуг, предусмотренных договором (полисом) страхования, с учетом нагру</w:t>
      </w:r>
      <w:r>
        <w:rPr>
          <w:rFonts w:ascii="Times New Roman" w:hAnsi="Times New Roman" w:cs="Times New Roman"/>
          <w:sz w:val="28"/>
          <w:szCs w:val="28"/>
        </w:rPr>
        <w:t>з</w:t>
      </w:r>
      <w:r>
        <w:rPr>
          <w:rFonts w:ascii="Times New Roman" w:hAnsi="Times New Roman" w:cs="Times New Roman"/>
          <w:sz w:val="28"/>
          <w:szCs w:val="28"/>
        </w:rPr>
        <w:t xml:space="preserve">ки страховой организации на ведение дела и прибыли. Размер уплачиваемого страхователем страхового взноса определяется на основе </w:t>
      </w:r>
      <w:r w:rsidRPr="005020F0">
        <w:rPr>
          <w:rFonts w:ascii="Times New Roman" w:hAnsi="Times New Roman" w:cs="Times New Roman"/>
          <w:i/>
          <w:sz w:val="28"/>
          <w:szCs w:val="28"/>
        </w:rPr>
        <w:t>тарифной ставки</w:t>
      </w:r>
      <w:r>
        <w:rPr>
          <w:rFonts w:ascii="Times New Roman" w:hAnsi="Times New Roman" w:cs="Times New Roman"/>
          <w:sz w:val="28"/>
          <w:szCs w:val="28"/>
        </w:rPr>
        <w:t>.</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w:t>
      </w:r>
      <w:r w:rsidRPr="005A34BB">
        <w:rPr>
          <w:rFonts w:ascii="Times New Roman" w:hAnsi="Times New Roman" w:cs="Times New Roman"/>
          <w:i/>
          <w:sz w:val="28"/>
          <w:szCs w:val="28"/>
        </w:rPr>
        <w:t>объема страхового покрытия</w:t>
      </w:r>
      <w:r>
        <w:rPr>
          <w:rFonts w:ascii="Times New Roman" w:hAnsi="Times New Roman" w:cs="Times New Roman"/>
          <w:sz w:val="28"/>
          <w:szCs w:val="28"/>
        </w:rPr>
        <w:t xml:space="preserve"> выделяют следующие формы ДМС:</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34BB">
        <w:rPr>
          <w:rFonts w:ascii="Times New Roman" w:hAnsi="Times New Roman" w:cs="Times New Roman"/>
          <w:i/>
          <w:sz w:val="28"/>
          <w:szCs w:val="28"/>
        </w:rPr>
        <w:t>полное страхование медицинских расходов</w:t>
      </w:r>
      <w:r>
        <w:rPr>
          <w:rFonts w:ascii="Times New Roman" w:hAnsi="Times New Roman" w:cs="Times New Roman"/>
          <w:sz w:val="28"/>
          <w:szCs w:val="28"/>
        </w:rPr>
        <w:t>, подразумевающее возмещение затрат как на амбулаторное, так и стационарное лечение;</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0A115A">
        <w:rPr>
          <w:rFonts w:ascii="Times New Roman" w:hAnsi="Times New Roman" w:cs="Times New Roman"/>
          <w:i/>
          <w:sz w:val="28"/>
          <w:szCs w:val="28"/>
        </w:rPr>
        <w:t>частичное страхование медицинских расходов</w:t>
      </w:r>
      <w:r>
        <w:rPr>
          <w:rFonts w:ascii="Times New Roman" w:hAnsi="Times New Roman" w:cs="Times New Roman"/>
          <w:sz w:val="28"/>
          <w:szCs w:val="28"/>
        </w:rPr>
        <w:t>, когда страховая защита распространяется по выбору страхователя либо на амбулаторное, либо ст</w:t>
      </w:r>
      <w:r>
        <w:rPr>
          <w:rFonts w:ascii="Times New Roman" w:hAnsi="Times New Roman" w:cs="Times New Roman"/>
          <w:sz w:val="28"/>
          <w:szCs w:val="28"/>
        </w:rPr>
        <w:t>а</w:t>
      </w:r>
      <w:r>
        <w:rPr>
          <w:rFonts w:ascii="Times New Roman" w:hAnsi="Times New Roman" w:cs="Times New Roman"/>
          <w:sz w:val="28"/>
          <w:szCs w:val="28"/>
        </w:rPr>
        <w:t>ционарное, либо специализированное лечение (стоматологические услуги, ведение беременности и роды, нахождение в санатории или профилактории);</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0A115A">
        <w:rPr>
          <w:rFonts w:ascii="Times New Roman" w:hAnsi="Times New Roman" w:cs="Times New Roman"/>
          <w:i/>
          <w:sz w:val="28"/>
          <w:szCs w:val="28"/>
        </w:rPr>
        <w:t>страхование расходов только по одному риску</w:t>
      </w:r>
      <w:r>
        <w:rPr>
          <w:rFonts w:ascii="Times New Roman" w:hAnsi="Times New Roman" w:cs="Times New Roman"/>
          <w:sz w:val="28"/>
          <w:szCs w:val="28"/>
        </w:rPr>
        <w:t>.</w:t>
      </w:r>
    </w:p>
    <w:p w:rsidR="007836DC" w:rsidRDefault="00265E64" w:rsidP="007836DC">
      <w:pPr>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В рамках программ ДМС с</w:t>
      </w:r>
      <w:r w:rsidR="007836DC" w:rsidRPr="009E1FDB">
        <w:rPr>
          <w:rFonts w:ascii="Times New Roman" w:hAnsi="Times New Roman"/>
          <w:color w:val="000000"/>
          <w:sz w:val="28"/>
          <w:szCs w:val="28"/>
        </w:rPr>
        <w:t>траховщик</w:t>
      </w:r>
      <w:r>
        <w:rPr>
          <w:rFonts w:ascii="Times New Roman" w:hAnsi="Times New Roman"/>
          <w:color w:val="000000"/>
          <w:sz w:val="28"/>
          <w:szCs w:val="28"/>
        </w:rPr>
        <w:t>ами</w:t>
      </w:r>
      <w:r w:rsidR="007836DC" w:rsidRPr="009E1FDB">
        <w:rPr>
          <w:rFonts w:ascii="Times New Roman" w:hAnsi="Times New Roman"/>
          <w:color w:val="000000"/>
          <w:sz w:val="28"/>
          <w:szCs w:val="28"/>
        </w:rPr>
        <w:t xml:space="preserve"> обычно предлагают</w:t>
      </w:r>
      <w:r>
        <w:rPr>
          <w:rFonts w:ascii="Times New Roman" w:hAnsi="Times New Roman"/>
          <w:color w:val="000000"/>
          <w:sz w:val="28"/>
          <w:szCs w:val="28"/>
        </w:rPr>
        <w:t>ся</w:t>
      </w:r>
      <w:r w:rsidR="007836DC" w:rsidRPr="009E1FDB">
        <w:rPr>
          <w:rFonts w:ascii="Times New Roman" w:hAnsi="Times New Roman"/>
          <w:color w:val="000000"/>
          <w:sz w:val="28"/>
          <w:szCs w:val="28"/>
        </w:rPr>
        <w:t xml:space="preserve"> </w:t>
      </w:r>
      <w:r w:rsidR="007836DC">
        <w:rPr>
          <w:rFonts w:ascii="Times New Roman" w:hAnsi="Times New Roman"/>
          <w:color w:val="000000"/>
          <w:sz w:val="28"/>
          <w:szCs w:val="28"/>
        </w:rPr>
        <w:t>сл</w:t>
      </w:r>
      <w:r w:rsidR="007836DC">
        <w:rPr>
          <w:rFonts w:ascii="Times New Roman" w:hAnsi="Times New Roman"/>
          <w:color w:val="000000"/>
          <w:sz w:val="28"/>
          <w:szCs w:val="28"/>
        </w:rPr>
        <w:t>е</w:t>
      </w:r>
      <w:r>
        <w:rPr>
          <w:rFonts w:ascii="Times New Roman" w:hAnsi="Times New Roman"/>
          <w:color w:val="000000"/>
          <w:sz w:val="28"/>
          <w:szCs w:val="28"/>
        </w:rPr>
        <w:t>дующие виды медицинского обслуживания:</w:t>
      </w:r>
    </w:p>
    <w:p w:rsidR="007836DC" w:rsidRDefault="007836DC" w:rsidP="007836DC">
      <w:pPr>
        <w:autoSpaceDE w:val="0"/>
        <w:autoSpaceDN w:val="0"/>
        <w:adjustRightInd w:val="0"/>
        <w:spacing w:after="0" w:line="360" w:lineRule="auto"/>
        <w:rPr>
          <w:rFonts w:ascii="Times New Roman" w:hAnsi="Times New Roman"/>
          <w:color w:val="000000"/>
          <w:sz w:val="28"/>
          <w:szCs w:val="28"/>
        </w:rPr>
      </w:pPr>
      <w:r>
        <w:rPr>
          <w:rFonts w:ascii="Times New Roman" w:hAnsi="Times New Roman" w:cs="Times New Roman"/>
          <w:sz w:val="28"/>
          <w:szCs w:val="28"/>
        </w:rPr>
        <w:t xml:space="preserve">– </w:t>
      </w:r>
      <w:r w:rsidRPr="009E1FDB">
        <w:rPr>
          <w:rFonts w:ascii="Times New Roman" w:hAnsi="Times New Roman"/>
          <w:color w:val="000000"/>
          <w:sz w:val="28"/>
          <w:szCs w:val="28"/>
        </w:rPr>
        <w:t>амбу</w:t>
      </w:r>
      <w:r>
        <w:rPr>
          <w:rFonts w:ascii="Times New Roman" w:hAnsi="Times New Roman"/>
          <w:color w:val="000000"/>
          <w:sz w:val="28"/>
          <w:szCs w:val="28"/>
        </w:rPr>
        <w:t>латорно-поликлиническую помощь;</w:t>
      </w:r>
    </w:p>
    <w:p w:rsidR="007836DC" w:rsidRDefault="007836DC" w:rsidP="007836DC">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s="Times New Roman"/>
          <w:sz w:val="28"/>
          <w:szCs w:val="28"/>
        </w:rPr>
        <w:t xml:space="preserve">– </w:t>
      </w:r>
      <w:r w:rsidRPr="009E1FDB">
        <w:rPr>
          <w:rFonts w:ascii="Times New Roman" w:hAnsi="Times New Roman"/>
          <w:color w:val="000000"/>
          <w:sz w:val="28"/>
          <w:szCs w:val="28"/>
        </w:rPr>
        <w:t>безоперационный стационар</w:t>
      </w:r>
      <w:r>
        <w:rPr>
          <w:rFonts w:ascii="Times New Roman" w:hAnsi="Times New Roman"/>
          <w:color w:val="000000"/>
          <w:sz w:val="28"/>
          <w:szCs w:val="28"/>
        </w:rPr>
        <w:t>;</w:t>
      </w:r>
    </w:p>
    <w:p w:rsidR="007836DC" w:rsidRDefault="007836DC" w:rsidP="007836DC">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s="Times New Roman"/>
          <w:sz w:val="28"/>
          <w:szCs w:val="28"/>
        </w:rPr>
        <w:t xml:space="preserve">– </w:t>
      </w:r>
      <w:r w:rsidRPr="009E1FDB">
        <w:rPr>
          <w:rFonts w:ascii="Times New Roman" w:hAnsi="Times New Roman"/>
          <w:color w:val="000000"/>
          <w:sz w:val="28"/>
          <w:szCs w:val="28"/>
        </w:rPr>
        <w:t>хирургический стационар</w:t>
      </w:r>
      <w:r>
        <w:rPr>
          <w:rFonts w:ascii="Times New Roman" w:hAnsi="Times New Roman"/>
          <w:color w:val="000000"/>
          <w:sz w:val="28"/>
          <w:szCs w:val="28"/>
        </w:rPr>
        <w:t>;</w:t>
      </w:r>
    </w:p>
    <w:p w:rsidR="007836DC" w:rsidRDefault="007836DC" w:rsidP="007836DC">
      <w:pPr>
        <w:autoSpaceDE w:val="0"/>
        <w:autoSpaceDN w:val="0"/>
        <w:adjustRightInd w:val="0"/>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9E1FDB">
        <w:rPr>
          <w:rFonts w:ascii="Times New Roman" w:hAnsi="Times New Roman"/>
          <w:color w:val="000000"/>
          <w:sz w:val="28"/>
          <w:szCs w:val="28"/>
        </w:rPr>
        <w:t>стоматологическую помощь</w:t>
      </w:r>
      <w:r>
        <w:rPr>
          <w:rFonts w:ascii="Times New Roman" w:hAnsi="Times New Roman"/>
          <w:color w:val="000000"/>
          <w:sz w:val="28"/>
          <w:szCs w:val="28"/>
        </w:rPr>
        <w:t>;</w:t>
      </w:r>
    </w:p>
    <w:p w:rsidR="007836DC" w:rsidRDefault="007836DC" w:rsidP="007836DC">
      <w:pPr>
        <w:autoSpaceDE w:val="0"/>
        <w:autoSpaceDN w:val="0"/>
        <w:adjustRightInd w:val="0"/>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9E1FDB">
        <w:rPr>
          <w:rFonts w:ascii="Times New Roman" w:hAnsi="Times New Roman"/>
          <w:sz w:val="28"/>
          <w:szCs w:val="28"/>
        </w:rPr>
        <w:t>комплексное медицинское обслуживание</w:t>
      </w:r>
      <w:r>
        <w:rPr>
          <w:rFonts w:ascii="Times New Roman" w:hAnsi="Times New Roman"/>
          <w:color w:val="000000"/>
          <w:sz w:val="28"/>
          <w:szCs w:val="28"/>
        </w:rPr>
        <w:t>;</w:t>
      </w:r>
    </w:p>
    <w:p w:rsidR="007836DC" w:rsidRDefault="007836DC" w:rsidP="007836DC">
      <w:pPr>
        <w:autoSpaceDE w:val="0"/>
        <w:autoSpaceDN w:val="0"/>
        <w:adjustRightInd w:val="0"/>
        <w:spacing w:after="0" w:line="360" w:lineRule="auto"/>
        <w:jc w:val="both"/>
        <w:rPr>
          <w:rFonts w:ascii="Times New Roman" w:hAnsi="Times New Roman"/>
          <w:sz w:val="28"/>
          <w:szCs w:val="28"/>
        </w:rPr>
      </w:pPr>
      <w:r>
        <w:rPr>
          <w:rFonts w:ascii="Times New Roman" w:hAnsi="Times New Roman" w:cs="Times New Roman"/>
          <w:sz w:val="28"/>
          <w:szCs w:val="28"/>
        </w:rPr>
        <w:t>–</w:t>
      </w:r>
      <w:r w:rsidR="00635FDD">
        <w:rPr>
          <w:rFonts w:ascii="Times New Roman" w:hAnsi="Times New Roman" w:cs="Times New Roman"/>
          <w:sz w:val="28"/>
          <w:szCs w:val="28"/>
        </w:rPr>
        <w:t xml:space="preserve"> </w:t>
      </w:r>
      <w:r w:rsidRPr="009E1FDB">
        <w:rPr>
          <w:rFonts w:ascii="Times New Roman" w:hAnsi="Times New Roman"/>
          <w:sz w:val="28"/>
          <w:szCs w:val="28"/>
        </w:rPr>
        <w:t xml:space="preserve">индивидуальное ведение </w:t>
      </w:r>
      <w:r w:rsidR="00635FDD">
        <w:rPr>
          <w:rFonts w:ascii="Times New Roman" w:hAnsi="Times New Roman"/>
          <w:sz w:val="28"/>
          <w:szCs w:val="28"/>
        </w:rPr>
        <w:t>беременности,</w:t>
      </w:r>
      <w:r w:rsidR="00635FDD" w:rsidRPr="00635FDD">
        <w:rPr>
          <w:rFonts w:ascii="Times New Roman" w:hAnsi="Times New Roman"/>
          <w:sz w:val="28"/>
          <w:szCs w:val="28"/>
        </w:rPr>
        <w:t xml:space="preserve"> </w:t>
      </w:r>
      <w:r w:rsidR="00635FDD" w:rsidRPr="009E1FDB">
        <w:rPr>
          <w:rFonts w:ascii="Times New Roman" w:hAnsi="Times New Roman"/>
          <w:sz w:val="28"/>
          <w:szCs w:val="28"/>
        </w:rPr>
        <w:t>оказание акушерской помощи</w:t>
      </w:r>
      <w:r>
        <w:rPr>
          <w:rFonts w:ascii="Times New Roman" w:hAnsi="Times New Roman"/>
          <w:color w:val="000000"/>
          <w:sz w:val="28"/>
          <w:szCs w:val="28"/>
        </w:rPr>
        <w:t>;</w:t>
      </w:r>
    </w:p>
    <w:p w:rsidR="007836DC" w:rsidRDefault="007836DC" w:rsidP="007836DC">
      <w:pPr>
        <w:autoSpaceDE w:val="0"/>
        <w:autoSpaceDN w:val="0"/>
        <w:adjustRightInd w:val="0"/>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Pr="009E1FDB">
        <w:rPr>
          <w:rFonts w:ascii="Times New Roman" w:hAnsi="Times New Roman"/>
          <w:sz w:val="28"/>
          <w:szCs w:val="28"/>
        </w:rPr>
        <w:t>восстановление и реабилитацию</w:t>
      </w:r>
      <w:r>
        <w:rPr>
          <w:rFonts w:ascii="Times New Roman" w:hAnsi="Times New Roman"/>
          <w:color w:val="000000"/>
          <w:sz w:val="28"/>
          <w:szCs w:val="28"/>
        </w:rPr>
        <w:t>;</w:t>
      </w:r>
    </w:p>
    <w:p w:rsidR="007836DC" w:rsidRDefault="007836DC" w:rsidP="007836DC">
      <w:pPr>
        <w:autoSpaceDE w:val="0"/>
        <w:autoSpaceDN w:val="0"/>
        <w:adjustRightInd w:val="0"/>
        <w:spacing w:after="0" w:line="360" w:lineRule="auto"/>
        <w:jc w:val="both"/>
        <w:rPr>
          <w:rFonts w:ascii="Times New Roman" w:hAnsi="Times New Roman"/>
          <w:sz w:val="28"/>
          <w:szCs w:val="28"/>
        </w:rPr>
      </w:pPr>
      <w:r>
        <w:rPr>
          <w:rFonts w:ascii="Times New Roman" w:hAnsi="Times New Roman" w:cs="Times New Roman"/>
          <w:sz w:val="28"/>
          <w:szCs w:val="28"/>
        </w:rPr>
        <w:t xml:space="preserve">– </w:t>
      </w:r>
      <w:r w:rsidR="00635FDD">
        <w:rPr>
          <w:rFonts w:ascii="Times New Roman" w:hAnsi="Times New Roman"/>
          <w:sz w:val="28"/>
          <w:szCs w:val="28"/>
        </w:rPr>
        <w:t>скорую медицинскую помощь, экстренную госпитализацию.</w:t>
      </w:r>
    </w:p>
    <w:p w:rsidR="005C1A16" w:rsidRDefault="005C1A16" w:rsidP="005C1A16">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Pr="009E1FDB">
        <w:rPr>
          <w:rFonts w:ascii="Times New Roman" w:hAnsi="Times New Roman"/>
          <w:sz w:val="28"/>
          <w:szCs w:val="28"/>
        </w:rPr>
        <w:t>огласно</w:t>
      </w:r>
      <w:r w:rsidRPr="005C1A16">
        <w:rPr>
          <w:rFonts w:ascii="Times New Roman" w:hAnsi="Times New Roman"/>
          <w:sz w:val="28"/>
          <w:szCs w:val="28"/>
        </w:rPr>
        <w:t xml:space="preserve"> </w:t>
      </w:r>
      <w:r>
        <w:rPr>
          <w:rFonts w:ascii="Times New Roman" w:hAnsi="Times New Roman"/>
          <w:sz w:val="28"/>
          <w:szCs w:val="28"/>
        </w:rPr>
        <w:t>исследованию</w:t>
      </w:r>
      <w:r w:rsidRPr="005C1A16">
        <w:rPr>
          <w:rFonts w:ascii="Times New Roman" w:hAnsi="Times New Roman"/>
          <w:sz w:val="28"/>
          <w:szCs w:val="28"/>
        </w:rPr>
        <w:t xml:space="preserve"> </w:t>
      </w:r>
      <w:r w:rsidRPr="005C1A16">
        <w:rPr>
          <w:rFonts w:ascii="Times New Roman" w:hAnsi="Times New Roman"/>
          <w:sz w:val="28"/>
          <w:szCs w:val="28"/>
          <w:lang w:val="en-GB"/>
        </w:rPr>
        <w:t>MRS</w:t>
      </w:r>
      <w:r w:rsidRPr="005C1A16">
        <w:rPr>
          <w:rFonts w:ascii="Times New Roman" w:hAnsi="Times New Roman"/>
          <w:sz w:val="28"/>
          <w:szCs w:val="28"/>
        </w:rPr>
        <w:t xml:space="preserve"> </w:t>
      </w:r>
      <w:r w:rsidRPr="005C1A16">
        <w:rPr>
          <w:rFonts w:ascii="Times New Roman" w:hAnsi="Times New Roman"/>
          <w:sz w:val="28"/>
          <w:szCs w:val="28"/>
          <w:lang w:val="en-GB"/>
        </w:rPr>
        <w:t>Business</w:t>
      </w:r>
      <w:r w:rsidRPr="005C1A16">
        <w:rPr>
          <w:rFonts w:ascii="Times New Roman" w:hAnsi="Times New Roman"/>
          <w:sz w:val="28"/>
          <w:szCs w:val="28"/>
        </w:rPr>
        <w:t xml:space="preserve"> </w:t>
      </w:r>
      <w:r w:rsidRPr="005C1A16">
        <w:rPr>
          <w:rFonts w:ascii="Times New Roman" w:hAnsi="Times New Roman"/>
          <w:sz w:val="28"/>
          <w:szCs w:val="28"/>
          <w:lang w:val="en-GB"/>
        </w:rPr>
        <w:t>Research</w:t>
      </w:r>
      <w:r w:rsidRPr="005C1A16">
        <w:rPr>
          <w:rFonts w:ascii="Times New Roman" w:hAnsi="Times New Roman"/>
          <w:sz w:val="28"/>
          <w:szCs w:val="28"/>
        </w:rPr>
        <w:t xml:space="preserve"> </w:t>
      </w:r>
      <w:r w:rsidRPr="009E1FDB">
        <w:rPr>
          <w:rFonts w:ascii="Times New Roman" w:hAnsi="Times New Roman"/>
          <w:sz w:val="28"/>
          <w:szCs w:val="28"/>
          <w:lang w:val="en-US"/>
        </w:rPr>
        <w:t>Company</w:t>
      </w:r>
      <w:r w:rsidRPr="005C1A16">
        <w:rPr>
          <w:rFonts w:ascii="Times New Roman" w:hAnsi="Times New Roman"/>
          <w:sz w:val="28"/>
          <w:szCs w:val="28"/>
        </w:rPr>
        <w:t xml:space="preserve">, </w:t>
      </w:r>
      <w:r>
        <w:rPr>
          <w:rFonts w:ascii="Times New Roman" w:hAnsi="Times New Roman"/>
          <w:sz w:val="28"/>
          <w:szCs w:val="28"/>
        </w:rPr>
        <w:t>результаты которого представлены в табл. 1, корпоративные и частные клиенты склонны выбирать различные по наполнению страховые программы.</w:t>
      </w:r>
    </w:p>
    <w:p w:rsidR="00ED6A44" w:rsidRPr="00233750" w:rsidRDefault="00ED6A44" w:rsidP="00ED6A44">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Таблица 1</w:t>
      </w:r>
    </w:p>
    <w:p w:rsidR="00B118EF" w:rsidRPr="00233750" w:rsidRDefault="00ED6A44" w:rsidP="00ED6A44">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Востребованность </w:t>
      </w:r>
      <w:r w:rsidR="00B118EF" w:rsidRPr="00233750">
        <w:rPr>
          <w:rFonts w:ascii="Times New Roman" w:hAnsi="Times New Roman" w:cs="Times New Roman"/>
          <w:i/>
          <w:iCs/>
          <w:sz w:val="26"/>
          <w:szCs w:val="26"/>
        </w:rPr>
        <w:t xml:space="preserve">отдельных видов медицинской помощи </w:t>
      </w:r>
    </w:p>
    <w:p w:rsidR="00ED6A44" w:rsidRPr="00233750" w:rsidRDefault="00B118EF" w:rsidP="00ED6A44">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среди корпоративных и частных клиентов</w:t>
      </w:r>
    </w:p>
    <w:tbl>
      <w:tblPr>
        <w:tblStyle w:val="ac"/>
        <w:tblW w:w="0" w:type="auto"/>
        <w:jc w:val="center"/>
        <w:tblLook w:val="04A0"/>
      </w:tblPr>
      <w:tblGrid>
        <w:gridCol w:w="4517"/>
        <w:gridCol w:w="2268"/>
        <w:gridCol w:w="2268"/>
      </w:tblGrid>
      <w:tr w:rsidR="005C1A16" w:rsidTr="0012647D">
        <w:trPr>
          <w:jc w:val="center"/>
        </w:trPr>
        <w:tc>
          <w:tcPr>
            <w:tcW w:w="4517" w:type="dxa"/>
            <w:vAlign w:val="center"/>
          </w:tcPr>
          <w:p w:rsidR="005C1A16" w:rsidRPr="005C1A16" w:rsidRDefault="005C1A16" w:rsidP="005C1A16">
            <w:pPr>
              <w:autoSpaceDE w:val="0"/>
              <w:autoSpaceDN w:val="0"/>
              <w:adjustRightInd w:val="0"/>
              <w:jc w:val="center"/>
              <w:rPr>
                <w:rFonts w:ascii="Times New Roman" w:hAnsi="Times New Roman" w:cs="Times New Roman"/>
                <w:b/>
                <w:sz w:val="23"/>
                <w:szCs w:val="23"/>
              </w:rPr>
            </w:pPr>
            <w:r w:rsidRPr="005C1A16">
              <w:rPr>
                <w:rFonts w:ascii="Times New Roman" w:hAnsi="Times New Roman" w:cs="Times New Roman"/>
                <w:b/>
                <w:sz w:val="23"/>
                <w:szCs w:val="23"/>
              </w:rPr>
              <w:t>Вид медицинского обслуживания</w:t>
            </w:r>
          </w:p>
        </w:tc>
        <w:tc>
          <w:tcPr>
            <w:tcW w:w="2268" w:type="dxa"/>
            <w:vAlign w:val="center"/>
          </w:tcPr>
          <w:p w:rsidR="005C1A16" w:rsidRDefault="005C1A16" w:rsidP="005C1A16">
            <w:pPr>
              <w:autoSpaceDE w:val="0"/>
              <w:autoSpaceDN w:val="0"/>
              <w:adjustRightInd w:val="0"/>
              <w:jc w:val="center"/>
              <w:rPr>
                <w:rFonts w:ascii="Times New Roman" w:hAnsi="Times New Roman" w:cs="Times New Roman"/>
                <w:sz w:val="28"/>
                <w:szCs w:val="28"/>
              </w:rPr>
            </w:pPr>
            <w:r w:rsidRPr="005C1A16">
              <w:rPr>
                <w:rFonts w:ascii="Times New Roman" w:hAnsi="Times New Roman" w:cs="Times New Roman"/>
                <w:b/>
                <w:sz w:val="23"/>
                <w:szCs w:val="23"/>
              </w:rPr>
              <w:t>Корпоративные клиенты</w:t>
            </w:r>
          </w:p>
        </w:tc>
        <w:tc>
          <w:tcPr>
            <w:tcW w:w="2268" w:type="dxa"/>
            <w:vAlign w:val="center"/>
          </w:tcPr>
          <w:p w:rsidR="005C1A16" w:rsidRDefault="005C1A16" w:rsidP="005C1A16">
            <w:pPr>
              <w:autoSpaceDE w:val="0"/>
              <w:autoSpaceDN w:val="0"/>
              <w:adjustRightInd w:val="0"/>
              <w:jc w:val="center"/>
              <w:rPr>
                <w:rFonts w:ascii="Times New Roman" w:hAnsi="Times New Roman" w:cs="Times New Roman"/>
                <w:sz w:val="28"/>
                <w:szCs w:val="28"/>
              </w:rPr>
            </w:pPr>
            <w:r w:rsidRPr="005C1A16">
              <w:rPr>
                <w:rFonts w:ascii="Times New Roman" w:hAnsi="Times New Roman" w:cs="Times New Roman"/>
                <w:b/>
                <w:sz w:val="23"/>
                <w:szCs w:val="23"/>
              </w:rPr>
              <w:t>Частные клиенты</w:t>
            </w:r>
          </w:p>
        </w:tc>
      </w:tr>
      <w:tr w:rsidR="005C1A16" w:rsidTr="0012647D">
        <w:trPr>
          <w:trHeight w:hRule="exact" w:val="1134"/>
          <w:jc w:val="center"/>
        </w:trPr>
        <w:tc>
          <w:tcPr>
            <w:tcW w:w="4517" w:type="dxa"/>
            <w:vAlign w:val="center"/>
          </w:tcPr>
          <w:p w:rsidR="005C1A16" w:rsidRPr="005C1A16" w:rsidRDefault="005C1A16" w:rsidP="00486B70">
            <w:pPr>
              <w:autoSpaceDE w:val="0"/>
              <w:autoSpaceDN w:val="0"/>
              <w:adjustRightInd w:val="0"/>
              <w:rPr>
                <w:rFonts w:ascii="Times New Roman" w:hAnsi="Times New Roman" w:cs="Times New Roman"/>
                <w:sz w:val="24"/>
                <w:szCs w:val="24"/>
              </w:rPr>
            </w:pPr>
            <w:r w:rsidRPr="005C1A16">
              <w:rPr>
                <w:rFonts w:ascii="Times New Roman" w:hAnsi="Times New Roman" w:cs="Times New Roman"/>
                <w:sz w:val="24"/>
                <w:szCs w:val="24"/>
              </w:rPr>
              <w:t>Поликлиническое обслуживание</w:t>
            </w:r>
            <w:r>
              <w:rPr>
                <w:rFonts w:ascii="Times New Roman" w:hAnsi="Times New Roman" w:cs="Times New Roman"/>
                <w:sz w:val="24"/>
                <w:szCs w:val="24"/>
              </w:rPr>
              <w:t xml:space="preserve"> (с во</w:t>
            </w:r>
            <w:r>
              <w:rPr>
                <w:rFonts w:ascii="Times New Roman" w:hAnsi="Times New Roman" w:cs="Times New Roman"/>
                <w:sz w:val="24"/>
                <w:szCs w:val="24"/>
              </w:rPr>
              <w:t>з</w:t>
            </w:r>
            <w:r>
              <w:rPr>
                <w:rFonts w:ascii="Times New Roman" w:hAnsi="Times New Roman" w:cs="Times New Roman"/>
                <w:sz w:val="24"/>
                <w:szCs w:val="24"/>
              </w:rPr>
              <w:t>можностью вызова врача на дом,</w:t>
            </w:r>
            <w:r w:rsidR="00486B70">
              <w:rPr>
                <w:rFonts w:ascii="Times New Roman" w:hAnsi="Times New Roman" w:cs="Times New Roman"/>
                <w:sz w:val="24"/>
                <w:szCs w:val="24"/>
              </w:rPr>
              <w:t xml:space="preserve"> стом</w:t>
            </w:r>
            <w:r w:rsidR="00486B70">
              <w:rPr>
                <w:rFonts w:ascii="Times New Roman" w:hAnsi="Times New Roman" w:cs="Times New Roman"/>
                <w:sz w:val="24"/>
                <w:szCs w:val="24"/>
              </w:rPr>
              <w:t>а</w:t>
            </w:r>
            <w:r w:rsidR="00486B70">
              <w:rPr>
                <w:rFonts w:ascii="Times New Roman" w:hAnsi="Times New Roman" w:cs="Times New Roman"/>
                <w:sz w:val="24"/>
                <w:szCs w:val="24"/>
              </w:rPr>
              <w:t>тологическим обслуживанием и скорой медицинской помощью)</w:t>
            </w:r>
          </w:p>
        </w:tc>
        <w:tc>
          <w:tcPr>
            <w:tcW w:w="2268" w:type="dxa"/>
            <w:vAlign w:val="center"/>
          </w:tcPr>
          <w:p w:rsidR="005C1A16" w:rsidRPr="005C1A16" w:rsidRDefault="005C1A16" w:rsidP="005C1A16">
            <w:pPr>
              <w:autoSpaceDE w:val="0"/>
              <w:autoSpaceDN w:val="0"/>
              <w:adjustRightInd w:val="0"/>
              <w:spacing w:line="360" w:lineRule="auto"/>
              <w:jc w:val="center"/>
              <w:rPr>
                <w:rFonts w:ascii="Times New Roman" w:hAnsi="Times New Roman" w:cs="Times New Roman"/>
                <w:sz w:val="24"/>
                <w:szCs w:val="24"/>
              </w:rPr>
            </w:pPr>
            <w:r w:rsidRPr="005C1A16">
              <w:rPr>
                <w:rFonts w:ascii="Times New Roman" w:hAnsi="Times New Roman" w:cs="Times New Roman"/>
                <w:sz w:val="24"/>
                <w:szCs w:val="24"/>
              </w:rPr>
              <w:t>Всегда</w:t>
            </w:r>
          </w:p>
        </w:tc>
        <w:tc>
          <w:tcPr>
            <w:tcW w:w="2268" w:type="dxa"/>
            <w:vAlign w:val="center"/>
          </w:tcPr>
          <w:p w:rsidR="005C1A16" w:rsidRPr="005C1A16" w:rsidRDefault="005C1A16" w:rsidP="005C1A16">
            <w:pPr>
              <w:autoSpaceDE w:val="0"/>
              <w:autoSpaceDN w:val="0"/>
              <w:adjustRightInd w:val="0"/>
              <w:spacing w:line="360" w:lineRule="auto"/>
              <w:jc w:val="center"/>
              <w:rPr>
                <w:rFonts w:ascii="Times New Roman" w:hAnsi="Times New Roman" w:cs="Times New Roman"/>
                <w:sz w:val="24"/>
                <w:szCs w:val="24"/>
              </w:rPr>
            </w:pPr>
            <w:r w:rsidRPr="005C1A16">
              <w:rPr>
                <w:rFonts w:ascii="Times New Roman" w:hAnsi="Times New Roman" w:cs="Times New Roman"/>
                <w:sz w:val="24"/>
                <w:szCs w:val="24"/>
              </w:rPr>
              <w:t>Примерно 80%</w:t>
            </w:r>
          </w:p>
        </w:tc>
      </w:tr>
      <w:tr w:rsidR="005C1A16" w:rsidTr="0012647D">
        <w:trPr>
          <w:trHeight w:hRule="exact" w:val="624"/>
          <w:jc w:val="center"/>
        </w:trPr>
        <w:tc>
          <w:tcPr>
            <w:tcW w:w="4517" w:type="dxa"/>
            <w:vAlign w:val="center"/>
          </w:tcPr>
          <w:p w:rsidR="005C1A16" w:rsidRDefault="00486B70" w:rsidP="00486B70">
            <w:pPr>
              <w:autoSpaceDE w:val="0"/>
              <w:autoSpaceDN w:val="0"/>
              <w:adjustRightInd w:val="0"/>
              <w:rPr>
                <w:rFonts w:ascii="Times New Roman" w:hAnsi="Times New Roman" w:cs="Times New Roman"/>
                <w:sz w:val="28"/>
                <w:szCs w:val="28"/>
              </w:rPr>
            </w:pPr>
            <w:r>
              <w:rPr>
                <w:rFonts w:ascii="Times New Roman" w:hAnsi="Times New Roman" w:cs="Times New Roman"/>
                <w:sz w:val="24"/>
                <w:szCs w:val="24"/>
              </w:rPr>
              <w:t>Стационарное</w:t>
            </w:r>
            <w:r w:rsidRPr="005C1A16">
              <w:rPr>
                <w:rFonts w:ascii="Times New Roman" w:hAnsi="Times New Roman" w:cs="Times New Roman"/>
                <w:sz w:val="24"/>
                <w:szCs w:val="24"/>
              </w:rPr>
              <w:t xml:space="preserve"> обслуживание</w:t>
            </w:r>
            <w:r>
              <w:rPr>
                <w:rFonts w:ascii="Times New Roman" w:hAnsi="Times New Roman" w:cs="Times New Roman"/>
                <w:sz w:val="24"/>
                <w:szCs w:val="24"/>
              </w:rPr>
              <w:t xml:space="preserve"> (экстренно и в плановом порядке)</w:t>
            </w:r>
          </w:p>
        </w:tc>
        <w:tc>
          <w:tcPr>
            <w:tcW w:w="2268" w:type="dxa"/>
            <w:vAlign w:val="center"/>
          </w:tcPr>
          <w:p w:rsidR="005C1A16" w:rsidRPr="005C1A16" w:rsidRDefault="005C1A16" w:rsidP="00486B70">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Практически всегда</w:t>
            </w:r>
          </w:p>
        </w:tc>
        <w:tc>
          <w:tcPr>
            <w:tcW w:w="2268" w:type="dxa"/>
            <w:vAlign w:val="center"/>
          </w:tcPr>
          <w:p w:rsidR="005C1A16" w:rsidRPr="005C1A16" w:rsidRDefault="005C1A16" w:rsidP="00486B70">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Практически всегда</w:t>
            </w:r>
          </w:p>
        </w:tc>
      </w:tr>
      <w:tr w:rsidR="005C1A16" w:rsidRPr="00486B70" w:rsidTr="0012647D">
        <w:trPr>
          <w:trHeight w:hRule="exact" w:val="624"/>
          <w:jc w:val="center"/>
        </w:trPr>
        <w:tc>
          <w:tcPr>
            <w:tcW w:w="4517" w:type="dxa"/>
            <w:vAlign w:val="center"/>
          </w:tcPr>
          <w:p w:rsidR="005C1A16" w:rsidRPr="00486B70" w:rsidRDefault="00486B70" w:rsidP="00486B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486B70">
              <w:rPr>
                <w:rFonts w:ascii="Times New Roman" w:hAnsi="Times New Roman" w:cs="Times New Roman"/>
                <w:sz w:val="24"/>
                <w:szCs w:val="24"/>
              </w:rPr>
              <w:t>томатологическое обслуживание (в специализированных клинках)</w:t>
            </w:r>
          </w:p>
        </w:tc>
        <w:tc>
          <w:tcPr>
            <w:tcW w:w="2268" w:type="dxa"/>
            <w:vAlign w:val="center"/>
          </w:tcPr>
          <w:p w:rsidR="005C1A16" w:rsidRPr="005C1A16" w:rsidRDefault="005C1A16" w:rsidP="00486B70">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Часто</w:t>
            </w:r>
          </w:p>
        </w:tc>
        <w:tc>
          <w:tcPr>
            <w:tcW w:w="2268" w:type="dxa"/>
            <w:vAlign w:val="center"/>
          </w:tcPr>
          <w:p w:rsidR="005C1A16" w:rsidRPr="005C1A16" w:rsidRDefault="005C1A16" w:rsidP="00486B70">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Часто</w:t>
            </w:r>
          </w:p>
        </w:tc>
      </w:tr>
      <w:tr w:rsidR="005C1A16" w:rsidRPr="00486B70" w:rsidTr="0012647D">
        <w:trPr>
          <w:trHeight w:hRule="exact" w:val="340"/>
          <w:jc w:val="center"/>
        </w:trPr>
        <w:tc>
          <w:tcPr>
            <w:tcW w:w="4517" w:type="dxa"/>
            <w:vAlign w:val="center"/>
          </w:tcPr>
          <w:p w:rsidR="005C1A16" w:rsidRPr="00486B70" w:rsidRDefault="00486B70" w:rsidP="00486B7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w:t>
            </w:r>
            <w:r w:rsidRPr="00486B70">
              <w:rPr>
                <w:rFonts w:ascii="Times New Roman" w:hAnsi="Times New Roman" w:cs="Times New Roman"/>
                <w:sz w:val="24"/>
                <w:szCs w:val="24"/>
              </w:rPr>
              <w:t>кор</w:t>
            </w:r>
            <w:r>
              <w:rPr>
                <w:rFonts w:ascii="Times New Roman" w:hAnsi="Times New Roman" w:cs="Times New Roman"/>
                <w:sz w:val="24"/>
                <w:szCs w:val="24"/>
              </w:rPr>
              <w:t>ая</w:t>
            </w:r>
            <w:r w:rsidRPr="00486B70">
              <w:rPr>
                <w:rFonts w:ascii="Times New Roman" w:hAnsi="Times New Roman" w:cs="Times New Roman"/>
                <w:sz w:val="24"/>
                <w:szCs w:val="24"/>
              </w:rPr>
              <w:t xml:space="preserve"> медицинск</w:t>
            </w:r>
            <w:r>
              <w:rPr>
                <w:rFonts w:ascii="Times New Roman" w:hAnsi="Times New Roman" w:cs="Times New Roman"/>
                <w:sz w:val="24"/>
                <w:szCs w:val="24"/>
              </w:rPr>
              <w:t>ая</w:t>
            </w:r>
            <w:r w:rsidRPr="00486B70">
              <w:rPr>
                <w:rFonts w:ascii="Times New Roman" w:hAnsi="Times New Roman" w:cs="Times New Roman"/>
                <w:sz w:val="24"/>
                <w:szCs w:val="24"/>
              </w:rPr>
              <w:t xml:space="preserve"> помощ</w:t>
            </w:r>
            <w:r>
              <w:rPr>
                <w:rFonts w:ascii="Times New Roman" w:hAnsi="Times New Roman" w:cs="Times New Roman"/>
                <w:sz w:val="24"/>
                <w:szCs w:val="24"/>
              </w:rPr>
              <w:t>ь</w:t>
            </w:r>
          </w:p>
        </w:tc>
        <w:tc>
          <w:tcPr>
            <w:tcW w:w="2268" w:type="dxa"/>
            <w:vAlign w:val="center"/>
          </w:tcPr>
          <w:p w:rsidR="005C1A16" w:rsidRPr="005C1A16" w:rsidRDefault="005C1A16" w:rsidP="00486B70">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Часто</w:t>
            </w:r>
          </w:p>
        </w:tc>
        <w:tc>
          <w:tcPr>
            <w:tcW w:w="2268" w:type="dxa"/>
            <w:vAlign w:val="center"/>
          </w:tcPr>
          <w:p w:rsidR="005C1A16" w:rsidRPr="005C1A16" w:rsidRDefault="005C1A16" w:rsidP="00486B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Иногда</w:t>
            </w:r>
          </w:p>
        </w:tc>
      </w:tr>
      <w:tr w:rsidR="005C1A16" w:rsidTr="0012647D">
        <w:trPr>
          <w:trHeight w:hRule="exact" w:val="340"/>
          <w:jc w:val="center"/>
        </w:trPr>
        <w:tc>
          <w:tcPr>
            <w:tcW w:w="4517" w:type="dxa"/>
          </w:tcPr>
          <w:p w:rsidR="005C1A16" w:rsidRDefault="00486B70" w:rsidP="00486B70">
            <w:pPr>
              <w:autoSpaceDE w:val="0"/>
              <w:autoSpaceDN w:val="0"/>
              <w:adjustRightInd w:val="0"/>
              <w:rPr>
                <w:rFonts w:ascii="Times New Roman" w:hAnsi="Times New Roman" w:cs="Times New Roman"/>
                <w:sz w:val="28"/>
                <w:szCs w:val="28"/>
              </w:rPr>
            </w:pPr>
            <w:r w:rsidRPr="00486B70">
              <w:rPr>
                <w:rFonts w:ascii="Times New Roman" w:hAnsi="Times New Roman" w:cs="Times New Roman"/>
                <w:sz w:val="24"/>
                <w:szCs w:val="24"/>
              </w:rPr>
              <w:t>Ведение беременности</w:t>
            </w:r>
          </w:p>
        </w:tc>
        <w:tc>
          <w:tcPr>
            <w:tcW w:w="2268" w:type="dxa"/>
            <w:vAlign w:val="center"/>
          </w:tcPr>
          <w:p w:rsidR="005C1A16" w:rsidRDefault="005C1A16" w:rsidP="005C1A16">
            <w:pPr>
              <w:autoSpaceDE w:val="0"/>
              <w:autoSpaceDN w:val="0"/>
              <w:adjustRightInd w:val="0"/>
              <w:spacing w:line="360" w:lineRule="auto"/>
              <w:jc w:val="center"/>
              <w:rPr>
                <w:rFonts w:ascii="Times New Roman" w:hAnsi="Times New Roman" w:cs="Times New Roman"/>
                <w:sz w:val="28"/>
                <w:szCs w:val="28"/>
              </w:rPr>
            </w:pPr>
            <w:r w:rsidRPr="005C1A16">
              <w:rPr>
                <w:rFonts w:ascii="Times New Roman" w:hAnsi="Times New Roman" w:cs="Times New Roman"/>
                <w:sz w:val="24"/>
                <w:szCs w:val="24"/>
              </w:rPr>
              <w:t>Очень редко</w:t>
            </w:r>
          </w:p>
        </w:tc>
        <w:tc>
          <w:tcPr>
            <w:tcW w:w="2268" w:type="dxa"/>
            <w:vAlign w:val="center"/>
          </w:tcPr>
          <w:p w:rsidR="005C1A16" w:rsidRDefault="005C1A16" w:rsidP="005C1A1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4"/>
                <w:szCs w:val="24"/>
              </w:rPr>
              <w:t>Иногда</w:t>
            </w:r>
          </w:p>
        </w:tc>
      </w:tr>
      <w:tr w:rsidR="005C1A16" w:rsidRPr="00486B70" w:rsidTr="0012647D">
        <w:trPr>
          <w:trHeight w:hRule="exact" w:val="340"/>
          <w:jc w:val="center"/>
        </w:trPr>
        <w:tc>
          <w:tcPr>
            <w:tcW w:w="4517" w:type="dxa"/>
          </w:tcPr>
          <w:p w:rsidR="005C1A16" w:rsidRPr="00486B70" w:rsidRDefault="00486B70" w:rsidP="00486B70">
            <w:pPr>
              <w:autoSpaceDE w:val="0"/>
              <w:autoSpaceDN w:val="0"/>
              <w:adjustRightInd w:val="0"/>
              <w:rPr>
                <w:rFonts w:ascii="Times New Roman" w:hAnsi="Times New Roman" w:cs="Times New Roman"/>
                <w:sz w:val="24"/>
                <w:szCs w:val="24"/>
              </w:rPr>
            </w:pPr>
            <w:r w:rsidRPr="00486B70">
              <w:rPr>
                <w:rFonts w:ascii="Times New Roman" w:hAnsi="Times New Roman" w:cs="Times New Roman"/>
                <w:sz w:val="24"/>
                <w:szCs w:val="24"/>
              </w:rPr>
              <w:t>Программа «Роды»</w:t>
            </w:r>
          </w:p>
        </w:tc>
        <w:tc>
          <w:tcPr>
            <w:tcW w:w="2268" w:type="dxa"/>
            <w:vAlign w:val="center"/>
          </w:tcPr>
          <w:p w:rsidR="005C1A16" w:rsidRPr="00486B70" w:rsidRDefault="005C1A16" w:rsidP="00486B70">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Очень редко</w:t>
            </w:r>
          </w:p>
        </w:tc>
        <w:tc>
          <w:tcPr>
            <w:tcW w:w="2268" w:type="dxa"/>
            <w:vAlign w:val="center"/>
          </w:tcPr>
          <w:p w:rsidR="005C1A16" w:rsidRPr="00486B70" w:rsidRDefault="005C1A16" w:rsidP="00486B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Иногда</w:t>
            </w:r>
          </w:p>
        </w:tc>
      </w:tr>
      <w:tr w:rsidR="005C1A16" w:rsidRPr="00ED6A44" w:rsidTr="0012647D">
        <w:trPr>
          <w:trHeight w:hRule="exact" w:val="340"/>
          <w:jc w:val="center"/>
        </w:trPr>
        <w:tc>
          <w:tcPr>
            <w:tcW w:w="4517" w:type="dxa"/>
            <w:vAlign w:val="center"/>
          </w:tcPr>
          <w:p w:rsidR="005C1A16" w:rsidRPr="00ED6A44" w:rsidRDefault="00ED6A44" w:rsidP="00ED6A44">
            <w:pPr>
              <w:autoSpaceDE w:val="0"/>
              <w:autoSpaceDN w:val="0"/>
              <w:adjustRightInd w:val="0"/>
              <w:rPr>
                <w:rFonts w:ascii="Times New Roman" w:hAnsi="Times New Roman" w:cs="Times New Roman"/>
                <w:sz w:val="24"/>
                <w:szCs w:val="24"/>
              </w:rPr>
            </w:pPr>
            <w:r w:rsidRPr="00ED6A44">
              <w:rPr>
                <w:rFonts w:ascii="Times New Roman" w:hAnsi="Times New Roman" w:cs="Times New Roman"/>
                <w:sz w:val="24"/>
                <w:szCs w:val="24"/>
              </w:rPr>
              <w:t>Обслуживание детей до 18 лет</w:t>
            </w:r>
          </w:p>
        </w:tc>
        <w:tc>
          <w:tcPr>
            <w:tcW w:w="2268" w:type="dxa"/>
            <w:vAlign w:val="center"/>
          </w:tcPr>
          <w:p w:rsidR="005C1A16" w:rsidRPr="00ED6A44" w:rsidRDefault="005C1A16" w:rsidP="00ED6A44">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Очень редко</w:t>
            </w:r>
          </w:p>
        </w:tc>
        <w:tc>
          <w:tcPr>
            <w:tcW w:w="2268" w:type="dxa"/>
            <w:vAlign w:val="center"/>
          </w:tcPr>
          <w:p w:rsidR="005C1A16" w:rsidRPr="00ED6A44" w:rsidRDefault="005C1A16" w:rsidP="00ED6A4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Иногда</w:t>
            </w:r>
          </w:p>
        </w:tc>
      </w:tr>
      <w:tr w:rsidR="005C1A16" w:rsidRPr="00ED6A44" w:rsidTr="0012647D">
        <w:trPr>
          <w:trHeight w:hRule="exact" w:val="340"/>
          <w:jc w:val="center"/>
        </w:trPr>
        <w:tc>
          <w:tcPr>
            <w:tcW w:w="4517" w:type="dxa"/>
            <w:vAlign w:val="center"/>
          </w:tcPr>
          <w:p w:rsidR="005C1A16" w:rsidRPr="00ED6A44" w:rsidRDefault="00ED6A44" w:rsidP="00ED6A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Санаторно-курортное лечение</w:t>
            </w:r>
          </w:p>
        </w:tc>
        <w:tc>
          <w:tcPr>
            <w:tcW w:w="2268" w:type="dxa"/>
            <w:vAlign w:val="center"/>
          </w:tcPr>
          <w:p w:rsidR="005C1A16" w:rsidRPr="005C1A16" w:rsidRDefault="005C1A16" w:rsidP="00FE01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Иногда</w:t>
            </w:r>
          </w:p>
        </w:tc>
        <w:tc>
          <w:tcPr>
            <w:tcW w:w="2268" w:type="dxa"/>
            <w:vAlign w:val="center"/>
          </w:tcPr>
          <w:p w:rsidR="005C1A16" w:rsidRDefault="005C1A16" w:rsidP="00FE01E6">
            <w:pPr>
              <w:autoSpaceDE w:val="0"/>
              <w:autoSpaceDN w:val="0"/>
              <w:adjustRightInd w:val="0"/>
              <w:jc w:val="center"/>
              <w:rPr>
                <w:rFonts w:ascii="Times New Roman" w:hAnsi="Times New Roman" w:cs="Times New Roman"/>
                <w:sz w:val="24"/>
                <w:szCs w:val="24"/>
              </w:rPr>
            </w:pPr>
            <w:r w:rsidRPr="005C1A16">
              <w:rPr>
                <w:rFonts w:ascii="Times New Roman" w:hAnsi="Times New Roman" w:cs="Times New Roman"/>
                <w:sz w:val="24"/>
                <w:szCs w:val="24"/>
              </w:rPr>
              <w:t>Очень редко</w:t>
            </w:r>
          </w:p>
        </w:tc>
      </w:tr>
    </w:tbl>
    <w:p w:rsidR="007472B6" w:rsidRDefault="007472B6" w:rsidP="007472B6">
      <w:pPr>
        <w:spacing w:before="80" w:after="0" w:line="360" w:lineRule="auto"/>
        <w:ind w:firstLine="709"/>
        <w:jc w:val="both"/>
        <w:rPr>
          <w:rFonts w:ascii="Times New Roman" w:hAnsi="Times New Roman" w:cs="Times New Roman"/>
          <w:sz w:val="28"/>
          <w:szCs w:val="28"/>
        </w:rPr>
      </w:pPr>
      <w:r w:rsidRPr="00EA7579">
        <w:rPr>
          <w:rFonts w:ascii="Times New Roman" w:hAnsi="Times New Roman" w:cs="Times New Roman"/>
          <w:i/>
        </w:rPr>
        <w:t>Источник:</w:t>
      </w:r>
      <w:r w:rsidR="00E613CF" w:rsidRPr="00E613CF">
        <w:t xml:space="preserve"> </w:t>
      </w:r>
      <w:r w:rsidR="00E613CF" w:rsidRPr="00E613CF">
        <w:rPr>
          <w:rFonts w:ascii="Times New Roman" w:hAnsi="Times New Roman" w:cs="Times New Roman"/>
        </w:rPr>
        <w:t>http://www.mrs.org.uk/</w:t>
      </w:r>
    </w:p>
    <w:p w:rsidR="001352ED" w:rsidRDefault="001352ED" w:rsidP="00265D91">
      <w:pPr>
        <w:spacing w:before="120" w:after="0" w:line="360" w:lineRule="auto"/>
        <w:ind w:firstLine="709"/>
        <w:jc w:val="both"/>
        <w:rPr>
          <w:rFonts w:ascii="Times New Roman" w:hAnsi="Times New Roman"/>
          <w:sz w:val="28"/>
          <w:szCs w:val="28"/>
        </w:rPr>
      </w:pPr>
      <w:r>
        <w:rPr>
          <w:rFonts w:ascii="Times New Roman" w:hAnsi="Times New Roman"/>
          <w:sz w:val="28"/>
          <w:szCs w:val="28"/>
        </w:rPr>
        <w:t>Стоит отметить, что в нашей стране программами ДМС, как правило, не страхуются риски серьезных заболеваний, могущих привести к летальн</w:t>
      </w:r>
      <w:r>
        <w:rPr>
          <w:rFonts w:ascii="Times New Roman" w:hAnsi="Times New Roman"/>
          <w:sz w:val="28"/>
          <w:szCs w:val="28"/>
        </w:rPr>
        <w:t>о</w:t>
      </w:r>
      <w:r>
        <w:rPr>
          <w:rFonts w:ascii="Times New Roman" w:hAnsi="Times New Roman"/>
          <w:sz w:val="28"/>
          <w:szCs w:val="28"/>
        </w:rPr>
        <w:t xml:space="preserve">му исходу, таких, как </w:t>
      </w:r>
      <w:r w:rsidR="00265D91">
        <w:rPr>
          <w:rFonts w:ascii="Times New Roman" w:hAnsi="Times New Roman"/>
          <w:sz w:val="28"/>
          <w:szCs w:val="28"/>
        </w:rPr>
        <w:t>онкологические заболевания</w:t>
      </w:r>
      <w:r w:rsidR="00265D91" w:rsidRPr="009E1FDB">
        <w:rPr>
          <w:rFonts w:ascii="Times New Roman" w:hAnsi="Times New Roman"/>
          <w:sz w:val="28"/>
          <w:szCs w:val="28"/>
        </w:rPr>
        <w:t xml:space="preserve">, осложнения, вызванные </w:t>
      </w:r>
      <w:r w:rsidR="00265D91" w:rsidRPr="009E1FDB">
        <w:rPr>
          <w:rFonts w:ascii="Times New Roman" w:hAnsi="Times New Roman"/>
          <w:sz w:val="28"/>
          <w:szCs w:val="28"/>
        </w:rPr>
        <w:lastRenderedPageBreak/>
        <w:t xml:space="preserve">врожденными </w:t>
      </w:r>
      <w:r w:rsidR="00265D91">
        <w:rPr>
          <w:rFonts w:ascii="Times New Roman" w:hAnsi="Times New Roman"/>
          <w:sz w:val="28"/>
          <w:szCs w:val="28"/>
        </w:rPr>
        <w:t>аномалиями</w:t>
      </w:r>
      <w:r w:rsidR="00265D91" w:rsidRPr="009E1FDB">
        <w:rPr>
          <w:rFonts w:ascii="Times New Roman" w:hAnsi="Times New Roman"/>
          <w:sz w:val="28"/>
          <w:szCs w:val="28"/>
        </w:rPr>
        <w:t>, заболевания, вызванные</w:t>
      </w:r>
      <w:r w:rsidR="00265D91">
        <w:rPr>
          <w:rFonts w:ascii="Times New Roman" w:hAnsi="Times New Roman"/>
          <w:sz w:val="28"/>
          <w:szCs w:val="28"/>
        </w:rPr>
        <w:t xml:space="preserve"> </w:t>
      </w:r>
      <w:r w:rsidR="00265D91" w:rsidRPr="009E1FDB">
        <w:rPr>
          <w:rFonts w:ascii="Times New Roman" w:hAnsi="Times New Roman"/>
          <w:sz w:val="28"/>
          <w:szCs w:val="28"/>
        </w:rPr>
        <w:t>употреблением наркот</w:t>
      </w:r>
      <w:r w:rsidR="00265D91" w:rsidRPr="009E1FDB">
        <w:rPr>
          <w:rFonts w:ascii="Times New Roman" w:hAnsi="Times New Roman"/>
          <w:sz w:val="28"/>
          <w:szCs w:val="28"/>
        </w:rPr>
        <w:t>и</w:t>
      </w:r>
      <w:r w:rsidR="00265D91" w:rsidRPr="009E1FDB">
        <w:rPr>
          <w:rFonts w:ascii="Times New Roman" w:hAnsi="Times New Roman"/>
          <w:sz w:val="28"/>
          <w:szCs w:val="28"/>
        </w:rPr>
        <w:t xml:space="preserve">ческих средств и алкоголя, </w:t>
      </w:r>
      <w:r w:rsidR="00265D91">
        <w:rPr>
          <w:rFonts w:ascii="Times New Roman" w:hAnsi="Times New Roman"/>
          <w:sz w:val="28"/>
          <w:szCs w:val="28"/>
        </w:rPr>
        <w:t>ВИЧ-инфекция и некоторые другие. Программы ДМС пока преимущественно ориентированы на оказание клиентам амбул</w:t>
      </w:r>
      <w:r w:rsidR="00265D91">
        <w:rPr>
          <w:rFonts w:ascii="Times New Roman" w:hAnsi="Times New Roman"/>
          <w:sz w:val="28"/>
          <w:szCs w:val="28"/>
        </w:rPr>
        <w:t>а</w:t>
      </w:r>
      <w:r w:rsidR="00265D91">
        <w:rPr>
          <w:rFonts w:ascii="Times New Roman" w:hAnsi="Times New Roman"/>
          <w:sz w:val="28"/>
          <w:szCs w:val="28"/>
        </w:rPr>
        <w:t>торной помощи, и лишь один из десяти страховых полисов предусматривает возможность лечения в стационаре.</w:t>
      </w:r>
    </w:p>
    <w:p w:rsidR="001531FC" w:rsidRDefault="001531FC" w:rsidP="001531FC">
      <w:pPr>
        <w:spacing w:after="0" w:line="360" w:lineRule="auto"/>
        <w:jc w:val="center"/>
        <w:rPr>
          <w:rFonts w:ascii="Times New Roman" w:hAnsi="Times New Roman"/>
          <w:sz w:val="28"/>
          <w:szCs w:val="28"/>
        </w:rPr>
      </w:pPr>
      <w:r w:rsidRPr="001531FC">
        <w:rPr>
          <w:rFonts w:ascii="Times New Roman" w:hAnsi="Times New Roman"/>
          <w:noProof/>
          <w:sz w:val="28"/>
          <w:szCs w:val="28"/>
          <w:lang w:eastAsia="ru-RU"/>
        </w:rPr>
        <w:drawing>
          <wp:inline distT="0" distB="0" distL="0" distR="0">
            <wp:extent cx="5305425" cy="2743200"/>
            <wp:effectExtent l="19050" t="0" r="952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31FC" w:rsidRPr="009C5075" w:rsidRDefault="001531FC" w:rsidP="002C007E">
      <w:pPr>
        <w:autoSpaceDE w:val="0"/>
        <w:autoSpaceDN w:val="0"/>
        <w:adjustRightInd w:val="0"/>
        <w:spacing w:after="0" w:line="360" w:lineRule="auto"/>
        <w:jc w:val="center"/>
        <w:rPr>
          <w:rFonts w:ascii="Times New Roman" w:hAnsi="Times New Roman"/>
          <w:i/>
          <w:color w:val="000000"/>
          <w:sz w:val="26"/>
          <w:szCs w:val="26"/>
        </w:rPr>
      </w:pPr>
      <w:r w:rsidRPr="00233750">
        <w:rPr>
          <w:rFonts w:ascii="Times New Roman" w:hAnsi="Times New Roman" w:cs="Times New Roman"/>
          <w:i/>
          <w:sz w:val="26"/>
          <w:szCs w:val="26"/>
        </w:rPr>
        <w:t xml:space="preserve">Рис. 2. </w:t>
      </w:r>
      <w:r w:rsidRPr="00233750">
        <w:rPr>
          <w:rFonts w:ascii="Times New Roman" w:hAnsi="Times New Roman"/>
          <w:i/>
          <w:color w:val="000000"/>
          <w:sz w:val="26"/>
          <w:szCs w:val="26"/>
        </w:rPr>
        <w:t>Распределение клиник, в которых обслуживаются застрахованные, по форме собственности в зависимости от стоимости страхового полиса</w:t>
      </w:r>
    </w:p>
    <w:p w:rsidR="003A59AE" w:rsidRPr="003A59AE" w:rsidRDefault="003A59AE" w:rsidP="003A59AE">
      <w:pPr>
        <w:spacing w:after="0" w:line="360" w:lineRule="auto"/>
        <w:ind w:firstLine="709"/>
        <w:jc w:val="both"/>
        <w:rPr>
          <w:rFonts w:ascii="Times New Roman" w:hAnsi="Times New Roman" w:cs="Times New Roman"/>
          <w:i/>
        </w:rPr>
      </w:pPr>
      <w:r>
        <w:rPr>
          <w:rFonts w:ascii="Times New Roman" w:hAnsi="Times New Roman" w:cs="Times New Roman"/>
          <w:i/>
        </w:rPr>
        <w:t xml:space="preserve">Источник: </w:t>
      </w:r>
      <w:r w:rsidRPr="003A59AE">
        <w:rPr>
          <w:rFonts w:ascii="Times New Roman" w:hAnsi="Times New Roman" w:cs="Times New Roman"/>
        </w:rPr>
        <w:t>http://www.iep.ru/files/text/usaid/fin-zdrav.pdf</w:t>
      </w:r>
    </w:p>
    <w:p w:rsidR="00902CF6" w:rsidRDefault="00902CF6" w:rsidP="003A59AE">
      <w:pPr>
        <w:autoSpaceDE w:val="0"/>
        <w:autoSpaceDN w:val="0"/>
        <w:adjustRightInd w:val="0"/>
        <w:spacing w:before="80" w:after="0" w:line="360" w:lineRule="auto"/>
        <w:ind w:firstLine="709"/>
        <w:jc w:val="both"/>
        <w:rPr>
          <w:rFonts w:ascii="Times New Roman" w:hAnsi="Times New Roman" w:cs="Times New Roman"/>
          <w:sz w:val="28"/>
          <w:szCs w:val="28"/>
        </w:rPr>
      </w:pPr>
      <w:r w:rsidRPr="009E1FDB">
        <w:rPr>
          <w:rFonts w:ascii="Times New Roman" w:hAnsi="Times New Roman"/>
          <w:color w:val="000000"/>
          <w:sz w:val="28"/>
          <w:szCs w:val="28"/>
        </w:rPr>
        <w:t xml:space="preserve">На </w:t>
      </w:r>
      <w:r w:rsidRPr="00606516">
        <w:rPr>
          <w:rFonts w:ascii="Times New Roman" w:hAnsi="Times New Roman"/>
          <w:iCs/>
          <w:color w:val="000000"/>
          <w:sz w:val="28"/>
          <w:szCs w:val="28"/>
        </w:rPr>
        <w:t xml:space="preserve">рис. </w:t>
      </w:r>
      <w:r>
        <w:rPr>
          <w:rFonts w:ascii="Times New Roman" w:hAnsi="Times New Roman"/>
          <w:iCs/>
          <w:color w:val="000000"/>
          <w:sz w:val="28"/>
          <w:szCs w:val="28"/>
        </w:rPr>
        <w:t>2</w:t>
      </w:r>
      <w:r w:rsidRPr="009E1FDB">
        <w:rPr>
          <w:rFonts w:ascii="Times New Roman" w:hAnsi="Times New Roman"/>
          <w:i/>
          <w:iCs/>
          <w:color w:val="000000"/>
          <w:sz w:val="28"/>
          <w:szCs w:val="28"/>
        </w:rPr>
        <w:t xml:space="preserve"> </w:t>
      </w:r>
      <w:r w:rsidRPr="009E1FDB">
        <w:rPr>
          <w:rFonts w:ascii="Times New Roman" w:hAnsi="Times New Roman"/>
          <w:color w:val="000000"/>
          <w:sz w:val="28"/>
          <w:szCs w:val="28"/>
        </w:rPr>
        <w:t xml:space="preserve">представлены данные о </w:t>
      </w:r>
      <w:r>
        <w:rPr>
          <w:rFonts w:ascii="Times New Roman" w:hAnsi="Times New Roman"/>
          <w:color w:val="000000"/>
          <w:sz w:val="28"/>
          <w:szCs w:val="28"/>
        </w:rPr>
        <w:t>распределении</w:t>
      </w:r>
      <w:r w:rsidRPr="009E1FDB">
        <w:rPr>
          <w:rFonts w:ascii="Times New Roman" w:hAnsi="Times New Roman"/>
          <w:color w:val="000000"/>
          <w:sz w:val="28"/>
          <w:szCs w:val="28"/>
        </w:rPr>
        <w:t xml:space="preserve"> </w:t>
      </w:r>
      <w:r>
        <w:rPr>
          <w:rFonts w:ascii="Times New Roman" w:hAnsi="Times New Roman"/>
          <w:color w:val="000000"/>
          <w:sz w:val="28"/>
          <w:szCs w:val="28"/>
        </w:rPr>
        <w:t>лечебных учрежд</w:t>
      </w:r>
      <w:r>
        <w:rPr>
          <w:rFonts w:ascii="Times New Roman" w:hAnsi="Times New Roman"/>
          <w:color w:val="000000"/>
          <w:sz w:val="28"/>
          <w:szCs w:val="28"/>
        </w:rPr>
        <w:t>е</w:t>
      </w:r>
      <w:r>
        <w:rPr>
          <w:rFonts w:ascii="Times New Roman" w:hAnsi="Times New Roman"/>
          <w:color w:val="000000"/>
          <w:sz w:val="28"/>
          <w:szCs w:val="28"/>
        </w:rPr>
        <w:t>ний,</w:t>
      </w:r>
      <w:r w:rsidRPr="00D3519E">
        <w:rPr>
          <w:rFonts w:ascii="Times New Roman" w:hAnsi="Times New Roman"/>
          <w:color w:val="000000"/>
          <w:sz w:val="28"/>
          <w:szCs w:val="28"/>
        </w:rPr>
        <w:t xml:space="preserve"> </w:t>
      </w:r>
      <w:r w:rsidR="00183BD7">
        <w:rPr>
          <w:rFonts w:ascii="Times New Roman" w:hAnsi="Times New Roman"/>
          <w:color w:val="000000"/>
          <w:sz w:val="28"/>
          <w:szCs w:val="28"/>
        </w:rPr>
        <w:t>в которых обслуживаются застрахованные по ДМС</w:t>
      </w:r>
      <w:r>
        <w:rPr>
          <w:rFonts w:ascii="Times New Roman" w:hAnsi="Times New Roman"/>
          <w:color w:val="000000"/>
          <w:sz w:val="28"/>
          <w:szCs w:val="28"/>
        </w:rPr>
        <w:t xml:space="preserve">, </w:t>
      </w:r>
      <w:r w:rsidRPr="009E1FDB">
        <w:rPr>
          <w:rFonts w:ascii="Times New Roman" w:hAnsi="Times New Roman"/>
          <w:color w:val="000000"/>
          <w:sz w:val="28"/>
          <w:szCs w:val="28"/>
        </w:rPr>
        <w:t>по форме собстве</w:t>
      </w:r>
      <w:r w:rsidRPr="009E1FDB">
        <w:rPr>
          <w:rFonts w:ascii="Times New Roman" w:hAnsi="Times New Roman"/>
          <w:color w:val="000000"/>
          <w:sz w:val="28"/>
          <w:szCs w:val="28"/>
        </w:rPr>
        <w:t>н</w:t>
      </w:r>
      <w:r w:rsidRPr="009E1FDB">
        <w:rPr>
          <w:rFonts w:ascii="Times New Roman" w:hAnsi="Times New Roman"/>
          <w:color w:val="000000"/>
          <w:sz w:val="28"/>
          <w:szCs w:val="28"/>
        </w:rPr>
        <w:t xml:space="preserve">ности, в зависимости от стоимости </w:t>
      </w:r>
      <w:r w:rsidR="00183BD7">
        <w:rPr>
          <w:rFonts w:ascii="Times New Roman" w:hAnsi="Times New Roman"/>
          <w:sz w:val="28"/>
          <w:szCs w:val="28"/>
        </w:rPr>
        <w:t>приобретенной страховки</w:t>
      </w:r>
      <w:r w:rsidRPr="009E1FDB">
        <w:rPr>
          <w:rFonts w:ascii="Times New Roman" w:hAnsi="Times New Roman"/>
          <w:sz w:val="28"/>
          <w:szCs w:val="28"/>
        </w:rPr>
        <w:t xml:space="preserve">. </w:t>
      </w:r>
      <w:r w:rsidR="00183BD7">
        <w:rPr>
          <w:rFonts w:ascii="Times New Roman" w:hAnsi="Times New Roman"/>
          <w:sz w:val="28"/>
          <w:szCs w:val="28"/>
        </w:rPr>
        <w:t>Таким обр</w:t>
      </w:r>
      <w:r w:rsidR="00183BD7">
        <w:rPr>
          <w:rFonts w:ascii="Times New Roman" w:hAnsi="Times New Roman"/>
          <w:sz w:val="28"/>
          <w:szCs w:val="28"/>
        </w:rPr>
        <w:t>а</w:t>
      </w:r>
      <w:r w:rsidR="00183BD7">
        <w:rPr>
          <w:rFonts w:ascii="Times New Roman" w:hAnsi="Times New Roman"/>
          <w:sz w:val="28"/>
          <w:szCs w:val="28"/>
        </w:rPr>
        <w:t>зом, вероятность быть прикрепленным к государственной клинике уменьш</w:t>
      </w:r>
      <w:r w:rsidR="00183BD7">
        <w:rPr>
          <w:rFonts w:ascii="Times New Roman" w:hAnsi="Times New Roman"/>
          <w:sz w:val="28"/>
          <w:szCs w:val="28"/>
        </w:rPr>
        <w:t>а</w:t>
      </w:r>
      <w:r w:rsidR="00183BD7">
        <w:rPr>
          <w:rFonts w:ascii="Times New Roman" w:hAnsi="Times New Roman"/>
          <w:sz w:val="28"/>
          <w:szCs w:val="28"/>
        </w:rPr>
        <w:t>ется</w:t>
      </w:r>
      <w:r w:rsidRPr="009E1FDB">
        <w:rPr>
          <w:rFonts w:ascii="Times New Roman" w:hAnsi="Times New Roman"/>
          <w:sz w:val="28"/>
          <w:szCs w:val="28"/>
        </w:rPr>
        <w:t xml:space="preserve"> по мере удорожания </w:t>
      </w:r>
      <w:r w:rsidR="00183BD7">
        <w:rPr>
          <w:rFonts w:ascii="Times New Roman" w:hAnsi="Times New Roman"/>
          <w:sz w:val="28"/>
          <w:szCs w:val="28"/>
        </w:rPr>
        <w:t>страхового полиса</w:t>
      </w:r>
      <w:r w:rsidRPr="009E1FDB">
        <w:rPr>
          <w:rFonts w:ascii="Times New Roman" w:hAnsi="Times New Roman"/>
          <w:sz w:val="28"/>
          <w:szCs w:val="28"/>
        </w:rPr>
        <w:t xml:space="preserve">, </w:t>
      </w:r>
      <w:r w:rsidR="002964EC">
        <w:rPr>
          <w:rFonts w:ascii="Times New Roman" w:hAnsi="Times New Roman"/>
          <w:sz w:val="28"/>
          <w:szCs w:val="28"/>
        </w:rPr>
        <w:t>а к частной – возрастает</w:t>
      </w:r>
      <w:r w:rsidR="00183BD7">
        <w:rPr>
          <w:rFonts w:ascii="Times New Roman" w:hAnsi="Times New Roman"/>
          <w:sz w:val="28"/>
          <w:szCs w:val="28"/>
        </w:rPr>
        <w:t>.</w:t>
      </w:r>
    </w:p>
    <w:p w:rsidR="003D350E" w:rsidRDefault="003D350E" w:rsidP="002C00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Страховое покрытие по ДМС может устанавливаться в форме:</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664C5C">
        <w:rPr>
          <w:rFonts w:ascii="Times New Roman" w:hAnsi="Times New Roman" w:cs="Times New Roman"/>
          <w:i/>
          <w:sz w:val="28"/>
          <w:szCs w:val="28"/>
        </w:rPr>
        <w:t>твердо</w:t>
      </w:r>
      <w:r>
        <w:rPr>
          <w:rFonts w:ascii="Times New Roman" w:hAnsi="Times New Roman" w:cs="Times New Roman"/>
          <w:i/>
          <w:sz w:val="28"/>
          <w:szCs w:val="28"/>
        </w:rPr>
        <w:t xml:space="preserve">й </w:t>
      </w:r>
      <w:r w:rsidRPr="00664C5C">
        <w:rPr>
          <w:rFonts w:ascii="Times New Roman" w:hAnsi="Times New Roman" w:cs="Times New Roman"/>
          <w:i/>
          <w:sz w:val="28"/>
          <w:szCs w:val="28"/>
        </w:rPr>
        <w:t>страховой суммы</w:t>
      </w:r>
      <w:r>
        <w:rPr>
          <w:rFonts w:ascii="Times New Roman" w:hAnsi="Times New Roman" w:cs="Times New Roman"/>
          <w:sz w:val="28"/>
          <w:szCs w:val="28"/>
        </w:rPr>
        <w:t>, в пределах которой страховая организация о</w:t>
      </w:r>
      <w:r>
        <w:rPr>
          <w:rFonts w:ascii="Times New Roman" w:hAnsi="Times New Roman" w:cs="Times New Roman"/>
          <w:sz w:val="28"/>
          <w:szCs w:val="28"/>
        </w:rPr>
        <w:t>п</w:t>
      </w:r>
      <w:r>
        <w:rPr>
          <w:rFonts w:ascii="Times New Roman" w:hAnsi="Times New Roman" w:cs="Times New Roman"/>
          <w:sz w:val="28"/>
          <w:szCs w:val="28"/>
        </w:rPr>
        <w:t xml:space="preserve">лачивает годовое медицинское обслуживание </w:t>
      </w:r>
      <w:proofErr w:type="gramStart"/>
      <w:r>
        <w:rPr>
          <w:rFonts w:ascii="Times New Roman" w:hAnsi="Times New Roman" w:cs="Times New Roman"/>
          <w:sz w:val="28"/>
          <w:szCs w:val="28"/>
        </w:rPr>
        <w:t>застрахованного</w:t>
      </w:r>
      <w:proofErr w:type="gramEnd"/>
      <w:r>
        <w:rPr>
          <w:rFonts w:ascii="Times New Roman" w:hAnsi="Times New Roman" w:cs="Times New Roman"/>
          <w:sz w:val="28"/>
          <w:szCs w:val="28"/>
        </w:rPr>
        <w:t>;</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4C201B">
        <w:rPr>
          <w:rFonts w:ascii="Times New Roman" w:hAnsi="Times New Roman" w:cs="Times New Roman"/>
          <w:i/>
          <w:sz w:val="28"/>
          <w:szCs w:val="28"/>
        </w:rPr>
        <w:t>перечня страховых случа</w:t>
      </w:r>
      <w:r>
        <w:rPr>
          <w:rFonts w:ascii="Times New Roman" w:hAnsi="Times New Roman" w:cs="Times New Roman"/>
          <w:i/>
          <w:sz w:val="28"/>
          <w:szCs w:val="28"/>
        </w:rPr>
        <w:t>ев</w:t>
      </w:r>
      <w:r>
        <w:rPr>
          <w:rFonts w:ascii="Times New Roman" w:hAnsi="Times New Roman" w:cs="Times New Roman"/>
          <w:sz w:val="28"/>
          <w:szCs w:val="28"/>
        </w:rPr>
        <w:t>, при наступлении которых полностью оплач</w:t>
      </w:r>
      <w:r>
        <w:rPr>
          <w:rFonts w:ascii="Times New Roman" w:hAnsi="Times New Roman" w:cs="Times New Roman"/>
          <w:sz w:val="28"/>
          <w:szCs w:val="28"/>
        </w:rPr>
        <w:t>и</w:t>
      </w:r>
      <w:r>
        <w:rPr>
          <w:rFonts w:ascii="Times New Roman" w:hAnsi="Times New Roman" w:cs="Times New Roman"/>
          <w:sz w:val="28"/>
          <w:szCs w:val="28"/>
        </w:rPr>
        <w:t>вается лечение;</w:t>
      </w:r>
    </w:p>
    <w:p w:rsidR="003D350E" w:rsidRPr="00664C5C"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4C201B">
        <w:rPr>
          <w:rFonts w:ascii="Times New Roman" w:hAnsi="Times New Roman" w:cs="Times New Roman"/>
          <w:i/>
          <w:sz w:val="28"/>
          <w:szCs w:val="28"/>
        </w:rPr>
        <w:t>перечня медицинских расходов</w:t>
      </w:r>
      <w:r>
        <w:rPr>
          <w:rFonts w:ascii="Times New Roman" w:hAnsi="Times New Roman" w:cs="Times New Roman"/>
          <w:sz w:val="28"/>
          <w:szCs w:val="28"/>
        </w:rPr>
        <w:t xml:space="preserve"> </w:t>
      </w:r>
      <w:r w:rsidRPr="004C201B">
        <w:rPr>
          <w:rFonts w:ascii="Times New Roman" w:hAnsi="Times New Roman" w:cs="Times New Roman"/>
          <w:i/>
          <w:sz w:val="28"/>
          <w:szCs w:val="28"/>
        </w:rPr>
        <w:t>с лимитом ответственности</w:t>
      </w:r>
      <w:r>
        <w:rPr>
          <w:rFonts w:ascii="Times New Roman" w:hAnsi="Times New Roman" w:cs="Times New Roman"/>
          <w:sz w:val="28"/>
          <w:szCs w:val="28"/>
        </w:rPr>
        <w:t xml:space="preserve"> страховой компании по каждому виду.</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Договор страхования может быть заключен:</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неопределенный срок – пока и страхователь, и страховщик </w:t>
      </w:r>
      <w:proofErr w:type="gramStart"/>
      <w:r>
        <w:rPr>
          <w:rFonts w:ascii="Times New Roman" w:hAnsi="Times New Roman" w:cs="Times New Roman"/>
          <w:sz w:val="28"/>
          <w:szCs w:val="28"/>
        </w:rPr>
        <w:t>заинтерес</w:t>
      </w:r>
      <w:r>
        <w:rPr>
          <w:rFonts w:ascii="Times New Roman" w:hAnsi="Times New Roman" w:cs="Times New Roman"/>
          <w:sz w:val="28"/>
          <w:szCs w:val="28"/>
        </w:rPr>
        <w:t>о</w:t>
      </w:r>
      <w:r>
        <w:rPr>
          <w:rFonts w:ascii="Times New Roman" w:hAnsi="Times New Roman" w:cs="Times New Roman"/>
          <w:sz w:val="28"/>
          <w:szCs w:val="28"/>
        </w:rPr>
        <w:t>ваны</w:t>
      </w:r>
      <w:proofErr w:type="gramEnd"/>
      <w:r>
        <w:rPr>
          <w:rFonts w:ascii="Times New Roman" w:hAnsi="Times New Roman" w:cs="Times New Roman"/>
          <w:sz w:val="28"/>
          <w:szCs w:val="28"/>
        </w:rPr>
        <w:t xml:space="preserve"> в его продолжении;</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 определенный срок – от года и более;</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 конкретный короткий период времени – на время командировки, отпуска за рубежом.</w:t>
      </w:r>
    </w:p>
    <w:p w:rsidR="003D350E" w:rsidRDefault="003D350E" w:rsidP="003D35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условиях непрерывного роста цен на медицинские услуги в России заключать долгосрочные договора страхования невыгодно в первую очередь для страхователей, поскольку страховщик всегда может скомпенсировать возросшие выплаты по счетам ЛПУ индексацией стоимости программ ДМС, тогда как страхователю, в случае расторжения договора страхования по его инициативе, будет возвращена лишь часть уплаченной страховой премии за неистекший срок страхования.</w:t>
      </w:r>
      <w:proofErr w:type="gramEnd"/>
      <w:r>
        <w:rPr>
          <w:rFonts w:ascii="Times New Roman" w:hAnsi="Times New Roman" w:cs="Times New Roman"/>
          <w:sz w:val="28"/>
          <w:szCs w:val="28"/>
        </w:rPr>
        <w:t xml:space="preserve"> Кроме того, если договор страхования закл</w:t>
      </w:r>
      <w:r>
        <w:rPr>
          <w:rFonts w:ascii="Times New Roman" w:hAnsi="Times New Roman" w:cs="Times New Roman"/>
          <w:sz w:val="28"/>
          <w:szCs w:val="28"/>
        </w:rPr>
        <w:t>ю</w:t>
      </w:r>
      <w:r>
        <w:rPr>
          <w:rFonts w:ascii="Times New Roman" w:hAnsi="Times New Roman" w:cs="Times New Roman"/>
          <w:sz w:val="28"/>
          <w:szCs w:val="28"/>
        </w:rPr>
        <w:t>чен менее чем на год (либо расторгнут досрочно), предусмотренные закон</w:t>
      </w:r>
      <w:r>
        <w:rPr>
          <w:rFonts w:ascii="Times New Roman" w:hAnsi="Times New Roman" w:cs="Times New Roman"/>
          <w:sz w:val="28"/>
          <w:szCs w:val="28"/>
        </w:rPr>
        <w:t>о</w:t>
      </w:r>
      <w:r>
        <w:rPr>
          <w:rFonts w:ascii="Times New Roman" w:hAnsi="Times New Roman" w:cs="Times New Roman"/>
          <w:sz w:val="28"/>
          <w:szCs w:val="28"/>
        </w:rPr>
        <w:t>дательством налоговые льготы распространяться на него уже не будут</w:t>
      </w:r>
      <w:r w:rsidR="003A59AE">
        <w:rPr>
          <w:rFonts w:ascii="Times New Roman" w:hAnsi="Times New Roman" w:cs="Times New Roman"/>
          <w:sz w:val="28"/>
          <w:szCs w:val="28"/>
        </w:rPr>
        <w:t xml:space="preserve"> </w:t>
      </w:r>
      <w:r w:rsidR="003A59AE" w:rsidRPr="003A59AE">
        <w:rPr>
          <w:rFonts w:ascii="Times New Roman" w:hAnsi="Times New Roman" w:cs="Times New Roman"/>
          <w:sz w:val="28"/>
          <w:szCs w:val="28"/>
        </w:rPr>
        <w:t>[15]</w:t>
      </w:r>
      <w:r>
        <w:rPr>
          <w:rFonts w:ascii="Times New Roman" w:hAnsi="Times New Roman" w:cs="Times New Roman"/>
          <w:sz w:val="28"/>
          <w:szCs w:val="28"/>
        </w:rPr>
        <w:t>.</w:t>
      </w:r>
    </w:p>
    <w:p w:rsidR="003D350E" w:rsidRDefault="003D350E" w:rsidP="00C54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договоре ДМС может оговариваться установление так называемого </w:t>
      </w:r>
      <w:r w:rsidRPr="00A97422">
        <w:rPr>
          <w:rFonts w:ascii="Times New Roman" w:hAnsi="Times New Roman" w:cs="Times New Roman"/>
          <w:i/>
          <w:sz w:val="28"/>
          <w:szCs w:val="28"/>
        </w:rPr>
        <w:t>«периода ожидания»</w:t>
      </w:r>
      <w:r>
        <w:rPr>
          <w:rFonts w:ascii="Times New Roman" w:hAnsi="Times New Roman" w:cs="Times New Roman"/>
          <w:sz w:val="28"/>
          <w:szCs w:val="28"/>
        </w:rPr>
        <w:t xml:space="preserve"> – периода времени между уплатой страховой премии и вступлением договора в силу, в течение которого страховая организация не несет ответственности по расходам, связанным с обращением застрахованн</w:t>
      </w:r>
      <w:r>
        <w:rPr>
          <w:rFonts w:ascii="Times New Roman" w:hAnsi="Times New Roman" w:cs="Times New Roman"/>
          <w:sz w:val="28"/>
          <w:szCs w:val="28"/>
        </w:rPr>
        <w:t>о</w:t>
      </w:r>
      <w:r>
        <w:rPr>
          <w:rFonts w:ascii="Times New Roman" w:hAnsi="Times New Roman" w:cs="Times New Roman"/>
          <w:sz w:val="28"/>
          <w:szCs w:val="28"/>
        </w:rPr>
        <w:t>го в медицинские учреждения по поводу установленного перечня заболев</w:t>
      </w:r>
      <w:r>
        <w:rPr>
          <w:rFonts w:ascii="Times New Roman" w:hAnsi="Times New Roman" w:cs="Times New Roman"/>
          <w:sz w:val="28"/>
          <w:szCs w:val="28"/>
        </w:rPr>
        <w:t>а</w:t>
      </w:r>
      <w:r>
        <w:rPr>
          <w:rFonts w:ascii="Times New Roman" w:hAnsi="Times New Roman" w:cs="Times New Roman"/>
          <w:sz w:val="28"/>
          <w:szCs w:val="28"/>
        </w:rPr>
        <w:t>ний. Тем самым страховщик снижает или полностью исключает риск пр</w:t>
      </w:r>
      <w:r>
        <w:rPr>
          <w:rFonts w:ascii="Times New Roman" w:hAnsi="Times New Roman" w:cs="Times New Roman"/>
          <w:sz w:val="28"/>
          <w:szCs w:val="28"/>
        </w:rPr>
        <w:t>и</w:t>
      </w:r>
      <w:r>
        <w:rPr>
          <w:rFonts w:ascii="Times New Roman" w:hAnsi="Times New Roman" w:cs="Times New Roman"/>
          <w:sz w:val="28"/>
          <w:szCs w:val="28"/>
        </w:rPr>
        <w:t>влечения в качестве потенциальных клиентов лиц, ожидающих наступления страхуемого заболевания или уже имеющего его.</w:t>
      </w:r>
    </w:p>
    <w:p w:rsidR="00C54219" w:rsidRDefault="003D350E" w:rsidP="00C542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медицинского обслуживания в системе ДМС чаще всего реал</w:t>
      </w:r>
      <w:r>
        <w:rPr>
          <w:rFonts w:ascii="Times New Roman" w:hAnsi="Times New Roman" w:cs="Times New Roman"/>
          <w:sz w:val="28"/>
          <w:szCs w:val="28"/>
        </w:rPr>
        <w:t>и</w:t>
      </w:r>
      <w:r>
        <w:rPr>
          <w:rFonts w:ascii="Times New Roman" w:hAnsi="Times New Roman" w:cs="Times New Roman"/>
          <w:sz w:val="28"/>
          <w:szCs w:val="28"/>
        </w:rPr>
        <w:t>зуется посредством направления лечебно-профилактическим учреждением счета на оплату оказанных услуг непосредственно страховой компании (</w:t>
      </w:r>
      <w:r w:rsidR="008A40AE" w:rsidRPr="008A40AE">
        <w:rPr>
          <w:rFonts w:ascii="Times New Roman" w:hAnsi="Times New Roman" w:cs="Times New Roman"/>
          <w:sz w:val="28"/>
          <w:szCs w:val="28"/>
        </w:rPr>
        <w:t>р</w:t>
      </w:r>
      <w:r w:rsidRPr="008A40AE">
        <w:rPr>
          <w:rFonts w:ascii="Times New Roman" w:hAnsi="Times New Roman" w:cs="Times New Roman"/>
          <w:sz w:val="28"/>
          <w:szCs w:val="28"/>
        </w:rPr>
        <w:t>ис.</w:t>
      </w:r>
      <w:r w:rsidRPr="001F3B2C">
        <w:rPr>
          <w:rFonts w:ascii="Times New Roman" w:hAnsi="Times New Roman" w:cs="Times New Roman"/>
          <w:i/>
          <w:sz w:val="28"/>
          <w:szCs w:val="28"/>
        </w:rPr>
        <w:t xml:space="preserve"> </w:t>
      </w:r>
      <w:r w:rsidR="00DA62A2">
        <w:rPr>
          <w:rFonts w:ascii="Times New Roman" w:hAnsi="Times New Roman" w:cs="Times New Roman"/>
          <w:sz w:val="28"/>
          <w:szCs w:val="28"/>
        </w:rPr>
        <w:t>3</w:t>
      </w:r>
      <w:r>
        <w:rPr>
          <w:rFonts w:ascii="Times New Roman" w:hAnsi="Times New Roman" w:cs="Times New Roman"/>
          <w:sz w:val="28"/>
          <w:szCs w:val="28"/>
        </w:rPr>
        <w:t>). Однако способы оплаты услуг ЛПУ могут варьироваться, например, в случае если медицинское учреждение находится в собственности страховщ</w:t>
      </w:r>
      <w:r>
        <w:rPr>
          <w:rFonts w:ascii="Times New Roman" w:hAnsi="Times New Roman" w:cs="Times New Roman"/>
          <w:sz w:val="28"/>
          <w:szCs w:val="28"/>
        </w:rPr>
        <w:t>и</w:t>
      </w:r>
      <w:r>
        <w:rPr>
          <w:rFonts w:ascii="Times New Roman" w:hAnsi="Times New Roman" w:cs="Times New Roman"/>
          <w:sz w:val="28"/>
          <w:szCs w:val="28"/>
        </w:rPr>
        <w:t xml:space="preserve">ка или если </w:t>
      </w:r>
      <w:proofErr w:type="gramStart"/>
      <w:r>
        <w:rPr>
          <w:rFonts w:ascii="Times New Roman" w:hAnsi="Times New Roman" w:cs="Times New Roman"/>
          <w:sz w:val="28"/>
          <w:szCs w:val="28"/>
        </w:rPr>
        <w:t>застрахованный</w:t>
      </w:r>
      <w:proofErr w:type="gramEnd"/>
      <w:r>
        <w:rPr>
          <w:rFonts w:ascii="Times New Roman" w:hAnsi="Times New Roman" w:cs="Times New Roman"/>
          <w:sz w:val="28"/>
          <w:szCs w:val="28"/>
        </w:rPr>
        <w:t xml:space="preserve"> направляется на лечение в зарубежную клинику, требующую предварительной оплаты предоставляемых медицинских услуг (до наступления страхового случая).</w:t>
      </w:r>
    </w:p>
    <w:p w:rsidR="00C54219" w:rsidRDefault="002E56D5" w:rsidP="00C54219">
      <w:pPr>
        <w:spacing w:after="0" w:line="360" w:lineRule="auto"/>
        <w:jc w:val="center"/>
        <w:rPr>
          <w:rFonts w:ascii="Times New Roman" w:hAnsi="Times New Roman" w:cs="Times New Roman"/>
          <w:sz w:val="28"/>
          <w:szCs w:val="28"/>
        </w:rPr>
      </w:pPr>
      <w:r w:rsidRPr="002E56D5">
        <w:rPr>
          <w:rFonts w:ascii="Times New Roman" w:hAnsi="Times New Roman" w:cs="Times New Roman"/>
          <w:noProof/>
          <w:sz w:val="28"/>
          <w:szCs w:val="28"/>
          <w:lang w:eastAsia="ru-RU"/>
        </w:rPr>
        <w:lastRenderedPageBreak/>
        <w:drawing>
          <wp:inline distT="0" distB="0" distL="0" distR="0">
            <wp:extent cx="5667375" cy="2428875"/>
            <wp:effectExtent l="19050" t="0" r="0" b="0"/>
            <wp:docPr id="11"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29490" cy="3388538"/>
                      <a:chOff x="971600" y="1052736"/>
                      <a:chExt cx="7529490" cy="3388538"/>
                    </a:xfrm>
                  </a:grpSpPr>
                  <a:grpSp>
                    <a:nvGrpSpPr>
                      <a:cNvPr id="18" name="Группа 17"/>
                      <a:cNvGrpSpPr/>
                    </a:nvGrpSpPr>
                    <a:grpSpPr>
                      <a:xfrm>
                        <a:off x="971600" y="1052736"/>
                        <a:ext cx="7529490" cy="3388538"/>
                        <a:chOff x="971600" y="1052736"/>
                        <a:chExt cx="7529490" cy="3388538"/>
                      </a:xfrm>
                    </a:grpSpPr>
                    <a:grpSp>
                      <a:nvGrpSpPr>
                        <a:cNvPr id="3" name="Группа 37"/>
                        <a:cNvGrpSpPr/>
                      </a:nvGrpSpPr>
                      <a:grpSpPr>
                        <a:xfrm>
                          <a:off x="971600" y="1052736"/>
                          <a:ext cx="7529490" cy="3388538"/>
                          <a:chOff x="971600" y="1052736"/>
                          <a:chExt cx="7529490" cy="3388538"/>
                        </a:xfrm>
                      </a:grpSpPr>
                      <a:sp>
                        <a:nvSpPr>
                          <a:cNvPr id="4" name="Скругленный прямоугольник 3"/>
                          <a:cNvSpPr/>
                        </a:nvSpPr>
                        <a:spPr>
                          <a:xfrm>
                            <a:off x="3563888" y="1052736"/>
                            <a:ext cx="1872208" cy="720080"/>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2000" b="1" dirty="0" smtClean="0">
                                  <a:latin typeface="Times New Roman" pitchFamily="18" charset="0"/>
                                  <a:cs typeface="Times New Roman" pitchFamily="18" charset="0"/>
                                </a:rPr>
                                <a:t>Страховщик</a:t>
                              </a:r>
                              <a:endParaRPr lang="ru-RU" sz="2000"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5" name="Скругленный прямоугольник 4"/>
                          <a:cNvSpPr/>
                        </a:nvSpPr>
                        <a:spPr>
                          <a:xfrm>
                            <a:off x="6372200" y="3501008"/>
                            <a:ext cx="1872208" cy="720080"/>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2000" b="1" dirty="0" smtClean="0">
                                  <a:latin typeface="Times New Roman" pitchFamily="18" charset="0"/>
                                  <a:cs typeface="Times New Roman" pitchFamily="18" charset="0"/>
                                </a:rPr>
                                <a:t>Страхователь</a:t>
                              </a:r>
                              <a:endParaRPr lang="ru-RU" sz="2000"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6" name="Скругленный прямоугольник 5"/>
                          <a:cNvSpPr/>
                        </a:nvSpPr>
                        <a:spPr>
                          <a:xfrm>
                            <a:off x="971600" y="3501008"/>
                            <a:ext cx="1872208" cy="720080"/>
                          </a:xfrm>
                          <a:prstGeom prst="roundRect">
                            <a:avLst/>
                          </a:prstGeom>
                        </a:spPr>
                        <a:txSp>
                          <a:txBody>
                            <a:bodyPr rtlCol="0" anchor="ct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sz="2000" b="1" dirty="0" smtClean="0">
                                  <a:latin typeface="Times New Roman" pitchFamily="18" charset="0"/>
                                  <a:cs typeface="Times New Roman" pitchFamily="18" charset="0"/>
                                </a:rPr>
                                <a:t>Медицинское учреждение</a:t>
                              </a:r>
                              <a:endParaRPr lang="ru-RU" sz="2000" b="1" dirty="0">
                                <a:latin typeface="Times New Roman" pitchFamily="18" charset="0"/>
                                <a:cs typeface="Times New Roman" pitchFamily="18" charset="0"/>
                              </a:endParaRPr>
                            </a:p>
                          </a:txBody>
                          <a:useSpRect/>
                        </a:txSp>
                        <a:style>
                          <a:lnRef idx="2">
                            <a:schemeClr val="dk1"/>
                          </a:lnRef>
                          <a:fillRef idx="1">
                            <a:schemeClr val="lt1"/>
                          </a:fillRef>
                          <a:effectRef idx="0">
                            <a:schemeClr val="dk1"/>
                          </a:effectRef>
                          <a:fontRef idx="minor">
                            <a:schemeClr val="dk1"/>
                          </a:fontRef>
                        </a:style>
                      </a:sp>
                      <a:sp>
                        <a:nvSpPr>
                          <a:cNvPr id="32" name="TextBox 31"/>
                          <a:cNvSpPr txBox="1"/>
                        </a:nvSpPr>
                        <a:spPr>
                          <a:xfrm>
                            <a:off x="6700890" y="1928802"/>
                            <a:ext cx="1800200"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Договор страхования</a:t>
                              </a:r>
                              <a:endParaRPr lang="ru-RU" i="1" dirty="0">
                                <a:latin typeface="Times New Roman" pitchFamily="18" charset="0"/>
                                <a:cs typeface="Times New Roman" pitchFamily="18" charset="0"/>
                              </a:endParaRPr>
                            </a:p>
                          </a:txBody>
                          <a:useSpRect/>
                        </a:txSp>
                      </a:sp>
                      <a:sp>
                        <a:nvSpPr>
                          <a:cNvPr id="33" name="TextBox 32"/>
                          <a:cNvSpPr txBox="1"/>
                        </a:nvSpPr>
                        <a:spPr>
                          <a:xfrm>
                            <a:off x="4917220" y="2357430"/>
                            <a:ext cx="1512168"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Страховой взнос</a:t>
                              </a:r>
                              <a:endParaRPr lang="ru-RU" i="1" dirty="0">
                                <a:latin typeface="Times New Roman" pitchFamily="18" charset="0"/>
                                <a:cs typeface="Times New Roman" pitchFamily="18" charset="0"/>
                              </a:endParaRPr>
                            </a:p>
                          </a:txBody>
                          <a:useSpRect/>
                        </a:txSp>
                      </a:sp>
                      <a:sp>
                        <a:nvSpPr>
                          <a:cNvPr id="34" name="TextBox 33"/>
                          <a:cNvSpPr txBox="1"/>
                        </a:nvSpPr>
                        <a:spPr>
                          <a:xfrm>
                            <a:off x="2571736" y="2357430"/>
                            <a:ext cx="1512168" cy="646331"/>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Оплата счета</a:t>
                              </a:r>
                              <a:endParaRPr lang="ru-RU" i="1" dirty="0">
                                <a:latin typeface="Times New Roman" pitchFamily="18" charset="0"/>
                                <a:cs typeface="Times New Roman" pitchFamily="18" charset="0"/>
                              </a:endParaRPr>
                            </a:p>
                          </a:txBody>
                          <a:useSpRect/>
                        </a:txSp>
                      </a:sp>
                      <a:sp>
                        <a:nvSpPr>
                          <a:cNvPr id="35" name="TextBox 34"/>
                          <a:cNvSpPr txBox="1"/>
                        </a:nvSpPr>
                        <a:spPr>
                          <a:xfrm>
                            <a:off x="3851920" y="3214686"/>
                            <a:ext cx="129614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Лечение</a:t>
                              </a:r>
                              <a:endParaRPr lang="ru-RU" i="1" dirty="0">
                                <a:latin typeface="Times New Roman" pitchFamily="18" charset="0"/>
                                <a:cs typeface="Times New Roman" pitchFamily="18" charset="0"/>
                              </a:endParaRPr>
                            </a:p>
                          </a:txBody>
                          <a:useSpRect/>
                        </a:txSp>
                      </a:sp>
                      <a:sp>
                        <a:nvSpPr>
                          <a:cNvPr id="36" name="TextBox 35"/>
                          <a:cNvSpPr txBox="1"/>
                        </a:nvSpPr>
                        <a:spPr>
                          <a:xfrm>
                            <a:off x="3419872" y="4071942"/>
                            <a:ext cx="2376264"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ru-RU" i="1" dirty="0" smtClean="0">
                                  <a:latin typeface="Times New Roman" pitchFamily="18" charset="0"/>
                                  <a:cs typeface="Times New Roman" pitchFamily="18" charset="0"/>
                                </a:rPr>
                                <a:t>Полис страхования</a:t>
                              </a:r>
                              <a:endParaRPr lang="ru-RU" i="1" dirty="0">
                                <a:latin typeface="Times New Roman" pitchFamily="18" charset="0"/>
                                <a:cs typeface="Times New Roman" pitchFamily="18" charset="0"/>
                              </a:endParaRPr>
                            </a:p>
                          </a:txBody>
                          <a:useSpRect/>
                        </a:txSp>
                      </a:sp>
                      <a:sp>
                        <a:nvSpPr>
                          <a:cNvPr id="37" name="TextBox 36"/>
                          <a:cNvSpPr txBox="1"/>
                        </a:nvSpPr>
                        <a:spPr>
                          <a:xfrm>
                            <a:off x="1351020" y="1988840"/>
                            <a:ext cx="792088" cy="369332"/>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i="1" dirty="0" smtClean="0">
                                  <a:latin typeface="Times New Roman" pitchFamily="18" charset="0"/>
                                  <a:cs typeface="Times New Roman" pitchFamily="18" charset="0"/>
                                </a:rPr>
                                <a:t>Счет</a:t>
                              </a:r>
                              <a:endParaRPr lang="ru-RU" i="1" dirty="0">
                                <a:latin typeface="Times New Roman" pitchFamily="18" charset="0"/>
                                <a:cs typeface="Times New Roman" pitchFamily="18" charset="0"/>
                              </a:endParaRPr>
                            </a:p>
                          </a:txBody>
                          <a:useSpRect/>
                        </a:txSp>
                      </a:sp>
                    </a:grpSp>
                    <a:cxnSp>
                      <a:nvCxnSpPr>
                        <a:cNvPr id="39" name="Прямая со стрелкой 38"/>
                        <a:cNvCxnSpPr/>
                      </a:nvCxnSpPr>
                      <a:spPr>
                        <a:xfrm rot="10800000">
                          <a:off x="2857488" y="3982398"/>
                          <a:ext cx="3500462"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Прямая со стрелкой 40"/>
                        <a:cNvCxnSpPr/>
                      </a:nvCxnSpPr>
                      <a:spPr>
                        <a:xfrm>
                          <a:off x="2857488" y="3732858"/>
                          <a:ext cx="3500462" cy="15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Прямая со стрелкой 42"/>
                        <a:cNvCxnSpPr/>
                      </a:nvCxnSpPr>
                      <a:spPr>
                        <a:xfrm rot="5400000">
                          <a:off x="1321571" y="1250141"/>
                          <a:ext cx="2286016" cy="221457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Прямая со стрелкой 46"/>
                        <a:cNvCxnSpPr/>
                      </a:nvCxnSpPr>
                      <a:spPr>
                        <a:xfrm rot="5400000" flipH="1" flipV="1">
                          <a:off x="1678761" y="1607331"/>
                          <a:ext cx="1928826" cy="1857388"/>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5" name="Прямая со стрелкой 54"/>
                        <a:cNvCxnSpPr/>
                      </a:nvCxnSpPr>
                      <a:spPr>
                        <a:xfrm>
                          <a:off x="5429256" y="1214422"/>
                          <a:ext cx="2500330" cy="2286016"/>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Прямая со стрелкой 58"/>
                        <a:cNvCxnSpPr/>
                      </a:nvCxnSpPr>
                      <a:spPr>
                        <a:xfrm rot="10800000">
                          <a:off x="5429256" y="1571612"/>
                          <a:ext cx="2143140" cy="1928826"/>
                        </a:xfrm>
                        <a:prstGeom prst="straightConnector1">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D350E" w:rsidRPr="00233750" w:rsidRDefault="003D350E" w:rsidP="003D350E">
      <w:pPr>
        <w:spacing w:after="0" w:line="240" w:lineRule="auto"/>
        <w:jc w:val="center"/>
        <w:rPr>
          <w:rFonts w:ascii="Times New Roman" w:hAnsi="Times New Roman" w:cs="Times New Roman"/>
          <w:sz w:val="26"/>
          <w:szCs w:val="26"/>
        </w:rPr>
      </w:pPr>
      <w:r w:rsidRPr="00233750">
        <w:rPr>
          <w:rFonts w:ascii="Times New Roman" w:hAnsi="Times New Roman" w:cs="Times New Roman"/>
          <w:i/>
          <w:sz w:val="26"/>
          <w:szCs w:val="26"/>
        </w:rPr>
        <w:t xml:space="preserve">Рис. </w:t>
      </w:r>
      <w:r w:rsidR="00DA62A2" w:rsidRPr="00233750">
        <w:rPr>
          <w:rFonts w:ascii="Times New Roman" w:hAnsi="Times New Roman" w:cs="Times New Roman"/>
          <w:i/>
          <w:sz w:val="26"/>
          <w:szCs w:val="26"/>
        </w:rPr>
        <w:t>3</w:t>
      </w:r>
      <w:r w:rsidRPr="00233750">
        <w:rPr>
          <w:rFonts w:ascii="Times New Roman" w:hAnsi="Times New Roman" w:cs="Times New Roman"/>
          <w:i/>
          <w:sz w:val="26"/>
          <w:szCs w:val="26"/>
        </w:rPr>
        <w:t>. Порядок оплаты медицинской помощи в ДМС</w:t>
      </w:r>
    </w:p>
    <w:p w:rsidR="003D350E" w:rsidRDefault="003D350E" w:rsidP="00233750">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Добровольное медицинское страхование имеет ряд неоспоримых </w:t>
      </w:r>
      <w:r w:rsidRPr="00C35A64">
        <w:rPr>
          <w:rFonts w:ascii="Times New Roman" w:hAnsi="Times New Roman" w:cs="Times New Roman"/>
          <w:i/>
          <w:sz w:val="28"/>
          <w:szCs w:val="28"/>
        </w:rPr>
        <w:t>до</w:t>
      </w:r>
      <w:r w:rsidRPr="00C35A64">
        <w:rPr>
          <w:rFonts w:ascii="Times New Roman" w:hAnsi="Times New Roman" w:cs="Times New Roman"/>
          <w:i/>
          <w:sz w:val="28"/>
          <w:szCs w:val="28"/>
        </w:rPr>
        <w:t>с</w:t>
      </w:r>
      <w:r w:rsidRPr="00C35A64">
        <w:rPr>
          <w:rFonts w:ascii="Times New Roman" w:hAnsi="Times New Roman" w:cs="Times New Roman"/>
          <w:i/>
          <w:sz w:val="28"/>
          <w:szCs w:val="28"/>
        </w:rPr>
        <w:t>тоинств</w:t>
      </w:r>
      <w:r>
        <w:rPr>
          <w:rFonts w:ascii="Times New Roman" w:hAnsi="Times New Roman" w:cs="Times New Roman"/>
          <w:sz w:val="28"/>
          <w:szCs w:val="28"/>
        </w:rPr>
        <w:t>, к числу которых относятся:</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компенсация низкого уровня государственной бюджетной медицины, св</w:t>
      </w:r>
      <w:r>
        <w:rPr>
          <w:rFonts w:ascii="Times New Roman" w:hAnsi="Times New Roman" w:cs="Times New Roman"/>
          <w:sz w:val="28"/>
          <w:szCs w:val="28"/>
        </w:rPr>
        <w:t>я</w:t>
      </w:r>
      <w:r>
        <w:rPr>
          <w:rFonts w:ascii="Times New Roman" w:hAnsi="Times New Roman" w:cs="Times New Roman"/>
          <w:sz w:val="28"/>
          <w:szCs w:val="28"/>
        </w:rPr>
        <w:t>занного с недостатков финансовых ресурсов на ее поддержание и развитие;</w:t>
      </w:r>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снижение разовых расходов на медицинские услуги, которые были бы п</w:t>
      </w:r>
      <w:r>
        <w:rPr>
          <w:rFonts w:ascii="Times New Roman" w:hAnsi="Times New Roman" w:cs="Times New Roman"/>
          <w:sz w:val="28"/>
          <w:szCs w:val="28"/>
        </w:rPr>
        <w:t>о</w:t>
      </w:r>
      <w:r>
        <w:rPr>
          <w:rFonts w:ascii="Times New Roman" w:hAnsi="Times New Roman" w:cs="Times New Roman"/>
          <w:sz w:val="28"/>
          <w:szCs w:val="28"/>
        </w:rPr>
        <w:t>несены, если бы клиент в случае серьезного заболевания напрямую обрати</w:t>
      </w:r>
      <w:r>
        <w:rPr>
          <w:rFonts w:ascii="Times New Roman" w:hAnsi="Times New Roman" w:cs="Times New Roman"/>
          <w:sz w:val="28"/>
          <w:szCs w:val="28"/>
        </w:rPr>
        <w:t>л</w:t>
      </w:r>
      <w:r>
        <w:rPr>
          <w:rFonts w:ascii="Times New Roman" w:hAnsi="Times New Roman" w:cs="Times New Roman"/>
          <w:sz w:val="28"/>
          <w:szCs w:val="28"/>
        </w:rPr>
        <w:t>ся за помощью в частное лечебное учреждение.</w:t>
      </w:r>
    </w:p>
    <w:p w:rsidR="003D350E" w:rsidRDefault="003D350E" w:rsidP="003D35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Страховой портфель дает возможность распределить риски значител</w:t>
      </w:r>
      <w:r>
        <w:rPr>
          <w:rFonts w:ascii="Times New Roman" w:hAnsi="Times New Roman" w:cs="Times New Roman"/>
          <w:sz w:val="28"/>
          <w:szCs w:val="28"/>
        </w:rPr>
        <w:t>ь</w:t>
      </w:r>
      <w:r>
        <w:rPr>
          <w:rFonts w:ascii="Times New Roman" w:hAnsi="Times New Roman" w:cs="Times New Roman"/>
          <w:sz w:val="28"/>
          <w:szCs w:val="28"/>
        </w:rPr>
        <w:t>ных расходов среди большого числа страхователей (более или менее ну</w:t>
      </w:r>
      <w:r>
        <w:rPr>
          <w:rFonts w:ascii="Times New Roman" w:hAnsi="Times New Roman" w:cs="Times New Roman"/>
          <w:sz w:val="28"/>
          <w:szCs w:val="28"/>
        </w:rPr>
        <w:t>ж</w:t>
      </w:r>
      <w:r>
        <w:rPr>
          <w:rFonts w:ascii="Times New Roman" w:hAnsi="Times New Roman" w:cs="Times New Roman"/>
          <w:sz w:val="28"/>
          <w:szCs w:val="28"/>
        </w:rPr>
        <w:t>дающихся в медицинской помощи), что обуславливает относительное сн</w:t>
      </w:r>
      <w:r>
        <w:rPr>
          <w:rFonts w:ascii="Times New Roman" w:hAnsi="Times New Roman" w:cs="Times New Roman"/>
          <w:sz w:val="28"/>
          <w:szCs w:val="28"/>
        </w:rPr>
        <w:t>и</w:t>
      </w:r>
      <w:r>
        <w:rPr>
          <w:rFonts w:ascii="Times New Roman" w:hAnsi="Times New Roman" w:cs="Times New Roman"/>
          <w:sz w:val="28"/>
          <w:szCs w:val="28"/>
        </w:rPr>
        <w:t>жение общих затрат на медицинскую помощь для людей с высокой вероя</w:t>
      </w:r>
      <w:r>
        <w:rPr>
          <w:rFonts w:ascii="Times New Roman" w:hAnsi="Times New Roman" w:cs="Times New Roman"/>
          <w:sz w:val="28"/>
          <w:szCs w:val="28"/>
        </w:rPr>
        <w:t>т</w:t>
      </w:r>
      <w:r>
        <w:rPr>
          <w:rFonts w:ascii="Times New Roman" w:hAnsi="Times New Roman" w:cs="Times New Roman"/>
          <w:sz w:val="28"/>
          <w:szCs w:val="28"/>
        </w:rPr>
        <w:t>ностью наступления того или иного заболевания.</w:t>
      </w:r>
    </w:p>
    <w:p w:rsidR="003D350E" w:rsidRDefault="003D350E" w:rsidP="003D350E">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оптимизация соотношения цена-качество за счет того, что страховые орг</w:t>
      </w:r>
      <w:r>
        <w:rPr>
          <w:rFonts w:ascii="Times New Roman" w:hAnsi="Times New Roman" w:cs="Times New Roman"/>
          <w:sz w:val="28"/>
          <w:szCs w:val="28"/>
        </w:rPr>
        <w:t>а</w:t>
      </w:r>
      <w:r>
        <w:rPr>
          <w:rFonts w:ascii="Times New Roman" w:hAnsi="Times New Roman" w:cs="Times New Roman"/>
          <w:sz w:val="28"/>
          <w:szCs w:val="28"/>
        </w:rPr>
        <w:t>низации, во-первых, обладают актуальной статистикой обращений в мед</w:t>
      </w:r>
      <w:r>
        <w:rPr>
          <w:rFonts w:ascii="Times New Roman" w:hAnsi="Times New Roman" w:cs="Times New Roman"/>
          <w:sz w:val="28"/>
          <w:szCs w:val="28"/>
        </w:rPr>
        <w:t>и</w:t>
      </w:r>
      <w:r>
        <w:rPr>
          <w:rFonts w:ascii="Times New Roman" w:hAnsi="Times New Roman" w:cs="Times New Roman"/>
          <w:sz w:val="28"/>
          <w:szCs w:val="28"/>
        </w:rPr>
        <w:t>цинские учреждения и, соответственно, хорошо информированы о том, какие услуги наиболее востребованы среди застрахованных, а во-вторых, ориент</w:t>
      </w:r>
      <w:r>
        <w:rPr>
          <w:rFonts w:ascii="Times New Roman" w:hAnsi="Times New Roman" w:cs="Times New Roman"/>
          <w:sz w:val="28"/>
          <w:szCs w:val="28"/>
        </w:rPr>
        <w:t>и</w:t>
      </w:r>
      <w:r>
        <w:rPr>
          <w:rFonts w:ascii="Times New Roman" w:hAnsi="Times New Roman" w:cs="Times New Roman"/>
          <w:sz w:val="28"/>
          <w:szCs w:val="28"/>
        </w:rPr>
        <w:t>руются в ценах, условиях и качестве обслуживания в различных медици</w:t>
      </w:r>
      <w:r>
        <w:rPr>
          <w:rFonts w:ascii="Times New Roman" w:hAnsi="Times New Roman" w:cs="Times New Roman"/>
          <w:sz w:val="28"/>
          <w:szCs w:val="28"/>
        </w:rPr>
        <w:t>н</w:t>
      </w:r>
      <w:r>
        <w:rPr>
          <w:rFonts w:ascii="Times New Roman" w:hAnsi="Times New Roman" w:cs="Times New Roman"/>
          <w:sz w:val="28"/>
          <w:szCs w:val="28"/>
        </w:rPr>
        <w:t>ских учреждениях;</w:t>
      </w:r>
      <w:proofErr w:type="gramEnd"/>
    </w:p>
    <w:p w:rsidR="003D350E" w:rsidRDefault="003D350E" w:rsidP="003D350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контролирование страховщиком качества оказываемых клиенту медици</w:t>
      </w:r>
      <w:r>
        <w:rPr>
          <w:rFonts w:ascii="Times New Roman" w:hAnsi="Times New Roman" w:cs="Times New Roman"/>
          <w:sz w:val="28"/>
          <w:szCs w:val="28"/>
        </w:rPr>
        <w:t>н</w:t>
      </w:r>
      <w:r>
        <w:rPr>
          <w:rFonts w:ascii="Times New Roman" w:hAnsi="Times New Roman" w:cs="Times New Roman"/>
          <w:sz w:val="28"/>
          <w:szCs w:val="28"/>
        </w:rPr>
        <w:t>ских услуг, их соответствия перечню, предусмотренному договором страх</w:t>
      </w:r>
      <w:r>
        <w:rPr>
          <w:rFonts w:ascii="Times New Roman" w:hAnsi="Times New Roman" w:cs="Times New Roman"/>
          <w:sz w:val="28"/>
          <w:szCs w:val="28"/>
        </w:rPr>
        <w:t>о</w:t>
      </w:r>
      <w:r>
        <w:rPr>
          <w:rFonts w:ascii="Times New Roman" w:hAnsi="Times New Roman" w:cs="Times New Roman"/>
          <w:sz w:val="28"/>
          <w:szCs w:val="28"/>
        </w:rPr>
        <w:t>вания;</w:t>
      </w:r>
    </w:p>
    <w:p w:rsidR="003D350E" w:rsidRDefault="003D350E" w:rsidP="001C6AAD">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выхода за рамки перечня закрепленных в Территориальной программе ОМС видов медицинской помощи.</w:t>
      </w:r>
    </w:p>
    <w:p w:rsidR="00A15A3C" w:rsidRDefault="00A15A3C" w:rsidP="001C6AAD">
      <w:pPr>
        <w:spacing w:before="240" w:after="0" w:line="360" w:lineRule="auto"/>
        <w:jc w:val="center"/>
        <w:rPr>
          <w:rFonts w:ascii="Times New Roman" w:hAnsi="Times New Roman" w:cs="Times New Roman"/>
          <w:b/>
          <w:sz w:val="28"/>
          <w:szCs w:val="28"/>
        </w:rPr>
      </w:pPr>
      <w:r w:rsidRPr="00D53F2B">
        <w:rPr>
          <w:rFonts w:ascii="Times New Roman" w:hAnsi="Times New Roman" w:cs="Times New Roman"/>
          <w:b/>
          <w:sz w:val="28"/>
          <w:szCs w:val="28"/>
        </w:rPr>
        <w:t>§</w:t>
      </w:r>
      <w:r>
        <w:rPr>
          <w:rFonts w:ascii="Times New Roman" w:hAnsi="Times New Roman" w:cs="Times New Roman"/>
          <w:b/>
          <w:sz w:val="28"/>
          <w:szCs w:val="28"/>
        </w:rPr>
        <w:t xml:space="preserve"> 1.2</w:t>
      </w:r>
      <w:r w:rsidRPr="00D53F2B">
        <w:rPr>
          <w:rFonts w:ascii="Times New Roman" w:hAnsi="Times New Roman" w:cs="Times New Roman"/>
          <w:b/>
          <w:sz w:val="28"/>
          <w:szCs w:val="28"/>
        </w:rPr>
        <w:t xml:space="preserve">. </w:t>
      </w:r>
      <w:r w:rsidR="008A40AE">
        <w:rPr>
          <w:rFonts w:ascii="Times New Roman" w:hAnsi="Times New Roman" w:cs="Times New Roman"/>
          <w:b/>
          <w:sz w:val="28"/>
          <w:szCs w:val="28"/>
        </w:rPr>
        <w:t>Экономико-статистический анализ развития</w:t>
      </w:r>
      <w:r>
        <w:rPr>
          <w:rFonts w:ascii="Times New Roman" w:hAnsi="Times New Roman" w:cs="Times New Roman"/>
          <w:b/>
          <w:sz w:val="28"/>
          <w:szCs w:val="28"/>
        </w:rPr>
        <w:t xml:space="preserve"> рынка ДМС</w:t>
      </w:r>
      <w:r w:rsidR="008A40AE">
        <w:rPr>
          <w:rFonts w:ascii="Times New Roman" w:hAnsi="Times New Roman" w:cs="Times New Roman"/>
          <w:b/>
          <w:sz w:val="28"/>
          <w:szCs w:val="28"/>
        </w:rPr>
        <w:t xml:space="preserve"> в России</w:t>
      </w:r>
    </w:p>
    <w:p w:rsidR="00AD7D77" w:rsidRPr="001C395F" w:rsidRDefault="00AD7D77" w:rsidP="009A66D1">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Как видно из</w:t>
      </w:r>
      <w:r w:rsidR="008A40AE">
        <w:rPr>
          <w:rFonts w:ascii="Times New Roman" w:hAnsi="Times New Roman" w:cs="Times New Roman"/>
          <w:iCs/>
          <w:sz w:val="28"/>
          <w:szCs w:val="28"/>
        </w:rPr>
        <w:t xml:space="preserve"> табл. </w:t>
      </w:r>
      <w:r w:rsidR="00DA62A2">
        <w:rPr>
          <w:rFonts w:ascii="Times New Roman" w:hAnsi="Times New Roman" w:cs="Times New Roman"/>
          <w:iCs/>
          <w:sz w:val="28"/>
          <w:szCs w:val="28"/>
        </w:rPr>
        <w:t>2</w:t>
      </w:r>
      <w:r w:rsidRPr="001C395F">
        <w:rPr>
          <w:rFonts w:ascii="Times New Roman" w:hAnsi="Times New Roman" w:cs="Times New Roman"/>
          <w:sz w:val="28"/>
          <w:szCs w:val="28"/>
        </w:rPr>
        <w:t>, мировой финансовый кризис, охвативший план</w:t>
      </w:r>
      <w:r w:rsidRPr="001C395F">
        <w:rPr>
          <w:rFonts w:ascii="Times New Roman" w:hAnsi="Times New Roman" w:cs="Times New Roman"/>
          <w:sz w:val="28"/>
          <w:szCs w:val="28"/>
        </w:rPr>
        <w:t>е</w:t>
      </w:r>
      <w:r w:rsidRPr="001C395F">
        <w:rPr>
          <w:rFonts w:ascii="Times New Roman" w:hAnsi="Times New Roman" w:cs="Times New Roman"/>
          <w:sz w:val="28"/>
          <w:szCs w:val="28"/>
        </w:rPr>
        <w:t>ту осенью 2008 г., повлек за собой сокращение количества договоров страх</w:t>
      </w:r>
      <w:r w:rsidRPr="001C395F">
        <w:rPr>
          <w:rFonts w:ascii="Times New Roman" w:hAnsi="Times New Roman" w:cs="Times New Roman"/>
          <w:sz w:val="28"/>
          <w:szCs w:val="28"/>
        </w:rPr>
        <w:t>о</w:t>
      </w:r>
      <w:r w:rsidRPr="001C395F">
        <w:rPr>
          <w:rFonts w:ascii="Times New Roman" w:hAnsi="Times New Roman" w:cs="Times New Roman"/>
          <w:sz w:val="28"/>
          <w:szCs w:val="28"/>
        </w:rPr>
        <w:t>вания по ДМС, заключаемых ежегодно страховыми организациями Росси</w:t>
      </w:r>
      <w:r w:rsidRPr="001C395F">
        <w:rPr>
          <w:rFonts w:ascii="Times New Roman" w:hAnsi="Times New Roman" w:cs="Times New Roman"/>
          <w:sz w:val="28"/>
          <w:szCs w:val="28"/>
        </w:rPr>
        <w:t>й</w:t>
      </w:r>
      <w:r w:rsidRPr="001C395F">
        <w:rPr>
          <w:rFonts w:ascii="Times New Roman" w:hAnsi="Times New Roman" w:cs="Times New Roman"/>
          <w:sz w:val="28"/>
          <w:szCs w:val="28"/>
        </w:rPr>
        <w:t>ской Федерации. Так, в 2008 г. значение исследуемого показателя уменьш</w:t>
      </w:r>
      <w:r w:rsidRPr="001C395F">
        <w:rPr>
          <w:rFonts w:ascii="Times New Roman" w:hAnsi="Times New Roman" w:cs="Times New Roman"/>
          <w:sz w:val="28"/>
          <w:szCs w:val="28"/>
        </w:rPr>
        <w:t>и</w:t>
      </w:r>
      <w:r w:rsidRPr="001C395F">
        <w:rPr>
          <w:rFonts w:ascii="Times New Roman" w:hAnsi="Times New Roman" w:cs="Times New Roman"/>
          <w:sz w:val="28"/>
          <w:szCs w:val="28"/>
        </w:rPr>
        <w:t xml:space="preserve">лось на 3,50% относительно уровня предыдущего года. </w:t>
      </w:r>
      <w:proofErr w:type="gramStart"/>
      <w:r w:rsidRPr="001C395F">
        <w:rPr>
          <w:rFonts w:ascii="Times New Roman" w:hAnsi="Times New Roman" w:cs="Times New Roman"/>
          <w:sz w:val="28"/>
          <w:szCs w:val="28"/>
        </w:rPr>
        <w:t>Однако суммарное количество заключенных договоров по всем видам страхования увеличилось на 7,23%, что обусловило снижение доли полисов ДМС в общем количестве заключенных договоров до 5,82%. В 2009 г. ситуация в рассматриваемом сегменте страхового рынка еще бол</w:t>
      </w:r>
      <w:r>
        <w:rPr>
          <w:rFonts w:ascii="Times New Roman" w:hAnsi="Times New Roman" w:cs="Times New Roman"/>
          <w:sz w:val="28"/>
          <w:szCs w:val="28"/>
        </w:rPr>
        <w:t>ьш</w:t>
      </w:r>
      <w:r w:rsidRPr="001C395F">
        <w:rPr>
          <w:rFonts w:ascii="Times New Roman" w:hAnsi="Times New Roman" w:cs="Times New Roman"/>
          <w:sz w:val="28"/>
          <w:szCs w:val="28"/>
        </w:rPr>
        <w:t>е усугубилась: темп снижения колич</w:t>
      </w:r>
      <w:r w:rsidRPr="001C395F">
        <w:rPr>
          <w:rFonts w:ascii="Times New Roman" w:hAnsi="Times New Roman" w:cs="Times New Roman"/>
          <w:sz w:val="28"/>
          <w:szCs w:val="28"/>
        </w:rPr>
        <w:t>е</w:t>
      </w:r>
      <w:r w:rsidRPr="001C395F">
        <w:rPr>
          <w:rFonts w:ascii="Times New Roman" w:hAnsi="Times New Roman" w:cs="Times New Roman"/>
          <w:sz w:val="28"/>
          <w:szCs w:val="28"/>
        </w:rPr>
        <w:t>ства заключенных договоров страхования ускорился и составил 3,86%. Что примечательно, доля договоров ДМС в общем количестве страховых догов</w:t>
      </w:r>
      <w:r w:rsidRPr="001C395F">
        <w:rPr>
          <w:rFonts w:ascii="Times New Roman" w:hAnsi="Times New Roman" w:cs="Times New Roman"/>
          <w:sz w:val="28"/>
          <w:szCs w:val="28"/>
        </w:rPr>
        <w:t>о</w:t>
      </w:r>
      <w:r w:rsidRPr="001C395F">
        <w:rPr>
          <w:rFonts w:ascii="Times New Roman" w:hAnsi="Times New Roman" w:cs="Times New Roman"/>
          <w:sz w:val="28"/>
          <w:szCs w:val="28"/>
        </w:rPr>
        <w:t>ров за год значительно</w:t>
      </w:r>
      <w:proofErr w:type="gramEnd"/>
      <w:r w:rsidRPr="001C395F">
        <w:rPr>
          <w:rFonts w:ascii="Times New Roman" w:hAnsi="Times New Roman" w:cs="Times New Roman"/>
          <w:sz w:val="28"/>
          <w:szCs w:val="28"/>
        </w:rPr>
        <w:t xml:space="preserve"> возросла (на 1,54 п.п.) в результате падения в 2009 г. суммарного количества заключенных договоров по всем видам страхования приблизительно на четверть.</w:t>
      </w:r>
    </w:p>
    <w:p w:rsidR="00AD7D77" w:rsidRPr="00233750" w:rsidRDefault="00AD7D77" w:rsidP="0019079C">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 xml:space="preserve">Таблица </w:t>
      </w:r>
      <w:r w:rsidR="00DA62A2" w:rsidRPr="00233750">
        <w:rPr>
          <w:rFonts w:ascii="Times New Roman" w:hAnsi="Times New Roman" w:cs="Times New Roman"/>
          <w:i/>
          <w:iCs/>
          <w:sz w:val="26"/>
          <w:szCs w:val="26"/>
        </w:rPr>
        <w:t>2</w:t>
      </w:r>
    </w:p>
    <w:p w:rsidR="00AD7D77" w:rsidRPr="00233750" w:rsidRDefault="00AD7D77" w:rsidP="0019079C">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Динамика количества заключенных договоров страхования </w:t>
      </w:r>
    </w:p>
    <w:p w:rsidR="00AD7D77" w:rsidRPr="00233750" w:rsidRDefault="00AD7D77" w:rsidP="0019079C">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российскими страховыми организациями</w:t>
      </w:r>
    </w:p>
    <w:tbl>
      <w:tblPr>
        <w:tblW w:w="9739" w:type="dxa"/>
        <w:jc w:val="right"/>
        <w:tblLook w:val="00A0"/>
      </w:tblPr>
      <w:tblGrid>
        <w:gridCol w:w="774"/>
        <w:gridCol w:w="2598"/>
        <w:gridCol w:w="2019"/>
        <w:gridCol w:w="2278"/>
        <w:gridCol w:w="2070"/>
      </w:tblGrid>
      <w:tr w:rsidR="00AD7D77" w:rsidRPr="00097705" w:rsidTr="00560C9F">
        <w:trPr>
          <w:trHeight w:val="1420"/>
          <w:jc w:val="right"/>
        </w:trPr>
        <w:tc>
          <w:tcPr>
            <w:tcW w:w="774" w:type="dxa"/>
            <w:tcBorders>
              <w:top w:val="single" w:sz="4" w:space="0" w:color="auto"/>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b/>
                <w:bCs/>
                <w:color w:val="000000"/>
                <w:sz w:val="23"/>
                <w:szCs w:val="23"/>
                <w:lang w:eastAsia="ru-RU"/>
              </w:rPr>
            </w:pPr>
            <w:r w:rsidRPr="00A706B1">
              <w:rPr>
                <w:rFonts w:ascii="Times New Roman" w:hAnsi="Times New Roman" w:cs="Times New Roman"/>
                <w:b/>
                <w:bCs/>
                <w:color w:val="000000"/>
                <w:sz w:val="23"/>
                <w:szCs w:val="23"/>
                <w:lang w:eastAsia="ru-RU"/>
              </w:rPr>
              <w:t>Годы</w:t>
            </w:r>
          </w:p>
        </w:tc>
        <w:tc>
          <w:tcPr>
            <w:tcW w:w="2598" w:type="dxa"/>
            <w:tcBorders>
              <w:top w:val="single" w:sz="4" w:space="0" w:color="auto"/>
              <w:left w:val="nil"/>
              <w:bottom w:val="nil"/>
              <w:right w:val="single" w:sz="4" w:space="0" w:color="auto"/>
            </w:tcBorders>
            <w:vAlign w:val="center"/>
          </w:tcPr>
          <w:p w:rsidR="00AD7D77" w:rsidRPr="00A706B1" w:rsidRDefault="00AD7D77" w:rsidP="005C1A16">
            <w:pPr>
              <w:spacing w:after="0" w:line="240" w:lineRule="auto"/>
              <w:jc w:val="center"/>
              <w:rPr>
                <w:rFonts w:ascii="Times New Roman" w:hAnsi="Times New Roman" w:cs="Times New Roman"/>
                <w:b/>
                <w:bCs/>
                <w:color w:val="000000"/>
                <w:sz w:val="23"/>
                <w:szCs w:val="23"/>
                <w:lang w:eastAsia="ru-RU"/>
              </w:rPr>
            </w:pPr>
            <w:r w:rsidRPr="00A706B1">
              <w:rPr>
                <w:rFonts w:ascii="Times New Roman" w:hAnsi="Times New Roman" w:cs="Times New Roman"/>
                <w:b/>
                <w:bCs/>
                <w:color w:val="000000"/>
                <w:sz w:val="23"/>
                <w:szCs w:val="23"/>
                <w:lang w:eastAsia="ru-RU"/>
              </w:rPr>
              <w:t>Количество закл</w:t>
            </w:r>
            <w:r w:rsidRPr="00A706B1">
              <w:rPr>
                <w:rFonts w:ascii="Times New Roman" w:hAnsi="Times New Roman" w:cs="Times New Roman"/>
                <w:b/>
                <w:bCs/>
                <w:color w:val="000000"/>
                <w:sz w:val="23"/>
                <w:szCs w:val="23"/>
                <w:lang w:eastAsia="ru-RU"/>
              </w:rPr>
              <w:t>ю</w:t>
            </w:r>
            <w:r w:rsidRPr="00A706B1">
              <w:rPr>
                <w:rFonts w:ascii="Times New Roman" w:hAnsi="Times New Roman" w:cs="Times New Roman"/>
                <w:b/>
                <w:bCs/>
                <w:color w:val="000000"/>
                <w:sz w:val="23"/>
                <w:szCs w:val="23"/>
                <w:lang w:eastAsia="ru-RU"/>
              </w:rPr>
              <w:t>ченных договоров страховыми орган</w:t>
            </w:r>
            <w:r w:rsidRPr="00A706B1">
              <w:rPr>
                <w:rFonts w:ascii="Times New Roman" w:hAnsi="Times New Roman" w:cs="Times New Roman"/>
                <w:b/>
                <w:bCs/>
                <w:color w:val="000000"/>
                <w:sz w:val="23"/>
                <w:szCs w:val="23"/>
                <w:lang w:eastAsia="ru-RU"/>
              </w:rPr>
              <w:t>и</w:t>
            </w:r>
            <w:r w:rsidRPr="00A706B1">
              <w:rPr>
                <w:rFonts w:ascii="Times New Roman" w:hAnsi="Times New Roman" w:cs="Times New Roman"/>
                <w:b/>
                <w:bCs/>
                <w:color w:val="000000"/>
                <w:sz w:val="23"/>
                <w:szCs w:val="23"/>
                <w:lang w:eastAsia="ru-RU"/>
              </w:rPr>
              <w:t>зациями по всем в</w:t>
            </w:r>
            <w:r w:rsidRPr="00A706B1">
              <w:rPr>
                <w:rFonts w:ascii="Times New Roman" w:hAnsi="Times New Roman" w:cs="Times New Roman"/>
                <w:b/>
                <w:bCs/>
                <w:color w:val="000000"/>
                <w:sz w:val="23"/>
                <w:szCs w:val="23"/>
                <w:lang w:eastAsia="ru-RU"/>
              </w:rPr>
              <w:t>и</w:t>
            </w:r>
            <w:r w:rsidRPr="00A706B1">
              <w:rPr>
                <w:rFonts w:ascii="Times New Roman" w:hAnsi="Times New Roman" w:cs="Times New Roman"/>
                <w:b/>
                <w:bCs/>
                <w:color w:val="000000"/>
                <w:sz w:val="23"/>
                <w:szCs w:val="23"/>
                <w:lang w:eastAsia="ru-RU"/>
              </w:rPr>
              <w:t>дам страхования</w:t>
            </w:r>
          </w:p>
        </w:tc>
        <w:tc>
          <w:tcPr>
            <w:tcW w:w="2019" w:type="dxa"/>
            <w:tcBorders>
              <w:top w:val="single" w:sz="4" w:space="0" w:color="auto"/>
              <w:left w:val="nil"/>
              <w:bottom w:val="nil"/>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b/>
                <w:bCs/>
                <w:color w:val="000000"/>
                <w:sz w:val="23"/>
                <w:szCs w:val="23"/>
                <w:lang w:eastAsia="ru-RU"/>
              </w:rPr>
            </w:pPr>
            <w:r w:rsidRPr="00A706B1">
              <w:rPr>
                <w:rFonts w:ascii="Times New Roman" w:hAnsi="Times New Roman" w:cs="Times New Roman"/>
                <w:b/>
                <w:bCs/>
                <w:color w:val="000000"/>
                <w:sz w:val="23"/>
                <w:szCs w:val="23"/>
                <w:lang w:eastAsia="ru-RU"/>
              </w:rPr>
              <w:t>Количество з</w:t>
            </w:r>
            <w:r w:rsidRPr="00A706B1">
              <w:rPr>
                <w:rFonts w:ascii="Times New Roman" w:hAnsi="Times New Roman" w:cs="Times New Roman"/>
                <w:b/>
                <w:bCs/>
                <w:color w:val="000000"/>
                <w:sz w:val="23"/>
                <w:szCs w:val="23"/>
                <w:lang w:eastAsia="ru-RU"/>
              </w:rPr>
              <w:t>а</w:t>
            </w:r>
            <w:r w:rsidRPr="00A706B1">
              <w:rPr>
                <w:rFonts w:ascii="Times New Roman" w:hAnsi="Times New Roman" w:cs="Times New Roman"/>
                <w:b/>
                <w:bCs/>
                <w:color w:val="000000"/>
                <w:sz w:val="23"/>
                <w:szCs w:val="23"/>
                <w:lang w:eastAsia="ru-RU"/>
              </w:rPr>
              <w:t>ключенных д</w:t>
            </w:r>
            <w:r w:rsidRPr="00A706B1">
              <w:rPr>
                <w:rFonts w:ascii="Times New Roman" w:hAnsi="Times New Roman" w:cs="Times New Roman"/>
                <w:b/>
                <w:bCs/>
                <w:color w:val="000000"/>
                <w:sz w:val="23"/>
                <w:szCs w:val="23"/>
                <w:lang w:eastAsia="ru-RU"/>
              </w:rPr>
              <w:t>о</w:t>
            </w:r>
            <w:r w:rsidRPr="00A706B1">
              <w:rPr>
                <w:rFonts w:ascii="Times New Roman" w:hAnsi="Times New Roman" w:cs="Times New Roman"/>
                <w:b/>
                <w:bCs/>
                <w:color w:val="000000"/>
                <w:sz w:val="23"/>
                <w:szCs w:val="23"/>
                <w:lang w:eastAsia="ru-RU"/>
              </w:rPr>
              <w:t>говоров по ДМС</w:t>
            </w:r>
          </w:p>
        </w:tc>
        <w:tc>
          <w:tcPr>
            <w:tcW w:w="2278" w:type="dxa"/>
            <w:tcBorders>
              <w:top w:val="single" w:sz="4" w:space="0" w:color="auto"/>
              <w:left w:val="nil"/>
              <w:bottom w:val="nil"/>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b/>
                <w:bCs/>
                <w:color w:val="000000"/>
                <w:sz w:val="23"/>
                <w:szCs w:val="23"/>
                <w:lang w:eastAsia="ru-RU"/>
              </w:rPr>
            </w:pPr>
            <w:r w:rsidRPr="00A706B1">
              <w:rPr>
                <w:rFonts w:ascii="Times New Roman" w:hAnsi="Times New Roman" w:cs="Times New Roman"/>
                <w:b/>
                <w:bCs/>
                <w:color w:val="000000"/>
                <w:sz w:val="23"/>
                <w:szCs w:val="23"/>
                <w:lang w:eastAsia="ru-RU"/>
              </w:rPr>
              <w:t>Темп прироста к</w:t>
            </w:r>
            <w:r w:rsidRPr="00A706B1">
              <w:rPr>
                <w:rFonts w:ascii="Times New Roman" w:hAnsi="Times New Roman" w:cs="Times New Roman"/>
                <w:b/>
                <w:bCs/>
                <w:color w:val="000000"/>
                <w:sz w:val="23"/>
                <w:szCs w:val="23"/>
                <w:lang w:eastAsia="ru-RU"/>
              </w:rPr>
              <w:t>о</w:t>
            </w:r>
            <w:r w:rsidRPr="00A706B1">
              <w:rPr>
                <w:rFonts w:ascii="Times New Roman" w:hAnsi="Times New Roman" w:cs="Times New Roman"/>
                <w:b/>
                <w:bCs/>
                <w:color w:val="000000"/>
                <w:sz w:val="23"/>
                <w:szCs w:val="23"/>
                <w:lang w:eastAsia="ru-RU"/>
              </w:rPr>
              <w:t>личества закл</w:t>
            </w:r>
            <w:r w:rsidRPr="00A706B1">
              <w:rPr>
                <w:rFonts w:ascii="Times New Roman" w:hAnsi="Times New Roman" w:cs="Times New Roman"/>
                <w:b/>
                <w:bCs/>
                <w:color w:val="000000"/>
                <w:sz w:val="23"/>
                <w:szCs w:val="23"/>
                <w:lang w:eastAsia="ru-RU"/>
              </w:rPr>
              <w:t>ю</w:t>
            </w:r>
            <w:r w:rsidRPr="00A706B1">
              <w:rPr>
                <w:rFonts w:ascii="Times New Roman" w:hAnsi="Times New Roman" w:cs="Times New Roman"/>
                <w:b/>
                <w:bCs/>
                <w:color w:val="000000"/>
                <w:sz w:val="23"/>
                <w:szCs w:val="23"/>
                <w:lang w:eastAsia="ru-RU"/>
              </w:rPr>
              <w:t>ченных договоров по ДМС, %</w:t>
            </w:r>
          </w:p>
        </w:tc>
        <w:tc>
          <w:tcPr>
            <w:tcW w:w="2070" w:type="dxa"/>
            <w:tcBorders>
              <w:top w:val="single" w:sz="4" w:space="0" w:color="auto"/>
              <w:left w:val="nil"/>
              <w:bottom w:val="nil"/>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b/>
                <w:bCs/>
                <w:color w:val="000000"/>
                <w:sz w:val="23"/>
                <w:szCs w:val="23"/>
                <w:lang w:eastAsia="ru-RU"/>
              </w:rPr>
            </w:pPr>
            <w:r w:rsidRPr="00A706B1">
              <w:rPr>
                <w:rFonts w:ascii="Times New Roman" w:hAnsi="Times New Roman" w:cs="Times New Roman"/>
                <w:b/>
                <w:bCs/>
                <w:color w:val="000000"/>
                <w:sz w:val="23"/>
                <w:szCs w:val="23"/>
                <w:lang w:eastAsia="ru-RU"/>
              </w:rPr>
              <w:t>Доля договоров ДМС в общем количестве дог</w:t>
            </w:r>
            <w:r w:rsidRPr="00A706B1">
              <w:rPr>
                <w:rFonts w:ascii="Times New Roman" w:hAnsi="Times New Roman" w:cs="Times New Roman"/>
                <w:b/>
                <w:bCs/>
                <w:color w:val="000000"/>
                <w:sz w:val="23"/>
                <w:szCs w:val="23"/>
                <w:lang w:eastAsia="ru-RU"/>
              </w:rPr>
              <w:t>о</w:t>
            </w:r>
            <w:r w:rsidRPr="00A706B1">
              <w:rPr>
                <w:rFonts w:ascii="Times New Roman" w:hAnsi="Times New Roman" w:cs="Times New Roman"/>
                <w:b/>
                <w:bCs/>
                <w:color w:val="000000"/>
                <w:sz w:val="23"/>
                <w:szCs w:val="23"/>
                <w:lang w:eastAsia="ru-RU"/>
              </w:rPr>
              <w:t>воров страхов</w:t>
            </w:r>
            <w:r w:rsidRPr="00A706B1">
              <w:rPr>
                <w:rFonts w:ascii="Times New Roman" w:hAnsi="Times New Roman" w:cs="Times New Roman"/>
                <w:b/>
                <w:bCs/>
                <w:color w:val="000000"/>
                <w:sz w:val="23"/>
                <w:szCs w:val="23"/>
                <w:lang w:eastAsia="ru-RU"/>
              </w:rPr>
              <w:t>а</w:t>
            </w:r>
            <w:r w:rsidRPr="00A706B1">
              <w:rPr>
                <w:rFonts w:ascii="Times New Roman" w:hAnsi="Times New Roman" w:cs="Times New Roman"/>
                <w:b/>
                <w:bCs/>
                <w:color w:val="000000"/>
                <w:sz w:val="23"/>
                <w:szCs w:val="23"/>
                <w:lang w:eastAsia="ru-RU"/>
              </w:rPr>
              <w:t>ния, %</w:t>
            </w:r>
          </w:p>
        </w:tc>
      </w:tr>
      <w:tr w:rsidR="00AD7D77" w:rsidRPr="00097705" w:rsidTr="0012647D">
        <w:trPr>
          <w:trHeight w:val="299"/>
          <w:jc w:val="right"/>
        </w:trPr>
        <w:tc>
          <w:tcPr>
            <w:tcW w:w="774" w:type="dxa"/>
            <w:tcBorders>
              <w:top w:val="nil"/>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2004</w:t>
            </w:r>
          </w:p>
        </w:tc>
        <w:tc>
          <w:tcPr>
            <w:tcW w:w="2598" w:type="dxa"/>
            <w:tcBorders>
              <w:top w:val="single" w:sz="4" w:space="0" w:color="auto"/>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107 996 435</w:t>
            </w:r>
          </w:p>
        </w:tc>
        <w:tc>
          <w:tcPr>
            <w:tcW w:w="2019"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9 457 351</w:t>
            </w:r>
          </w:p>
        </w:tc>
        <w:tc>
          <w:tcPr>
            <w:tcW w:w="2278"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11,31</w:t>
            </w:r>
          </w:p>
        </w:tc>
        <w:tc>
          <w:tcPr>
            <w:tcW w:w="2070"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8,76</w:t>
            </w:r>
          </w:p>
        </w:tc>
      </w:tr>
      <w:tr w:rsidR="00AD7D77" w:rsidRPr="00097705" w:rsidTr="0012647D">
        <w:trPr>
          <w:trHeight w:val="299"/>
          <w:jc w:val="right"/>
        </w:trPr>
        <w:tc>
          <w:tcPr>
            <w:tcW w:w="774" w:type="dxa"/>
            <w:tcBorders>
              <w:top w:val="nil"/>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2005</w:t>
            </w:r>
          </w:p>
        </w:tc>
        <w:tc>
          <w:tcPr>
            <w:tcW w:w="2598" w:type="dxa"/>
            <w:tcBorders>
              <w:top w:val="nil"/>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138 147 885</w:t>
            </w:r>
          </w:p>
        </w:tc>
        <w:tc>
          <w:tcPr>
            <w:tcW w:w="2019"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8 860 397</w:t>
            </w:r>
          </w:p>
        </w:tc>
        <w:tc>
          <w:tcPr>
            <w:tcW w:w="2278"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-6,31</w:t>
            </w:r>
          </w:p>
        </w:tc>
        <w:tc>
          <w:tcPr>
            <w:tcW w:w="2070"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6,41</w:t>
            </w:r>
          </w:p>
        </w:tc>
      </w:tr>
      <w:tr w:rsidR="00AD7D77" w:rsidRPr="00097705" w:rsidTr="0012647D">
        <w:trPr>
          <w:trHeight w:val="299"/>
          <w:jc w:val="right"/>
        </w:trPr>
        <w:tc>
          <w:tcPr>
            <w:tcW w:w="774" w:type="dxa"/>
            <w:tcBorders>
              <w:top w:val="single" w:sz="4" w:space="0" w:color="auto"/>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2006</w:t>
            </w:r>
          </w:p>
        </w:tc>
        <w:tc>
          <w:tcPr>
            <w:tcW w:w="2598" w:type="dxa"/>
            <w:tcBorders>
              <w:top w:val="single" w:sz="4" w:space="0" w:color="auto"/>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133 372 557</w:t>
            </w:r>
          </w:p>
        </w:tc>
        <w:tc>
          <w:tcPr>
            <w:tcW w:w="2019"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9 220 473</w:t>
            </w:r>
          </w:p>
        </w:tc>
        <w:tc>
          <w:tcPr>
            <w:tcW w:w="2278"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4,06</w:t>
            </w:r>
          </w:p>
        </w:tc>
        <w:tc>
          <w:tcPr>
            <w:tcW w:w="2070"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6,91</w:t>
            </w:r>
          </w:p>
        </w:tc>
      </w:tr>
      <w:tr w:rsidR="00AD7D77" w:rsidRPr="00097705" w:rsidTr="0012647D">
        <w:trPr>
          <w:trHeight w:val="299"/>
          <w:jc w:val="right"/>
        </w:trPr>
        <w:tc>
          <w:tcPr>
            <w:tcW w:w="774" w:type="dxa"/>
            <w:tcBorders>
              <w:top w:val="nil"/>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2007</w:t>
            </w:r>
          </w:p>
        </w:tc>
        <w:tc>
          <w:tcPr>
            <w:tcW w:w="2598" w:type="dxa"/>
            <w:tcBorders>
              <w:top w:val="nil"/>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147 176 794</w:t>
            </w:r>
          </w:p>
        </w:tc>
        <w:tc>
          <w:tcPr>
            <w:tcW w:w="2019"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9 517 339</w:t>
            </w:r>
          </w:p>
        </w:tc>
        <w:tc>
          <w:tcPr>
            <w:tcW w:w="2278"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3,22</w:t>
            </w:r>
          </w:p>
        </w:tc>
        <w:tc>
          <w:tcPr>
            <w:tcW w:w="2070"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6,47</w:t>
            </w:r>
          </w:p>
        </w:tc>
      </w:tr>
      <w:tr w:rsidR="00AD7D77" w:rsidRPr="00097705" w:rsidTr="0012647D">
        <w:trPr>
          <w:trHeight w:val="299"/>
          <w:jc w:val="right"/>
        </w:trPr>
        <w:tc>
          <w:tcPr>
            <w:tcW w:w="774" w:type="dxa"/>
            <w:tcBorders>
              <w:top w:val="nil"/>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2008</w:t>
            </w:r>
          </w:p>
        </w:tc>
        <w:tc>
          <w:tcPr>
            <w:tcW w:w="2598" w:type="dxa"/>
            <w:tcBorders>
              <w:top w:val="nil"/>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157 813 375</w:t>
            </w:r>
          </w:p>
        </w:tc>
        <w:tc>
          <w:tcPr>
            <w:tcW w:w="2019"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9 184 393</w:t>
            </w:r>
          </w:p>
        </w:tc>
        <w:tc>
          <w:tcPr>
            <w:tcW w:w="2278"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-3,50</w:t>
            </w:r>
          </w:p>
        </w:tc>
        <w:tc>
          <w:tcPr>
            <w:tcW w:w="2070"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5,82</w:t>
            </w:r>
          </w:p>
        </w:tc>
      </w:tr>
      <w:tr w:rsidR="00AD7D77" w:rsidRPr="00097705" w:rsidTr="0012647D">
        <w:trPr>
          <w:trHeight w:val="299"/>
          <w:jc w:val="right"/>
        </w:trPr>
        <w:tc>
          <w:tcPr>
            <w:tcW w:w="774" w:type="dxa"/>
            <w:tcBorders>
              <w:top w:val="nil"/>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2009</w:t>
            </w:r>
          </w:p>
        </w:tc>
        <w:tc>
          <w:tcPr>
            <w:tcW w:w="2598" w:type="dxa"/>
            <w:tcBorders>
              <w:top w:val="nil"/>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119 975 086</w:t>
            </w:r>
          </w:p>
        </w:tc>
        <w:tc>
          <w:tcPr>
            <w:tcW w:w="2019"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8 829 985</w:t>
            </w:r>
          </w:p>
        </w:tc>
        <w:tc>
          <w:tcPr>
            <w:tcW w:w="2278"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-3,86</w:t>
            </w:r>
          </w:p>
        </w:tc>
        <w:tc>
          <w:tcPr>
            <w:tcW w:w="2070"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7,36</w:t>
            </w:r>
          </w:p>
        </w:tc>
      </w:tr>
      <w:tr w:rsidR="00AD7D77" w:rsidRPr="00097705" w:rsidTr="0012647D">
        <w:trPr>
          <w:trHeight w:val="299"/>
          <w:jc w:val="right"/>
        </w:trPr>
        <w:tc>
          <w:tcPr>
            <w:tcW w:w="774" w:type="dxa"/>
            <w:tcBorders>
              <w:top w:val="nil"/>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2010</w:t>
            </w:r>
          </w:p>
        </w:tc>
        <w:tc>
          <w:tcPr>
            <w:tcW w:w="2598" w:type="dxa"/>
            <w:tcBorders>
              <w:top w:val="nil"/>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128 054 675</w:t>
            </w:r>
          </w:p>
        </w:tc>
        <w:tc>
          <w:tcPr>
            <w:tcW w:w="2019"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9 055 771</w:t>
            </w:r>
          </w:p>
        </w:tc>
        <w:tc>
          <w:tcPr>
            <w:tcW w:w="2278"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2,56</w:t>
            </w:r>
          </w:p>
        </w:tc>
        <w:tc>
          <w:tcPr>
            <w:tcW w:w="2070" w:type="dxa"/>
            <w:tcBorders>
              <w:top w:val="nil"/>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7,07</w:t>
            </w:r>
          </w:p>
        </w:tc>
      </w:tr>
      <w:tr w:rsidR="00AD7D77" w:rsidRPr="00097705" w:rsidTr="0012647D">
        <w:trPr>
          <w:trHeight w:val="299"/>
          <w:jc w:val="right"/>
        </w:trPr>
        <w:tc>
          <w:tcPr>
            <w:tcW w:w="774" w:type="dxa"/>
            <w:tcBorders>
              <w:top w:val="single" w:sz="4" w:space="0" w:color="auto"/>
              <w:left w:val="single" w:sz="4" w:space="0" w:color="auto"/>
              <w:bottom w:val="single" w:sz="4" w:space="0" w:color="auto"/>
              <w:right w:val="single" w:sz="4" w:space="0" w:color="auto"/>
            </w:tcBorders>
            <w:noWrap/>
            <w:vAlign w:val="center"/>
          </w:tcPr>
          <w:p w:rsidR="00AD7D77" w:rsidRPr="00A706B1"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2011</w:t>
            </w:r>
          </w:p>
        </w:tc>
        <w:tc>
          <w:tcPr>
            <w:tcW w:w="2598" w:type="dxa"/>
            <w:tcBorders>
              <w:top w:val="single" w:sz="4" w:space="0" w:color="auto"/>
              <w:left w:val="single" w:sz="4" w:space="0" w:color="auto"/>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133 228 389</w:t>
            </w:r>
          </w:p>
        </w:tc>
        <w:tc>
          <w:tcPr>
            <w:tcW w:w="2019"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9 027 263</w:t>
            </w:r>
          </w:p>
        </w:tc>
        <w:tc>
          <w:tcPr>
            <w:tcW w:w="2278"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-0,31</w:t>
            </w:r>
          </w:p>
        </w:tc>
        <w:tc>
          <w:tcPr>
            <w:tcW w:w="2070" w:type="dxa"/>
            <w:tcBorders>
              <w:top w:val="single" w:sz="4" w:space="0" w:color="auto"/>
              <w:left w:val="nil"/>
              <w:bottom w:val="single" w:sz="4" w:space="0" w:color="auto"/>
              <w:right w:val="single" w:sz="4" w:space="0" w:color="auto"/>
            </w:tcBorders>
            <w:vAlign w:val="center"/>
          </w:tcPr>
          <w:p w:rsidR="00AD7D77" w:rsidRPr="00A706B1" w:rsidRDefault="00AD7D77" w:rsidP="00F11BD7">
            <w:pPr>
              <w:spacing w:after="0" w:line="240" w:lineRule="auto"/>
              <w:jc w:val="center"/>
              <w:rPr>
                <w:rFonts w:ascii="Times New Roman" w:hAnsi="Times New Roman" w:cs="Times New Roman"/>
                <w:sz w:val="23"/>
                <w:szCs w:val="23"/>
                <w:lang w:eastAsia="ru-RU"/>
              </w:rPr>
            </w:pPr>
            <w:r w:rsidRPr="00A706B1">
              <w:rPr>
                <w:rFonts w:ascii="Times New Roman" w:hAnsi="Times New Roman" w:cs="Times New Roman"/>
                <w:sz w:val="23"/>
                <w:szCs w:val="23"/>
                <w:lang w:eastAsia="ru-RU"/>
              </w:rPr>
              <w:t>6,78</w:t>
            </w:r>
          </w:p>
        </w:tc>
      </w:tr>
      <w:tr w:rsidR="00AD7D77" w:rsidRPr="009E4922" w:rsidTr="0012647D">
        <w:trPr>
          <w:trHeight w:val="299"/>
          <w:jc w:val="right"/>
        </w:trPr>
        <w:tc>
          <w:tcPr>
            <w:tcW w:w="774" w:type="dxa"/>
            <w:tcBorders>
              <w:top w:val="single" w:sz="4" w:space="0" w:color="auto"/>
              <w:left w:val="single" w:sz="4" w:space="0" w:color="auto"/>
              <w:bottom w:val="single" w:sz="4" w:space="0" w:color="auto"/>
              <w:right w:val="single" w:sz="4" w:space="0" w:color="auto"/>
            </w:tcBorders>
            <w:noWrap/>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201</w:t>
            </w:r>
            <w:r w:rsidRPr="009E4922">
              <w:rPr>
                <w:rFonts w:ascii="Times New Roman" w:hAnsi="Times New Roman" w:cs="Times New Roman"/>
                <w:color w:val="000000"/>
                <w:sz w:val="23"/>
                <w:szCs w:val="23"/>
                <w:lang w:eastAsia="ru-RU"/>
              </w:rPr>
              <w:t>2</w:t>
            </w:r>
          </w:p>
        </w:tc>
        <w:tc>
          <w:tcPr>
            <w:tcW w:w="2598" w:type="dxa"/>
            <w:tcBorders>
              <w:top w:val="single" w:sz="4" w:space="0" w:color="auto"/>
              <w:left w:val="single" w:sz="4" w:space="0" w:color="auto"/>
              <w:bottom w:val="single" w:sz="4" w:space="0" w:color="auto"/>
              <w:right w:val="single" w:sz="4" w:space="0" w:color="auto"/>
            </w:tcBorders>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9E4922">
              <w:rPr>
                <w:rFonts w:ascii="Times New Roman" w:hAnsi="Times New Roman" w:cs="Times New Roman"/>
                <w:color w:val="000000"/>
                <w:sz w:val="23"/>
                <w:szCs w:val="23"/>
                <w:lang w:eastAsia="ru-RU"/>
              </w:rPr>
              <w:t>–</w:t>
            </w:r>
          </w:p>
        </w:tc>
        <w:tc>
          <w:tcPr>
            <w:tcW w:w="2019" w:type="dxa"/>
            <w:tcBorders>
              <w:top w:val="single" w:sz="4" w:space="0" w:color="auto"/>
              <w:left w:val="nil"/>
              <w:bottom w:val="single" w:sz="4" w:space="0" w:color="auto"/>
              <w:right w:val="single" w:sz="4" w:space="0" w:color="auto"/>
            </w:tcBorders>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9E4922">
              <w:rPr>
                <w:rFonts w:ascii="Times New Roman" w:hAnsi="Times New Roman" w:cs="Times New Roman"/>
                <w:color w:val="000000"/>
                <w:sz w:val="23"/>
                <w:szCs w:val="23"/>
                <w:lang w:eastAsia="ru-RU"/>
              </w:rPr>
              <w:t>11 626 849</w:t>
            </w:r>
          </w:p>
        </w:tc>
        <w:tc>
          <w:tcPr>
            <w:tcW w:w="2278" w:type="dxa"/>
            <w:tcBorders>
              <w:top w:val="single" w:sz="4" w:space="0" w:color="auto"/>
              <w:left w:val="nil"/>
              <w:bottom w:val="single" w:sz="4" w:space="0" w:color="auto"/>
              <w:right w:val="single" w:sz="4" w:space="0" w:color="auto"/>
            </w:tcBorders>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9E4922">
              <w:rPr>
                <w:rFonts w:ascii="Times New Roman" w:hAnsi="Times New Roman" w:cs="Times New Roman"/>
                <w:color w:val="000000"/>
                <w:sz w:val="23"/>
                <w:szCs w:val="23"/>
                <w:lang w:eastAsia="ru-RU"/>
              </w:rPr>
              <w:t>28,80</w:t>
            </w:r>
          </w:p>
        </w:tc>
        <w:tc>
          <w:tcPr>
            <w:tcW w:w="2070" w:type="dxa"/>
            <w:tcBorders>
              <w:top w:val="single" w:sz="4" w:space="0" w:color="auto"/>
              <w:left w:val="nil"/>
              <w:bottom w:val="single" w:sz="4" w:space="0" w:color="auto"/>
              <w:right w:val="single" w:sz="4" w:space="0" w:color="auto"/>
            </w:tcBorders>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p>
        </w:tc>
      </w:tr>
    </w:tbl>
    <w:p w:rsidR="008A40AE" w:rsidRDefault="008A40AE" w:rsidP="00EA7579">
      <w:pPr>
        <w:spacing w:before="80" w:after="0" w:line="360" w:lineRule="auto"/>
        <w:ind w:firstLine="709"/>
        <w:jc w:val="both"/>
        <w:rPr>
          <w:rFonts w:ascii="Times New Roman" w:hAnsi="Times New Roman" w:cs="Times New Roman"/>
          <w:sz w:val="28"/>
          <w:szCs w:val="28"/>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00EA7579" w:rsidRPr="00EA7579">
        <w:rPr>
          <w:rFonts w:ascii="Times New Roman" w:hAnsi="Times New Roman" w:cs="Times New Roman"/>
        </w:rPr>
        <w:t>http://cbsd.gks.ru/</w:t>
      </w:r>
    </w:p>
    <w:p w:rsidR="00AD7D77" w:rsidRPr="001C395F" w:rsidRDefault="00AD7D77" w:rsidP="00EA7579">
      <w:pPr>
        <w:spacing w:before="120"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lastRenderedPageBreak/>
        <w:t>В 2010 г. на рынке добровольного медицинского страхования намет</w:t>
      </w:r>
      <w:r w:rsidRPr="001C395F">
        <w:rPr>
          <w:rFonts w:ascii="Times New Roman" w:hAnsi="Times New Roman" w:cs="Times New Roman"/>
          <w:sz w:val="28"/>
          <w:szCs w:val="28"/>
        </w:rPr>
        <w:t>и</w:t>
      </w:r>
      <w:r w:rsidRPr="001C395F">
        <w:rPr>
          <w:rFonts w:ascii="Times New Roman" w:hAnsi="Times New Roman" w:cs="Times New Roman"/>
          <w:sz w:val="28"/>
          <w:szCs w:val="28"/>
        </w:rPr>
        <w:t>лось некоторое оживление, и как следствие, количество заключенных ро</w:t>
      </w:r>
      <w:r w:rsidRPr="001C395F">
        <w:rPr>
          <w:rFonts w:ascii="Times New Roman" w:hAnsi="Times New Roman" w:cs="Times New Roman"/>
          <w:sz w:val="28"/>
          <w:szCs w:val="28"/>
        </w:rPr>
        <w:t>с</w:t>
      </w:r>
      <w:r w:rsidRPr="001C395F">
        <w:rPr>
          <w:rFonts w:ascii="Times New Roman" w:hAnsi="Times New Roman" w:cs="Times New Roman"/>
          <w:sz w:val="28"/>
          <w:szCs w:val="28"/>
        </w:rPr>
        <w:t>сийскими страховщиками договоров выросло на 2,56% в сравнении с соо</w:t>
      </w:r>
      <w:r w:rsidRPr="001C395F">
        <w:rPr>
          <w:rFonts w:ascii="Times New Roman" w:hAnsi="Times New Roman" w:cs="Times New Roman"/>
          <w:sz w:val="28"/>
          <w:szCs w:val="28"/>
        </w:rPr>
        <w:t>т</w:t>
      </w:r>
      <w:r w:rsidRPr="001C395F">
        <w:rPr>
          <w:rFonts w:ascii="Times New Roman" w:hAnsi="Times New Roman" w:cs="Times New Roman"/>
          <w:sz w:val="28"/>
          <w:szCs w:val="28"/>
        </w:rPr>
        <w:t xml:space="preserve">ветствующим показателем в 2009 г., однако предкризисный уровень в 9 517 339 страховых договоров так и не </w:t>
      </w:r>
      <w:proofErr w:type="gramStart"/>
      <w:r w:rsidRPr="001C395F">
        <w:rPr>
          <w:rFonts w:ascii="Times New Roman" w:hAnsi="Times New Roman" w:cs="Times New Roman"/>
          <w:sz w:val="28"/>
          <w:szCs w:val="28"/>
        </w:rPr>
        <w:t>был</w:t>
      </w:r>
      <w:proofErr w:type="gramEnd"/>
      <w:r w:rsidRPr="001C395F">
        <w:rPr>
          <w:rFonts w:ascii="Times New Roman" w:hAnsi="Times New Roman" w:cs="Times New Roman"/>
          <w:sz w:val="28"/>
          <w:szCs w:val="28"/>
        </w:rPr>
        <w:t xml:space="preserve"> достигнут (значение показателя в 2010 г. на 4,85% ниже, чем в 2007 г.). </w:t>
      </w:r>
    </w:p>
    <w:p w:rsidR="00AD7D77" w:rsidRPr="00AD325C" w:rsidRDefault="00AD7D77" w:rsidP="00AD7D77">
      <w:pPr>
        <w:spacing w:after="0" w:line="360" w:lineRule="auto"/>
        <w:ind w:firstLine="709"/>
        <w:jc w:val="both"/>
        <w:rPr>
          <w:rFonts w:ascii="Times New Roman" w:hAnsi="Times New Roman" w:cs="Times New Roman"/>
          <w:sz w:val="28"/>
          <w:szCs w:val="28"/>
        </w:rPr>
      </w:pPr>
      <w:proofErr w:type="gramStart"/>
      <w:r w:rsidRPr="001C395F">
        <w:rPr>
          <w:rFonts w:ascii="Times New Roman" w:hAnsi="Times New Roman" w:cs="Times New Roman"/>
          <w:sz w:val="28"/>
          <w:szCs w:val="28"/>
        </w:rPr>
        <w:t>2011 г. вновь ознаменовался падением на 0,31% количества заключе</w:t>
      </w:r>
      <w:r w:rsidRPr="001C395F">
        <w:rPr>
          <w:rFonts w:ascii="Times New Roman" w:hAnsi="Times New Roman" w:cs="Times New Roman"/>
          <w:sz w:val="28"/>
          <w:szCs w:val="28"/>
        </w:rPr>
        <w:t>н</w:t>
      </w:r>
      <w:r w:rsidRPr="001C395F">
        <w:rPr>
          <w:rFonts w:ascii="Times New Roman" w:hAnsi="Times New Roman" w:cs="Times New Roman"/>
          <w:sz w:val="28"/>
          <w:szCs w:val="28"/>
        </w:rPr>
        <w:t>ных договоров по ДМС, что на фоне положительного темпа прироста (в 4,04%) суммарного количества страховых договоров по всем видам страх</w:t>
      </w:r>
      <w:r w:rsidRPr="001C395F">
        <w:rPr>
          <w:rFonts w:ascii="Times New Roman" w:hAnsi="Times New Roman" w:cs="Times New Roman"/>
          <w:sz w:val="28"/>
          <w:szCs w:val="28"/>
        </w:rPr>
        <w:t>о</w:t>
      </w:r>
      <w:r w:rsidRPr="001C395F">
        <w:rPr>
          <w:rFonts w:ascii="Times New Roman" w:hAnsi="Times New Roman" w:cs="Times New Roman"/>
          <w:sz w:val="28"/>
          <w:szCs w:val="28"/>
        </w:rPr>
        <w:t>вания повлекло за собой снижение доли полисов ДМС на 0,30 п.п.</w:t>
      </w:r>
      <w:r w:rsidRPr="00AD325C">
        <w:rPr>
          <w:rFonts w:ascii="Times New Roman" w:hAnsi="Times New Roman" w:cs="Times New Roman"/>
          <w:sz w:val="28"/>
          <w:szCs w:val="28"/>
        </w:rPr>
        <w:t xml:space="preserve"> 2012</w:t>
      </w:r>
      <w:r>
        <w:rPr>
          <w:rFonts w:ascii="Times New Roman" w:hAnsi="Times New Roman" w:cs="Times New Roman"/>
          <w:sz w:val="28"/>
          <w:szCs w:val="28"/>
        </w:rPr>
        <w:t xml:space="preserve"> г., напротив, был отмечен небывало высоким (в 28,80%) темпом прироста числа заключенных договоров по ДМС.</w:t>
      </w:r>
      <w:proofErr w:type="gramEnd"/>
    </w:p>
    <w:p w:rsidR="00AD7D77" w:rsidRPr="00233750" w:rsidRDefault="00AD7D77" w:rsidP="004D54B5">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 xml:space="preserve">Таблица </w:t>
      </w:r>
      <w:r w:rsidR="00DA62A2" w:rsidRPr="00233750">
        <w:rPr>
          <w:rFonts w:ascii="Times New Roman" w:hAnsi="Times New Roman" w:cs="Times New Roman"/>
          <w:i/>
          <w:iCs/>
          <w:sz w:val="26"/>
          <w:szCs w:val="26"/>
        </w:rPr>
        <w:t>3</w:t>
      </w:r>
    </w:p>
    <w:p w:rsidR="00560C9F" w:rsidRPr="00233750" w:rsidRDefault="00AD7D77" w:rsidP="004D54B5">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Динамика страховых взносов, собранных </w:t>
      </w:r>
      <w:proofErr w:type="gramStart"/>
      <w:r w:rsidRPr="00233750">
        <w:rPr>
          <w:rFonts w:ascii="Times New Roman" w:hAnsi="Times New Roman" w:cs="Times New Roman"/>
          <w:i/>
          <w:iCs/>
          <w:sz w:val="26"/>
          <w:szCs w:val="26"/>
        </w:rPr>
        <w:t>российскими</w:t>
      </w:r>
      <w:proofErr w:type="gramEnd"/>
      <w:r w:rsidRPr="00233750">
        <w:rPr>
          <w:rFonts w:ascii="Times New Roman" w:hAnsi="Times New Roman" w:cs="Times New Roman"/>
          <w:i/>
          <w:iCs/>
          <w:sz w:val="26"/>
          <w:szCs w:val="26"/>
        </w:rPr>
        <w:t xml:space="preserve"> </w:t>
      </w:r>
    </w:p>
    <w:p w:rsidR="00AD7D77" w:rsidRPr="00233750" w:rsidRDefault="00AD7D77" w:rsidP="004D54B5">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страховыми организациями</w:t>
      </w:r>
    </w:p>
    <w:tbl>
      <w:tblPr>
        <w:tblW w:w="10141" w:type="dxa"/>
        <w:jc w:val="right"/>
        <w:tblLook w:val="00A0"/>
      </w:tblPr>
      <w:tblGrid>
        <w:gridCol w:w="845"/>
        <w:gridCol w:w="2091"/>
        <w:gridCol w:w="1688"/>
        <w:gridCol w:w="1822"/>
        <w:gridCol w:w="1960"/>
        <w:gridCol w:w="1735"/>
      </w:tblGrid>
      <w:tr w:rsidR="00AD7D77" w:rsidRPr="00097705" w:rsidTr="0012647D">
        <w:trPr>
          <w:trHeight w:val="1505"/>
          <w:tblHeader/>
          <w:jc w:val="right"/>
        </w:trPr>
        <w:tc>
          <w:tcPr>
            <w:tcW w:w="845" w:type="dxa"/>
            <w:tcBorders>
              <w:top w:val="single" w:sz="4" w:space="0" w:color="auto"/>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Годы</w:t>
            </w:r>
          </w:p>
        </w:tc>
        <w:tc>
          <w:tcPr>
            <w:tcW w:w="2091" w:type="dxa"/>
            <w:tcBorders>
              <w:top w:val="single" w:sz="4" w:space="0" w:color="auto"/>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Суммарные страховые взн</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 xml:space="preserve">сы по всем видам страхования, </w:t>
            </w:r>
          </w:p>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тыс. руб.</w:t>
            </w:r>
          </w:p>
        </w:tc>
        <w:tc>
          <w:tcPr>
            <w:tcW w:w="1688"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 xml:space="preserve">Страховые взносы по ДМС, </w:t>
            </w:r>
          </w:p>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тыс. руб.</w:t>
            </w:r>
          </w:p>
        </w:tc>
        <w:tc>
          <w:tcPr>
            <w:tcW w:w="1822"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Темп прироста страховых взносов по ДМС, %</w:t>
            </w:r>
          </w:p>
        </w:tc>
        <w:tc>
          <w:tcPr>
            <w:tcW w:w="1960"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Доля страховых взносов по ДМС в общем объеме страховых взн</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сов, %</w:t>
            </w:r>
          </w:p>
        </w:tc>
        <w:tc>
          <w:tcPr>
            <w:tcW w:w="1735"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Средний взнос по 1 д</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говору стр</w:t>
            </w:r>
            <w:r w:rsidRPr="00680E12">
              <w:rPr>
                <w:rFonts w:ascii="Times New Roman" w:hAnsi="Times New Roman" w:cs="Times New Roman"/>
                <w:b/>
                <w:bCs/>
                <w:color w:val="000000"/>
                <w:sz w:val="23"/>
                <w:szCs w:val="23"/>
                <w:lang w:eastAsia="ru-RU"/>
              </w:rPr>
              <w:t>а</w:t>
            </w:r>
            <w:r w:rsidRPr="00680E12">
              <w:rPr>
                <w:rFonts w:ascii="Times New Roman" w:hAnsi="Times New Roman" w:cs="Times New Roman"/>
                <w:b/>
                <w:bCs/>
                <w:color w:val="000000"/>
                <w:sz w:val="23"/>
                <w:szCs w:val="23"/>
                <w:lang w:eastAsia="ru-RU"/>
              </w:rPr>
              <w:t>хования ДМС, руб.</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2004</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470 525 735,5</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38 878 136,8</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24,79</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8,26</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4 110,9</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2005</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506 151 083,5</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45 739 473,3</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17,65</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9,04</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5 162,2</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2006</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614 001 859,1</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53 317 361,4</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16,57</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8,68</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5 782,5</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2007</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775 082 990,7</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63 185 932,4</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18,51</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8,15</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6 639,0</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2008</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954 754 167,3</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74 489 708,6</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17,89</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7,80</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8 110,5</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2009</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979 099 327,7</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74 346 951,9</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-0,19</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7,59</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8 419,8</w:t>
            </w:r>
          </w:p>
        </w:tc>
      </w:tr>
      <w:tr w:rsidR="00AD7D77" w:rsidRPr="00097705" w:rsidTr="0012647D">
        <w:trPr>
          <w:trHeight w:val="301"/>
          <w:jc w:val="right"/>
        </w:trPr>
        <w:tc>
          <w:tcPr>
            <w:tcW w:w="845"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2010</w:t>
            </w:r>
          </w:p>
        </w:tc>
        <w:tc>
          <w:tcPr>
            <w:tcW w:w="2091"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1 036 676 951,0</w:t>
            </w:r>
          </w:p>
        </w:tc>
        <w:tc>
          <w:tcPr>
            <w:tcW w:w="1688"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85 717 904,2</w:t>
            </w:r>
          </w:p>
        </w:tc>
        <w:tc>
          <w:tcPr>
            <w:tcW w:w="182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15,29</w:t>
            </w:r>
          </w:p>
        </w:tc>
        <w:tc>
          <w:tcPr>
            <w:tcW w:w="19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8,27</w:t>
            </w:r>
          </w:p>
        </w:tc>
        <w:tc>
          <w:tcPr>
            <w:tcW w:w="1735"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9 465,6</w:t>
            </w:r>
          </w:p>
        </w:tc>
      </w:tr>
      <w:tr w:rsidR="00AD7D77" w:rsidRPr="00097705" w:rsidTr="0012647D">
        <w:trPr>
          <w:trHeight w:val="301"/>
          <w:jc w:val="right"/>
        </w:trPr>
        <w:tc>
          <w:tcPr>
            <w:tcW w:w="845" w:type="dxa"/>
            <w:tcBorders>
              <w:top w:val="single" w:sz="4" w:space="0" w:color="auto"/>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2011</w:t>
            </w:r>
          </w:p>
        </w:tc>
        <w:tc>
          <w:tcPr>
            <w:tcW w:w="2091" w:type="dxa"/>
            <w:tcBorders>
              <w:top w:val="single" w:sz="4" w:space="0" w:color="auto"/>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1 269 762 844,1</w:t>
            </w:r>
          </w:p>
        </w:tc>
        <w:tc>
          <w:tcPr>
            <w:tcW w:w="1688"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96 893 526,8</w:t>
            </w:r>
          </w:p>
        </w:tc>
        <w:tc>
          <w:tcPr>
            <w:tcW w:w="1822"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13,04</w:t>
            </w:r>
          </w:p>
        </w:tc>
        <w:tc>
          <w:tcPr>
            <w:tcW w:w="1960"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7,63</w:t>
            </w:r>
          </w:p>
        </w:tc>
        <w:tc>
          <w:tcPr>
            <w:tcW w:w="1735"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10 733,4</w:t>
            </w:r>
          </w:p>
        </w:tc>
      </w:tr>
      <w:tr w:rsidR="00AD7D77" w:rsidRPr="00BB7315" w:rsidTr="0012647D">
        <w:trPr>
          <w:trHeight w:val="301"/>
          <w:jc w:val="right"/>
        </w:trPr>
        <w:tc>
          <w:tcPr>
            <w:tcW w:w="845" w:type="dxa"/>
            <w:tcBorders>
              <w:top w:val="single" w:sz="4" w:space="0" w:color="auto"/>
              <w:left w:val="single" w:sz="4" w:space="0" w:color="auto"/>
              <w:bottom w:val="single" w:sz="4" w:space="0" w:color="auto"/>
              <w:right w:val="single" w:sz="4" w:space="0" w:color="auto"/>
            </w:tcBorders>
            <w:noWrap/>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201</w:t>
            </w:r>
            <w:r w:rsidRPr="009E4922">
              <w:rPr>
                <w:rFonts w:ascii="Times New Roman" w:hAnsi="Times New Roman" w:cs="Times New Roman"/>
                <w:color w:val="000000"/>
                <w:sz w:val="23"/>
                <w:szCs w:val="23"/>
                <w:lang w:eastAsia="ru-RU"/>
              </w:rPr>
              <w:t>2</w:t>
            </w:r>
          </w:p>
        </w:tc>
        <w:tc>
          <w:tcPr>
            <w:tcW w:w="2091" w:type="dxa"/>
            <w:tcBorders>
              <w:top w:val="single" w:sz="4" w:space="0" w:color="auto"/>
              <w:left w:val="single" w:sz="4" w:space="0" w:color="auto"/>
              <w:bottom w:val="single" w:sz="4" w:space="0" w:color="auto"/>
              <w:right w:val="single" w:sz="4" w:space="0" w:color="auto"/>
            </w:tcBorders>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9E4922">
              <w:rPr>
                <w:rFonts w:ascii="Times New Roman" w:hAnsi="Times New Roman" w:cs="Times New Roman"/>
                <w:color w:val="000000"/>
                <w:sz w:val="23"/>
                <w:szCs w:val="23"/>
                <w:lang w:eastAsia="ru-RU"/>
              </w:rPr>
              <w:t>–</w:t>
            </w:r>
          </w:p>
        </w:tc>
        <w:tc>
          <w:tcPr>
            <w:tcW w:w="1688" w:type="dxa"/>
            <w:tcBorders>
              <w:top w:val="single" w:sz="4" w:space="0" w:color="auto"/>
              <w:left w:val="nil"/>
              <w:bottom w:val="single" w:sz="4" w:space="0" w:color="auto"/>
              <w:right w:val="single" w:sz="4" w:space="0" w:color="auto"/>
            </w:tcBorders>
            <w:vAlign w:val="center"/>
          </w:tcPr>
          <w:p w:rsidR="00AD7D77" w:rsidRPr="00BB7315" w:rsidRDefault="00AD7D77" w:rsidP="00F11BD7">
            <w:pPr>
              <w:spacing w:after="0" w:line="240" w:lineRule="auto"/>
              <w:jc w:val="center"/>
              <w:rPr>
                <w:rFonts w:ascii="Times New Roman" w:hAnsi="Times New Roman" w:cs="Times New Roman"/>
                <w:color w:val="000000"/>
                <w:sz w:val="23"/>
                <w:szCs w:val="23"/>
                <w:lang w:eastAsia="ru-RU"/>
              </w:rPr>
            </w:pPr>
            <w:r w:rsidRPr="00BB7315">
              <w:rPr>
                <w:rFonts w:ascii="Times New Roman" w:hAnsi="Times New Roman" w:cs="Times New Roman"/>
                <w:color w:val="000000"/>
                <w:sz w:val="23"/>
                <w:szCs w:val="23"/>
                <w:lang w:eastAsia="ru-RU"/>
              </w:rPr>
              <w:t>108 947 459,0</w:t>
            </w:r>
          </w:p>
        </w:tc>
        <w:tc>
          <w:tcPr>
            <w:tcW w:w="1822" w:type="dxa"/>
            <w:tcBorders>
              <w:top w:val="single" w:sz="4" w:space="0" w:color="auto"/>
              <w:left w:val="nil"/>
              <w:bottom w:val="single" w:sz="4" w:space="0" w:color="auto"/>
              <w:right w:val="single" w:sz="4" w:space="0" w:color="auto"/>
            </w:tcBorders>
            <w:vAlign w:val="center"/>
          </w:tcPr>
          <w:p w:rsidR="00AD7D77" w:rsidRPr="00BB7315" w:rsidRDefault="00AD7D77" w:rsidP="00F11BD7">
            <w:pPr>
              <w:spacing w:after="0" w:line="240" w:lineRule="auto"/>
              <w:jc w:val="center"/>
              <w:rPr>
                <w:rFonts w:ascii="Times New Roman" w:hAnsi="Times New Roman" w:cs="Times New Roman"/>
                <w:color w:val="000000"/>
                <w:sz w:val="23"/>
                <w:szCs w:val="23"/>
                <w:lang w:eastAsia="ru-RU"/>
              </w:rPr>
            </w:pPr>
            <w:r w:rsidRPr="00BB7315">
              <w:rPr>
                <w:rFonts w:ascii="Times New Roman" w:hAnsi="Times New Roman" w:cs="Times New Roman"/>
                <w:color w:val="000000"/>
                <w:sz w:val="23"/>
                <w:szCs w:val="23"/>
                <w:lang w:eastAsia="ru-RU"/>
              </w:rPr>
              <w:t>12,44</w:t>
            </w:r>
          </w:p>
        </w:tc>
        <w:tc>
          <w:tcPr>
            <w:tcW w:w="1960" w:type="dxa"/>
            <w:tcBorders>
              <w:top w:val="single" w:sz="4" w:space="0" w:color="auto"/>
              <w:left w:val="nil"/>
              <w:bottom w:val="single" w:sz="4" w:space="0" w:color="auto"/>
              <w:right w:val="single" w:sz="4" w:space="0" w:color="auto"/>
            </w:tcBorders>
            <w:vAlign w:val="center"/>
          </w:tcPr>
          <w:p w:rsidR="00AD7D77" w:rsidRPr="00BB7315" w:rsidRDefault="00AD7D77" w:rsidP="00F11BD7">
            <w:pPr>
              <w:spacing w:after="0" w:line="240" w:lineRule="auto"/>
              <w:jc w:val="center"/>
              <w:rPr>
                <w:rFonts w:ascii="Times New Roman" w:hAnsi="Times New Roman" w:cs="Times New Roman"/>
                <w:color w:val="000000"/>
                <w:sz w:val="23"/>
                <w:szCs w:val="23"/>
                <w:lang w:eastAsia="ru-RU"/>
              </w:rPr>
            </w:pPr>
            <w:r w:rsidRPr="009E4922">
              <w:rPr>
                <w:rFonts w:ascii="Times New Roman" w:hAnsi="Times New Roman" w:cs="Times New Roman"/>
                <w:color w:val="000000"/>
                <w:sz w:val="23"/>
                <w:szCs w:val="23"/>
                <w:lang w:eastAsia="ru-RU"/>
              </w:rPr>
              <w:t>–</w:t>
            </w:r>
          </w:p>
        </w:tc>
        <w:tc>
          <w:tcPr>
            <w:tcW w:w="1735" w:type="dxa"/>
            <w:tcBorders>
              <w:top w:val="single" w:sz="4" w:space="0" w:color="auto"/>
              <w:left w:val="nil"/>
              <w:bottom w:val="single" w:sz="4" w:space="0" w:color="auto"/>
              <w:right w:val="single" w:sz="4" w:space="0" w:color="auto"/>
            </w:tcBorders>
            <w:vAlign w:val="center"/>
          </w:tcPr>
          <w:p w:rsidR="00AD7D77" w:rsidRPr="00BB7315" w:rsidRDefault="00AD7D77" w:rsidP="00F11BD7">
            <w:pPr>
              <w:spacing w:after="0" w:line="240" w:lineRule="auto"/>
              <w:jc w:val="center"/>
              <w:rPr>
                <w:rFonts w:ascii="Times New Roman" w:hAnsi="Times New Roman" w:cs="Times New Roman"/>
                <w:color w:val="000000"/>
                <w:sz w:val="23"/>
                <w:szCs w:val="23"/>
                <w:lang w:eastAsia="ru-RU"/>
              </w:rPr>
            </w:pPr>
            <w:r w:rsidRPr="00237C85">
              <w:rPr>
                <w:rFonts w:ascii="Times New Roman" w:hAnsi="Times New Roman" w:cs="Times New Roman"/>
                <w:color w:val="000000"/>
                <w:sz w:val="23"/>
                <w:szCs w:val="23"/>
                <w:lang w:eastAsia="ru-RU"/>
              </w:rPr>
              <w:t>9 370,3</w:t>
            </w:r>
          </w:p>
        </w:tc>
      </w:tr>
    </w:tbl>
    <w:p w:rsidR="0019079C" w:rsidRDefault="0019079C" w:rsidP="00AD7D77">
      <w:pPr>
        <w:spacing w:before="120" w:after="0" w:line="360" w:lineRule="auto"/>
        <w:ind w:firstLine="709"/>
        <w:jc w:val="both"/>
        <w:rPr>
          <w:rFonts w:ascii="Times New Roman" w:hAnsi="Times New Roman" w:cs="Times New Roman"/>
          <w:sz w:val="28"/>
          <w:szCs w:val="28"/>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Pr="00EA7579">
        <w:rPr>
          <w:rFonts w:ascii="Times New Roman" w:hAnsi="Times New Roman" w:cs="Times New Roman"/>
        </w:rPr>
        <w:t>http://cbsd.gks.ru/</w:t>
      </w:r>
    </w:p>
    <w:p w:rsidR="00560C9F" w:rsidRDefault="00560C9F" w:rsidP="00560C9F">
      <w:pPr>
        <w:spacing w:before="120"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 xml:space="preserve">Данные </w:t>
      </w:r>
      <w:r w:rsidRPr="0019079C">
        <w:rPr>
          <w:rFonts w:ascii="Times New Roman" w:hAnsi="Times New Roman" w:cs="Times New Roman"/>
          <w:iCs/>
          <w:sz w:val="28"/>
          <w:szCs w:val="28"/>
        </w:rPr>
        <w:t xml:space="preserve">табл. </w:t>
      </w:r>
      <w:r>
        <w:rPr>
          <w:rFonts w:ascii="Times New Roman" w:hAnsi="Times New Roman" w:cs="Times New Roman"/>
          <w:iCs/>
          <w:sz w:val="28"/>
          <w:szCs w:val="28"/>
        </w:rPr>
        <w:t>3</w:t>
      </w:r>
      <w:r w:rsidRPr="0019079C">
        <w:rPr>
          <w:rFonts w:ascii="Times New Roman" w:hAnsi="Times New Roman" w:cs="Times New Roman"/>
          <w:sz w:val="28"/>
          <w:szCs w:val="28"/>
        </w:rPr>
        <w:t xml:space="preserve"> </w:t>
      </w:r>
      <w:r w:rsidRPr="001C395F">
        <w:rPr>
          <w:rFonts w:ascii="Times New Roman" w:hAnsi="Times New Roman" w:cs="Times New Roman"/>
          <w:sz w:val="28"/>
          <w:szCs w:val="28"/>
        </w:rPr>
        <w:t>свидетельствуют о том, что страховые взносы по до</w:t>
      </w:r>
      <w:r w:rsidRPr="001C395F">
        <w:rPr>
          <w:rFonts w:ascii="Times New Roman" w:hAnsi="Times New Roman" w:cs="Times New Roman"/>
          <w:sz w:val="28"/>
          <w:szCs w:val="28"/>
        </w:rPr>
        <w:t>б</w:t>
      </w:r>
      <w:r w:rsidRPr="001C395F">
        <w:rPr>
          <w:rFonts w:ascii="Times New Roman" w:hAnsi="Times New Roman" w:cs="Times New Roman"/>
          <w:sz w:val="28"/>
          <w:szCs w:val="28"/>
        </w:rPr>
        <w:t xml:space="preserve">ровольному медицинскому страхованию на протяжении рассматриваемого периода демонстрировали непрерывный рост. </w:t>
      </w:r>
      <w:proofErr w:type="gramStart"/>
      <w:r w:rsidRPr="001C395F">
        <w:rPr>
          <w:rFonts w:ascii="Times New Roman" w:hAnsi="Times New Roman" w:cs="Times New Roman"/>
          <w:sz w:val="28"/>
          <w:szCs w:val="28"/>
        </w:rPr>
        <w:t>Лишь в 2009 г. сумма страх</w:t>
      </w:r>
      <w:r w:rsidRPr="001C395F">
        <w:rPr>
          <w:rFonts w:ascii="Times New Roman" w:hAnsi="Times New Roman" w:cs="Times New Roman"/>
          <w:sz w:val="28"/>
          <w:szCs w:val="28"/>
        </w:rPr>
        <w:t>о</w:t>
      </w:r>
      <w:r w:rsidRPr="001C395F">
        <w:rPr>
          <w:rFonts w:ascii="Times New Roman" w:hAnsi="Times New Roman" w:cs="Times New Roman"/>
          <w:sz w:val="28"/>
          <w:szCs w:val="28"/>
        </w:rPr>
        <w:t>вых премий по ДМС сократилась на 0,19% относи</w:t>
      </w:r>
      <w:r>
        <w:rPr>
          <w:rFonts w:ascii="Times New Roman" w:hAnsi="Times New Roman" w:cs="Times New Roman"/>
          <w:sz w:val="28"/>
          <w:szCs w:val="28"/>
        </w:rPr>
        <w:t xml:space="preserve">тельно уровня </w:t>
      </w:r>
      <w:r w:rsidRPr="001C395F">
        <w:rPr>
          <w:rFonts w:ascii="Times New Roman" w:hAnsi="Times New Roman" w:cs="Times New Roman"/>
          <w:sz w:val="28"/>
          <w:szCs w:val="28"/>
        </w:rPr>
        <w:t>2008 г. О</w:t>
      </w:r>
      <w:r w:rsidRPr="001C395F">
        <w:rPr>
          <w:rFonts w:ascii="Times New Roman" w:hAnsi="Times New Roman" w:cs="Times New Roman"/>
          <w:sz w:val="28"/>
          <w:szCs w:val="28"/>
        </w:rPr>
        <w:t>д</w:t>
      </w:r>
      <w:r w:rsidRPr="001C395F">
        <w:rPr>
          <w:rFonts w:ascii="Times New Roman" w:hAnsi="Times New Roman" w:cs="Times New Roman"/>
          <w:sz w:val="28"/>
          <w:szCs w:val="28"/>
        </w:rPr>
        <w:t xml:space="preserve">нако следует отметить, что темп прироста исследуемого показателя год от </w:t>
      </w:r>
      <w:r w:rsidRPr="001C395F">
        <w:rPr>
          <w:rFonts w:ascii="Times New Roman" w:hAnsi="Times New Roman" w:cs="Times New Roman"/>
          <w:sz w:val="28"/>
          <w:szCs w:val="28"/>
        </w:rPr>
        <w:lastRenderedPageBreak/>
        <w:t>года снижается: в 2010 г. страховые взносы по ДМС, собранные российскими страховщиками, увеличились на 11 370 952,3</w:t>
      </w:r>
      <w:r>
        <w:rPr>
          <w:rFonts w:ascii="Times New Roman" w:hAnsi="Times New Roman" w:cs="Times New Roman"/>
          <w:sz w:val="28"/>
          <w:szCs w:val="28"/>
        </w:rPr>
        <w:t xml:space="preserve"> руб.</w:t>
      </w:r>
      <w:r w:rsidRPr="001C395F">
        <w:rPr>
          <w:rFonts w:ascii="Times New Roman" w:hAnsi="Times New Roman" w:cs="Times New Roman"/>
          <w:sz w:val="28"/>
          <w:szCs w:val="28"/>
        </w:rPr>
        <w:t xml:space="preserve">, или на 15,29%, в 2011 г. – на 11 175 622,6 руб., или </w:t>
      </w:r>
      <w:r>
        <w:rPr>
          <w:rFonts w:ascii="Times New Roman" w:hAnsi="Times New Roman" w:cs="Times New Roman"/>
          <w:sz w:val="28"/>
          <w:szCs w:val="28"/>
        </w:rPr>
        <w:t>на 13,04%, в 2012</w:t>
      </w:r>
      <w:proofErr w:type="gramEnd"/>
      <w:r>
        <w:rPr>
          <w:rFonts w:ascii="Times New Roman" w:hAnsi="Times New Roman" w:cs="Times New Roman"/>
          <w:sz w:val="28"/>
          <w:szCs w:val="28"/>
        </w:rPr>
        <w:t xml:space="preserve"> г. – на 12 </w:t>
      </w:r>
      <w:r w:rsidRPr="00D532DB">
        <w:rPr>
          <w:rFonts w:ascii="Times New Roman" w:hAnsi="Times New Roman" w:cs="Times New Roman"/>
          <w:sz w:val="28"/>
          <w:szCs w:val="28"/>
        </w:rPr>
        <w:t>053</w:t>
      </w:r>
      <w:r>
        <w:rPr>
          <w:rFonts w:ascii="Times New Roman" w:hAnsi="Times New Roman" w:cs="Times New Roman"/>
          <w:sz w:val="28"/>
          <w:szCs w:val="28"/>
        </w:rPr>
        <w:t> </w:t>
      </w:r>
      <w:r w:rsidRPr="00D532DB">
        <w:rPr>
          <w:rFonts w:ascii="Times New Roman" w:hAnsi="Times New Roman" w:cs="Times New Roman"/>
          <w:sz w:val="28"/>
          <w:szCs w:val="28"/>
        </w:rPr>
        <w:t>932,2</w:t>
      </w:r>
      <w:r>
        <w:rPr>
          <w:rFonts w:ascii="Times New Roman" w:hAnsi="Times New Roman" w:cs="Times New Roman"/>
          <w:sz w:val="28"/>
          <w:szCs w:val="28"/>
        </w:rPr>
        <w:t xml:space="preserve"> руб., или на 12,44%.</w:t>
      </w:r>
    </w:p>
    <w:p w:rsidR="00AD7D77" w:rsidRPr="001C395F" w:rsidRDefault="00AD7D77" w:rsidP="00560C9F">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Снижение поступлений по договорам ДМС в 2009 г. явилось следств</w:t>
      </w:r>
      <w:r w:rsidRPr="001C395F">
        <w:rPr>
          <w:rFonts w:ascii="Times New Roman" w:hAnsi="Times New Roman" w:cs="Times New Roman"/>
          <w:sz w:val="28"/>
          <w:szCs w:val="28"/>
        </w:rPr>
        <w:t>и</w:t>
      </w:r>
      <w:r w:rsidRPr="001C395F">
        <w:rPr>
          <w:rFonts w:ascii="Times New Roman" w:hAnsi="Times New Roman" w:cs="Times New Roman"/>
          <w:sz w:val="28"/>
          <w:szCs w:val="28"/>
        </w:rPr>
        <w:t>ем сокращения бюджетов предприятий на социальное обеспечение своих с</w:t>
      </w:r>
      <w:r w:rsidRPr="001C395F">
        <w:rPr>
          <w:rFonts w:ascii="Times New Roman" w:hAnsi="Times New Roman" w:cs="Times New Roman"/>
          <w:sz w:val="28"/>
          <w:szCs w:val="28"/>
        </w:rPr>
        <w:t>о</w:t>
      </w:r>
      <w:r w:rsidRPr="001C395F">
        <w:rPr>
          <w:rFonts w:ascii="Times New Roman" w:hAnsi="Times New Roman" w:cs="Times New Roman"/>
          <w:sz w:val="28"/>
          <w:szCs w:val="28"/>
        </w:rPr>
        <w:t>трудников. Однако ранее предсказываемого аналитиками массового отказа компаний-страхователей от страховой защиты по ряду причин не произошло. Главную роль здесь сыграл репутационный фактор: предприятие, которое в условиях финансового кризиса резко урезает расходы на социальную по</w:t>
      </w:r>
      <w:r w:rsidRPr="001C395F">
        <w:rPr>
          <w:rFonts w:ascii="Times New Roman" w:hAnsi="Times New Roman" w:cs="Times New Roman"/>
          <w:sz w:val="28"/>
          <w:szCs w:val="28"/>
        </w:rPr>
        <w:t>д</w:t>
      </w:r>
      <w:r w:rsidRPr="001C395F">
        <w:rPr>
          <w:rFonts w:ascii="Times New Roman" w:hAnsi="Times New Roman" w:cs="Times New Roman"/>
          <w:sz w:val="28"/>
          <w:szCs w:val="28"/>
        </w:rPr>
        <w:t>держку персонала, не может считаться надежным и долгосрочным партн</w:t>
      </w:r>
      <w:r w:rsidRPr="001C395F">
        <w:rPr>
          <w:rFonts w:ascii="Times New Roman" w:hAnsi="Times New Roman" w:cs="Times New Roman"/>
          <w:sz w:val="28"/>
          <w:szCs w:val="28"/>
        </w:rPr>
        <w:t>е</w:t>
      </w:r>
      <w:r w:rsidRPr="001C395F">
        <w:rPr>
          <w:rFonts w:ascii="Times New Roman" w:hAnsi="Times New Roman" w:cs="Times New Roman"/>
          <w:sz w:val="28"/>
          <w:szCs w:val="28"/>
        </w:rPr>
        <w:t>ром; снижается его конкурентоспособность на рынке труда. Поэтому единс</w:t>
      </w:r>
      <w:r w:rsidRPr="001C395F">
        <w:rPr>
          <w:rFonts w:ascii="Times New Roman" w:hAnsi="Times New Roman" w:cs="Times New Roman"/>
          <w:sz w:val="28"/>
          <w:szCs w:val="28"/>
        </w:rPr>
        <w:t>т</w:t>
      </w:r>
      <w:r w:rsidRPr="001C395F">
        <w:rPr>
          <w:rFonts w:ascii="Times New Roman" w:hAnsi="Times New Roman" w:cs="Times New Roman"/>
          <w:sz w:val="28"/>
          <w:szCs w:val="28"/>
        </w:rPr>
        <w:t>венным выходом для большинства компаний было совместно со страховщ</w:t>
      </w:r>
      <w:r w:rsidRPr="001C395F">
        <w:rPr>
          <w:rFonts w:ascii="Times New Roman" w:hAnsi="Times New Roman" w:cs="Times New Roman"/>
          <w:sz w:val="28"/>
          <w:szCs w:val="28"/>
        </w:rPr>
        <w:t>и</w:t>
      </w:r>
      <w:r w:rsidRPr="001C395F">
        <w:rPr>
          <w:rFonts w:ascii="Times New Roman" w:hAnsi="Times New Roman" w:cs="Times New Roman"/>
          <w:sz w:val="28"/>
          <w:szCs w:val="28"/>
        </w:rPr>
        <w:t>ком найти оптимальный баланс между ценой страховой программы и ее н</w:t>
      </w:r>
      <w:r w:rsidRPr="001C395F">
        <w:rPr>
          <w:rFonts w:ascii="Times New Roman" w:hAnsi="Times New Roman" w:cs="Times New Roman"/>
          <w:sz w:val="28"/>
          <w:szCs w:val="28"/>
        </w:rPr>
        <w:t>а</w:t>
      </w:r>
      <w:r w:rsidRPr="001C395F">
        <w:rPr>
          <w:rFonts w:ascii="Times New Roman" w:hAnsi="Times New Roman" w:cs="Times New Roman"/>
          <w:sz w:val="28"/>
          <w:szCs w:val="28"/>
        </w:rPr>
        <w:t>полнением, перейдя от продуктов с максимально широким страховым п</w:t>
      </w:r>
      <w:r w:rsidRPr="001C395F">
        <w:rPr>
          <w:rFonts w:ascii="Times New Roman" w:hAnsi="Times New Roman" w:cs="Times New Roman"/>
          <w:sz w:val="28"/>
          <w:szCs w:val="28"/>
        </w:rPr>
        <w:t>о</w:t>
      </w:r>
      <w:r w:rsidRPr="001C395F">
        <w:rPr>
          <w:rFonts w:ascii="Times New Roman" w:hAnsi="Times New Roman" w:cs="Times New Roman"/>
          <w:sz w:val="28"/>
          <w:szCs w:val="28"/>
        </w:rPr>
        <w:t xml:space="preserve">крытием </w:t>
      </w:r>
      <w:proofErr w:type="gramStart"/>
      <w:r w:rsidRPr="001C395F">
        <w:rPr>
          <w:rFonts w:ascii="Times New Roman" w:hAnsi="Times New Roman" w:cs="Times New Roman"/>
          <w:sz w:val="28"/>
          <w:szCs w:val="28"/>
        </w:rPr>
        <w:t>к</w:t>
      </w:r>
      <w:proofErr w:type="gramEnd"/>
      <w:r w:rsidRPr="001C395F">
        <w:rPr>
          <w:rFonts w:ascii="Times New Roman" w:hAnsi="Times New Roman" w:cs="Times New Roman"/>
          <w:sz w:val="28"/>
          <w:szCs w:val="28"/>
        </w:rPr>
        <w:t xml:space="preserve"> более экономичным при сохранении качества оказываемых мед</w:t>
      </w:r>
      <w:r w:rsidRPr="001C395F">
        <w:rPr>
          <w:rFonts w:ascii="Times New Roman" w:hAnsi="Times New Roman" w:cs="Times New Roman"/>
          <w:sz w:val="28"/>
          <w:szCs w:val="28"/>
        </w:rPr>
        <w:t>и</w:t>
      </w:r>
      <w:r w:rsidRPr="001C395F">
        <w:rPr>
          <w:rFonts w:ascii="Times New Roman" w:hAnsi="Times New Roman" w:cs="Times New Roman"/>
          <w:sz w:val="28"/>
          <w:szCs w:val="28"/>
        </w:rPr>
        <w:t>цинских услуг.</w:t>
      </w:r>
    </w:p>
    <w:p w:rsidR="00AD7D77" w:rsidRPr="001C395F" w:rsidRDefault="00AD7D77" w:rsidP="00AD7D77">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 xml:space="preserve">Возможен и другой, менее предпочтительный, путь: заключить новый договор со страховой компанией, цены которой намного ниже </w:t>
      </w:r>
      <w:proofErr w:type="gramStart"/>
      <w:r w:rsidRPr="001C395F">
        <w:rPr>
          <w:rFonts w:ascii="Times New Roman" w:hAnsi="Times New Roman" w:cs="Times New Roman"/>
          <w:sz w:val="28"/>
          <w:szCs w:val="28"/>
        </w:rPr>
        <w:t>средних</w:t>
      </w:r>
      <w:proofErr w:type="gramEnd"/>
      <w:r w:rsidRPr="001C395F">
        <w:rPr>
          <w:rFonts w:ascii="Times New Roman" w:hAnsi="Times New Roman" w:cs="Times New Roman"/>
          <w:sz w:val="28"/>
          <w:szCs w:val="28"/>
        </w:rPr>
        <w:t xml:space="preserve"> по рынку. Однако аргументы </w:t>
      </w:r>
      <w:proofErr w:type="spellStart"/>
      <w:r w:rsidRPr="001C395F">
        <w:rPr>
          <w:rFonts w:ascii="Times New Roman" w:hAnsi="Times New Roman" w:cs="Times New Roman"/>
          <w:sz w:val="28"/>
          <w:szCs w:val="28"/>
        </w:rPr>
        <w:t>демпингующих</w:t>
      </w:r>
      <w:proofErr w:type="spellEnd"/>
      <w:r w:rsidRPr="001C395F">
        <w:rPr>
          <w:rFonts w:ascii="Times New Roman" w:hAnsi="Times New Roman" w:cs="Times New Roman"/>
          <w:sz w:val="28"/>
          <w:szCs w:val="28"/>
        </w:rPr>
        <w:t xml:space="preserve"> страховщиков о высоких скидках в ЛПУ и меньших, по сравнению с конкурентами, расходах на ведение дел не представляются состоятельными. В реальности скидки в медицинских учр</w:t>
      </w:r>
      <w:r w:rsidRPr="001C395F">
        <w:rPr>
          <w:rFonts w:ascii="Times New Roman" w:hAnsi="Times New Roman" w:cs="Times New Roman"/>
          <w:sz w:val="28"/>
          <w:szCs w:val="28"/>
        </w:rPr>
        <w:t>е</w:t>
      </w:r>
      <w:r w:rsidRPr="001C395F">
        <w:rPr>
          <w:rFonts w:ascii="Times New Roman" w:hAnsi="Times New Roman" w:cs="Times New Roman"/>
          <w:sz w:val="28"/>
          <w:szCs w:val="28"/>
        </w:rPr>
        <w:t xml:space="preserve">ждениях у большинства страховых компаний уже достигли максимальных отметок, а </w:t>
      </w:r>
      <w:r>
        <w:rPr>
          <w:rFonts w:ascii="Times New Roman" w:hAnsi="Times New Roman" w:cs="Times New Roman"/>
          <w:sz w:val="28"/>
          <w:szCs w:val="28"/>
        </w:rPr>
        <w:t xml:space="preserve">расходы на </w:t>
      </w:r>
      <w:r w:rsidRPr="001C395F">
        <w:rPr>
          <w:rFonts w:ascii="Times New Roman" w:hAnsi="Times New Roman" w:cs="Times New Roman"/>
          <w:sz w:val="28"/>
          <w:szCs w:val="28"/>
        </w:rPr>
        <w:t>урегулирование убытков, комиссионные вознагражд</w:t>
      </w:r>
      <w:r w:rsidRPr="001C395F">
        <w:rPr>
          <w:rFonts w:ascii="Times New Roman" w:hAnsi="Times New Roman" w:cs="Times New Roman"/>
          <w:sz w:val="28"/>
          <w:szCs w:val="28"/>
        </w:rPr>
        <w:t>е</w:t>
      </w:r>
      <w:r w:rsidRPr="001C395F">
        <w:rPr>
          <w:rFonts w:ascii="Times New Roman" w:hAnsi="Times New Roman" w:cs="Times New Roman"/>
          <w:sz w:val="28"/>
          <w:szCs w:val="28"/>
        </w:rPr>
        <w:t>ния страховым агентом и прочие РВД обходятся всем игрокам рынка в пр</w:t>
      </w:r>
      <w:r w:rsidRPr="001C395F">
        <w:rPr>
          <w:rFonts w:ascii="Times New Roman" w:hAnsi="Times New Roman" w:cs="Times New Roman"/>
          <w:sz w:val="28"/>
          <w:szCs w:val="28"/>
        </w:rPr>
        <w:t>и</w:t>
      </w:r>
      <w:r w:rsidRPr="001C395F">
        <w:rPr>
          <w:rFonts w:ascii="Times New Roman" w:hAnsi="Times New Roman" w:cs="Times New Roman"/>
          <w:sz w:val="28"/>
          <w:szCs w:val="28"/>
        </w:rPr>
        <w:t>близительно одинаковые суммы.</w:t>
      </w:r>
    </w:p>
    <w:p w:rsidR="00AD7D77" w:rsidRDefault="00AD7D77" w:rsidP="00AD7D77">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Основной причиной роста рынка ДМС в 2010-2011 г</w:t>
      </w:r>
      <w:r>
        <w:rPr>
          <w:rFonts w:ascii="Times New Roman" w:hAnsi="Times New Roman" w:cs="Times New Roman"/>
          <w:sz w:val="28"/>
          <w:szCs w:val="28"/>
        </w:rPr>
        <w:t>г</w:t>
      </w:r>
      <w:r w:rsidRPr="001C395F">
        <w:rPr>
          <w:rFonts w:ascii="Times New Roman" w:hAnsi="Times New Roman" w:cs="Times New Roman"/>
          <w:sz w:val="28"/>
          <w:szCs w:val="28"/>
        </w:rPr>
        <w:t>. эксперты счит</w:t>
      </w:r>
      <w:r w:rsidRPr="001C395F">
        <w:rPr>
          <w:rFonts w:ascii="Times New Roman" w:hAnsi="Times New Roman" w:cs="Times New Roman"/>
          <w:sz w:val="28"/>
          <w:szCs w:val="28"/>
        </w:rPr>
        <w:t>а</w:t>
      </w:r>
      <w:r w:rsidRPr="001C395F">
        <w:rPr>
          <w:rFonts w:ascii="Times New Roman" w:hAnsi="Times New Roman" w:cs="Times New Roman"/>
          <w:sz w:val="28"/>
          <w:szCs w:val="28"/>
        </w:rPr>
        <w:t>ют так называемую «медицинскую инфляцию» (рост стоимости оказания у</w:t>
      </w:r>
      <w:r w:rsidRPr="001C395F">
        <w:rPr>
          <w:rFonts w:ascii="Times New Roman" w:hAnsi="Times New Roman" w:cs="Times New Roman"/>
          <w:sz w:val="28"/>
          <w:szCs w:val="28"/>
        </w:rPr>
        <w:t>с</w:t>
      </w:r>
      <w:r w:rsidRPr="001C395F">
        <w:rPr>
          <w:rFonts w:ascii="Times New Roman" w:hAnsi="Times New Roman" w:cs="Times New Roman"/>
          <w:sz w:val="28"/>
          <w:szCs w:val="28"/>
        </w:rPr>
        <w:t xml:space="preserve">луг лечебными учреждениями), на </w:t>
      </w:r>
      <w:proofErr w:type="gramStart"/>
      <w:r w:rsidRPr="001C395F">
        <w:rPr>
          <w:rFonts w:ascii="Times New Roman" w:hAnsi="Times New Roman" w:cs="Times New Roman"/>
          <w:sz w:val="28"/>
          <w:szCs w:val="28"/>
        </w:rPr>
        <w:t>величину</w:t>
      </w:r>
      <w:proofErr w:type="gramEnd"/>
      <w:r w:rsidRPr="001C395F">
        <w:rPr>
          <w:rFonts w:ascii="Times New Roman" w:hAnsi="Times New Roman" w:cs="Times New Roman"/>
          <w:sz w:val="28"/>
          <w:szCs w:val="28"/>
        </w:rPr>
        <w:t xml:space="preserve"> которой ежегодно индексируют свои тарифы страховщики. Кроме того, росту страховых взносов способств</w:t>
      </w:r>
      <w:r w:rsidRPr="001C395F">
        <w:rPr>
          <w:rFonts w:ascii="Times New Roman" w:hAnsi="Times New Roman" w:cs="Times New Roman"/>
          <w:sz w:val="28"/>
          <w:szCs w:val="28"/>
        </w:rPr>
        <w:t>о</w:t>
      </w:r>
      <w:r w:rsidRPr="001C395F">
        <w:rPr>
          <w:rFonts w:ascii="Times New Roman" w:hAnsi="Times New Roman" w:cs="Times New Roman"/>
          <w:sz w:val="28"/>
          <w:szCs w:val="28"/>
        </w:rPr>
        <w:lastRenderedPageBreak/>
        <w:t>вало постепенное возвращение старых клиентов, благополучно переживших кризис, и восстановление предприятиями урезанных на волне кризиса бю</w:t>
      </w:r>
      <w:r w:rsidRPr="001C395F">
        <w:rPr>
          <w:rFonts w:ascii="Times New Roman" w:hAnsi="Times New Roman" w:cs="Times New Roman"/>
          <w:sz w:val="28"/>
          <w:szCs w:val="28"/>
        </w:rPr>
        <w:t>д</w:t>
      </w:r>
      <w:r w:rsidRPr="001C395F">
        <w:rPr>
          <w:rFonts w:ascii="Times New Roman" w:hAnsi="Times New Roman" w:cs="Times New Roman"/>
          <w:sz w:val="28"/>
          <w:szCs w:val="28"/>
        </w:rPr>
        <w:t>жетов на медицинское обслуживание своих работников.</w:t>
      </w:r>
    </w:p>
    <w:p w:rsidR="00496D8F" w:rsidRDefault="00221E77" w:rsidP="00AD7D77">
      <w:pPr>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Рост цен на услуги </w:t>
      </w:r>
      <w:r w:rsidR="00496D8F">
        <w:rPr>
          <w:rFonts w:ascii="Times New Roman" w:hAnsi="Times New Roman" w:cs="Times New Roman"/>
          <w:sz w:val="28"/>
          <w:szCs w:val="28"/>
        </w:rPr>
        <w:t>лечебных учреждений</w:t>
      </w:r>
      <w:r>
        <w:rPr>
          <w:rFonts w:ascii="Times New Roman" w:hAnsi="Times New Roman" w:cs="Times New Roman"/>
          <w:sz w:val="28"/>
          <w:szCs w:val="28"/>
        </w:rPr>
        <w:t xml:space="preserve"> </w:t>
      </w:r>
      <w:r w:rsidR="00496D8F">
        <w:rPr>
          <w:rFonts w:ascii="Times New Roman" w:hAnsi="Times New Roman" w:cs="Times New Roman"/>
          <w:sz w:val="28"/>
          <w:szCs w:val="28"/>
        </w:rPr>
        <w:t>зачастую не</w:t>
      </w:r>
      <w:r>
        <w:rPr>
          <w:rFonts w:ascii="Times New Roman" w:hAnsi="Times New Roman" w:cs="Times New Roman"/>
          <w:sz w:val="28"/>
          <w:szCs w:val="28"/>
        </w:rPr>
        <w:t xml:space="preserve"> сопровождается </w:t>
      </w:r>
      <w:r w:rsidR="00496D8F">
        <w:rPr>
          <w:rFonts w:ascii="Times New Roman" w:hAnsi="Times New Roman" w:cs="Times New Roman"/>
          <w:sz w:val="28"/>
          <w:szCs w:val="28"/>
        </w:rPr>
        <w:t>повышением качества обслуживания. Как следствие, о</w:t>
      </w:r>
      <w:r w:rsidR="00496D8F" w:rsidRPr="009E1FDB">
        <w:rPr>
          <w:rFonts w:ascii="Times New Roman" w:hAnsi="Times New Roman"/>
          <w:sz w:val="28"/>
          <w:szCs w:val="28"/>
        </w:rPr>
        <w:t>рганизация лечебно-диагностического процесса, квалификация медицинского персонала, осн</w:t>
      </w:r>
      <w:r w:rsidR="00496D8F" w:rsidRPr="009E1FDB">
        <w:rPr>
          <w:rFonts w:ascii="Times New Roman" w:hAnsi="Times New Roman"/>
          <w:sz w:val="28"/>
          <w:szCs w:val="28"/>
        </w:rPr>
        <w:t>а</w:t>
      </w:r>
      <w:r w:rsidR="00496D8F">
        <w:rPr>
          <w:rFonts w:ascii="Times New Roman" w:hAnsi="Times New Roman"/>
          <w:sz w:val="28"/>
          <w:szCs w:val="28"/>
        </w:rPr>
        <w:t xml:space="preserve">щенность медицинской </w:t>
      </w:r>
      <w:r w:rsidR="00496D8F" w:rsidRPr="009E1FDB">
        <w:rPr>
          <w:rFonts w:ascii="Times New Roman" w:hAnsi="Times New Roman"/>
          <w:sz w:val="28"/>
          <w:szCs w:val="28"/>
        </w:rPr>
        <w:t>техникой и аппаратурой</w:t>
      </w:r>
      <w:r w:rsidR="00496D8F">
        <w:rPr>
          <w:rFonts w:ascii="Times New Roman" w:hAnsi="Times New Roman"/>
          <w:sz w:val="28"/>
          <w:szCs w:val="28"/>
        </w:rPr>
        <w:t xml:space="preserve"> той или иной клиники дал</w:t>
      </w:r>
      <w:r w:rsidR="00496D8F">
        <w:rPr>
          <w:rFonts w:ascii="Times New Roman" w:hAnsi="Times New Roman"/>
          <w:sz w:val="28"/>
          <w:szCs w:val="28"/>
        </w:rPr>
        <w:t>е</w:t>
      </w:r>
      <w:r w:rsidR="00496D8F">
        <w:rPr>
          <w:rFonts w:ascii="Times New Roman" w:hAnsi="Times New Roman"/>
          <w:sz w:val="28"/>
          <w:szCs w:val="28"/>
        </w:rPr>
        <w:t xml:space="preserve">ко не всегда соответствует потребностям и желаниям клиентов. </w:t>
      </w:r>
      <w:r w:rsidR="00496D8F" w:rsidRPr="009E1FDB">
        <w:rPr>
          <w:rFonts w:ascii="Times New Roman" w:hAnsi="Times New Roman"/>
          <w:sz w:val="28"/>
          <w:szCs w:val="28"/>
        </w:rPr>
        <w:t>Выход из сложившейся ситуации многие страховые компании</w:t>
      </w:r>
      <w:r w:rsidR="00496D8F">
        <w:rPr>
          <w:rFonts w:ascii="Times New Roman" w:hAnsi="Times New Roman"/>
          <w:sz w:val="28"/>
          <w:szCs w:val="28"/>
        </w:rPr>
        <w:t xml:space="preserve"> </w:t>
      </w:r>
      <w:r w:rsidR="00496D8F" w:rsidRPr="009E1FDB">
        <w:rPr>
          <w:rFonts w:ascii="Times New Roman" w:hAnsi="Times New Roman"/>
          <w:sz w:val="28"/>
          <w:szCs w:val="28"/>
        </w:rPr>
        <w:t xml:space="preserve">видят в создании </w:t>
      </w:r>
      <w:r w:rsidR="00496D8F">
        <w:rPr>
          <w:rFonts w:ascii="Times New Roman" w:hAnsi="Times New Roman"/>
          <w:sz w:val="28"/>
          <w:szCs w:val="28"/>
        </w:rPr>
        <w:t>собс</w:t>
      </w:r>
      <w:r w:rsidR="00496D8F">
        <w:rPr>
          <w:rFonts w:ascii="Times New Roman" w:hAnsi="Times New Roman"/>
          <w:sz w:val="28"/>
          <w:szCs w:val="28"/>
        </w:rPr>
        <w:t>т</w:t>
      </w:r>
      <w:r w:rsidR="00496D8F">
        <w:rPr>
          <w:rFonts w:ascii="Times New Roman" w:hAnsi="Times New Roman"/>
          <w:sz w:val="28"/>
          <w:szCs w:val="28"/>
        </w:rPr>
        <w:t>венных медицинских центров. Однако позволить себе подобные инвестиции могут лишь ведущие игроки рынка ДМС.</w:t>
      </w:r>
    </w:p>
    <w:p w:rsidR="00AD7D77" w:rsidRPr="001C395F" w:rsidRDefault="00AD7D77" w:rsidP="00AD7D77">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Доля страховых взносов по ДМС в общем объеме уплаченных страх</w:t>
      </w:r>
      <w:r w:rsidRPr="001C395F">
        <w:rPr>
          <w:rFonts w:ascii="Times New Roman" w:hAnsi="Times New Roman" w:cs="Times New Roman"/>
          <w:sz w:val="28"/>
          <w:szCs w:val="28"/>
        </w:rPr>
        <w:t>о</w:t>
      </w:r>
      <w:r w:rsidRPr="001C395F">
        <w:rPr>
          <w:rFonts w:ascii="Times New Roman" w:hAnsi="Times New Roman" w:cs="Times New Roman"/>
          <w:sz w:val="28"/>
          <w:szCs w:val="28"/>
        </w:rPr>
        <w:t>вых премий принимала максимальное значение в 2005 г., постепенно умен</w:t>
      </w:r>
      <w:r w:rsidRPr="001C395F">
        <w:rPr>
          <w:rFonts w:ascii="Times New Roman" w:hAnsi="Times New Roman" w:cs="Times New Roman"/>
          <w:sz w:val="28"/>
          <w:szCs w:val="28"/>
        </w:rPr>
        <w:t>ь</w:t>
      </w:r>
      <w:r w:rsidRPr="001C395F">
        <w:rPr>
          <w:rFonts w:ascii="Times New Roman" w:hAnsi="Times New Roman" w:cs="Times New Roman"/>
          <w:sz w:val="28"/>
          <w:szCs w:val="28"/>
        </w:rPr>
        <w:t>шаясь в течение последующих четырех лет, что явилось следствием более высоких темпов прироста суммарных страховых взносов по всем видам стр</w:t>
      </w:r>
      <w:r w:rsidRPr="001C395F">
        <w:rPr>
          <w:rFonts w:ascii="Times New Roman" w:hAnsi="Times New Roman" w:cs="Times New Roman"/>
          <w:sz w:val="28"/>
          <w:szCs w:val="28"/>
        </w:rPr>
        <w:t>а</w:t>
      </w:r>
      <w:r w:rsidRPr="001C395F">
        <w:rPr>
          <w:rFonts w:ascii="Times New Roman" w:hAnsi="Times New Roman" w:cs="Times New Roman"/>
          <w:sz w:val="28"/>
          <w:szCs w:val="28"/>
        </w:rPr>
        <w:t>хования в сравнении с темпами прироста поступлений по ДМС. Например, в 2007 г. темп прироста страховых премий по ДМС относительно аналогичн</w:t>
      </w:r>
      <w:r w:rsidRPr="001C395F">
        <w:rPr>
          <w:rFonts w:ascii="Times New Roman" w:hAnsi="Times New Roman" w:cs="Times New Roman"/>
          <w:sz w:val="28"/>
          <w:szCs w:val="28"/>
        </w:rPr>
        <w:t>о</w:t>
      </w:r>
      <w:r w:rsidRPr="001C395F">
        <w:rPr>
          <w:rFonts w:ascii="Times New Roman" w:hAnsi="Times New Roman" w:cs="Times New Roman"/>
          <w:sz w:val="28"/>
          <w:szCs w:val="28"/>
        </w:rPr>
        <w:t>го показателя в 2006 г. составил 18,51%, в то время как общая сумма страх</w:t>
      </w:r>
      <w:r w:rsidRPr="001C395F">
        <w:rPr>
          <w:rFonts w:ascii="Times New Roman" w:hAnsi="Times New Roman" w:cs="Times New Roman"/>
          <w:sz w:val="28"/>
          <w:szCs w:val="28"/>
        </w:rPr>
        <w:t>о</w:t>
      </w:r>
      <w:r w:rsidRPr="001C395F">
        <w:rPr>
          <w:rFonts w:ascii="Times New Roman" w:hAnsi="Times New Roman" w:cs="Times New Roman"/>
          <w:sz w:val="28"/>
          <w:szCs w:val="28"/>
        </w:rPr>
        <w:t>вых взносов увеличилась на 26,23%, в результате чего доля взносов по дог</w:t>
      </w:r>
      <w:r w:rsidRPr="001C395F">
        <w:rPr>
          <w:rFonts w:ascii="Times New Roman" w:hAnsi="Times New Roman" w:cs="Times New Roman"/>
          <w:sz w:val="28"/>
          <w:szCs w:val="28"/>
        </w:rPr>
        <w:t>о</w:t>
      </w:r>
      <w:r w:rsidRPr="001C395F">
        <w:rPr>
          <w:rFonts w:ascii="Times New Roman" w:hAnsi="Times New Roman" w:cs="Times New Roman"/>
          <w:sz w:val="28"/>
          <w:szCs w:val="28"/>
        </w:rPr>
        <w:t xml:space="preserve">ворам ДМС снизилась на 0,53 п.п. </w:t>
      </w:r>
      <w:proofErr w:type="gramStart"/>
      <w:r w:rsidRPr="001C395F">
        <w:rPr>
          <w:rFonts w:ascii="Times New Roman" w:hAnsi="Times New Roman" w:cs="Times New Roman"/>
          <w:sz w:val="28"/>
          <w:szCs w:val="28"/>
        </w:rPr>
        <w:t>В 2011 г., после короткого перерыва, ук</w:t>
      </w:r>
      <w:r w:rsidRPr="001C395F">
        <w:rPr>
          <w:rFonts w:ascii="Times New Roman" w:hAnsi="Times New Roman" w:cs="Times New Roman"/>
          <w:sz w:val="28"/>
          <w:szCs w:val="28"/>
        </w:rPr>
        <w:t>а</w:t>
      </w:r>
      <w:r w:rsidRPr="001C395F">
        <w:rPr>
          <w:rFonts w:ascii="Times New Roman" w:hAnsi="Times New Roman" w:cs="Times New Roman"/>
          <w:sz w:val="28"/>
          <w:szCs w:val="28"/>
        </w:rPr>
        <w:t>занная тенденция вновь заявила о себе: темп прироста суммарных страховых премий, собранных российскими страховыми организациями, достиг уровня в 22,48% (на 9,45 п.п. выше темпа прироста страховых взносов по ДМС в этом же году), обусловив тем самым снижение доли поступлений по ДМС в общем объеме страховых взносов за год на 0,64 п.п.</w:t>
      </w:r>
      <w:proofErr w:type="gramEnd"/>
    </w:p>
    <w:p w:rsidR="00AD7D77" w:rsidRDefault="00AD7D77" w:rsidP="00AD7D77">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Для сравнения, суммарный объем страховых премий по обязательному медицинскому страхованию, реализуемому в рамках государственных гара</w:t>
      </w:r>
      <w:r w:rsidRPr="001C395F">
        <w:rPr>
          <w:rFonts w:ascii="Times New Roman" w:hAnsi="Times New Roman" w:cs="Times New Roman"/>
          <w:sz w:val="28"/>
          <w:szCs w:val="28"/>
        </w:rPr>
        <w:t>н</w:t>
      </w:r>
      <w:r w:rsidRPr="001C395F">
        <w:rPr>
          <w:rFonts w:ascii="Times New Roman" w:hAnsi="Times New Roman" w:cs="Times New Roman"/>
          <w:sz w:val="28"/>
          <w:szCs w:val="28"/>
        </w:rPr>
        <w:t>тий по предоставлению бесплатной медицинской помощи гражданам Ро</w:t>
      </w:r>
      <w:r w:rsidRPr="001C395F">
        <w:rPr>
          <w:rFonts w:ascii="Times New Roman" w:hAnsi="Times New Roman" w:cs="Times New Roman"/>
          <w:sz w:val="28"/>
          <w:szCs w:val="28"/>
        </w:rPr>
        <w:t>с</w:t>
      </w:r>
      <w:r w:rsidRPr="001C395F">
        <w:rPr>
          <w:rFonts w:ascii="Times New Roman" w:hAnsi="Times New Roman" w:cs="Times New Roman"/>
          <w:sz w:val="28"/>
          <w:szCs w:val="28"/>
        </w:rPr>
        <w:t xml:space="preserve">сийской Федерации, составил в 2011 г. 611 364 592,7 тыс. руб. (или 48,15% от общей суммы собранных российскими страховщиками страховых взносов). </w:t>
      </w:r>
      <w:r w:rsidRPr="001C395F">
        <w:rPr>
          <w:rFonts w:ascii="Times New Roman" w:hAnsi="Times New Roman" w:cs="Times New Roman"/>
          <w:sz w:val="28"/>
          <w:szCs w:val="28"/>
        </w:rPr>
        <w:lastRenderedPageBreak/>
        <w:t>Поэтому приходится констатировать, что рынок ДМС в нашей стране пока развит в недостаточной степени, несмотря на то, что государство предпр</w:t>
      </w:r>
      <w:r w:rsidRPr="001C395F">
        <w:rPr>
          <w:rFonts w:ascii="Times New Roman" w:hAnsi="Times New Roman" w:cs="Times New Roman"/>
          <w:sz w:val="28"/>
          <w:szCs w:val="28"/>
        </w:rPr>
        <w:t>и</w:t>
      </w:r>
      <w:r w:rsidRPr="001C395F">
        <w:rPr>
          <w:rFonts w:ascii="Times New Roman" w:hAnsi="Times New Roman" w:cs="Times New Roman"/>
          <w:sz w:val="28"/>
          <w:szCs w:val="28"/>
        </w:rPr>
        <w:t xml:space="preserve">нимает активные меры для его развития. </w:t>
      </w:r>
    </w:p>
    <w:p w:rsidR="00AD7D77" w:rsidRPr="001C395F" w:rsidRDefault="00AD7D77" w:rsidP="00AD7D77">
      <w:pPr>
        <w:spacing w:after="0" w:line="360" w:lineRule="auto"/>
        <w:ind w:firstLine="709"/>
        <w:jc w:val="both"/>
        <w:rPr>
          <w:rFonts w:ascii="Times New Roman" w:hAnsi="Times New Roman" w:cs="Times New Roman"/>
          <w:sz w:val="28"/>
          <w:szCs w:val="28"/>
        </w:rPr>
      </w:pPr>
      <w:proofErr w:type="gramStart"/>
      <w:r w:rsidRPr="001C395F">
        <w:rPr>
          <w:rFonts w:ascii="Times New Roman" w:hAnsi="Times New Roman" w:cs="Times New Roman"/>
          <w:sz w:val="28"/>
          <w:szCs w:val="28"/>
        </w:rPr>
        <w:t>Так, расходы на добровольное медицинское страхование работников предприятия могут быть отнесены на его себестоимость (что влечет за собой уменьшение налогооблагаемой базы по налогу на прибыль) в размере, не превышающем 6% от годового размера фонда оплаты труда (всех сотрудн</w:t>
      </w:r>
      <w:r w:rsidRPr="001C395F">
        <w:rPr>
          <w:rFonts w:ascii="Times New Roman" w:hAnsi="Times New Roman" w:cs="Times New Roman"/>
          <w:sz w:val="28"/>
          <w:szCs w:val="28"/>
        </w:rPr>
        <w:t>и</w:t>
      </w:r>
      <w:r w:rsidRPr="001C395F">
        <w:rPr>
          <w:rFonts w:ascii="Times New Roman" w:hAnsi="Times New Roman" w:cs="Times New Roman"/>
          <w:sz w:val="28"/>
          <w:szCs w:val="28"/>
        </w:rPr>
        <w:t>ков компании, а не только застрахованных) (ст.255 п.16 части II НК РФ).</w:t>
      </w:r>
      <w:proofErr w:type="gramEnd"/>
      <w:r w:rsidRPr="001C395F">
        <w:rPr>
          <w:rFonts w:ascii="Times New Roman" w:hAnsi="Times New Roman" w:cs="Times New Roman"/>
          <w:sz w:val="28"/>
          <w:szCs w:val="28"/>
        </w:rPr>
        <w:t xml:space="preserve"> Кроме того, страховые взносы по ДМС не облагаются НДС и налогом на д</w:t>
      </w:r>
      <w:r w:rsidRPr="001C395F">
        <w:rPr>
          <w:rFonts w:ascii="Times New Roman" w:hAnsi="Times New Roman" w:cs="Times New Roman"/>
          <w:sz w:val="28"/>
          <w:szCs w:val="28"/>
        </w:rPr>
        <w:t>о</w:t>
      </w:r>
      <w:r w:rsidRPr="001C395F">
        <w:rPr>
          <w:rFonts w:ascii="Times New Roman" w:hAnsi="Times New Roman" w:cs="Times New Roman"/>
          <w:sz w:val="28"/>
          <w:szCs w:val="28"/>
        </w:rPr>
        <w:t xml:space="preserve">ходы физических лиц (ст.149 п.3 </w:t>
      </w:r>
      <w:proofErr w:type="spellStart"/>
      <w:proofErr w:type="gramStart"/>
      <w:r w:rsidRPr="001C395F">
        <w:rPr>
          <w:rFonts w:ascii="Times New Roman" w:hAnsi="Times New Roman" w:cs="Times New Roman"/>
          <w:sz w:val="28"/>
          <w:szCs w:val="28"/>
        </w:rPr>
        <w:t>п</w:t>
      </w:r>
      <w:proofErr w:type="spellEnd"/>
      <w:proofErr w:type="gramEnd"/>
      <w:r w:rsidRPr="001C395F">
        <w:rPr>
          <w:rFonts w:ascii="Times New Roman" w:hAnsi="Times New Roman" w:cs="Times New Roman"/>
          <w:sz w:val="28"/>
          <w:szCs w:val="28"/>
        </w:rPr>
        <w:t xml:space="preserve">/п.7, ст.213 п.1 </w:t>
      </w:r>
      <w:proofErr w:type="spellStart"/>
      <w:r w:rsidRPr="001C395F">
        <w:rPr>
          <w:rFonts w:ascii="Times New Roman" w:hAnsi="Times New Roman" w:cs="Times New Roman"/>
          <w:sz w:val="28"/>
          <w:szCs w:val="28"/>
        </w:rPr>
        <w:t>п</w:t>
      </w:r>
      <w:proofErr w:type="spellEnd"/>
      <w:r w:rsidRPr="001C395F">
        <w:rPr>
          <w:rFonts w:ascii="Times New Roman" w:hAnsi="Times New Roman" w:cs="Times New Roman"/>
          <w:sz w:val="28"/>
          <w:szCs w:val="28"/>
        </w:rPr>
        <w:t>/п.3 и п.3 части II НК РФ). Для физических лиц предусмотрены социальные налоговые вычеты в разм</w:t>
      </w:r>
      <w:r w:rsidRPr="001C395F">
        <w:rPr>
          <w:rFonts w:ascii="Times New Roman" w:hAnsi="Times New Roman" w:cs="Times New Roman"/>
          <w:sz w:val="28"/>
          <w:szCs w:val="28"/>
        </w:rPr>
        <w:t>е</w:t>
      </w:r>
      <w:r w:rsidRPr="001C395F">
        <w:rPr>
          <w:rFonts w:ascii="Times New Roman" w:hAnsi="Times New Roman" w:cs="Times New Roman"/>
          <w:sz w:val="28"/>
          <w:szCs w:val="28"/>
        </w:rPr>
        <w:t xml:space="preserve">ре до 120 тыс. руб. (размер вычета по расходам на дорогостоящее лечение не ограничивается) при заключении договора ДМС в свою пользу, а также в пользу супруга (супруги), родителей и несовершеннолетних детей (ст.219 п.1 </w:t>
      </w:r>
      <w:proofErr w:type="spellStart"/>
      <w:proofErr w:type="gramStart"/>
      <w:r w:rsidRPr="001C395F">
        <w:rPr>
          <w:rFonts w:ascii="Times New Roman" w:hAnsi="Times New Roman" w:cs="Times New Roman"/>
          <w:sz w:val="28"/>
          <w:szCs w:val="28"/>
        </w:rPr>
        <w:t>п</w:t>
      </w:r>
      <w:proofErr w:type="spellEnd"/>
      <w:proofErr w:type="gramEnd"/>
      <w:r w:rsidRPr="001C395F">
        <w:rPr>
          <w:rFonts w:ascii="Times New Roman" w:hAnsi="Times New Roman" w:cs="Times New Roman"/>
          <w:sz w:val="28"/>
          <w:szCs w:val="28"/>
        </w:rPr>
        <w:t>/п.3 части II НК РФ).</w:t>
      </w:r>
    </w:p>
    <w:p w:rsidR="00AD7D77" w:rsidRPr="00233750" w:rsidRDefault="00AD7D77" w:rsidP="004D54B5">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 xml:space="preserve">Таблица </w:t>
      </w:r>
      <w:r w:rsidR="00DA62A2" w:rsidRPr="00233750">
        <w:rPr>
          <w:rFonts w:ascii="Times New Roman" w:hAnsi="Times New Roman" w:cs="Times New Roman"/>
          <w:i/>
          <w:iCs/>
          <w:sz w:val="26"/>
          <w:szCs w:val="26"/>
        </w:rPr>
        <w:t>4</w:t>
      </w:r>
    </w:p>
    <w:p w:rsidR="00560C9F" w:rsidRPr="00233750" w:rsidRDefault="00AD7D77" w:rsidP="004D54B5">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Динамика выплат по договорам страхования </w:t>
      </w:r>
      <w:proofErr w:type="gramStart"/>
      <w:r w:rsidRPr="00233750">
        <w:rPr>
          <w:rFonts w:ascii="Times New Roman" w:hAnsi="Times New Roman" w:cs="Times New Roman"/>
          <w:i/>
          <w:iCs/>
          <w:sz w:val="26"/>
          <w:szCs w:val="26"/>
        </w:rPr>
        <w:t>в</w:t>
      </w:r>
      <w:proofErr w:type="gramEnd"/>
      <w:r w:rsidRPr="00233750">
        <w:rPr>
          <w:rFonts w:ascii="Times New Roman" w:hAnsi="Times New Roman" w:cs="Times New Roman"/>
          <w:i/>
          <w:iCs/>
          <w:sz w:val="26"/>
          <w:szCs w:val="26"/>
        </w:rPr>
        <w:t xml:space="preserve"> российских </w:t>
      </w:r>
    </w:p>
    <w:p w:rsidR="00AD7D77" w:rsidRPr="00233750" w:rsidRDefault="00AD7D77" w:rsidP="004D54B5">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страховых </w:t>
      </w:r>
      <w:proofErr w:type="gramStart"/>
      <w:r w:rsidRPr="00233750">
        <w:rPr>
          <w:rFonts w:ascii="Times New Roman" w:hAnsi="Times New Roman" w:cs="Times New Roman"/>
          <w:i/>
          <w:iCs/>
          <w:sz w:val="26"/>
          <w:szCs w:val="26"/>
        </w:rPr>
        <w:t>организациях</w:t>
      </w:r>
      <w:proofErr w:type="gramEnd"/>
    </w:p>
    <w:tbl>
      <w:tblPr>
        <w:tblW w:w="9813" w:type="dxa"/>
        <w:jc w:val="right"/>
        <w:tblLook w:val="00A0"/>
      </w:tblPr>
      <w:tblGrid>
        <w:gridCol w:w="782"/>
        <w:gridCol w:w="2175"/>
        <w:gridCol w:w="1701"/>
        <w:gridCol w:w="1753"/>
        <w:gridCol w:w="1842"/>
        <w:gridCol w:w="1560"/>
      </w:tblGrid>
      <w:tr w:rsidR="00AD7D77" w:rsidRPr="00097705" w:rsidTr="0012647D">
        <w:trPr>
          <w:trHeight w:val="1393"/>
          <w:tblHeader/>
          <w:jc w:val="right"/>
        </w:trPr>
        <w:tc>
          <w:tcPr>
            <w:tcW w:w="782" w:type="dxa"/>
            <w:tcBorders>
              <w:top w:val="single" w:sz="4" w:space="0" w:color="auto"/>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Годы</w:t>
            </w:r>
          </w:p>
        </w:tc>
        <w:tc>
          <w:tcPr>
            <w:tcW w:w="2175" w:type="dxa"/>
            <w:tcBorders>
              <w:top w:val="single" w:sz="4" w:space="0" w:color="auto"/>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Суммарные в</w:t>
            </w:r>
            <w:r w:rsidRPr="00680E12">
              <w:rPr>
                <w:rFonts w:ascii="Times New Roman" w:hAnsi="Times New Roman" w:cs="Times New Roman"/>
                <w:b/>
                <w:bCs/>
                <w:color w:val="000000"/>
                <w:sz w:val="23"/>
                <w:szCs w:val="23"/>
                <w:lang w:eastAsia="ru-RU"/>
              </w:rPr>
              <w:t>ы</w:t>
            </w:r>
            <w:r w:rsidRPr="00680E12">
              <w:rPr>
                <w:rFonts w:ascii="Times New Roman" w:hAnsi="Times New Roman" w:cs="Times New Roman"/>
                <w:b/>
                <w:bCs/>
                <w:color w:val="000000"/>
                <w:sz w:val="23"/>
                <w:szCs w:val="23"/>
                <w:lang w:eastAsia="ru-RU"/>
              </w:rPr>
              <w:t>платы по догов</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рам страхования по всем видам страхования, тыс. руб.</w:t>
            </w:r>
          </w:p>
        </w:tc>
        <w:tc>
          <w:tcPr>
            <w:tcW w:w="1701"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Страховые выплаты по договорам ДМС, тыс. руб.</w:t>
            </w:r>
          </w:p>
        </w:tc>
        <w:tc>
          <w:tcPr>
            <w:tcW w:w="1753"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Темп приро</w:t>
            </w:r>
            <w:r w:rsidRPr="00680E12">
              <w:rPr>
                <w:rFonts w:ascii="Times New Roman" w:hAnsi="Times New Roman" w:cs="Times New Roman"/>
                <w:b/>
                <w:bCs/>
                <w:color w:val="000000"/>
                <w:sz w:val="23"/>
                <w:szCs w:val="23"/>
                <w:lang w:eastAsia="ru-RU"/>
              </w:rPr>
              <w:t>с</w:t>
            </w:r>
            <w:r w:rsidRPr="00680E12">
              <w:rPr>
                <w:rFonts w:ascii="Times New Roman" w:hAnsi="Times New Roman" w:cs="Times New Roman"/>
                <w:b/>
                <w:bCs/>
                <w:color w:val="000000"/>
                <w:sz w:val="23"/>
                <w:szCs w:val="23"/>
                <w:lang w:eastAsia="ru-RU"/>
              </w:rPr>
              <w:t>та страховых выплат по д</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говорам ДМС, %</w:t>
            </w:r>
          </w:p>
        </w:tc>
        <w:tc>
          <w:tcPr>
            <w:tcW w:w="1842"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Доля страх</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вых выплат по договорам ДМС в общем объеме страх</w:t>
            </w:r>
            <w:r w:rsidRPr="00680E12">
              <w:rPr>
                <w:rFonts w:ascii="Times New Roman" w:hAnsi="Times New Roman" w:cs="Times New Roman"/>
                <w:b/>
                <w:bCs/>
                <w:color w:val="000000"/>
                <w:sz w:val="23"/>
                <w:szCs w:val="23"/>
                <w:lang w:eastAsia="ru-RU"/>
              </w:rPr>
              <w:t>о</w:t>
            </w:r>
            <w:r w:rsidRPr="00680E12">
              <w:rPr>
                <w:rFonts w:ascii="Times New Roman" w:hAnsi="Times New Roman" w:cs="Times New Roman"/>
                <w:b/>
                <w:bCs/>
                <w:color w:val="000000"/>
                <w:sz w:val="23"/>
                <w:szCs w:val="23"/>
                <w:lang w:eastAsia="ru-RU"/>
              </w:rPr>
              <w:t>вых выплат, %</w:t>
            </w:r>
          </w:p>
        </w:tc>
        <w:tc>
          <w:tcPr>
            <w:tcW w:w="1560"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b/>
                <w:bCs/>
                <w:color w:val="000000"/>
                <w:sz w:val="23"/>
                <w:szCs w:val="23"/>
                <w:lang w:eastAsia="ru-RU"/>
              </w:rPr>
            </w:pPr>
            <w:r w:rsidRPr="00680E12">
              <w:rPr>
                <w:rFonts w:ascii="Times New Roman" w:hAnsi="Times New Roman" w:cs="Times New Roman"/>
                <w:b/>
                <w:bCs/>
                <w:color w:val="000000"/>
                <w:sz w:val="23"/>
                <w:szCs w:val="23"/>
                <w:lang w:eastAsia="ru-RU"/>
              </w:rPr>
              <w:t>Средняя выплата по 1 договору страхования ДМС, руб.</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2004</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293 562 831,8</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31 106 365,0</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31,31</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10,60</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3 289,1</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2005</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308 484 365,3</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35 287 477,7</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13,44</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11,44</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3 982,6</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2006</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356 934 294,6</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39 752 092,7</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12,65</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11,14</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4 311,3</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2007</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486 597 210,8</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47 755 561,7</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20,13</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9,81</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5 017,7</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2008</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633 233 604,5</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59 067 535,3</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23,69</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9,33</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6 431,3</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2009</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739 908 096,0</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64 718 918,4</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9,57</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8,75</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7 329,4</w:t>
            </w:r>
          </w:p>
        </w:tc>
      </w:tr>
      <w:tr w:rsidR="00AD7D77" w:rsidRPr="00097705" w:rsidTr="0012647D">
        <w:trPr>
          <w:trHeight w:val="293"/>
          <w:jc w:val="right"/>
        </w:trPr>
        <w:tc>
          <w:tcPr>
            <w:tcW w:w="782" w:type="dxa"/>
            <w:tcBorders>
              <w:top w:val="nil"/>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2010</w:t>
            </w:r>
          </w:p>
        </w:tc>
        <w:tc>
          <w:tcPr>
            <w:tcW w:w="2175" w:type="dxa"/>
            <w:tcBorders>
              <w:top w:val="nil"/>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774 830 597,8</w:t>
            </w:r>
          </w:p>
        </w:tc>
        <w:tc>
          <w:tcPr>
            <w:tcW w:w="1701"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66 470 264,2</w:t>
            </w:r>
          </w:p>
        </w:tc>
        <w:tc>
          <w:tcPr>
            <w:tcW w:w="1753"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2,71</w:t>
            </w:r>
          </w:p>
        </w:tc>
        <w:tc>
          <w:tcPr>
            <w:tcW w:w="1842"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8,58</w:t>
            </w:r>
          </w:p>
        </w:tc>
        <w:tc>
          <w:tcPr>
            <w:tcW w:w="1560" w:type="dxa"/>
            <w:tcBorders>
              <w:top w:val="nil"/>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7 340,1</w:t>
            </w:r>
          </w:p>
        </w:tc>
      </w:tr>
      <w:tr w:rsidR="00AD7D77" w:rsidRPr="00097705" w:rsidTr="0012647D">
        <w:trPr>
          <w:trHeight w:val="293"/>
          <w:jc w:val="right"/>
        </w:trPr>
        <w:tc>
          <w:tcPr>
            <w:tcW w:w="782" w:type="dxa"/>
            <w:tcBorders>
              <w:top w:val="single" w:sz="4" w:space="0" w:color="auto"/>
              <w:left w:val="single" w:sz="4" w:space="0" w:color="auto"/>
              <w:bottom w:val="single" w:sz="4" w:space="0" w:color="auto"/>
              <w:right w:val="single" w:sz="4" w:space="0" w:color="auto"/>
            </w:tcBorders>
            <w:noWrap/>
            <w:vAlign w:val="center"/>
          </w:tcPr>
          <w:p w:rsidR="00AD7D77" w:rsidRPr="00680E12" w:rsidRDefault="00AD7D77" w:rsidP="00F11BD7">
            <w:pPr>
              <w:spacing w:after="0" w:line="240" w:lineRule="auto"/>
              <w:jc w:val="center"/>
              <w:rPr>
                <w:rFonts w:ascii="Times New Roman" w:hAnsi="Times New Roman" w:cs="Times New Roman"/>
                <w:color w:val="000000"/>
                <w:sz w:val="23"/>
                <w:szCs w:val="23"/>
                <w:lang w:eastAsia="ru-RU"/>
              </w:rPr>
            </w:pPr>
            <w:r w:rsidRPr="00680E12">
              <w:rPr>
                <w:rFonts w:ascii="Times New Roman" w:hAnsi="Times New Roman" w:cs="Times New Roman"/>
                <w:color w:val="000000"/>
                <w:sz w:val="23"/>
                <w:szCs w:val="23"/>
                <w:lang w:eastAsia="ru-RU"/>
              </w:rPr>
              <w:t>2011</w:t>
            </w:r>
          </w:p>
        </w:tc>
        <w:tc>
          <w:tcPr>
            <w:tcW w:w="2175" w:type="dxa"/>
            <w:tcBorders>
              <w:top w:val="single" w:sz="4" w:space="0" w:color="auto"/>
              <w:left w:val="single" w:sz="4" w:space="0" w:color="auto"/>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902 205 726,6</w:t>
            </w:r>
          </w:p>
        </w:tc>
        <w:tc>
          <w:tcPr>
            <w:tcW w:w="1701"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74 484 113,6</w:t>
            </w:r>
          </w:p>
        </w:tc>
        <w:tc>
          <w:tcPr>
            <w:tcW w:w="1753"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12,06</w:t>
            </w:r>
          </w:p>
        </w:tc>
        <w:tc>
          <w:tcPr>
            <w:tcW w:w="1842"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8,26</w:t>
            </w:r>
          </w:p>
        </w:tc>
        <w:tc>
          <w:tcPr>
            <w:tcW w:w="1560" w:type="dxa"/>
            <w:tcBorders>
              <w:top w:val="single" w:sz="4" w:space="0" w:color="auto"/>
              <w:left w:val="nil"/>
              <w:bottom w:val="single" w:sz="4" w:space="0" w:color="auto"/>
              <w:right w:val="single" w:sz="4" w:space="0" w:color="auto"/>
            </w:tcBorders>
            <w:vAlign w:val="center"/>
          </w:tcPr>
          <w:p w:rsidR="00AD7D77" w:rsidRPr="00680E12" w:rsidRDefault="00AD7D77" w:rsidP="00F11BD7">
            <w:pPr>
              <w:spacing w:after="0" w:line="240" w:lineRule="auto"/>
              <w:jc w:val="center"/>
              <w:rPr>
                <w:rFonts w:ascii="Times New Roman" w:hAnsi="Times New Roman" w:cs="Times New Roman"/>
                <w:sz w:val="23"/>
                <w:szCs w:val="23"/>
                <w:lang w:eastAsia="ru-RU"/>
              </w:rPr>
            </w:pPr>
            <w:r w:rsidRPr="00680E12">
              <w:rPr>
                <w:rFonts w:ascii="Times New Roman" w:hAnsi="Times New Roman" w:cs="Times New Roman"/>
                <w:sz w:val="23"/>
                <w:szCs w:val="23"/>
                <w:lang w:eastAsia="ru-RU"/>
              </w:rPr>
              <w:t>8 251,0</w:t>
            </w:r>
          </w:p>
        </w:tc>
      </w:tr>
      <w:tr w:rsidR="00AD7D77" w:rsidRPr="00544CBA" w:rsidTr="0012647D">
        <w:trPr>
          <w:trHeight w:val="293"/>
          <w:jc w:val="right"/>
        </w:trPr>
        <w:tc>
          <w:tcPr>
            <w:tcW w:w="782" w:type="dxa"/>
            <w:tcBorders>
              <w:top w:val="single" w:sz="4" w:space="0" w:color="auto"/>
              <w:left w:val="single" w:sz="4" w:space="0" w:color="auto"/>
              <w:bottom w:val="single" w:sz="4" w:space="0" w:color="auto"/>
              <w:right w:val="single" w:sz="4" w:space="0" w:color="auto"/>
            </w:tcBorders>
            <w:noWrap/>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A706B1">
              <w:rPr>
                <w:rFonts w:ascii="Times New Roman" w:hAnsi="Times New Roman" w:cs="Times New Roman"/>
                <w:color w:val="000000"/>
                <w:sz w:val="23"/>
                <w:szCs w:val="23"/>
                <w:lang w:eastAsia="ru-RU"/>
              </w:rPr>
              <w:t>201</w:t>
            </w:r>
            <w:r w:rsidRPr="009E4922">
              <w:rPr>
                <w:rFonts w:ascii="Times New Roman" w:hAnsi="Times New Roman" w:cs="Times New Roman"/>
                <w:color w:val="000000"/>
                <w:sz w:val="23"/>
                <w:szCs w:val="23"/>
                <w:lang w:eastAsia="ru-RU"/>
              </w:rPr>
              <w:t>2</w:t>
            </w:r>
          </w:p>
        </w:tc>
        <w:tc>
          <w:tcPr>
            <w:tcW w:w="2175" w:type="dxa"/>
            <w:tcBorders>
              <w:top w:val="single" w:sz="4" w:space="0" w:color="auto"/>
              <w:left w:val="single" w:sz="4" w:space="0" w:color="auto"/>
              <w:bottom w:val="single" w:sz="4" w:space="0" w:color="auto"/>
              <w:right w:val="single" w:sz="4" w:space="0" w:color="auto"/>
            </w:tcBorders>
            <w:vAlign w:val="center"/>
          </w:tcPr>
          <w:p w:rsidR="00AD7D77" w:rsidRPr="009E4922" w:rsidRDefault="00AD7D77" w:rsidP="00F11BD7">
            <w:pPr>
              <w:spacing w:after="0" w:line="240" w:lineRule="auto"/>
              <w:jc w:val="center"/>
              <w:rPr>
                <w:rFonts w:ascii="Times New Roman" w:hAnsi="Times New Roman" w:cs="Times New Roman"/>
                <w:color w:val="000000"/>
                <w:sz w:val="23"/>
                <w:szCs w:val="23"/>
                <w:lang w:eastAsia="ru-RU"/>
              </w:rPr>
            </w:pPr>
            <w:r w:rsidRPr="009E4922">
              <w:rPr>
                <w:rFonts w:ascii="Times New Roman" w:hAnsi="Times New Roman" w:cs="Times New Roman"/>
                <w:color w:val="000000"/>
                <w:sz w:val="23"/>
                <w:szCs w:val="23"/>
                <w:lang w:eastAsia="ru-RU"/>
              </w:rPr>
              <w:t>–</w:t>
            </w:r>
          </w:p>
        </w:tc>
        <w:tc>
          <w:tcPr>
            <w:tcW w:w="1701" w:type="dxa"/>
            <w:tcBorders>
              <w:top w:val="single" w:sz="4" w:space="0" w:color="auto"/>
              <w:left w:val="nil"/>
              <w:bottom w:val="single" w:sz="4" w:space="0" w:color="auto"/>
              <w:right w:val="single" w:sz="4" w:space="0" w:color="auto"/>
            </w:tcBorders>
            <w:vAlign w:val="center"/>
          </w:tcPr>
          <w:p w:rsidR="00AD7D77" w:rsidRPr="00544CBA" w:rsidRDefault="00AD7D77" w:rsidP="00F11BD7">
            <w:pPr>
              <w:spacing w:after="0" w:line="240" w:lineRule="auto"/>
              <w:jc w:val="center"/>
              <w:rPr>
                <w:rFonts w:ascii="Times New Roman" w:hAnsi="Times New Roman" w:cs="Times New Roman"/>
                <w:color w:val="000000"/>
                <w:sz w:val="23"/>
                <w:szCs w:val="23"/>
                <w:lang w:eastAsia="ru-RU"/>
              </w:rPr>
            </w:pPr>
            <w:r w:rsidRPr="00544CBA">
              <w:rPr>
                <w:rFonts w:ascii="Times New Roman" w:hAnsi="Times New Roman" w:cs="Times New Roman"/>
                <w:color w:val="000000"/>
                <w:sz w:val="23"/>
                <w:szCs w:val="23"/>
                <w:lang w:eastAsia="ru-RU"/>
              </w:rPr>
              <w:t>81 999 181,0</w:t>
            </w:r>
          </w:p>
        </w:tc>
        <w:tc>
          <w:tcPr>
            <w:tcW w:w="1753" w:type="dxa"/>
            <w:tcBorders>
              <w:top w:val="single" w:sz="4" w:space="0" w:color="auto"/>
              <w:left w:val="nil"/>
              <w:bottom w:val="single" w:sz="4" w:space="0" w:color="auto"/>
              <w:right w:val="single" w:sz="4" w:space="0" w:color="auto"/>
            </w:tcBorders>
            <w:vAlign w:val="center"/>
          </w:tcPr>
          <w:p w:rsidR="00AD7D77" w:rsidRPr="00544CBA" w:rsidRDefault="00AD7D77" w:rsidP="00F11BD7">
            <w:pPr>
              <w:spacing w:after="0" w:line="240" w:lineRule="auto"/>
              <w:jc w:val="center"/>
              <w:rPr>
                <w:rFonts w:ascii="Times New Roman" w:hAnsi="Times New Roman" w:cs="Times New Roman"/>
                <w:color w:val="000000"/>
                <w:sz w:val="23"/>
                <w:szCs w:val="23"/>
                <w:lang w:eastAsia="ru-RU"/>
              </w:rPr>
            </w:pPr>
            <w:r w:rsidRPr="00544CBA">
              <w:rPr>
                <w:rFonts w:ascii="Times New Roman" w:hAnsi="Times New Roman" w:cs="Times New Roman"/>
                <w:color w:val="000000"/>
                <w:sz w:val="23"/>
                <w:szCs w:val="23"/>
                <w:lang w:eastAsia="ru-RU"/>
              </w:rPr>
              <w:t>10,09</w:t>
            </w:r>
          </w:p>
        </w:tc>
        <w:tc>
          <w:tcPr>
            <w:tcW w:w="1842" w:type="dxa"/>
            <w:tcBorders>
              <w:top w:val="single" w:sz="4" w:space="0" w:color="auto"/>
              <w:left w:val="nil"/>
              <w:bottom w:val="single" w:sz="4" w:space="0" w:color="auto"/>
              <w:right w:val="single" w:sz="4" w:space="0" w:color="auto"/>
            </w:tcBorders>
            <w:vAlign w:val="center"/>
          </w:tcPr>
          <w:p w:rsidR="00AD7D77" w:rsidRPr="00544CBA" w:rsidRDefault="00AD7D77" w:rsidP="00F11BD7">
            <w:pPr>
              <w:spacing w:after="0" w:line="240" w:lineRule="auto"/>
              <w:jc w:val="center"/>
              <w:rPr>
                <w:rFonts w:ascii="Times New Roman" w:hAnsi="Times New Roman" w:cs="Times New Roman"/>
                <w:color w:val="000000"/>
                <w:sz w:val="23"/>
                <w:szCs w:val="23"/>
                <w:lang w:eastAsia="ru-RU"/>
              </w:rPr>
            </w:pPr>
            <w:r w:rsidRPr="00544CBA">
              <w:rPr>
                <w:rFonts w:ascii="Times New Roman" w:hAnsi="Times New Roman" w:cs="Times New Roman"/>
                <w:color w:val="000000"/>
                <w:sz w:val="23"/>
                <w:szCs w:val="23"/>
                <w:lang w:eastAsia="ru-RU"/>
              </w:rPr>
              <w:t>–</w:t>
            </w:r>
          </w:p>
        </w:tc>
        <w:tc>
          <w:tcPr>
            <w:tcW w:w="1560" w:type="dxa"/>
            <w:tcBorders>
              <w:top w:val="single" w:sz="4" w:space="0" w:color="auto"/>
              <w:left w:val="nil"/>
              <w:bottom w:val="single" w:sz="4" w:space="0" w:color="auto"/>
              <w:right w:val="single" w:sz="4" w:space="0" w:color="auto"/>
            </w:tcBorders>
            <w:vAlign w:val="center"/>
          </w:tcPr>
          <w:p w:rsidR="00AD7D77" w:rsidRPr="00544CBA" w:rsidRDefault="00AD7D77" w:rsidP="00F11BD7">
            <w:pPr>
              <w:spacing w:after="0" w:line="240" w:lineRule="auto"/>
              <w:jc w:val="center"/>
              <w:rPr>
                <w:rFonts w:ascii="Times New Roman" w:hAnsi="Times New Roman" w:cs="Times New Roman"/>
                <w:color w:val="000000"/>
                <w:sz w:val="23"/>
                <w:szCs w:val="23"/>
                <w:lang w:eastAsia="ru-RU"/>
              </w:rPr>
            </w:pPr>
            <w:r w:rsidRPr="00544CBA">
              <w:rPr>
                <w:rFonts w:ascii="Times New Roman" w:hAnsi="Times New Roman" w:cs="Times New Roman"/>
                <w:color w:val="000000"/>
                <w:sz w:val="23"/>
                <w:szCs w:val="23"/>
                <w:lang w:eastAsia="ru-RU"/>
              </w:rPr>
              <w:t>7 052,6</w:t>
            </w:r>
          </w:p>
        </w:tc>
      </w:tr>
    </w:tbl>
    <w:p w:rsidR="004D54B5" w:rsidRDefault="004D54B5" w:rsidP="004D54B5">
      <w:pPr>
        <w:spacing w:before="120" w:after="0" w:line="360" w:lineRule="auto"/>
        <w:ind w:firstLine="709"/>
        <w:jc w:val="both"/>
        <w:rPr>
          <w:rFonts w:ascii="Times New Roman" w:hAnsi="Times New Roman" w:cs="Times New Roman"/>
          <w:sz w:val="28"/>
          <w:szCs w:val="28"/>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Pr="00EA7579">
        <w:rPr>
          <w:rFonts w:ascii="Times New Roman" w:hAnsi="Times New Roman" w:cs="Times New Roman"/>
        </w:rPr>
        <w:t>http://cbsd.gks.ru/</w:t>
      </w:r>
    </w:p>
    <w:p w:rsidR="00AD7D77" w:rsidRPr="001C395F" w:rsidRDefault="00AD7D77" w:rsidP="00FD1503">
      <w:pPr>
        <w:spacing w:before="120"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Далее обратимся к динамике выплат по договорам добровольного м</w:t>
      </w:r>
      <w:r w:rsidRPr="001C395F">
        <w:rPr>
          <w:rFonts w:ascii="Times New Roman" w:hAnsi="Times New Roman" w:cs="Times New Roman"/>
          <w:sz w:val="28"/>
          <w:szCs w:val="28"/>
        </w:rPr>
        <w:t>е</w:t>
      </w:r>
      <w:r w:rsidRPr="001C395F">
        <w:rPr>
          <w:rFonts w:ascii="Times New Roman" w:hAnsi="Times New Roman" w:cs="Times New Roman"/>
          <w:sz w:val="28"/>
          <w:szCs w:val="28"/>
        </w:rPr>
        <w:t xml:space="preserve">дицинского страхования, представленной в </w:t>
      </w:r>
      <w:r w:rsidR="004D54B5" w:rsidRPr="004D54B5">
        <w:rPr>
          <w:rFonts w:ascii="Times New Roman" w:hAnsi="Times New Roman" w:cs="Times New Roman"/>
          <w:iCs/>
          <w:sz w:val="28"/>
          <w:szCs w:val="28"/>
        </w:rPr>
        <w:t xml:space="preserve">табл. </w:t>
      </w:r>
      <w:r w:rsidR="00DA62A2">
        <w:rPr>
          <w:rFonts w:ascii="Times New Roman" w:hAnsi="Times New Roman" w:cs="Times New Roman"/>
          <w:iCs/>
          <w:sz w:val="28"/>
          <w:szCs w:val="28"/>
        </w:rPr>
        <w:t>4</w:t>
      </w:r>
      <w:r w:rsidRPr="001C395F">
        <w:rPr>
          <w:rFonts w:ascii="Times New Roman" w:hAnsi="Times New Roman" w:cs="Times New Roman"/>
          <w:sz w:val="28"/>
          <w:szCs w:val="28"/>
        </w:rPr>
        <w:t>. На всем протяжении п</w:t>
      </w:r>
      <w:r w:rsidRPr="001C395F">
        <w:rPr>
          <w:rFonts w:ascii="Times New Roman" w:hAnsi="Times New Roman" w:cs="Times New Roman"/>
          <w:sz w:val="28"/>
          <w:szCs w:val="28"/>
        </w:rPr>
        <w:t>е</w:t>
      </w:r>
      <w:r w:rsidRPr="001C395F">
        <w:rPr>
          <w:rFonts w:ascii="Times New Roman" w:hAnsi="Times New Roman" w:cs="Times New Roman"/>
          <w:sz w:val="28"/>
          <w:szCs w:val="28"/>
        </w:rPr>
        <w:lastRenderedPageBreak/>
        <w:t>риода наблюдения страховые выплаты по ДМС характеризовались полож</w:t>
      </w:r>
      <w:r w:rsidRPr="001C395F">
        <w:rPr>
          <w:rFonts w:ascii="Times New Roman" w:hAnsi="Times New Roman" w:cs="Times New Roman"/>
          <w:sz w:val="28"/>
          <w:szCs w:val="28"/>
        </w:rPr>
        <w:t>и</w:t>
      </w:r>
      <w:r w:rsidRPr="001C395F">
        <w:rPr>
          <w:rFonts w:ascii="Times New Roman" w:hAnsi="Times New Roman" w:cs="Times New Roman"/>
          <w:sz w:val="28"/>
          <w:szCs w:val="28"/>
        </w:rPr>
        <w:t>тельными и начиная с 2006 г. ускоряющимися темпами прироста относ</w:t>
      </w:r>
      <w:r w:rsidRPr="001C395F">
        <w:rPr>
          <w:rFonts w:ascii="Times New Roman" w:hAnsi="Times New Roman" w:cs="Times New Roman"/>
          <w:sz w:val="28"/>
          <w:szCs w:val="28"/>
        </w:rPr>
        <w:t>и</w:t>
      </w:r>
      <w:r w:rsidRPr="001C395F">
        <w:rPr>
          <w:rFonts w:ascii="Times New Roman" w:hAnsi="Times New Roman" w:cs="Times New Roman"/>
          <w:sz w:val="28"/>
          <w:szCs w:val="28"/>
        </w:rPr>
        <w:t xml:space="preserve">тельно предыдущего года. </w:t>
      </w:r>
      <w:proofErr w:type="gramStart"/>
      <w:r w:rsidRPr="001C395F">
        <w:rPr>
          <w:rFonts w:ascii="Times New Roman" w:hAnsi="Times New Roman" w:cs="Times New Roman"/>
          <w:sz w:val="28"/>
          <w:szCs w:val="28"/>
        </w:rPr>
        <w:t>По итогам 2008 г. сумма страховых выплат по д</w:t>
      </w:r>
      <w:r w:rsidRPr="001C395F">
        <w:rPr>
          <w:rFonts w:ascii="Times New Roman" w:hAnsi="Times New Roman" w:cs="Times New Roman"/>
          <w:sz w:val="28"/>
          <w:szCs w:val="28"/>
        </w:rPr>
        <w:t>о</w:t>
      </w:r>
      <w:r w:rsidRPr="001C395F">
        <w:rPr>
          <w:rFonts w:ascii="Times New Roman" w:hAnsi="Times New Roman" w:cs="Times New Roman"/>
          <w:sz w:val="28"/>
          <w:szCs w:val="28"/>
        </w:rPr>
        <w:t>говорам ДМС увеличилась на 23,69%, после чего последовало существенное замедление темпов прироста рассматриваемого показателя в 2009-2010 г</w:t>
      </w:r>
      <w:r>
        <w:rPr>
          <w:rFonts w:ascii="Times New Roman" w:hAnsi="Times New Roman" w:cs="Times New Roman"/>
          <w:sz w:val="28"/>
          <w:szCs w:val="28"/>
        </w:rPr>
        <w:t>г</w:t>
      </w:r>
      <w:r w:rsidRPr="001C395F">
        <w:rPr>
          <w:rFonts w:ascii="Times New Roman" w:hAnsi="Times New Roman" w:cs="Times New Roman"/>
          <w:sz w:val="28"/>
          <w:szCs w:val="28"/>
        </w:rPr>
        <w:t>., однако уже в 2011 г. страховые вы</w:t>
      </w:r>
      <w:r>
        <w:rPr>
          <w:rFonts w:ascii="Times New Roman" w:hAnsi="Times New Roman" w:cs="Times New Roman"/>
          <w:sz w:val="28"/>
          <w:szCs w:val="28"/>
        </w:rPr>
        <w:t xml:space="preserve"> </w:t>
      </w:r>
      <w:r w:rsidRPr="001C395F">
        <w:rPr>
          <w:rFonts w:ascii="Times New Roman" w:hAnsi="Times New Roman" w:cs="Times New Roman"/>
          <w:sz w:val="28"/>
          <w:szCs w:val="28"/>
        </w:rPr>
        <w:t>платы по Д</w:t>
      </w:r>
      <w:r>
        <w:rPr>
          <w:rFonts w:ascii="Times New Roman" w:hAnsi="Times New Roman" w:cs="Times New Roman"/>
          <w:sz w:val="28"/>
          <w:szCs w:val="28"/>
        </w:rPr>
        <w:t>М</w:t>
      </w:r>
      <w:r w:rsidRPr="001C395F">
        <w:rPr>
          <w:rFonts w:ascii="Times New Roman" w:hAnsi="Times New Roman" w:cs="Times New Roman"/>
          <w:sz w:val="28"/>
          <w:szCs w:val="28"/>
        </w:rPr>
        <w:t>С вновь стали расти с уск</w:t>
      </w:r>
      <w:r w:rsidRPr="001C395F">
        <w:rPr>
          <w:rFonts w:ascii="Times New Roman" w:hAnsi="Times New Roman" w:cs="Times New Roman"/>
          <w:sz w:val="28"/>
          <w:szCs w:val="28"/>
        </w:rPr>
        <w:t>о</w:t>
      </w:r>
      <w:r w:rsidRPr="001C395F">
        <w:rPr>
          <w:rFonts w:ascii="Times New Roman" w:hAnsi="Times New Roman" w:cs="Times New Roman"/>
          <w:sz w:val="28"/>
          <w:szCs w:val="28"/>
        </w:rPr>
        <w:t>рением, увеличившись по отношению к уровню 2010 г. на 8 013 849,4 руб., или 12,06%.</w:t>
      </w:r>
      <w:r>
        <w:rPr>
          <w:rFonts w:ascii="Times New Roman" w:hAnsi="Times New Roman" w:cs="Times New Roman"/>
          <w:sz w:val="28"/>
          <w:szCs w:val="28"/>
        </w:rPr>
        <w:t xml:space="preserve"> В 2012 г. темп прироста страховых</w:t>
      </w:r>
      <w:proofErr w:type="gramEnd"/>
      <w:r>
        <w:rPr>
          <w:rFonts w:ascii="Times New Roman" w:hAnsi="Times New Roman" w:cs="Times New Roman"/>
          <w:sz w:val="28"/>
          <w:szCs w:val="28"/>
        </w:rPr>
        <w:t xml:space="preserve"> выплат вновь снизился – на 1,97 п.п. – относительно соответствующего показателя в 2011 г.</w:t>
      </w:r>
    </w:p>
    <w:p w:rsidR="00AD7D77" w:rsidRDefault="00AD7D77" w:rsidP="00AD7D77">
      <w:pPr>
        <w:spacing w:after="6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Следует отметить, что доля страховых выплат по договорам ДМС в общем объеме страховых выплат с течением времени неуклонно снижается: в 2010 г. – на 0,17 п.п., в 2011 г. – на 0,32 п.п. Выявленная тенденция объясн</w:t>
      </w:r>
      <w:r w:rsidRPr="001C395F">
        <w:rPr>
          <w:rFonts w:ascii="Times New Roman" w:hAnsi="Times New Roman" w:cs="Times New Roman"/>
          <w:sz w:val="28"/>
          <w:szCs w:val="28"/>
        </w:rPr>
        <w:t>я</w:t>
      </w:r>
      <w:r w:rsidRPr="001C395F">
        <w:rPr>
          <w:rFonts w:ascii="Times New Roman" w:hAnsi="Times New Roman" w:cs="Times New Roman"/>
          <w:sz w:val="28"/>
          <w:szCs w:val="28"/>
        </w:rPr>
        <w:t>ется тем, что темпы прироста страховых выплат по договорам ДМС неи</w:t>
      </w:r>
      <w:r w:rsidRPr="001C395F">
        <w:rPr>
          <w:rFonts w:ascii="Times New Roman" w:hAnsi="Times New Roman" w:cs="Times New Roman"/>
          <w:sz w:val="28"/>
          <w:szCs w:val="28"/>
        </w:rPr>
        <w:t>з</w:t>
      </w:r>
      <w:r w:rsidRPr="001C395F">
        <w:rPr>
          <w:rFonts w:ascii="Times New Roman" w:hAnsi="Times New Roman" w:cs="Times New Roman"/>
          <w:sz w:val="28"/>
          <w:szCs w:val="28"/>
        </w:rPr>
        <w:t>менно уступают по значению темпам прироста суммарных страховых в</w:t>
      </w:r>
      <w:r w:rsidRPr="001C395F">
        <w:rPr>
          <w:rFonts w:ascii="Times New Roman" w:hAnsi="Times New Roman" w:cs="Times New Roman"/>
          <w:sz w:val="28"/>
          <w:szCs w:val="28"/>
        </w:rPr>
        <w:t>ы</w:t>
      </w:r>
      <w:r w:rsidRPr="001C395F">
        <w:rPr>
          <w:rFonts w:ascii="Times New Roman" w:hAnsi="Times New Roman" w:cs="Times New Roman"/>
          <w:sz w:val="28"/>
          <w:szCs w:val="28"/>
        </w:rPr>
        <w:t>плат, производимых ежегодно российскими страховыми компаниями. Так, в 2010 г. разница между ними составила 2,01 п.п., а в 2011 г. – 4,38 п.п.</w:t>
      </w:r>
    </w:p>
    <w:p w:rsidR="00AD7D77" w:rsidRDefault="00AD7D77" w:rsidP="00AD7D77">
      <w:pPr>
        <w:spacing w:after="0" w:line="360" w:lineRule="auto"/>
        <w:jc w:val="center"/>
        <w:rPr>
          <w:rFonts w:ascii="Times New Roman" w:hAnsi="Times New Roman" w:cs="Times New Roman"/>
          <w:sz w:val="24"/>
          <w:szCs w:val="24"/>
        </w:rPr>
      </w:pPr>
      <w:r w:rsidRPr="00CE4971">
        <w:rPr>
          <w:rFonts w:ascii="Times New Roman" w:hAnsi="Times New Roman" w:cs="Times New Roman"/>
          <w:noProof/>
          <w:sz w:val="24"/>
          <w:szCs w:val="24"/>
          <w:lang w:eastAsia="ru-RU"/>
        </w:rPr>
        <w:drawing>
          <wp:inline distT="0" distB="0" distL="0" distR="0">
            <wp:extent cx="4657725" cy="2743200"/>
            <wp:effectExtent l="19050" t="0" r="9525" b="0"/>
            <wp:docPr id="2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5F2D" w:rsidRPr="00233750" w:rsidRDefault="00AD7D77" w:rsidP="0004727C">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Рис. </w:t>
      </w:r>
      <w:r w:rsidR="00DA62A2" w:rsidRPr="00233750">
        <w:rPr>
          <w:rFonts w:ascii="Times New Roman" w:hAnsi="Times New Roman" w:cs="Times New Roman"/>
          <w:i/>
          <w:iCs/>
          <w:sz w:val="26"/>
          <w:szCs w:val="26"/>
        </w:rPr>
        <w:t>4</w:t>
      </w:r>
      <w:r w:rsidRPr="00233750">
        <w:rPr>
          <w:rFonts w:ascii="Times New Roman" w:hAnsi="Times New Roman" w:cs="Times New Roman"/>
          <w:i/>
          <w:iCs/>
          <w:sz w:val="26"/>
          <w:szCs w:val="26"/>
        </w:rPr>
        <w:t xml:space="preserve">. Динамика страховых премий и страховых выплат </w:t>
      </w:r>
    </w:p>
    <w:p w:rsidR="00AD7D77" w:rsidRPr="00233750" w:rsidRDefault="00AD7D77" w:rsidP="0004727C">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по договорам ДМС в 2004-201</w:t>
      </w:r>
      <w:r w:rsidR="00525F2D" w:rsidRPr="00233750">
        <w:rPr>
          <w:rFonts w:ascii="Times New Roman" w:hAnsi="Times New Roman" w:cs="Times New Roman"/>
          <w:i/>
          <w:iCs/>
          <w:sz w:val="26"/>
          <w:szCs w:val="26"/>
        </w:rPr>
        <w:t>2</w:t>
      </w:r>
      <w:r w:rsidRPr="00233750">
        <w:rPr>
          <w:rFonts w:ascii="Times New Roman" w:hAnsi="Times New Roman" w:cs="Times New Roman"/>
          <w:i/>
          <w:iCs/>
          <w:sz w:val="26"/>
          <w:szCs w:val="26"/>
        </w:rPr>
        <w:t xml:space="preserve"> гг.</w:t>
      </w:r>
    </w:p>
    <w:p w:rsidR="003A59AE" w:rsidRDefault="003A59AE" w:rsidP="003A59AE">
      <w:pPr>
        <w:spacing w:after="0" w:line="360" w:lineRule="auto"/>
        <w:ind w:left="851" w:firstLine="709"/>
        <w:jc w:val="both"/>
        <w:rPr>
          <w:rFonts w:ascii="Times New Roman" w:hAnsi="Times New Roman" w:cs="Times New Roman"/>
          <w:sz w:val="28"/>
          <w:szCs w:val="28"/>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Pr="00EA7579">
        <w:rPr>
          <w:rFonts w:ascii="Times New Roman" w:hAnsi="Times New Roman" w:cs="Times New Roman"/>
        </w:rPr>
        <w:t>http://cbsd.gks.ru/</w:t>
      </w:r>
    </w:p>
    <w:p w:rsidR="00AD7D77" w:rsidRDefault="00AD7D77" w:rsidP="003A59AE">
      <w:pPr>
        <w:spacing w:before="80" w:after="0" w:line="360" w:lineRule="auto"/>
        <w:ind w:firstLine="709"/>
        <w:jc w:val="both"/>
        <w:rPr>
          <w:rFonts w:ascii="Times New Roman" w:hAnsi="Times New Roman" w:cs="Times New Roman"/>
          <w:sz w:val="28"/>
          <w:szCs w:val="28"/>
        </w:rPr>
      </w:pPr>
      <w:proofErr w:type="gramStart"/>
      <w:r w:rsidRPr="001C395F">
        <w:rPr>
          <w:rFonts w:ascii="Times New Roman" w:hAnsi="Times New Roman" w:cs="Times New Roman"/>
          <w:sz w:val="28"/>
          <w:szCs w:val="28"/>
        </w:rPr>
        <w:t xml:space="preserve">Как видно из </w:t>
      </w:r>
      <w:r w:rsidR="004D54B5">
        <w:rPr>
          <w:rFonts w:ascii="Times New Roman" w:hAnsi="Times New Roman" w:cs="Times New Roman"/>
          <w:sz w:val="28"/>
          <w:szCs w:val="28"/>
        </w:rPr>
        <w:t xml:space="preserve">рис. </w:t>
      </w:r>
      <w:r w:rsidR="00DA62A2">
        <w:rPr>
          <w:rFonts w:ascii="Times New Roman" w:hAnsi="Times New Roman" w:cs="Times New Roman"/>
          <w:sz w:val="28"/>
          <w:szCs w:val="28"/>
        </w:rPr>
        <w:t>4</w:t>
      </w:r>
      <w:r w:rsidRPr="001C395F">
        <w:rPr>
          <w:rFonts w:ascii="Times New Roman" w:hAnsi="Times New Roman" w:cs="Times New Roman"/>
          <w:sz w:val="28"/>
          <w:szCs w:val="28"/>
        </w:rPr>
        <w:t xml:space="preserve">, сумма страховых взносов по ДМС систематически превышает сумму страховых выплат по ДМС: в 2009 г. – на 9 628 033,5 руб. </w:t>
      </w:r>
      <w:r w:rsidRPr="001C395F">
        <w:rPr>
          <w:rFonts w:ascii="Times New Roman" w:hAnsi="Times New Roman" w:cs="Times New Roman"/>
          <w:sz w:val="28"/>
          <w:szCs w:val="28"/>
        </w:rPr>
        <w:lastRenderedPageBreak/>
        <w:t>(одно из минимальных значений за рассматриваемый период), в 2010 г. – на 19 247 640,0 руб., в 2011 г. – на 22 409 413,2 руб.</w:t>
      </w:r>
      <w:r>
        <w:rPr>
          <w:rFonts w:ascii="Times New Roman" w:hAnsi="Times New Roman" w:cs="Times New Roman"/>
          <w:sz w:val="28"/>
          <w:szCs w:val="28"/>
        </w:rPr>
        <w:t xml:space="preserve">, в 2012 г. – на </w:t>
      </w:r>
      <w:r w:rsidRPr="00BB5E4E">
        <w:rPr>
          <w:rFonts w:ascii="Times New Roman" w:hAnsi="Times New Roman" w:cs="Times New Roman"/>
          <w:sz w:val="28"/>
          <w:szCs w:val="28"/>
        </w:rPr>
        <w:t>26</w:t>
      </w:r>
      <w:r>
        <w:rPr>
          <w:rFonts w:ascii="Times New Roman" w:hAnsi="Times New Roman" w:cs="Times New Roman"/>
          <w:sz w:val="28"/>
          <w:szCs w:val="28"/>
        </w:rPr>
        <w:t> </w:t>
      </w:r>
      <w:r w:rsidRPr="00BB5E4E">
        <w:rPr>
          <w:rFonts w:ascii="Times New Roman" w:hAnsi="Times New Roman" w:cs="Times New Roman"/>
          <w:sz w:val="28"/>
          <w:szCs w:val="28"/>
        </w:rPr>
        <w:t>948</w:t>
      </w:r>
      <w:r w:rsidRPr="001C395F">
        <w:rPr>
          <w:rFonts w:ascii="Times New Roman" w:hAnsi="Times New Roman" w:cs="Times New Roman"/>
          <w:sz w:val="28"/>
          <w:szCs w:val="28"/>
        </w:rPr>
        <w:t> </w:t>
      </w:r>
      <w:r w:rsidRPr="00BB5E4E">
        <w:rPr>
          <w:rFonts w:ascii="Times New Roman" w:hAnsi="Times New Roman" w:cs="Times New Roman"/>
          <w:sz w:val="28"/>
          <w:szCs w:val="28"/>
        </w:rPr>
        <w:t>278,0</w:t>
      </w:r>
      <w:r>
        <w:rPr>
          <w:rFonts w:ascii="Times New Roman" w:hAnsi="Times New Roman" w:cs="Times New Roman"/>
          <w:sz w:val="28"/>
          <w:szCs w:val="28"/>
        </w:rPr>
        <w:t xml:space="preserve"> руб. Таким образом, расхождение между</w:t>
      </w:r>
      <w:proofErr w:type="gramEnd"/>
      <w:r>
        <w:rPr>
          <w:rFonts w:ascii="Times New Roman" w:hAnsi="Times New Roman" w:cs="Times New Roman"/>
          <w:sz w:val="28"/>
          <w:szCs w:val="28"/>
        </w:rPr>
        <w:t xml:space="preserve"> двумя показателями с течением времени все больше нарастает.</w:t>
      </w:r>
    </w:p>
    <w:p w:rsidR="00AD7D77" w:rsidRDefault="00B6780E" w:rsidP="00AD7D77">
      <w:pPr>
        <w:spacing w:after="0" w:line="240" w:lineRule="auto"/>
        <w:jc w:val="center"/>
        <w:rPr>
          <w:rFonts w:ascii="Times New Roman" w:hAnsi="Times New Roman" w:cs="Times New Roman"/>
          <w:i/>
          <w:iCs/>
          <w:sz w:val="24"/>
          <w:szCs w:val="24"/>
        </w:rPr>
      </w:pPr>
      <w:r w:rsidRPr="00B6780E">
        <w:rPr>
          <w:rFonts w:ascii="Times New Roman" w:hAnsi="Times New Roman" w:cs="Times New Roman"/>
          <w:i/>
          <w:iCs/>
          <w:noProof/>
          <w:sz w:val="24"/>
          <w:szCs w:val="24"/>
          <w:lang w:eastAsia="ru-RU"/>
        </w:rPr>
        <w:drawing>
          <wp:inline distT="0" distB="0" distL="0" distR="0">
            <wp:extent cx="4810125" cy="2743200"/>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7D77" w:rsidRDefault="00AD7D77" w:rsidP="00525F2D">
      <w:pPr>
        <w:spacing w:after="0" w:line="360" w:lineRule="auto"/>
        <w:jc w:val="center"/>
        <w:rPr>
          <w:rFonts w:ascii="Times New Roman" w:hAnsi="Times New Roman" w:cs="Times New Roman"/>
          <w:i/>
          <w:iCs/>
          <w:sz w:val="26"/>
          <w:szCs w:val="26"/>
        </w:rPr>
      </w:pPr>
      <w:r w:rsidRPr="00560C9F">
        <w:rPr>
          <w:rFonts w:ascii="Times New Roman" w:hAnsi="Times New Roman" w:cs="Times New Roman"/>
          <w:i/>
          <w:iCs/>
          <w:sz w:val="26"/>
          <w:szCs w:val="26"/>
        </w:rPr>
        <w:t xml:space="preserve">Рис. </w:t>
      </w:r>
      <w:r w:rsidR="00DA62A2" w:rsidRPr="00560C9F">
        <w:rPr>
          <w:rFonts w:ascii="Times New Roman" w:hAnsi="Times New Roman" w:cs="Times New Roman"/>
          <w:i/>
          <w:iCs/>
          <w:sz w:val="26"/>
          <w:szCs w:val="26"/>
        </w:rPr>
        <w:t>5</w:t>
      </w:r>
      <w:r w:rsidRPr="00560C9F">
        <w:rPr>
          <w:rFonts w:ascii="Times New Roman" w:hAnsi="Times New Roman" w:cs="Times New Roman"/>
          <w:i/>
          <w:iCs/>
          <w:sz w:val="26"/>
          <w:szCs w:val="26"/>
        </w:rPr>
        <w:t>. Доля премий по договорам ДМС в общем объеме страховых премий и доля выплат по договорам ДМС в общем объеме страховых выплат в 2004-201</w:t>
      </w:r>
      <w:r w:rsidR="00525F2D" w:rsidRPr="00560C9F">
        <w:rPr>
          <w:rFonts w:ascii="Times New Roman" w:hAnsi="Times New Roman" w:cs="Times New Roman"/>
          <w:i/>
          <w:iCs/>
          <w:sz w:val="26"/>
          <w:szCs w:val="26"/>
        </w:rPr>
        <w:t>2</w:t>
      </w:r>
      <w:r w:rsidRPr="00560C9F">
        <w:rPr>
          <w:rFonts w:ascii="Times New Roman" w:hAnsi="Times New Roman" w:cs="Times New Roman"/>
          <w:i/>
          <w:iCs/>
          <w:sz w:val="26"/>
          <w:szCs w:val="26"/>
        </w:rPr>
        <w:t xml:space="preserve"> гг.</w:t>
      </w:r>
    </w:p>
    <w:p w:rsidR="00560C9F" w:rsidRDefault="00560C9F" w:rsidP="00C20AF9">
      <w:pPr>
        <w:spacing w:before="60" w:after="0" w:line="360" w:lineRule="auto"/>
        <w:ind w:firstLine="709"/>
        <w:jc w:val="both"/>
        <w:rPr>
          <w:rFonts w:ascii="Times New Roman" w:hAnsi="Times New Roman" w:cs="Times New Roman"/>
          <w:sz w:val="28"/>
          <w:szCs w:val="28"/>
        </w:rPr>
      </w:pPr>
      <w:r w:rsidRPr="0004727C">
        <w:rPr>
          <w:rFonts w:ascii="Times New Roman" w:hAnsi="Times New Roman" w:cs="Times New Roman"/>
          <w:iCs/>
          <w:sz w:val="28"/>
          <w:szCs w:val="28"/>
        </w:rPr>
        <w:t xml:space="preserve">Рис. </w:t>
      </w:r>
      <w:r>
        <w:rPr>
          <w:rFonts w:ascii="Times New Roman" w:hAnsi="Times New Roman" w:cs="Times New Roman"/>
          <w:iCs/>
          <w:sz w:val="28"/>
          <w:szCs w:val="28"/>
        </w:rPr>
        <w:t>5</w:t>
      </w:r>
      <w:r w:rsidRPr="001C395F">
        <w:rPr>
          <w:rFonts w:ascii="Times New Roman" w:hAnsi="Times New Roman" w:cs="Times New Roman"/>
          <w:i/>
          <w:iCs/>
          <w:sz w:val="28"/>
          <w:szCs w:val="28"/>
        </w:rPr>
        <w:t xml:space="preserve"> </w:t>
      </w:r>
      <w:r w:rsidRPr="001C395F">
        <w:rPr>
          <w:rFonts w:ascii="Times New Roman" w:hAnsi="Times New Roman" w:cs="Times New Roman"/>
          <w:sz w:val="28"/>
          <w:szCs w:val="28"/>
        </w:rPr>
        <w:t>демонстрирует, что в течение 2004-2011 гг. удельный вес стр</w:t>
      </w:r>
      <w:r w:rsidRPr="001C395F">
        <w:rPr>
          <w:rFonts w:ascii="Times New Roman" w:hAnsi="Times New Roman" w:cs="Times New Roman"/>
          <w:sz w:val="28"/>
          <w:szCs w:val="28"/>
        </w:rPr>
        <w:t>а</w:t>
      </w:r>
      <w:r w:rsidRPr="001C395F">
        <w:rPr>
          <w:rFonts w:ascii="Times New Roman" w:hAnsi="Times New Roman" w:cs="Times New Roman"/>
          <w:sz w:val="28"/>
          <w:szCs w:val="28"/>
        </w:rPr>
        <w:t xml:space="preserve">ховых выплат по договорам ДМС в суммарных выплатах по всем видам страхования был неизменно выше удельного веса поступлений по договорам ДМС в общем объеме страховых взносов. Тем не </w:t>
      </w:r>
      <w:proofErr w:type="gramStart"/>
      <w:r w:rsidRPr="001C395F">
        <w:rPr>
          <w:rFonts w:ascii="Times New Roman" w:hAnsi="Times New Roman" w:cs="Times New Roman"/>
          <w:sz w:val="28"/>
          <w:szCs w:val="28"/>
        </w:rPr>
        <w:t>менее</w:t>
      </w:r>
      <w:proofErr w:type="gramEnd"/>
      <w:r w:rsidRPr="001C395F">
        <w:rPr>
          <w:rFonts w:ascii="Times New Roman" w:hAnsi="Times New Roman" w:cs="Times New Roman"/>
          <w:sz w:val="28"/>
          <w:szCs w:val="28"/>
        </w:rPr>
        <w:t xml:space="preserve"> в последние нескол</w:t>
      </w:r>
      <w:r w:rsidRPr="001C395F">
        <w:rPr>
          <w:rFonts w:ascii="Times New Roman" w:hAnsi="Times New Roman" w:cs="Times New Roman"/>
          <w:sz w:val="28"/>
          <w:szCs w:val="28"/>
        </w:rPr>
        <w:t>ь</w:t>
      </w:r>
      <w:r w:rsidRPr="001C395F">
        <w:rPr>
          <w:rFonts w:ascii="Times New Roman" w:hAnsi="Times New Roman" w:cs="Times New Roman"/>
          <w:sz w:val="28"/>
          <w:szCs w:val="28"/>
        </w:rPr>
        <w:t>ко лет наметилась тенденция к сближению этих двух показателей: если в 2006 г. разница между ними составляла 2,45 п.п., то к 2010 г. она снизилась до 0,31 п.п. В 2011 г. доля выплат по договорам ДМС в общей сумме выплат, произведенных российскими страховщиками за отчетный период, на 0,62 п.п. превосходила долю страховых премий по ДМС в суммарных взн</w:t>
      </w:r>
      <w:r>
        <w:rPr>
          <w:rFonts w:ascii="Times New Roman" w:hAnsi="Times New Roman" w:cs="Times New Roman"/>
          <w:sz w:val="28"/>
          <w:szCs w:val="28"/>
        </w:rPr>
        <w:t>осах по всем видам страхования</w:t>
      </w:r>
      <w:proofErr w:type="gramStart"/>
      <w:r w:rsidR="003A59AE" w:rsidRPr="003A59A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20AF9" w:rsidRDefault="00C20AF9" w:rsidP="00C20AF9">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Необходимо также обратить внимание на</w:t>
      </w:r>
      <w:r>
        <w:rPr>
          <w:rFonts w:ascii="Times New Roman" w:hAnsi="Times New Roman" w:cs="Times New Roman"/>
          <w:sz w:val="28"/>
          <w:szCs w:val="28"/>
        </w:rPr>
        <w:t xml:space="preserve"> </w:t>
      </w:r>
      <w:r w:rsidRPr="00525F2D">
        <w:rPr>
          <w:rFonts w:ascii="Times New Roman" w:hAnsi="Times New Roman" w:cs="Times New Roman"/>
          <w:iCs/>
          <w:sz w:val="28"/>
          <w:szCs w:val="28"/>
        </w:rPr>
        <w:t xml:space="preserve">рис. </w:t>
      </w:r>
      <w:r>
        <w:rPr>
          <w:rFonts w:ascii="Times New Roman" w:hAnsi="Times New Roman" w:cs="Times New Roman"/>
          <w:iCs/>
          <w:sz w:val="28"/>
          <w:szCs w:val="28"/>
        </w:rPr>
        <w:t>6</w:t>
      </w:r>
      <w:r w:rsidRPr="001C395F">
        <w:rPr>
          <w:rFonts w:ascii="Times New Roman" w:hAnsi="Times New Roman" w:cs="Times New Roman"/>
          <w:sz w:val="28"/>
          <w:szCs w:val="28"/>
        </w:rPr>
        <w:t>, на котором предста</w:t>
      </w:r>
      <w:r w:rsidRPr="001C395F">
        <w:rPr>
          <w:rFonts w:ascii="Times New Roman" w:hAnsi="Times New Roman" w:cs="Times New Roman"/>
          <w:sz w:val="28"/>
          <w:szCs w:val="28"/>
        </w:rPr>
        <w:t>в</w:t>
      </w:r>
      <w:r w:rsidRPr="001C395F">
        <w:rPr>
          <w:rFonts w:ascii="Times New Roman" w:hAnsi="Times New Roman" w:cs="Times New Roman"/>
          <w:sz w:val="28"/>
          <w:szCs w:val="28"/>
        </w:rPr>
        <w:t>лена динамика средних взносов и средних выплат по 1 договору страхования ДМС в 2004-2011 гг.</w:t>
      </w:r>
    </w:p>
    <w:p w:rsidR="00C20AF9" w:rsidRDefault="00C20AF9" w:rsidP="00C20AF9">
      <w:pPr>
        <w:spacing w:before="60" w:after="0" w:line="360" w:lineRule="auto"/>
        <w:ind w:firstLine="709"/>
        <w:jc w:val="both"/>
        <w:rPr>
          <w:rFonts w:ascii="Times New Roman" w:hAnsi="Times New Roman" w:cs="Times New Roman"/>
          <w:sz w:val="28"/>
          <w:szCs w:val="28"/>
        </w:rPr>
      </w:pPr>
    </w:p>
    <w:p w:rsidR="00560C9F" w:rsidRPr="00560C9F" w:rsidRDefault="00560C9F" w:rsidP="00525F2D">
      <w:pPr>
        <w:spacing w:after="0" w:line="360" w:lineRule="auto"/>
        <w:jc w:val="center"/>
        <w:rPr>
          <w:rFonts w:ascii="Times New Roman" w:hAnsi="Times New Roman" w:cs="Times New Roman"/>
          <w:i/>
          <w:iCs/>
          <w:sz w:val="26"/>
          <w:szCs w:val="26"/>
        </w:rPr>
      </w:pPr>
    </w:p>
    <w:p w:rsidR="00AD7D77" w:rsidRDefault="00AD7D77" w:rsidP="00AD7D77">
      <w:pPr>
        <w:spacing w:after="0" w:line="360" w:lineRule="auto"/>
        <w:jc w:val="center"/>
        <w:rPr>
          <w:rFonts w:ascii="Times New Roman" w:hAnsi="Times New Roman" w:cs="Times New Roman"/>
          <w:i/>
          <w:iCs/>
          <w:sz w:val="24"/>
          <w:szCs w:val="24"/>
        </w:rPr>
      </w:pPr>
      <w:r w:rsidRPr="00CE4971">
        <w:rPr>
          <w:rFonts w:ascii="Times New Roman" w:hAnsi="Times New Roman" w:cs="Times New Roman"/>
          <w:i/>
          <w:iCs/>
          <w:noProof/>
          <w:sz w:val="24"/>
          <w:szCs w:val="24"/>
          <w:lang w:eastAsia="ru-RU"/>
        </w:rPr>
        <w:lastRenderedPageBreak/>
        <w:drawing>
          <wp:inline distT="0" distB="0" distL="0" distR="0">
            <wp:extent cx="4657725" cy="2743200"/>
            <wp:effectExtent l="19050" t="0" r="9525"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5F2D" w:rsidRPr="00233750" w:rsidRDefault="00AD7D77" w:rsidP="00525F2D">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Рис. </w:t>
      </w:r>
      <w:r w:rsidR="00DA62A2" w:rsidRPr="00233750">
        <w:rPr>
          <w:rFonts w:ascii="Times New Roman" w:hAnsi="Times New Roman" w:cs="Times New Roman"/>
          <w:i/>
          <w:iCs/>
          <w:sz w:val="26"/>
          <w:szCs w:val="26"/>
        </w:rPr>
        <w:t>6</w:t>
      </w:r>
      <w:r w:rsidRPr="00233750">
        <w:rPr>
          <w:rFonts w:ascii="Times New Roman" w:hAnsi="Times New Roman" w:cs="Times New Roman"/>
          <w:i/>
          <w:iCs/>
          <w:sz w:val="26"/>
          <w:szCs w:val="26"/>
        </w:rPr>
        <w:t xml:space="preserve">. Динамика средних взносов и средних выплат </w:t>
      </w:r>
    </w:p>
    <w:p w:rsidR="00AD7D77" w:rsidRPr="00233750" w:rsidRDefault="00AD7D77" w:rsidP="00525F2D">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по 1 договору страхования ДМС в 2004-201</w:t>
      </w:r>
      <w:r w:rsidR="00525F2D" w:rsidRPr="00233750">
        <w:rPr>
          <w:rFonts w:ascii="Times New Roman" w:hAnsi="Times New Roman" w:cs="Times New Roman"/>
          <w:i/>
          <w:iCs/>
          <w:sz w:val="26"/>
          <w:szCs w:val="26"/>
        </w:rPr>
        <w:t xml:space="preserve">2 </w:t>
      </w:r>
      <w:r w:rsidRPr="00233750">
        <w:rPr>
          <w:rFonts w:ascii="Times New Roman" w:hAnsi="Times New Roman" w:cs="Times New Roman"/>
          <w:i/>
          <w:iCs/>
          <w:sz w:val="26"/>
          <w:szCs w:val="26"/>
        </w:rPr>
        <w:t>гг.</w:t>
      </w:r>
    </w:p>
    <w:p w:rsidR="00AD7D77" w:rsidRDefault="00AD7D77" w:rsidP="00525F2D">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 xml:space="preserve">Оба показателя на протяжении </w:t>
      </w:r>
      <w:r>
        <w:rPr>
          <w:rFonts w:ascii="Times New Roman" w:hAnsi="Times New Roman" w:cs="Times New Roman"/>
          <w:sz w:val="28"/>
          <w:szCs w:val="28"/>
        </w:rPr>
        <w:t xml:space="preserve">2004-2011 гг. </w:t>
      </w:r>
      <w:r w:rsidRPr="001C395F">
        <w:rPr>
          <w:rFonts w:ascii="Times New Roman" w:hAnsi="Times New Roman" w:cs="Times New Roman"/>
          <w:sz w:val="28"/>
          <w:szCs w:val="28"/>
        </w:rPr>
        <w:t>характеризовались усто</w:t>
      </w:r>
      <w:r w:rsidRPr="001C395F">
        <w:rPr>
          <w:rFonts w:ascii="Times New Roman" w:hAnsi="Times New Roman" w:cs="Times New Roman"/>
          <w:sz w:val="28"/>
          <w:szCs w:val="28"/>
        </w:rPr>
        <w:t>й</w:t>
      </w:r>
      <w:r w:rsidRPr="001C395F">
        <w:rPr>
          <w:rFonts w:ascii="Times New Roman" w:hAnsi="Times New Roman" w:cs="Times New Roman"/>
          <w:sz w:val="28"/>
          <w:szCs w:val="28"/>
        </w:rPr>
        <w:t xml:space="preserve">чивой восходящей тенденцией: в 2011 г. средняя премия по 1 договору ДМС возросла на 13,39%, а средняя выплата – на 12,41%, причем средняя выплата по 1 договору страхования ДМС </w:t>
      </w:r>
      <w:r>
        <w:rPr>
          <w:rFonts w:ascii="Times New Roman" w:hAnsi="Times New Roman" w:cs="Times New Roman"/>
          <w:sz w:val="28"/>
          <w:szCs w:val="28"/>
        </w:rPr>
        <w:t>составляла</w:t>
      </w:r>
      <w:r w:rsidRPr="001C395F">
        <w:rPr>
          <w:rFonts w:ascii="Times New Roman" w:hAnsi="Times New Roman" w:cs="Times New Roman"/>
          <w:sz w:val="28"/>
          <w:szCs w:val="28"/>
        </w:rPr>
        <w:t xml:space="preserve"> 76,87% от значения среднего взноса</w:t>
      </w:r>
      <w:r>
        <w:rPr>
          <w:rFonts w:ascii="Times New Roman" w:hAnsi="Times New Roman" w:cs="Times New Roman"/>
          <w:sz w:val="28"/>
          <w:szCs w:val="28"/>
        </w:rPr>
        <w:t>. Однако в 2012 г., в силу рекордно высокого роста количества закл</w:t>
      </w:r>
      <w:r>
        <w:rPr>
          <w:rFonts w:ascii="Times New Roman" w:hAnsi="Times New Roman" w:cs="Times New Roman"/>
          <w:sz w:val="28"/>
          <w:szCs w:val="28"/>
        </w:rPr>
        <w:t>ю</w:t>
      </w:r>
      <w:r>
        <w:rPr>
          <w:rFonts w:ascii="Times New Roman" w:hAnsi="Times New Roman" w:cs="Times New Roman"/>
          <w:sz w:val="28"/>
          <w:szCs w:val="28"/>
        </w:rPr>
        <w:t>ченных договоров по ДМС, и средняя выплата, и средний взнос по 1 догов</w:t>
      </w:r>
      <w:r>
        <w:rPr>
          <w:rFonts w:ascii="Times New Roman" w:hAnsi="Times New Roman" w:cs="Times New Roman"/>
          <w:sz w:val="28"/>
          <w:szCs w:val="28"/>
        </w:rPr>
        <w:t>о</w:t>
      </w:r>
      <w:r>
        <w:rPr>
          <w:rFonts w:ascii="Times New Roman" w:hAnsi="Times New Roman" w:cs="Times New Roman"/>
          <w:sz w:val="28"/>
          <w:szCs w:val="28"/>
        </w:rPr>
        <w:t>ру страхования значительно снизились – на 12,70% и 14,52% соответственно.</w:t>
      </w:r>
    </w:p>
    <w:p w:rsidR="00525F2D" w:rsidRPr="00C95846" w:rsidRDefault="00525F2D" w:rsidP="00525F2D">
      <w:pPr>
        <w:spacing w:after="0" w:line="360" w:lineRule="auto"/>
        <w:jc w:val="center"/>
        <w:rPr>
          <w:rFonts w:ascii="Times New Roman" w:hAnsi="Times New Roman" w:cs="Times New Roman"/>
          <w:sz w:val="28"/>
          <w:szCs w:val="28"/>
        </w:rPr>
      </w:pPr>
      <w:r w:rsidRPr="00525F2D">
        <w:rPr>
          <w:rFonts w:ascii="Times New Roman" w:hAnsi="Times New Roman" w:cs="Times New Roman"/>
          <w:noProof/>
          <w:sz w:val="28"/>
          <w:szCs w:val="28"/>
          <w:lang w:eastAsia="ru-RU"/>
        </w:rPr>
        <w:drawing>
          <wp:inline distT="0" distB="0" distL="0" distR="0">
            <wp:extent cx="4572000" cy="27432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7D77" w:rsidRPr="00233750" w:rsidRDefault="00AD7D77" w:rsidP="00525F2D">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Рис. </w:t>
      </w:r>
      <w:r w:rsidR="00DA62A2" w:rsidRPr="00233750">
        <w:rPr>
          <w:rFonts w:ascii="Times New Roman" w:hAnsi="Times New Roman" w:cs="Times New Roman"/>
          <w:i/>
          <w:iCs/>
          <w:sz w:val="26"/>
          <w:szCs w:val="26"/>
        </w:rPr>
        <w:t>7</w:t>
      </w:r>
      <w:r w:rsidRPr="00233750">
        <w:rPr>
          <w:rFonts w:ascii="Times New Roman" w:hAnsi="Times New Roman" w:cs="Times New Roman"/>
          <w:i/>
          <w:iCs/>
          <w:sz w:val="26"/>
          <w:szCs w:val="26"/>
        </w:rPr>
        <w:t xml:space="preserve">. Динамика коэффициентов убыточности российских </w:t>
      </w:r>
    </w:p>
    <w:p w:rsidR="00AD7D77" w:rsidRPr="00233750" w:rsidRDefault="00AD7D77" w:rsidP="00525F2D">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страховых организаций по ДМС в 2004-201</w:t>
      </w:r>
      <w:r w:rsidR="00525F2D" w:rsidRPr="00233750">
        <w:rPr>
          <w:rFonts w:ascii="Times New Roman" w:hAnsi="Times New Roman" w:cs="Times New Roman"/>
          <w:i/>
          <w:iCs/>
          <w:sz w:val="26"/>
          <w:szCs w:val="26"/>
        </w:rPr>
        <w:t>2</w:t>
      </w:r>
      <w:r w:rsidRPr="00233750">
        <w:rPr>
          <w:rFonts w:ascii="Times New Roman" w:hAnsi="Times New Roman" w:cs="Times New Roman"/>
          <w:i/>
          <w:iCs/>
          <w:sz w:val="26"/>
          <w:szCs w:val="26"/>
        </w:rPr>
        <w:t xml:space="preserve"> гг.</w:t>
      </w:r>
    </w:p>
    <w:p w:rsidR="00AD7D77" w:rsidRDefault="00525F2D" w:rsidP="00AD7D77">
      <w:pPr>
        <w:spacing w:before="120" w:after="0" w:line="360" w:lineRule="auto"/>
        <w:ind w:firstLine="709"/>
        <w:jc w:val="both"/>
        <w:rPr>
          <w:rFonts w:ascii="Times New Roman" w:hAnsi="Times New Roman" w:cs="Times New Roman"/>
          <w:sz w:val="28"/>
          <w:szCs w:val="28"/>
        </w:rPr>
      </w:pPr>
      <w:proofErr w:type="gramStart"/>
      <w:r w:rsidRPr="00525F2D">
        <w:rPr>
          <w:rFonts w:ascii="Times New Roman" w:hAnsi="Times New Roman" w:cs="Times New Roman"/>
          <w:iCs/>
          <w:sz w:val="28"/>
          <w:szCs w:val="28"/>
        </w:rPr>
        <w:lastRenderedPageBreak/>
        <w:t xml:space="preserve">Рис. </w:t>
      </w:r>
      <w:r w:rsidR="00DA62A2">
        <w:rPr>
          <w:rFonts w:ascii="Times New Roman" w:hAnsi="Times New Roman" w:cs="Times New Roman"/>
          <w:iCs/>
          <w:sz w:val="28"/>
          <w:szCs w:val="28"/>
        </w:rPr>
        <w:t>7</w:t>
      </w:r>
      <w:r w:rsidR="00AD7D77" w:rsidRPr="00525F2D">
        <w:rPr>
          <w:rFonts w:ascii="Times New Roman" w:hAnsi="Times New Roman" w:cs="Times New Roman"/>
          <w:sz w:val="28"/>
          <w:szCs w:val="28"/>
        </w:rPr>
        <w:t xml:space="preserve"> </w:t>
      </w:r>
      <w:r w:rsidR="00AD7D77">
        <w:rPr>
          <w:rFonts w:ascii="Times New Roman" w:hAnsi="Times New Roman" w:cs="Times New Roman"/>
          <w:sz w:val="28"/>
          <w:szCs w:val="28"/>
        </w:rPr>
        <w:t>показывает, что коэффициент выплат по ДМС, рассчитываемый как отношение суммы осуществленных за год страховых выплат к аккумул</w:t>
      </w:r>
      <w:r w:rsidR="00AD7D77">
        <w:rPr>
          <w:rFonts w:ascii="Times New Roman" w:hAnsi="Times New Roman" w:cs="Times New Roman"/>
          <w:sz w:val="28"/>
          <w:szCs w:val="28"/>
        </w:rPr>
        <w:t>и</w:t>
      </w:r>
      <w:r w:rsidR="00AD7D77">
        <w:rPr>
          <w:rFonts w:ascii="Times New Roman" w:hAnsi="Times New Roman" w:cs="Times New Roman"/>
          <w:sz w:val="28"/>
          <w:szCs w:val="28"/>
        </w:rPr>
        <w:t>рованным страховщиками премиям, в 2009 г. достиг своего максимального значения в 87,05% (на 7,75 п.п. выше уровня годом ранее), т.е. на каждые 100 рублей собранных взносов по договорам ДМС страховыми организациями было выплачено 87,05 рубля.</w:t>
      </w:r>
      <w:proofErr w:type="gramEnd"/>
      <w:r w:rsidR="00AD7D77">
        <w:rPr>
          <w:rFonts w:ascii="Times New Roman" w:hAnsi="Times New Roman" w:cs="Times New Roman"/>
          <w:sz w:val="28"/>
          <w:szCs w:val="28"/>
        </w:rPr>
        <w:t xml:space="preserve"> Тенденция к росту убыточности в секторе ДМС наметилась еще в 2007 г., когда коэффициент выплат вырос на 1,02 п.п. по сравнению со значением в 2006 г., и продолжилась на протяжении посл</w:t>
      </w:r>
      <w:r w:rsidR="00AD7D77">
        <w:rPr>
          <w:rFonts w:ascii="Times New Roman" w:hAnsi="Times New Roman" w:cs="Times New Roman"/>
          <w:sz w:val="28"/>
          <w:szCs w:val="28"/>
        </w:rPr>
        <w:t>е</w:t>
      </w:r>
      <w:r w:rsidR="00AD7D77">
        <w:rPr>
          <w:rFonts w:ascii="Times New Roman" w:hAnsi="Times New Roman" w:cs="Times New Roman"/>
          <w:sz w:val="28"/>
          <w:szCs w:val="28"/>
        </w:rPr>
        <w:t xml:space="preserve">дующих трех лет. </w:t>
      </w:r>
      <w:proofErr w:type="gramStart"/>
      <w:r w:rsidR="00AD7D77">
        <w:rPr>
          <w:rFonts w:ascii="Times New Roman" w:hAnsi="Times New Roman" w:cs="Times New Roman"/>
          <w:sz w:val="28"/>
          <w:szCs w:val="28"/>
        </w:rPr>
        <w:t>Однако в 2010 г., когда экономика Российской Федерации начала демонстрировать первые признаки оживления после затяжного ф</w:t>
      </w:r>
      <w:r w:rsidR="00AD7D77">
        <w:rPr>
          <w:rFonts w:ascii="Times New Roman" w:hAnsi="Times New Roman" w:cs="Times New Roman"/>
          <w:sz w:val="28"/>
          <w:szCs w:val="28"/>
        </w:rPr>
        <w:t>и</w:t>
      </w:r>
      <w:r w:rsidR="00AD7D77">
        <w:rPr>
          <w:rFonts w:ascii="Times New Roman" w:hAnsi="Times New Roman" w:cs="Times New Roman"/>
          <w:sz w:val="28"/>
          <w:szCs w:val="28"/>
        </w:rPr>
        <w:t>нансового кризиса («великой рецессии»), коэффициент убыточности по ДМС, сократившись на 9,50 п.п., практически сравнялся по величине с соо</w:t>
      </w:r>
      <w:r w:rsidR="00AD7D77">
        <w:rPr>
          <w:rFonts w:ascii="Times New Roman" w:hAnsi="Times New Roman" w:cs="Times New Roman"/>
          <w:sz w:val="28"/>
          <w:szCs w:val="28"/>
        </w:rPr>
        <w:t>т</w:t>
      </w:r>
      <w:r w:rsidR="00AD7D77">
        <w:rPr>
          <w:rFonts w:ascii="Times New Roman" w:hAnsi="Times New Roman" w:cs="Times New Roman"/>
          <w:sz w:val="28"/>
          <w:szCs w:val="28"/>
        </w:rPr>
        <w:t>ветствующим показателем в 2005 г. В 2011 г. он снизился еще на 0,67 п.п., в 2012 г. – на 1,61 п.п.</w:t>
      </w:r>
      <w:proofErr w:type="gramEnd"/>
    </w:p>
    <w:p w:rsidR="00AD7D77" w:rsidRPr="001C395F" w:rsidRDefault="00AD7D77" w:rsidP="00AD7D77">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Наибольшая доля с</w:t>
      </w:r>
      <w:r>
        <w:rPr>
          <w:rFonts w:ascii="Times New Roman" w:hAnsi="Times New Roman" w:cs="Times New Roman"/>
          <w:sz w:val="28"/>
          <w:szCs w:val="28"/>
        </w:rPr>
        <w:t>уммарных страховых премий (87,73</w:t>
      </w:r>
      <w:r w:rsidRPr="001C395F">
        <w:rPr>
          <w:rFonts w:ascii="Times New Roman" w:hAnsi="Times New Roman" w:cs="Times New Roman"/>
          <w:sz w:val="28"/>
          <w:szCs w:val="28"/>
        </w:rPr>
        <w:t>% в 201</w:t>
      </w:r>
      <w:r>
        <w:rPr>
          <w:rFonts w:ascii="Times New Roman" w:hAnsi="Times New Roman" w:cs="Times New Roman"/>
          <w:sz w:val="28"/>
          <w:szCs w:val="28"/>
        </w:rPr>
        <w:t>2</w:t>
      </w:r>
      <w:r w:rsidRPr="001C395F">
        <w:rPr>
          <w:rFonts w:ascii="Times New Roman" w:hAnsi="Times New Roman" w:cs="Times New Roman"/>
          <w:sz w:val="28"/>
          <w:szCs w:val="28"/>
        </w:rPr>
        <w:t xml:space="preserve"> г.) в секторе добровольного медицинского страхования приходится на договоры медицинского обслуживания, заключенные с юридическими лицами, и лишь </w:t>
      </w:r>
      <w:r>
        <w:rPr>
          <w:rFonts w:ascii="Times New Roman" w:hAnsi="Times New Roman" w:cs="Times New Roman"/>
          <w:sz w:val="28"/>
          <w:szCs w:val="28"/>
        </w:rPr>
        <w:t>малая часть (12,27</w:t>
      </w:r>
      <w:r w:rsidRPr="001C395F">
        <w:rPr>
          <w:rFonts w:ascii="Times New Roman" w:hAnsi="Times New Roman" w:cs="Times New Roman"/>
          <w:sz w:val="28"/>
          <w:szCs w:val="28"/>
        </w:rPr>
        <w:t>%) – на полисы ДМС, приобретенные физическими лицами в индивидуальном порядке</w:t>
      </w:r>
      <w:r>
        <w:rPr>
          <w:rFonts w:ascii="Times New Roman" w:hAnsi="Times New Roman" w:cs="Times New Roman"/>
          <w:sz w:val="28"/>
          <w:szCs w:val="28"/>
        </w:rPr>
        <w:t xml:space="preserve"> (</w:t>
      </w:r>
      <w:r w:rsidR="00630D46">
        <w:rPr>
          <w:rFonts w:ascii="Times New Roman" w:hAnsi="Times New Roman" w:cs="Times New Roman"/>
          <w:sz w:val="28"/>
          <w:szCs w:val="28"/>
        </w:rPr>
        <w:t>т</w:t>
      </w:r>
      <w:r w:rsidR="00DA62A2">
        <w:rPr>
          <w:rFonts w:ascii="Times New Roman" w:hAnsi="Times New Roman" w:cs="Times New Roman"/>
          <w:iCs/>
          <w:sz w:val="28"/>
          <w:szCs w:val="28"/>
        </w:rPr>
        <w:t>абл. 5)</w:t>
      </w:r>
      <w:r w:rsidRPr="001C395F">
        <w:rPr>
          <w:rFonts w:ascii="Times New Roman" w:hAnsi="Times New Roman" w:cs="Times New Roman"/>
          <w:sz w:val="28"/>
          <w:szCs w:val="28"/>
        </w:rPr>
        <w:t>. Росту розничного спроса на ДМС в зн</w:t>
      </w:r>
      <w:r w:rsidRPr="001C395F">
        <w:rPr>
          <w:rFonts w:ascii="Times New Roman" w:hAnsi="Times New Roman" w:cs="Times New Roman"/>
          <w:sz w:val="28"/>
          <w:szCs w:val="28"/>
        </w:rPr>
        <w:t>а</w:t>
      </w:r>
      <w:r w:rsidRPr="001C395F">
        <w:rPr>
          <w:rFonts w:ascii="Times New Roman" w:hAnsi="Times New Roman" w:cs="Times New Roman"/>
          <w:sz w:val="28"/>
          <w:szCs w:val="28"/>
        </w:rPr>
        <w:t>чительной степени препятствует высокая стоимость страхового полиса для частных лиц, в 3-4 раза превышающая его стоимость для корпоративных клиентов в расчете на одного человека при аналогичном наборе предоста</w:t>
      </w:r>
      <w:r w:rsidRPr="001C395F">
        <w:rPr>
          <w:rFonts w:ascii="Times New Roman" w:hAnsi="Times New Roman" w:cs="Times New Roman"/>
          <w:sz w:val="28"/>
          <w:szCs w:val="28"/>
        </w:rPr>
        <w:t>в</w:t>
      </w:r>
      <w:r w:rsidRPr="001C395F">
        <w:rPr>
          <w:rFonts w:ascii="Times New Roman" w:hAnsi="Times New Roman" w:cs="Times New Roman"/>
          <w:sz w:val="28"/>
          <w:szCs w:val="28"/>
        </w:rPr>
        <w:t>ляемых медицинских услуг. Однако снижать цены на полисы для физических лиц страховые организации не намерены из-за высокой убыточности розни</w:t>
      </w:r>
      <w:r w:rsidRPr="001C395F">
        <w:rPr>
          <w:rFonts w:ascii="Times New Roman" w:hAnsi="Times New Roman" w:cs="Times New Roman"/>
          <w:sz w:val="28"/>
          <w:szCs w:val="28"/>
        </w:rPr>
        <w:t>ч</w:t>
      </w:r>
      <w:r w:rsidRPr="001C395F">
        <w:rPr>
          <w:rFonts w:ascii="Times New Roman" w:hAnsi="Times New Roman" w:cs="Times New Roman"/>
          <w:sz w:val="28"/>
          <w:szCs w:val="28"/>
        </w:rPr>
        <w:t>ного ДМС: в 2011 г. коэффициент выплат по договорам с частными лицами составил 80,02% против 74,97% в корпоративном секторе. Обычно розни</w:t>
      </w:r>
      <w:r w:rsidRPr="001C395F">
        <w:rPr>
          <w:rFonts w:ascii="Times New Roman" w:hAnsi="Times New Roman" w:cs="Times New Roman"/>
          <w:sz w:val="28"/>
          <w:szCs w:val="28"/>
        </w:rPr>
        <w:t>ч</w:t>
      </w:r>
      <w:r w:rsidRPr="001C395F">
        <w:rPr>
          <w:rFonts w:ascii="Times New Roman" w:hAnsi="Times New Roman" w:cs="Times New Roman"/>
          <w:sz w:val="28"/>
          <w:szCs w:val="28"/>
        </w:rPr>
        <w:t>ные полисы ДМС приобретаются лицами, имеющими серьезные проблемы со здоровьем и, соответственно, стремящимися получить максимальный объем услуг за вложенные деньги.</w:t>
      </w:r>
      <w:r w:rsidR="0036366A" w:rsidRPr="0036366A">
        <w:rPr>
          <w:rFonts w:ascii="Calibri" w:eastAsia="Calibri" w:hAnsi="Calibri" w:cs="Times New Roman"/>
          <w:sz w:val="28"/>
          <w:szCs w:val="28"/>
        </w:rPr>
        <w:t xml:space="preserve"> </w:t>
      </w:r>
      <w:r w:rsidR="0036366A">
        <w:rPr>
          <w:rFonts w:ascii="Times New Roman" w:hAnsi="Times New Roman" w:cs="Times New Roman"/>
          <w:sz w:val="28"/>
          <w:szCs w:val="28"/>
        </w:rPr>
        <w:t xml:space="preserve">Тогда как </w:t>
      </w:r>
      <w:r w:rsidR="0036366A" w:rsidRPr="0036366A">
        <w:rPr>
          <w:rFonts w:ascii="Times New Roman" w:hAnsi="Times New Roman" w:cs="Times New Roman"/>
          <w:sz w:val="28"/>
          <w:szCs w:val="28"/>
        </w:rPr>
        <w:t xml:space="preserve">при страховании больших коллективов риски равномерно распределяются среди всех </w:t>
      </w:r>
      <w:r w:rsidR="0036366A">
        <w:rPr>
          <w:rFonts w:ascii="Times New Roman" w:hAnsi="Times New Roman" w:cs="Times New Roman"/>
          <w:sz w:val="28"/>
          <w:szCs w:val="28"/>
        </w:rPr>
        <w:t>работников</w:t>
      </w:r>
      <w:r w:rsidR="0036366A" w:rsidRPr="0036366A">
        <w:rPr>
          <w:rFonts w:ascii="Times New Roman" w:hAnsi="Times New Roman" w:cs="Times New Roman"/>
          <w:sz w:val="28"/>
          <w:szCs w:val="28"/>
        </w:rPr>
        <w:t xml:space="preserve">, </w:t>
      </w:r>
      <w:r w:rsidR="0036366A">
        <w:rPr>
          <w:rFonts w:ascii="Times New Roman" w:hAnsi="Times New Roman" w:cs="Times New Roman"/>
          <w:sz w:val="28"/>
          <w:szCs w:val="28"/>
        </w:rPr>
        <w:t>поэтому</w:t>
      </w:r>
      <w:r w:rsidR="0036366A" w:rsidRPr="0036366A">
        <w:rPr>
          <w:rFonts w:ascii="Times New Roman" w:hAnsi="Times New Roman" w:cs="Times New Roman"/>
          <w:sz w:val="28"/>
          <w:szCs w:val="28"/>
        </w:rPr>
        <w:t xml:space="preserve"> отпадает </w:t>
      </w:r>
      <w:r w:rsidR="0036366A" w:rsidRPr="0036366A">
        <w:rPr>
          <w:rFonts w:ascii="Times New Roman" w:hAnsi="Times New Roman" w:cs="Times New Roman"/>
          <w:sz w:val="28"/>
          <w:szCs w:val="28"/>
        </w:rPr>
        <w:lastRenderedPageBreak/>
        <w:t xml:space="preserve">необходимость </w:t>
      </w:r>
      <w:r w:rsidR="0036366A">
        <w:rPr>
          <w:rFonts w:ascii="Times New Roman" w:hAnsi="Times New Roman" w:cs="Times New Roman"/>
          <w:sz w:val="28"/>
          <w:szCs w:val="28"/>
        </w:rPr>
        <w:t xml:space="preserve">в </w:t>
      </w:r>
      <w:r w:rsidR="0036366A" w:rsidRPr="0036366A">
        <w:rPr>
          <w:rFonts w:ascii="Times New Roman" w:hAnsi="Times New Roman" w:cs="Times New Roman"/>
          <w:sz w:val="28"/>
          <w:szCs w:val="28"/>
        </w:rPr>
        <w:t>проведени</w:t>
      </w:r>
      <w:r w:rsidR="0036366A">
        <w:rPr>
          <w:rFonts w:ascii="Times New Roman" w:hAnsi="Times New Roman" w:cs="Times New Roman"/>
          <w:sz w:val="28"/>
          <w:szCs w:val="28"/>
        </w:rPr>
        <w:t>и</w:t>
      </w:r>
      <w:r w:rsidR="0036366A" w:rsidRPr="0036366A">
        <w:rPr>
          <w:rFonts w:ascii="Times New Roman" w:hAnsi="Times New Roman" w:cs="Times New Roman"/>
          <w:sz w:val="28"/>
          <w:szCs w:val="28"/>
        </w:rPr>
        <w:t xml:space="preserve"> </w:t>
      </w:r>
      <w:r w:rsidR="0036366A">
        <w:rPr>
          <w:rFonts w:ascii="Times New Roman" w:hAnsi="Times New Roman" w:cs="Times New Roman"/>
          <w:sz w:val="28"/>
          <w:szCs w:val="28"/>
        </w:rPr>
        <w:t xml:space="preserve">медицинского </w:t>
      </w:r>
      <w:r w:rsidR="0036366A" w:rsidRPr="0036366A">
        <w:rPr>
          <w:rFonts w:ascii="Times New Roman" w:hAnsi="Times New Roman" w:cs="Times New Roman"/>
          <w:sz w:val="28"/>
          <w:szCs w:val="28"/>
        </w:rPr>
        <w:t>обследования и оценк</w:t>
      </w:r>
      <w:r w:rsidR="0036366A">
        <w:rPr>
          <w:rFonts w:ascii="Times New Roman" w:hAnsi="Times New Roman" w:cs="Times New Roman"/>
          <w:sz w:val="28"/>
          <w:szCs w:val="28"/>
        </w:rPr>
        <w:t>е</w:t>
      </w:r>
      <w:r w:rsidR="0036366A" w:rsidRPr="0036366A">
        <w:rPr>
          <w:rFonts w:ascii="Times New Roman" w:hAnsi="Times New Roman" w:cs="Times New Roman"/>
          <w:sz w:val="28"/>
          <w:szCs w:val="28"/>
        </w:rPr>
        <w:t xml:space="preserve"> рисков по каждому застрахованному</w:t>
      </w:r>
      <w:r w:rsidR="003A59AE" w:rsidRPr="003A59AE">
        <w:rPr>
          <w:rFonts w:ascii="Times New Roman" w:hAnsi="Times New Roman" w:cs="Times New Roman"/>
          <w:sz w:val="28"/>
          <w:szCs w:val="28"/>
        </w:rPr>
        <w:t xml:space="preserve"> [30]</w:t>
      </w:r>
      <w:r w:rsidR="0036366A" w:rsidRPr="0036366A">
        <w:rPr>
          <w:rFonts w:ascii="Times New Roman" w:hAnsi="Times New Roman" w:cs="Times New Roman"/>
          <w:sz w:val="28"/>
          <w:szCs w:val="28"/>
        </w:rPr>
        <w:t>.</w:t>
      </w:r>
    </w:p>
    <w:p w:rsidR="00AD7D77" w:rsidRPr="00233750" w:rsidRDefault="00AD7D77" w:rsidP="00630D46">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 xml:space="preserve">Таблица </w:t>
      </w:r>
      <w:r w:rsidR="00DA62A2" w:rsidRPr="00233750">
        <w:rPr>
          <w:rFonts w:ascii="Times New Roman" w:hAnsi="Times New Roman" w:cs="Times New Roman"/>
          <w:i/>
          <w:iCs/>
          <w:sz w:val="26"/>
          <w:szCs w:val="26"/>
        </w:rPr>
        <w:t>5</w:t>
      </w:r>
    </w:p>
    <w:p w:rsidR="00AD7D77" w:rsidRPr="00233750" w:rsidRDefault="00AD7D77" w:rsidP="0012647D">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Страховые взносы, собранные российскими страховыми организациями,</w:t>
      </w:r>
    </w:p>
    <w:p w:rsidR="00AD7D77" w:rsidRPr="00233750" w:rsidRDefault="00AD7D77" w:rsidP="0012647D">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по договорам страхования ДМС с физическими и юридическими лицами</w:t>
      </w:r>
    </w:p>
    <w:tbl>
      <w:tblPr>
        <w:tblW w:w="10019" w:type="dxa"/>
        <w:jc w:val="right"/>
        <w:tblLook w:val="00A0"/>
      </w:tblPr>
      <w:tblGrid>
        <w:gridCol w:w="849"/>
        <w:gridCol w:w="2496"/>
        <w:gridCol w:w="2496"/>
        <w:gridCol w:w="2052"/>
        <w:gridCol w:w="2126"/>
      </w:tblGrid>
      <w:tr w:rsidR="00AD7D77" w:rsidRPr="00097705" w:rsidTr="0012647D">
        <w:trPr>
          <w:trHeight w:val="1739"/>
          <w:jc w:val="right"/>
        </w:trPr>
        <w:tc>
          <w:tcPr>
            <w:tcW w:w="849" w:type="dxa"/>
            <w:tcBorders>
              <w:top w:val="single" w:sz="4" w:space="0" w:color="auto"/>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Годы</w:t>
            </w:r>
          </w:p>
        </w:tc>
        <w:tc>
          <w:tcPr>
            <w:tcW w:w="2496" w:type="dxa"/>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Доля поступлений по договорам страхов</w:t>
            </w:r>
            <w:r w:rsidRPr="002F37D0">
              <w:rPr>
                <w:rFonts w:ascii="Times New Roman" w:hAnsi="Times New Roman" w:cs="Times New Roman"/>
                <w:b/>
                <w:bCs/>
                <w:color w:val="000000"/>
                <w:sz w:val="23"/>
                <w:szCs w:val="23"/>
                <w:lang w:eastAsia="ru-RU"/>
              </w:rPr>
              <w:t>а</w:t>
            </w:r>
            <w:r w:rsidRPr="002F37D0">
              <w:rPr>
                <w:rFonts w:ascii="Times New Roman" w:hAnsi="Times New Roman" w:cs="Times New Roman"/>
                <w:b/>
                <w:bCs/>
                <w:color w:val="000000"/>
                <w:sz w:val="23"/>
                <w:szCs w:val="23"/>
                <w:lang w:eastAsia="ru-RU"/>
              </w:rPr>
              <w:t>ния с физическими лицами в общем об</w:t>
            </w:r>
            <w:r w:rsidRPr="002F37D0">
              <w:rPr>
                <w:rFonts w:ascii="Times New Roman" w:hAnsi="Times New Roman" w:cs="Times New Roman"/>
                <w:b/>
                <w:bCs/>
                <w:color w:val="000000"/>
                <w:sz w:val="23"/>
                <w:szCs w:val="23"/>
                <w:lang w:eastAsia="ru-RU"/>
              </w:rPr>
              <w:t>ъ</w:t>
            </w:r>
            <w:r w:rsidRPr="002F37D0">
              <w:rPr>
                <w:rFonts w:ascii="Times New Roman" w:hAnsi="Times New Roman" w:cs="Times New Roman"/>
                <w:b/>
                <w:bCs/>
                <w:color w:val="000000"/>
                <w:sz w:val="23"/>
                <w:szCs w:val="23"/>
                <w:lang w:eastAsia="ru-RU"/>
              </w:rPr>
              <w:t>еме страховых взн</w:t>
            </w:r>
            <w:r w:rsidRPr="002F37D0">
              <w:rPr>
                <w:rFonts w:ascii="Times New Roman" w:hAnsi="Times New Roman" w:cs="Times New Roman"/>
                <w:b/>
                <w:bCs/>
                <w:color w:val="000000"/>
                <w:sz w:val="23"/>
                <w:szCs w:val="23"/>
                <w:lang w:eastAsia="ru-RU"/>
              </w:rPr>
              <w:t>о</w:t>
            </w:r>
            <w:r w:rsidRPr="002F37D0">
              <w:rPr>
                <w:rFonts w:ascii="Times New Roman" w:hAnsi="Times New Roman" w:cs="Times New Roman"/>
                <w:b/>
                <w:bCs/>
                <w:color w:val="000000"/>
                <w:sz w:val="23"/>
                <w:szCs w:val="23"/>
                <w:lang w:eastAsia="ru-RU"/>
              </w:rPr>
              <w:t>сов по ДМС, %</w:t>
            </w:r>
          </w:p>
        </w:tc>
        <w:tc>
          <w:tcPr>
            <w:tcW w:w="2496"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Доля поступлений по договорам страхов</w:t>
            </w:r>
            <w:r w:rsidRPr="002F37D0">
              <w:rPr>
                <w:rFonts w:ascii="Times New Roman" w:hAnsi="Times New Roman" w:cs="Times New Roman"/>
                <w:b/>
                <w:bCs/>
                <w:color w:val="000000"/>
                <w:sz w:val="23"/>
                <w:szCs w:val="23"/>
                <w:lang w:eastAsia="ru-RU"/>
              </w:rPr>
              <w:t>а</w:t>
            </w:r>
            <w:r w:rsidRPr="002F37D0">
              <w:rPr>
                <w:rFonts w:ascii="Times New Roman" w:hAnsi="Times New Roman" w:cs="Times New Roman"/>
                <w:b/>
                <w:bCs/>
                <w:color w:val="000000"/>
                <w:sz w:val="23"/>
                <w:szCs w:val="23"/>
                <w:lang w:eastAsia="ru-RU"/>
              </w:rPr>
              <w:t>ния с юридическими лицами в общем об</w:t>
            </w:r>
            <w:r w:rsidRPr="002F37D0">
              <w:rPr>
                <w:rFonts w:ascii="Times New Roman" w:hAnsi="Times New Roman" w:cs="Times New Roman"/>
                <w:b/>
                <w:bCs/>
                <w:color w:val="000000"/>
                <w:sz w:val="23"/>
                <w:szCs w:val="23"/>
                <w:lang w:eastAsia="ru-RU"/>
              </w:rPr>
              <w:t>ъ</w:t>
            </w:r>
            <w:r w:rsidRPr="002F37D0">
              <w:rPr>
                <w:rFonts w:ascii="Times New Roman" w:hAnsi="Times New Roman" w:cs="Times New Roman"/>
                <w:b/>
                <w:bCs/>
                <w:color w:val="000000"/>
                <w:sz w:val="23"/>
                <w:szCs w:val="23"/>
                <w:lang w:eastAsia="ru-RU"/>
              </w:rPr>
              <w:t>еме страховых взн</w:t>
            </w:r>
            <w:r w:rsidRPr="002F37D0">
              <w:rPr>
                <w:rFonts w:ascii="Times New Roman" w:hAnsi="Times New Roman" w:cs="Times New Roman"/>
                <w:b/>
                <w:bCs/>
                <w:color w:val="000000"/>
                <w:sz w:val="23"/>
                <w:szCs w:val="23"/>
                <w:lang w:eastAsia="ru-RU"/>
              </w:rPr>
              <w:t>о</w:t>
            </w:r>
            <w:r w:rsidRPr="002F37D0">
              <w:rPr>
                <w:rFonts w:ascii="Times New Roman" w:hAnsi="Times New Roman" w:cs="Times New Roman"/>
                <w:b/>
                <w:bCs/>
                <w:color w:val="000000"/>
                <w:sz w:val="23"/>
                <w:szCs w:val="23"/>
                <w:lang w:eastAsia="ru-RU"/>
              </w:rPr>
              <w:t>сов по ДМС, %</w:t>
            </w:r>
          </w:p>
        </w:tc>
        <w:tc>
          <w:tcPr>
            <w:tcW w:w="2052"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Темп прироста страховых взн</w:t>
            </w:r>
            <w:r w:rsidRPr="002F37D0">
              <w:rPr>
                <w:rFonts w:ascii="Times New Roman" w:hAnsi="Times New Roman" w:cs="Times New Roman"/>
                <w:b/>
                <w:bCs/>
                <w:color w:val="000000"/>
                <w:sz w:val="23"/>
                <w:szCs w:val="23"/>
                <w:lang w:eastAsia="ru-RU"/>
              </w:rPr>
              <w:t>о</w:t>
            </w:r>
            <w:r w:rsidRPr="002F37D0">
              <w:rPr>
                <w:rFonts w:ascii="Times New Roman" w:hAnsi="Times New Roman" w:cs="Times New Roman"/>
                <w:b/>
                <w:bCs/>
                <w:color w:val="000000"/>
                <w:sz w:val="23"/>
                <w:szCs w:val="23"/>
                <w:lang w:eastAsia="ru-RU"/>
              </w:rPr>
              <w:t>сов по договорам страхования ДМС с физич</w:t>
            </w:r>
            <w:r w:rsidRPr="002F37D0">
              <w:rPr>
                <w:rFonts w:ascii="Times New Roman" w:hAnsi="Times New Roman" w:cs="Times New Roman"/>
                <w:b/>
                <w:bCs/>
                <w:color w:val="000000"/>
                <w:sz w:val="23"/>
                <w:szCs w:val="23"/>
                <w:lang w:eastAsia="ru-RU"/>
              </w:rPr>
              <w:t>е</w:t>
            </w:r>
            <w:r w:rsidRPr="002F37D0">
              <w:rPr>
                <w:rFonts w:ascii="Times New Roman" w:hAnsi="Times New Roman" w:cs="Times New Roman"/>
                <w:b/>
                <w:bCs/>
                <w:color w:val="000000"/>
                <w:sz w:val="23"/>
                <w:szCs w:val="23"/>
                <w:lang w:eastAsia="ru-RU"/>
              </w:rPr>
              <w:t>скими лицами, %</w:t>
            </w:r>
          </w:p>
        </w:tc>
        <w:tc>
          <w:tcPr>
            <w:tcW w:w="2126"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Темп прироста страховых взн</w:t>
            </w:r>
            <w:r w:rsidRPr="002F37D0">
              <w:rPr>
                <w:rFonts w:ascii="Times New Roman" w:hAnsi="Times New Roman" w:cs="Times New Roman"/>
                <w:b/>
                <w:bCs/>
                <w:color w:val="000000"/>
                <w:sz w:val="23"/>
                <w:szCs w:val="23"/>
                <w:lang w:eastAsia="ru-RU"/>
              </w:rPr>
              <w:t>о</w:t>
            </w:r>
            <w:r w:rsidRPr="002F37D0">
              <w:rPr>
                <w:rFonts w:ascii="Times New Roman" w:hAnsi="Times New Roman" w:cs="Times New Roman"/>
                <w:b/>
                <w:bCs/>
                <w:color w:val="000000"/>
                <w:sz w:val="23"/>
                <w:szCs w:val="23"/>
                <w:lang w:eastAsia="ru-RU"/>
              </w:rPr>
              <w:t>сов по договорам страхования ДМС с юридич</w:t>
            </w:r>
            <w:r w:rsidRPr="002F37D0">
              <w:rPr>
                <w:rFonts w:ascii="Times New Roman" w:hAnsi="Times New Roman" w:cs="Times New Roman"/>
                <w:b/>
                <w:bCs/>
                <w:color w:val="000000"/>
                <w:sz w:val="23"/>
                <w:szCs w:val="23"/>
                <w:lang w:eastAsia="ru-RU"/>
              </w:rPr>
              <w:t>е</w:t>
            </w:r>
            <w:r w:rsidRPr="002F37D0">
              <w:rPr>
                <w:rFonts w:ascii="Times New Roman" w:hAnsi="Times New Roman" w:cs="Times New Roman"/>
                <w:b/>
                <w:bCs/>
                <w:color w:val="000000"/>
                <w:sz w:val="23"/>
                <w:szCs w:val="23"/>
                <w:lang w:eastAsia="ru-RU"/>
              </w:rPr>
              <w:t>скими лицами, %</w:t>
            </w:r>
          </w:p>
        </w:tc>
      </w:tr>
      <w:tr w:rsidR="00AD7D77" w:rsidRPr="00097705" w:rsidTr="0012647D">
        <w:trPr>
          <w:trHeight w:val="305"/>
          <w:jc w:val="right"/>
        </w:trPr>
        <w:tc>
          <w:tcPr>
            <w:tcW w:w="849" w:type="dxa"/>
            <w:tcBorders>
              <w:top w:val="nil"/>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2009</w:t>
            </w:r>
          </w:p>
        </w:tc>
        <w:tc>
          <w:tcPr>
            <w:tcW w:w="2496" w:type="dxa"/>
            <w:tcBorders>
              <w:top w:val="nil"/>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15,52</w:t>
            </w:r>
          </w:p>
        </w:tc>
        <w:tc>
          <w:tcPr>
            <w:tcW w:w="2496" w:type="dxa"/>
            <w:tcBorders>
              <w:top w:val="nil"/>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84,48</w:t>
            </w:r>
          </w:p>
        </w:tc>
        <w:tc>
          <w:tcPr>
            <w:tcW w:w="2052" w:type="dxa"/>
            <w:tcBorders>
              <w:top w:val="nil"/>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w:t>
            </w:r>
          </w:p>
        </w:tc>
        <w:tc>
          <w:tcPr>
            <w:tcW w:w="2126" w:type="dxa"/>
            <w:tcBorders>
              <w:top w:val="nil"/>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w:t>
            </w:r>
          </w:p>
        </w:tc>
      </w:tr>
      <w:tr w:rsidR="00AD7D77" w:rsidRPr="00097705" w:rsidTr="0012647D">
        <w:trPr>
          <w:trHeight w:val="305"/>
          <w:jc w:val="right"/>
        </w:trPr>
        <w:tc>
          <w:tcPr>
            <w:tcW w:w="849" w:type="dxa"/>
            <w:tcBorders>
              <w:top w:val="single" w:sz="4" w:space="0" w:color="auto"/>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2010</w:t>
            </w:r>
          </w:p>
        </w:tc>
        <w:tc>
          <w:tcPr>
            <w:tcW w:w="2496" w:type="dxa"/>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13,80</w:t>
            </w:r>
          </w:p>
        </w:tc>
        <w:tc>
          <w:tcPr>
            <w:tcW w:w="2496"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86,20</w:t>
            </w:r>
          </w:p>
        </w:tc>
        <w:tc>
          <w:tcPr>
            <w:tcW w:w="2052"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1,96</w:t>
            </w:r>
          </w:p>
        </w:tc>
        <w:tc>
          <w:tcPr>
            <w:tcW w:w="2126"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17,01</w:t>
            </w:r>
          </w:p>
        </w:tc>
      </w:tr>
      <w:tr w:rsidR="00AD7D77" w:rsidRPr="00097705" w:rsidTr="0012647D">
        <w:trPr>
          <w:trHeight w:val="305"/>
          <w:jc w:val="right"/>
        </w:trPr>
        <w:tc>
          <w:tcPr>
            <w:tcW w:w="849" w:type="dxa"/>
            <w:tcBorders>
              <w:top w:val="single" w:sz="4" w:space="0" w:color="auto"/>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2011</w:t>
            </w:r>
          </w:p>
        </w:tc>
        <w:tc>
          <w:tcPr>
            <w:tcW w:w="2496" w:type="dxa"/>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12,21</w:t>
            </w:r>
          </w:p>
        </w:tc>
        <w:tc>
          <w:tcPr>
            <w:tcW w:w="2496"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87,79</w:t>
            </w:r>
          </w:p>
        </w:tc>
        <w:tc>
          <w:tcPr>
            <w:tcW w:w="2052"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0,49</w:t>
            </w:r>
          </w:p>
        </w:tc>
        <w:tc>
          <w:tcPr>
            <w:tcW w:w="2126" w:type="dxa"/>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sz w:val="23"/>
                <w:szCs w:val="23"/>
                <w:lang w:eastAsia="ru-RU"/>
              </w:rPr>
            </w:pPr>
            <w:r w:rsidRPr="002F37D0">
              <w:rPr>
                <w:rFonts w:ascii="Times New Roman" w:hAnsi="Times New Roman" w:cs="Times New Roman"/>
                <w:sz w:val="23"/>
                <w:szCs w:val="23"/>
                <w:lang w:eastAsia="ru-RU"/>
              </w:rPr>
              <w:t>15,74</w:t>
            </w:r>
          </w:p>
        </w:tc>
      </w:tr>
      <w:tr w:rsidR="00AD7D77" w:rsidRPr="00873B42" w:rsidTr="0012647D">
        <w:trPr>
          <w:trHeight w:val="305"/>
          <w:jc w:val="right"/>
        </w:trPr>
        <w:tc>
          <w:tcPr>
            <w:tcW w:w="849" w:type="dxa"/>
            <w:tcBorders>
              <w:top w:val="single" w:sz="4" w:space="0" w:color="auto"/>
              <w:left w:val="single" w:sz="4" w:space="0" w:color="auto"/>
              <w:bottom w:val="single" w:sz="4" w:space="0" w:color="auto"/>
              <w:right w:val="single" w:sz="4" w:space="0" w:color="auto"/>
            </w:tcBorders>
            <w:noWrap/>
            <w:vAlign w:val="center"/>
          </w:tcPr>
          <w:p w:rsidR="00AD7D77" w:rsidRPr="00873B42" w:rsidRDefault="00AD7D77" w:rsidP="00F11BD7">
            <w:pPr>
              <w:spacing w:after="0" w:line="240" w:lineRule="auto"/>
              <w:jc w:val="center"/>
              <w:rPr>
                <w:rFonts w:ascii="Times New Roman" w:hAnsi="Times New Roman" w:cs="Times New Roman"/>
                <w:color w:val="000000"/>
                <w:sz w:val="23"/>
                <w:szCs w:val="23"/>
                <w:lang w:eastAsia="ru-RU"/>
              </w:rPr>
            </w:pPr>
            <w:r w:rsidRPr="00873B42">
              <w:rPr>
                <w:rFonts w:ascii="Times New Roman" w:hAnsi="Times New Roman" w:cs="Times New Roman"/>
                <w:color w:val="000000"/>
                <w:sz w:val="23"/>
                <w:szCs w:val="23"/>
                <w:lang w:eastAsia="ru-RU"/>
              </w:rPr>
              <w:t>2012</w:t>
            </w:r>
          </w:p>
        </w:tc>
        <w:tc>
          <w:tcPr>
            <w:tcW w:w="2496" w:type="dxa"/>
            <w:tcBorders>
              <w:top w:val="single" w:sz="4" w:space="0" w:color="auto"/>
              <w:left w:val="single" w:sz="4" w:space="0" w:color="auto"/>
              <w:bottom w:val="single" w:sz="4" w:space="0" w:color="auto"/>
              <w:right w:val="single" w:sz="4" w:space="0" w:color="auto"/>
            </w:tcBorders>
            <w:vAlign w:val="center"/>
          </w:tcPr>
          <w:p w:rsidR="00AD7D77" w:rsidRPr="00873B42" w:rsidRDefault="00AD7D77" w:rsidP="00F11BD7">
            <w:pPr>
              <w:spacing w:after="0" w:line="240" w:lineRule="auto"/>
              <w:jc w:val="center"/>
              <w:rPr>
                <w:rFonts w:ascii="Times New Roman" w:hAnsi="Times New Roman" w:cs="Times New Roman"/>
                <w:color w:val="000000"/>
                <w:sz w:val="23"/>
                <w:szCs w:val="23"/>
                <w:lang w:eastAsia="ru-RU"/>
              </w:rPr>
            </w:pPr>
            <w:r w:rsidRPr="00873B42">
              <w:rPr>
                <w:rFonts w:ascii="Times New Roman" w:hAnsi="Times New Roman" w:cs="Times New Roman"/>
                <w:color w:val="000000"/>
                <w:sz w:val="23"/>
                <w:szCs w:val="23"/>
                <w:lang w:eastAsia="ru-RU"/>
              </w:rPr>
              <w:t>12,27</w:t>
            </w:r>
          </w:p>
        </w:tc>
        <w:tc>
          <w:tcPr>
            <w:tcW w:w="2496" w:type="dxa"/>
            <w:tcBorders>
              <w:top w:val="single" w:sz="4" w:space="0" w:color="auto"/>
              <w:left w:val="nil"/>
              <w:bottom w:val="single" w:sz="4" w:space="0" w:color="auto"/>
              <w:right w:val="single" w:sz="4" w:space="0" w:color="auto"/>
            </w:tcBorders>
            <w:vAlign w:val="center"/>
          </w:tcPr>
          <w:p w:rsidR="00AD7D77" w:rsidRPr="00873B42" w:rsidRDefault="00AD7D77" w:rsidP="00F11BD7">
            <w:pPr>
              <w:spacing w:after="0" w:line="240" w:lineRule="auto"/>
              <w:jc w:val="center"/>
              <w:rPr>
                <w:rFonts w:ascii="Times New Roman" w:hAnsi="Times New Roman" w:cs="Times New Roman"/>
                <w:color w:val="000000"/>
                <w:sz w:val="23"/>
                <w:szCs w:val="23"/>
                <w:lang w:eastAsia="ru-RU"/>
              </w:rPr>
            </w:pPr>
            <w:r w:rsidRPr="00873B42">
              <w:rPr>
                <w:rFonts w:ascii="Times New Roman" w:hAnsi="Times New Roman" w:cs="Times New Roman"/>
                <w:color w:val="000000"/>
                <w:sz w:val="23"/>
                <w:szCs w:val="23"/>
                <w:lang w:eastAsia="ru-RU"/>
              </w:rPr>
              <w:t>87,73</w:t>
            </w:r>
          </w:p>
        </w:tc>
        <w:tc>
          <w:tcPr>
            <w:tcW w:w="2052" w:type="dxa"/>
            <w:tcBorders>
              <w:top w:val="single" w:sz="4" w:space="0" w:color="auto"/>
              <w:left w:val="nil"/>
              <w:bottom w:val="single" w:sz="4" w:space="0" w:color="auto"/>
              <w:right w:val="single" w:sz="4" w:space="0" w:color="auto"/>
            </w:tcBorders>
            <w:vAlign w:val="center"/>
          </w:tcPr>
          <w:p w:rsidR="00AD7D77" w:rsidRPr="00873B42" w:rsidRDefault="00AD7D77" w:rsidP="00F11BD7">
            <w:pPr>
              <w:spacing w:after="0" w:line="240" w:lineRule="auto"/>
              <w:jc w:val="center"/>
              <w:rPr>
                <w:rFonts w:ascii="Times New Roman" w:hAnsi="Times New Roman" w:cs="Times New Roman"/>
                <w:color w:val="000000"/>
                <w:sz w:val="23"/>
                <w:szCs w:val="23"/>
                <w:lang w:eastAsia="ru-RU"/>
              </w:rPr>
            </w:pPr>
            <w:r w:rsidRPr="00873B42">
              <w:rPr>
                <w:rFonts w:ascii="Times New Roman" w:hAnsi="Times New Roman" w:cs="Times New Roman"/>
                <w:color w:val="000000"/>
                <w:sz w:val="23"/>
                <w:szCs w:val="23"/>
                <w:lang w:eastAsia="ru-RU"/>
              </w:rPr>
              <w:t>12,46</w:t>
            </w:r>
          </w:p>
        </w:tc>
        <w:tc>
          <w:tcPr>
            <w:tcW w:w="2126" w:type="dxa"/>
            <w:tcBorders>
              <w:top w:val="single" w:sz="4" w:space="0" w:color="auto"/>
              <w:left w:val="nil"/>
              <w:bottom w:val="single" w:sz="4" w:space="0" w:color="auto"/>
              <w:right w:val="single" w:sz="4" w:space="0" w:color="auto"/>
            </w:tcBorders>
            <w:vAlign w:val="center"/>
          </w:tcPr>
          <w:p w:rsidR="00AD7D77" w:rsidRPr="00873B42" w:rsidRDefault="00AD7D77" w:rsidP="00F11BD7">
            <w:pPr>
              <w:spacing w:after="0" w:line="240" w:lineRule="auto"/>
              <w:jc w:val="center"/>
              <w:rPr>
                <w:rFonts w:ascii="Times New Roman" w:hAnsi="Times New Roman" w:cs="Times New Roman"/>
                <w:color w:val="000000"/>
                <w:sz w:val="23"/>
                <w:szCs w:val="23"/>
                <w:lang w:eastAsia="ru-RU"/>
              </w:rPr>
            </w:pPr>
            <w:r w:rsidRPr="00873B42">
              <w:rPr>
                <w:rFonts w:ascii="Times New Roman" w:hAnsi="Times New Roman" w:cs="Times New Roman"/>
                <w:color w:val="000000"/>
                <w:sz w:val="23"/>
                <w:szCs w:val="23"/>
                <w:lang w:eastAsia="ru-RU"/>
              </w:rPr>
              <w:t>11,84</w:t>
            </w:r>
          </w:p>
        </w:tc>
      </w:tr>
    </w:tbl>
    <w:p w:rsidR="00630D46" w:rsidRDefault="00630D46" w:rsidP="00630D46">
      <w:pPr>
        <w:spacing w:before="80" w:after="0" w:line="360" w:lineRule="auto"/>
        <w:ind w:firstLine="709"/>
        <w:jc w:val="both"/>
        <w:rPr>
          <w:rFonts w:ascii="Times New Roman" w:hAnsi="Times New Roman" w:cs="Times New Roman"/>
          <w:sz w:val="28"/>
          <w:szCs w:val="28"/>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00FD1503" w:rsidRPr="00FD1503">
        <w:rPr>
          <w:rFonts w:ascii="Times New Roman" w:hAnsi="Times New Roman" w:cs="Times New Roman"/>
        </w:rPr>
        <w:t>http://www.fcsm.ru/ru/contributors/insurance_industry/statistics/</w:t>
      </w:r>
    </w:p>
    <w:p w:rsidR="00AD7D77" w:rsidRDefault="00AD7D77" w:rsidP="00FD1503">
      <w:pPr>
        <w:spacing w:before="120"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 xml:space="preserve">Перекос в сторону корпоративных клиентов </w:t>
      </w:r>
      <w:r>
        <w:rPr>
          <w:rFonts w:ascii="Times New Roman" w:hAnsi="Times New Roman" w:cs="Times New Roman"/>
          <w:sz w:val="28"/>
          <w:szCs w:val="28"/>
        </w:rPr>
        <w:t xml:space="preserve">на протяжении 2009-2011 гг. лишь </w:t>
      </w:r>
      <w:r w:rsidRPr="001C395F">
        <w:rPr>
          <w:rFonts w:ascii="Times New Roman" w:hAnsi="Times New Roman" w:cs="Times New Roman"/>
          <w:sz w:val="28"/>
          <w:szCs w:val="28"/>
        </w:rPr>
        <w:t>усилива</w:t>
      </w:r>
      <w:r>
        <w:rPr>
          <w:rFonts w:ascii="Times New Roman" w:hAnsi="Times New Roman" w:cs="Times New Roman"/>
          <w:sz w:val="28"/>
          <w:szCs w:val="28"/>
        </w:rPr>
        <w:t>лся</w:t>
      </w:r>
      <w:r w:rsidRPr="001C395F">
        <w:rPr>
          <w:rFonts w:ascii="Times New Roman" w:hAnsi="Times New Roman" w:cs="Times New Roman"/>
          <w:sz w:val="28"/>
          <w:szCs w:val="28"/>
        </w:rPr>
        <w:t>, что не вызывает удивления, поскольку темп прироста поступлений по договорам страхования с физическими лицами (0,49% в 2011 г.) существенно уступа</w:t>
      </w:r>
      <w:r>
        <w:rPr>
          <w:rFonts w:ascii="Times New Roman" w:hAnsi="Times New Roman" w:cs="Times New Roman"/>
          <w:sz w:val="28"/>
          <w:szCs w:val="28"/>
        </w:rPr>
        <w:t>л</w:t>
      </w:r>
      <w:r w:rsidRPr="001C395F">
        <w:rPr>
          <w:rFonts w:ascii="Times New Roman" w:hAnsi="Times New Roman" w:cs="Times New Roman"/>
          <w:sz w:val="28"/>
          <w:szCs w:val="28"/>
        </w:rPr>
        <w:t xml:space="preserve"> аналогичному показателю </w:t>
      </w:r>
      <w:r>
        <w:rPr>
          <w:rFonts w:ascii="Times New Roman" w:hAnsi="Times New Roman" w:cs="Times New Roman"/>
          <w:sz w:val="28"/>
          <w:szCs w:val="28"/>
        </w:rPr>
        <w:t>по договорам с</w:t>
      </w:r>
      <w:r w:rsidRPr="001C395F">
        <w:rPr>
          <w:rFonts w:ascii="Times New Roman" w:hAnsi="Times New Roman" w:cs="Times New Roman"/>
          <w:sz w:val="28"/>
          <w:szCs w:val="28"/>
        </w:rPr>
        <w:t xml:space="preserve"> юридич</w:t>
      </w:r>
      <w:r w:rsidRPr="001C395F">
        <w:rPr>
          <w:rFonts w:ascii="Times New Roman" w:hAnsi="Times New Roman" w:cs="Times New Roman"/>
          <w:sz w:val="28"/>
          <w:szCs w:val="28"/>
        </w:rPr>
        <w:t>е</w:t>
      </w:r>
      <w:r w:rsidRPr="001C395F">
        <w:rPr>
          <w:rFonts w:ascii="Times New Roman" w:hAnsi="Times New Roman" w:cs="Times New Roman"/>
          <w:sz w:val="28"/>
          <w:szCs w:val="28"/>
        </w:rPr>
        <w:t>ски</w:t>
      </w:r>
      <w:r>
        <w:rPr>
          <w:rFonts w:ascii="Times New Roman" w:hAnsi="Times New Roman" w:cs="Times New Roman"/>
          <w:sz w:val="28"/>
          <w:szCs w:val="28"/>
        </w:rPr>
        <w:t>ми</w:t>
      </w:r>
      <w:r w:rsidRPr="001C395F">
        <w:rPr>
          <w:rFonts w:ascii="Times New Roman" w:hAnsi="Times New Roman" w:cs="Times New Roman"/>
          <w:sz w:val="28"/>
          <w:szCs w:val="28"/>
        </w:rPr>
        <w:t xml:space="preserve"> лиц</w:t>
      </w:r>
      <w:r>
        <w:rPr>
          <w:rFonts w:ascii="Times New Roman" w:hAnsi="Times New Roman" w:cs="Times New Roman"/>
          <w:sz w:val="28"/>
          <w:szCs w:val="28"/>
        </w:rPr>
        <w:t>ами</w:t>
      </w:r>
      <w:r w:rsidRPr="001C395F">
        <w:rPr>
          <w:rFonts w:ascii="Times New Roman" w:hAnsi="Times New Roman" w:cs="Times New Roman"/>
          <w:sz w:val="28"/>
          <w:szCs w:val="28"/>
        </w:rPr>
        <w:t xml:space="preserve"> (15,74%).</w:t>
      </w:r>
      <w:r>
        <w:rPr>
          <w:rFonts w:ascii="Times New Roman" w:hAnsi="Times New Roman" w:cs="Times New Roman"/>
          <w:sz w:val="28"/>
          <w:szCs w:val="28"/>
        </w:rPr>
        <w:t xml:space="preserve"> В 2012 г. ситуация на рынке ДМС изменилась на </w:t>
      </w:r>
      <w:proofErr w:type="gramStart"/>
      <w:r>
        <w:rPr>
          <w:rFonts w:ascii="Times New Roman" w:hAnsi="Times New Roman" w:cs="Times New Roman"/>
          <w:sz w:val="28"/>
          <w:szCs w:val="28"/>
        </w:rPr>
        <w:t>противоположную</w:t>
      </w:r>
      <w:proofErr w:type="gramEnd"/>
      <w:r>
        <w:rPr>
          <w:rFonts w:ascii="Times New Roman" w:hAnsi="Times New Roman" w:cs="Times New Roman"/>
          <w:sz w:val="28"/>
          <w:szCs w:val="28"/>
        </w:rPr>
        <w:t>: темп прироста страховых взносов в частном секторе зн</w:t>
      </w:r>
      <w:r>
        <w:rPr>
          <w:rFonts w:ascii="Times New Roman" w:hAnsi="Times New Roman" w:cs="Times New Roman"/>
          <w:sz w:val="28"/>
          <w:szCs w:val="28"/>
        </w:rPr>
        <w:t>а</w:t>
      </w:r>
      <w:r>
        <w:rPr>
          <w:rFonts w:ascii="Times New Roman" w:hAnsi="Times New Roman" w:cs="Times New Roman"/>
          <w:sz w:val="28"/>
          <w:szCs w:val="28"/>
        </w:rPr>
        <w:t>чительно возрос, а в корпоративном – наоборот, замедлился.</w:t>
      </w:r>
      <w:r w:rsidR="0012562F">
        <w:rPr>
          <w:rFonts w:ascii="Times New Roman" w:hAnsi="Times New Roman" w:cs="Times New Roman"/>
          <w:sz w:val="28"/>
          <w:szCs w:val="28"/>
        </w:rPr>
        <w:t xml:space="preserve"> Популяризация индивидуального ДМС среди населения потребует от страховых компаний ощутимых</w:t>
      </w:r>
      <w:r w:rsidR="00F03F14">
        <w:rPr>
          <w:rFonts w:ascii="Times New Roman" w:hAnsi="Times New Roman" w:cs="Times New Roman"/>
          <w:sz w:val="28"/>
          <w:szCs w:val="28"/>
        </w:rPr>
        <w:t xml:space="preserve"> маркетинговых усилий, направленных на повышение информир</w:t>
      </w:r>
      <w:r w:rsidR="00F03F14">
        <w:rPr>
          <w:rFonts w:ascii="Times New Roman" w:hAnsi="Times New Roman" w:cs="Times New Roman"/>
          <w:sz w:val="28"/>
          <w:szCs w:val="28"/>
        </w:rPr>
        <w:t>о</w:t>
      </w:r>
      <w:r w:rsidR="00F03F14">
        <w:rPr>
          <w:rFonts w:ascii="Times New Roman" w:hAnsi="Times New Roman" w:cs="Times New Roman"/>
          <w:sz w:val="28"/>
          <w:szCs w:val="28"/>
        </w:rPr>
        <w:t>ванности граждан о сути данного вида страхования</w:t>
      </w:r>
      <w:r w:rsidR="00E670BE">
        <w:rPr>
          <w:rFonts w:ascii="Times New Roman" w:hAnsi="Times New Roman" w:cs="Times New Roman"/>
          <w:sz w:val="28"/>
          <w:szCs w:val="28"/>
        </w:rPr>
        <w:t>.</w:t>
      </w:r>
    </w:p>
    <w:p w:rsidR="003D66FC" w:rsidRPr="001C395F" w:rsidRDefault="003D66FC" w:rsidP="003D66FC">
      <w:pPr>
        <w:spacing w:after="0" w:line="360" w:lineRule="auto"/>
        <w:ind w:firstLine="709"/>
        <w:jc w:val="both"/>
        <w:rPr>
          <w:rFonts w:ascii="Times New Roman" w:hAnsi="Times New Roman" w:cs="Times New Roman"/>
          <w:sz w:val="28"/>
          <w:szCs w:val="28"/>
        </w:rPr>
      </w:pPr>
      <w:r w:rsidRPr="003D66FC">
        <w:rPr>
          <w:rFonts w:ascii="Times New Roman" w:hAnsi="Times New Roman" w:cs="Times New Roman"/>
          <w:sz w:val="28"/>
          <w:szCs w:val="28"/>
        </w:rPr>
        <w:t xml:space="preserve">Перспективы развития частного </w:t>
      </w:r>
      <w:r>
        <w:rPr>
          <w:rFonts w:ascii="Times New Roman" w:hAnsi="Times New Roman" w:cs="Times New Roman"/>
          <w:sz w:val="28"/>
          <w:szCs w:val="28"/>
        </w:rPr>
        <w:t xml:space="preserve">сектора </w:t>
      </w:r>
      <w:r w:rsidRPr="003D66FC">
        <w:rPr>
          <w:rFonts w:ascii="Times New Roman" w:hAnsi="Times New Roman" w:cs="Times New Roman"/>
          <w:sz w:val="28"/>
          <w:szCs w:val="28"/>
        </w:rPr>
        <w:t xml:space="preserve">ДМС </w:t>
      </w:r>
      <w:r>
        <w:rPr>
          <w:rFonts w:ascii="Times New Roman" w:hAnsi="Times New Roman" w:cs="Times New Roman"/>
          <w:sz w:val="28"/>
          <w:szCs w:val="28"/>
        </w:rPr>
        <w:t>довольно оптимистичны</w:t>
      </w:r>
      <w:r w:rsidRPr="003D66FC">
        <w:rPr>
          <w:rFonts w:ascii="Times New Roman" w:hAnsi="Times New Roman" w:cs="Times New Roman"/>
          <w:sz w:val="28"/>
          <w:szCs w:val="28"/>
        </w:rPr>
        <w:t xml:space="preserve">, но вряд ли </w:t>
      </w:r>
      <w:r>
        <w:rPr>
          <w:rFonts w:ascii="Times New Roman" w:hAnsi="Times New Roman" w:cs="Times New Roman"/>
          <w:sz w:val="28"/>
          <w:szCs w:val="28"/>
        </w:rPr>
        <w:t>стоит ожидать кардинальных трансформаций существующего п</w:t>
      </w:r>
      <w:r>
        <w:rPr>
          <w:rFonts w:ascii="Times New Roman" w:hAnsi="Times New Roman" w:cs="Times New Roman"/>
          <w:sz w:val="28"/>
          <w:szCs w:val="28"/>
        </w:rPr>
        <w:t>о</w:t>
      </w:r>
      <w:r>
        <w:rPr>
          <w:rFonts w:ascii="Times New Roman" w:hAnsi="Times New Roman" w:cs="Times New Roman"/>
          <w:sz w:val="28"/>
          <w:szCs w:val="28"/>
        </w:rPr>
        <w:t xml:space="preserve">ложения дел в обозримом будущем, для этого сначала должны произойти значительные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как в уровне благосостояния людей, так и в их со</w:t>
      </w:r>
      <w:r>
        <w:rPr>
          <w:rFonts w:ascii="Times New Roman" w:hAnsi="Times New Roman" w:cs="Times New Roman"/>
          <w:sz w:val="28"/>
          <w:szCs w:val="28"/>
        </w:rPr>
        <w:t>з</w:t>
      </w:r>
      <w:r>
        <w:rPr>
          <w:rFonts w:ascii="Times New Roman" w:hAnsi="Times New Roman" w:cs="Times New Roman"/>
          <w:sz w:val="28"/>
          <w:szCs w:val="28"/>
        </w:rPr>
        <w:t>нании.</w:t>
      </w:r>
    </w:p>
    <w:p w:rsidR="00AD7D77" w:rsidRPr="001C395F" w:rsidRDefault="00AD7D77" w:rsidP="00AD7D77">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Во всем мире обширный социальный пакет, составной частью которого все чаще становится программа по добровольному медицинскому страхов</w:t>
      </w:r>
      <w:r w:rsidRPr="001C395F">
        <w:rPr>
          <w:rFonts w:ascii="Times New Roman" w:hAnsi="Times New Roman" w:cs="Times New Roman"/>
          <w:sz w:val="28"/>
          <w:szCs w:val="28"/>
        </w:rPr>
        <w:t>а</w:t>
      </w:r>
      <w:r w:rsidRPr="001C395F">
        <w:rPr>
          <w:rFonts w:ascii="Times New Roman" w:hAnsi="Times New Roman" w:cs="Times New Roman"/>
          <w:sz w:val="28"/>
          <w:szCs w:val="28"/>
        </w:rPr>
        <w:lastRenderedPageBreak/>
        <w:t>нию, наряду с заработной платой является одним из источников повышения лояльности персонала к компании. Среди отечественных работодателей встречаются как те, кто активно использует этот инструмент стимулирования сотрудников, так и те, кто яро сопротивляется включению страхования в компенсационный пакет работника</w:t>
      </w:r>
      <w:r w:rsidR="003A59AE" w:rsidRPr="003A59AE">
        <w:rPr>
          <w:rFonts w:ascii="Times New Roman" w:hAnsi="Times New Roman" w:cs="Times New Roman"/>
          <w:sz w:val="28"/>
          <w:szCs w:val="28"/>
        </w:rPr>
        <w:t xml:space="preserve"> [11]</w:t>
      </w:r>
      <w:r w:rsidRPr="001C395F">
        <w:rPr>
          <w:rFonts w:ascii="Times New Roman" w:hAnsi="Times New Roman" w:cs="Times New Roman"/>
          <w:sz w:val="28"/>
          <w:szCs w:val="28"/>
        </w:rPr>
        <w:t xml:space="preserve">. </w:t>
      </w:r>
    </w:p>
    <w:p w:rsidR="00AD7D77" w:rsidRDefault="00AD7D77" w:rsidP="00057220">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Первая группа, как правило, представлена крупными промышленными предприятиями, бесперебойное функционирование которых требует подде</w:t>
      </w:r>
      <w:r w:rsidRPr="001C395F">
        <w:rPr>
          <w:rFonts w:ascii="Times New Roman" w:hAnsi="Times New Roman" w:cs="Times New Roman"/>
          <w:sz w:val="28"/>
          <w:szCs w:val="28"/>
        </w:rPr>
        <w:t>р</w:t>
      </w:r>
      <w:r w:rsidRPr="001C395F">
        <w:rPr>
          <w:rFonts w:ascii="Times New Roman" w:hAnsi="Times New Roman" w:cs="Times New Roman"/>
          <w:sz w:val="28"/>
          <w:szCs w:val="28"/>
        </w:rPr>
        <w:t>жания числа сотрудников на определенном уровне, а также средними по в</w:t>
      </w:r>
      <w:r w:rsidRPr="001C395F">
        <w:rPr>
          <w:rFonts w:ascii="Times New Roman" w:hAnsi="Times New Roman" w:cs="Times New Roman"/>
          <w:sz w:val="28"/>
          <w:szCs w:val="28"/>
        </w:rPr>
        <w:t>е</w:t>
      </w:r>
      <w:r w:rsidRPr="001C395F">
        <w:rPr>
          <w:rFonts w:ascii="Times New Roman" w:hAnsi="Times New Roman" w:cs="Times New Roman"/>
          <w:sz w:val="28"/>
          <w:szCs w:val="28"/>
        </w:rPr>
        <w:t xml:space="preserve">личине производственными предприятиями, </w:t>
      </w:r>
      <w:proofErr w:type="gramStart"/>
      <w:r w:rsidRPr="001C395F">
        <w:rPr>
          <w:rFonts w:ascii="Times New Roman" w:hAnsi="Times New Roman" w:cs="Times New Roman"/>
          <w:sz w:val="28"/>
          <w:szCs w:val="28"/>
        </w:rPr>
        <w:t>показатели</w:t>
      </w:r>
      <w:proofErr w:type="gramEnd"/>
      <w:r w:rsidRPr="001C395F">
        <w:rPr>
          <w:rFonts w:ascii="Times New Roman" w:hAnsi="Times New Roman" w:cs="Times New Roman"/>
          <w:sz w:val="28"/>
          <w:szCs w:val="28"/>
        </w:rPr>
        <w:t xml:space="preserve"> рентабельности к</w:t>
      </w:r>
      <w:r w:rsidRPr="001C395F">
        <w:rPr>
          <w:rFonts w:ascii="Times New Roman" w:hAnsi="Times New Roman" w:cs="Times New Roman"/>
          <w:sz w:val="28"/>
          <w:szCs w:val="28"/>
        </w:rPr>
        <w:t>о</w:t>
      </w:r>
      <w:r w:rsidRPr="001C395F">
        <w:rPr>
          <w:rFonts w:ascii="Times New Roman" w:hAnsi="Times New Roman" w:cs="Times New Roman"/>
          <w:sz w:val="28"/>
          <w:szCs w:val="28"/>
        </w:rPr>
        <w:t xml:space="preserve">торых позволяют им прибегать к услугам страховых организаций. На другой чаше весов находятся торговые и посреднические предприятия, а также предприятия сферы услуг, </w:t>
      </w:r>
      <w:r>
        <w:rPr>
          <w:rFonts w:ascii="Times New Roman" w:hAnsi="Times New Roman" w:cs="Times New Roman"/>
          <w:sz w:val="28"/>
          <w:szCs w:val="28"/>
        </w:rPr>
        <w:t xml:space="preserve">чьим </w:t>
      </w:r>
      <w:r w:rsidRPr="001C395F">
        <w:rPr>
          <w:rFonts w:ascii="Times New Roman" w:hAnsi="Times New Roman" w:cs="Times New Roman"/>
          <w:sz w:val="28"/>
          <w:szCs w:val="28"/>
        </w:rPr>
        <w:t xml:space="preserve">излюбленным инструментом мотивации </w:t>
      </w:r>
      <w:r>
        <w:rPr>
          <w:rFonts w:ascii="Times New Roman" w:hAnsi="Times New Roman" w:cs="Times New Roman"/>
          <w:sz w:val="28"/>
          <w:szCs w:val="28"/>
        </w:rPr>
        <w:t>тр</w:t>
      </w:r>
      <w:r>
        <w:rPr>
          <w:rFonts w:ascii="Times New Roman" w:hAnsi="Times New Roman" w:cs="Times New Roman"/>
          <w:sz w:val="28"/>
          <w:szCs w:val="28"/>
        </w:rPr>
        <w:t>у</w:t>
      </w:r>
      <w:r>
        <w:rPr>
          <w:rFonts w:ascii="Times New Roman" w:hAnsi="Times New Roman" w:cs="Times New Roman"/>
          <w:sz w:val="28"/>
          <w:szCs w:val="28"/>
        </w:rPr>
        <w:t>дового коллектива</w:t>
      </w:r>
      <w:r w:rsidRPr="001C395F">
        <w:rPr>
          <w:rFonts w:ascii="Times New Roman" w:hAnsi="Times New Roman" w:cs="Times New Roman"/>
          <w:sz w:val="28"/>
          <w:szCs w:val="28"/>
        </w:rPr>
        <w:t xml:space="preserve"> является заработная плата, зачастую выплачиваемая в конвертах по обоюдному согласию работника и работодателя.</w:t>
      </w:r>
    </w:p>
    <w:p w:rsidR="00AD7D77" w:rsidRPr="00233750" w:rsidRDefault="00AD7D77" w:rsidP="00057220">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 xml:space="preserve">Таблица </w:t>
      </w:r>
      <w:r w:rsidR="00DA62A2" w:rsidRPr="00233750">
        <w:rPr>
          <w:rFonts w:ascii="Times New Roman" w:hAnsi="Times New Roman" w:cs="Times New Roman"/>
          <w:i/>
          <w:iCs/>
          <w:sz w:val="26"/>
          <w:szCs w:val="26"/>
        </w:rPr>
        <w:t>6</w:t>
      </w:r>
    </w:p>
    <w:p w:rsidR="00AD7D77" w:rsidRPr="00233750" w:rsidRDefault="00AD7D77" w:rsidP="00057220">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Показатели концентрации страхового рынка в секторе ДМС в 2009-201</w:t>
      </w:r>
      <w:r w:rsidR="00191BEB" w:rsidRPr="00233750">
        <w:rPr>
          <w:rFonts w:ascii="Times New Roman" w:hAnsi="Times New Roman" w:cs="Times New Roman"/>
          <w:i/>
          <w:iCs/>
          <w:sz w:val="26"/>
          <w:szCs w:val="26"/>
        </w:rPr>
        <w:t>2</w:t>
      </w:r>
      <w:r w:rsidRPr="00233750">
        <w:rPr>
          <w:rFonts w:ascii="Times New Roman" w:hAnsi="Times New Roman" w:cs="Times New Roman"/>
          <w:i/>
          <w:iCs/>
          <w:sz w:val="26"/>
          <w:szCs w:val="26"/>
        </w:rPr>
        <w:t xml:space="preserve"> гг.</w:t>
      </w:r>
    </w:p>
    <w:tbl>
      <w:tblPr>
        <w:tblW w:w="9220" w:type="dxa"/>
        <w:jc w:val="center"/>
        <w:tblLook w:val="00A0"/>
      </w:tblPr>
      <w:tblGrid>
        <w:gridCol w:w="945"/>
        <w:gridCol w:w="2055"/>
        <w:gridCol w:w="2200"/>
        <w:gridCol w:w="1340"/>
        <w:gridCol w:w="1340"/>
        <w:gridCol w:w="1340"/>
      </w:tblGrid>
      <w:tr w:rsidR="00AD7D77" w:rsidRPr="00097705" w:rsidTr="0012647D">
        <w:trPr>
          <w:trHeight w:val="883"/>
          <w:jc w:val="center"/>
        </w:trPr>
        <w:tc>
          <w:tcPr>
            <w:tcW w:w="945" w:type="dxa"/>
            <w:vMerge w:val="restart"/>
            <w:tcBorders>
              <w:top w:val="single" w:sz="4" w:space="0" w:color="auto"/>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Годы</w:t>
            </w:r>
          </w:p>
        </w:tc>
        <w:tc>
          <w:tcPr>
            <w:tcW w:w="2055" w:type="dxa"/>
            <w:vMerge w:val="restart"/>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 xml:space="preserve">Индекс </w:t>
            </w:r>
            <w:proofErr w:type="spellStart"/>
            <w:r w:rsidRPr="002F37D0">
              <w:rPr>
                <w:rFonts w:ascii="Times New Roman" w:hAnsi="Times New Roman" w:cs="Times New Roman"/>
                <w:b/>
                <w:bCs/>
                <w:color w:val="000000"/>
                <w:sz w:val="23"/>
                <w:szCs w:val="23"/>
                <w:lang w:eastAsia="ru-RU"/>
              </w:rPr>
              <w:t>Герфи</w:t>
            </w:r>
            <w:r w:rsidRPr="002F37D0">
              <w:rPr>
                <w:rFonts w:ascii="Times New Roman" w:hAnsi="Times New Roman" w:cs="Times New Roman"/>
                <w:b/>
                <w:bCs/>
                <w:color w:val="000000"/>
                <w:sz w:val="23"/>
                <w:szCs w:val="23"/>
                <w:lang w:eastAsia="ru-RU"/>
              </w:rPr>
              <w:t>н</w:t>
            </w:r>
            <w:r w:rsidRPr="002F37D0">
              <w:rPr>
                <w:rFonts w:ascii="Times New Roman" w:hAnsi="Times New Roman" w:cs="Times New Roman"/>
                <w:b/>
                <w:bCs/>
                <w:color w:val="000000"/>
                <w:sz w:val="23"/>
                <w:szCs w:val="23"/>
                <w:lang w:eastAsia="ru-RU"/>
              </w:rPr>
              <w:t>даля-Хиршмана</w:t>
            </w:r>
            <w:proofErr w:type="spellEnd"/>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Количество стр</w:t>
            </w:r>
            <w:r w:rsidRPr="002F37D0">
              <w:rPr>
                <w:rFonts w:ascii="Times New Roman" w:hAnsi="Times New Roman" w:cs="Times New Roman"/>
                <w:b/>
                <w:bCs/>
                <w:color w:val="000000"/>
                <w:sz w:val="23"/>
                <w:szCs w:val="23"/>
                <w:lang w:eastAsia="ru-RU"/>
              </w:rPr>
              <w:t>а</w:t>
            </w:r>
            <w:r w:rsidRPr="002F37D0">
              <w:rPr>
                <w:rFonts w:ascii="Times New Roman" w:hAnsi="Times New Roman" w:cs="Times New Roman"/>
                <w:b/>
                <w:bCs/>
                <w:color w:val="000000"/>
                <w:sz w:val="23"/>
                <w:szCs w:val="23"/>
                <w:lang w:eastAsia="ru-RU"/>
              </w:rPr>
              <w:t>ховщиков, осущ</w:t>
            </w:r>
            <w:r w:rsidRPr="002F37D0">
              <w:rPr>
                <w:rFonts w:ascii="Times New Roman" w:hAnsi="Times New Roman" w:cs="Times New Roman"/>
                <w:b/>
                <w:bCs/>
                <w:color w:val="000000"/>
                <w:sz w:val="23"/>
                <w:szCs w:val="23"/>
                <w:lang w:eastAsia="ru-RU"/>
              </w:rPr>
              <w:t>е</w:t>
            </w:r>
            <w:r w:rsidRPr="002F37D0">
              <w:rPr>
                <w:rFonts w:ascii="Times New Roman" w:hAnsi="Times New Roman" w:cs="Times New Roman"/>
                <w:b/>
                <w:bCs/>
                <w:color w:val="000000"/>
                <w:sz w:val="23"/>
                <w:szCs w:val="23"/>
                <w:lang w:eastAsia="ru-RU"/>
              </w:rPr>
              <w:t>ствляющих стр</w:t>
            </w:r>
            <w:r w:rsidRPr="002F37D0">
              <w:rPr>
                <w:rFonts w:ascii="Times New Roman" w:hAnsi="Times New Roman" w:cs="Times New Roman"/>
                <w:b/>
                <w:bCs/>
                <w:color w:val="000000"/>
                <w:sz w:val="23"/>
                <w:szCs w:val="23"/>
                <w:lang w:eastAsia="ru-RU"/>
              </w:rPr>
              <w:t>а</w:t>
            </w:r>
            <w:r w:rsidRPr="002F37D0">
              <w:rPr>
                <w:rFonts w:ascii="Times New Roman" w:hAnsi="Times New Roman" w:cs="Times New Roman"/>
                <w:b/>
                <w:bCs/>
                <w:color w:val="000000"/>
                <w:sz w:val="23"/>
                <w:szCs w:val="23"/>
                <w:lang w:eastAsia="ru-RU"/>
              </w:rPr>
              <w:t>хование в секторе ДМС</w:t>
            </w:r>
          </w:p>
        </w:tc>
        <w:tc>
          <w:tcPr>
            <w:tcW w:w="4020" w:type="dxa"/>
            <w:gridSpan w:val="3"/>
            <w:tcBorders>
              <w:top w:val="single" w:sz="4" w:space="0" w:color="auto"/>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Доля страховых премий ведущих страховщиков в общем объеме со</w:t>
            </w:r>
            <w:r w:rsidRPr="002F37D0">
              <w:rPr>
                <w:rFonts w:ascii="Times New Roman" w:hAnsi="Times New Roman" w:cs="Times New Roman"/>
                <w:b/>
                <w:bCs/>
                <w:color w:val="000000"/>
                <w:sz w:val="23"/>
                <w:szCs w:val="23"/>
                <w:lang w:eastAsia="ru-RU"/>
              </w:rPr>
              <w:t>б</w:t>
            </w:r>
            <w:r w:rsidRPr="002F37D0">
              <w:rPr>
                <w:rFonts w:ascii="Times New Roman" w:hAnsi="Times New Roman" w:cs="Times New Roman"/>
                <w:b/>
                <w:bCs/>
                <w:color w:val="000000"/>
                <w:sz w:val="23"/>
                <w:szCs w:val="23"/>
                <w:lang w:eastAsia="ru-RU"/>
              </w:rPr>
              <w:t>ранных страховых премий, %</w:t>
            </w:r>
          </w:p>
        </w:tc>
      </w:tr>
      <w:tr w:rsidR="00AD7D77" w:rsidRPr="00097705" w:rsidTr="0012647D">
        <w:trPr>
          <w:trHeight w:val="271"/>
          <w:jc w:val="center"/>
        </w:trPr>
        <w:tc>
          <w:tcPr>
            <w:tcW w:w="945" w:type="dxa"/>
            <w:vMerge/>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rPr>
                <w:rFonts w:ascii="Times New Roman" w:hAnsi="Times New Roman" w:cs="Times New Roman"/>
                <w:b/>
                <w:bCs/>
                <w:color w:val="000000"/>
                <w:sz w:val="23"/>
                <w:szCs w:val="23"/>
                <w:lang w:eastAsia="ru-RU"/>
              </w:rPr>
            </w:pPr>
          </w:p>
        </w:tc>
        <w:tc>
          <w:tcPr>
            <w:tcW w:w="2055" w:type="dxa"/>
            <w:vMerge/>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rPr>
                <w:rFonts w:ascii="Times New Roman" w:hAnsi="Times New Roman" w:cs="Times New Roman"/>
                <w:b/>
                <w:bCs/>
                <w:color w:val="000000"/>
                <w:sz w:val="23"/>
                <w:szCs w:val="23"/>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AD7D77" w:rsidRPr="002F37D0" w:rsidRDefault="00AD7D77" w:rsidP="00F11BD7">
            <w:pPr>
              <w:spacing w:after="0" w:line="240" w:lineRule="auto"/>
              <w:rPr>
                <w:rFonts w:ascii="Times New Roman" w:hAnsi="Times New Roman" w:cs="Times New Roman"/>
                <w:b/>
                <w:bCs/>
                <w:color w:val="000000"/>
                <w:sz w:val="23"/>
                <w:szCs w:val="23"/>
                <w:lang w:eastAsia="ru-RU"/>
              </w:rPr>
            </w:pPr>
          </w:p>
        </w:tc>
        <w:tc>
          <w:tcPr>
            <w:tcW w:w="1340" w:type="dxa"/>
            <w:tcBorders>
              <w:top w:val="nil"/>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Топ-10</w:t>
            </w:r>
          </w:p>
        </w:tc>
        <w:tc>
          <w:tcPr>
            <w:tcW w:w="1340" w:type="dxa"/>
            <w:tcBorders>
              <w:top w:val="nil"/>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Топ-20</w:t>
            </w:r>
          </w:p>
        </w:tc>
        <w:tc>
          <w:tcPr>
            <w:tcW w:w="1340" w:type="dxa"/>
            <w:tcBorders>
              <w:top w:val="nil"/>
              <w:left w:val="nil"/>
              <w:bottom w:val="single" w:sz="4" w:space="0" w:color="auto"/>
              <w:right w:val="single" w:sz="4" w:space="0" w:color="auto"/>
            </w:tcBorders>
            <w:vAlign w:val="center"/>
          </w:tcPr>
          <w:p w:rsidR="00AD7D77" w:rsidRPr="002F37D0" w:rsidRDefault="00AD7D77" w:rsidP="00F11BD7">
            <w:pPr>
              <w:spacing w:after="0" w:line="240" w:lineRule="auto"/>
              <w:jc w:val="center"/>
              <w:rPr>
                <w:rFonts w:ascii="Times New Roman" w:hAnsi="Times New Roman" w:cs="Times New Roman"/>
                <w:b/>
                <w:bCs/>
                <w:color w:val="000000"/>
                <w:sz w:val="23"/>
                <w:szCs w:val="23"/>
                <w:lang w:eastAsia="ru-RU"/>
              </w:rPr>
            </w:pPr>
            <w:r w:rsidRPr="002F37D0">
              <w:rPr>
                <w:rFonts w:ascii="Times New Roman" w:hAnsi="Times New Roman" w:cs="Times New Roman"/>
                <w:b/>
                <w:bCs/>
                <w:color w:val="000000"/>
                <w:sz w:val="23"/>
                <w:szCs w:val="23"/>
                <w:lang w:eastAsia="ru-RU"/>
              </w:rPr>
              <w:t>Топ-50</w:t>
            </w:r>
          </w:p>
        </w:tc>
      </w:tr>
      <w:tr w:rsidR="00AD7D77" w:rsidRPr="00097705" w:rsidTr="0012647D">
        <w:trPr>
          <w:trHeight w:val="300"/>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2009</w:t>
            </w:r>
          </w:p>
        </w:tc>
        <w:tc>
          <w:tcPr>
            <w:tcW w:w="2055"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0,0555</w:t>
            </w:r>
          </w:p>
        </w:tc>
        <w:tc>
          <w:tcPr>
            <w:tcW w:w="2200" w:type="dxa"/>
            <w:tcBorders>
              <w:top w:val="nil"/>
              <w:left w:val="single" w:sz="4" w:space="0" w:color="auto"/>
              <w:bottom w:val="single" w:sz="4" w:space="0" w:color="auto"/>
              <w:right w:val="single" w:sz="4" w:space="0" w:color="auto"/>
            </w:tcBorders>
            <w:noWrap/>
            <w:vAlign w:val="center"/>
          </w:tcPr>
          <w:p w:rsidR="00AD7D77" w:rsidRPr="002F37D0" w:rsidRDefault="00A605B9"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344</w:t>
            </w:r>
          </w:p>
        </w:tc>
        <w:tc>
          <w:tcPr>
            <w:tcW w:w="1340" w:type="dxa"/>
            <w:tcBorders>
              <w:top w:val="single" w:sz="4" w:space="0" w:color="auto"/>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56,40</w:t>
            </w:r>
          </w:p>
        </w:tc>
        <w:tc>
          <w:tcPr>
            <w:tcW w:w="1340" w:type="dxa"/>
            <w:tcBorders>
              <w:top w:val="single" w:sz="4" w:space="0" w:color="auto"/>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70,98</w:t>
            </w:r>
          </w:p>
        </w:tc>
        <w:tc>
          <w:tcPr>
            <w:tcW w:w="1340" w:type="dxa"/>
            <w:tcBorders>
              <w:top w:val="single" w:sz="4" w:space="0" w:color="auto"/>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85,56</w:t>
            </w:r>
          </w:p>
        </w:tc>
      </w:tr>
      <w:tr w:rsidR="00AD7D77" w:rsidRPr="00097705" w:rsidTr="0012647D">
        <w:trPr>
          <w:trHeight w:val="300"/>
          <w:jc w:val="center"/>
        </w:trPr>
        <w:tc>
          <w:tcPr>
            <w:tcW w:w="945" w:type="dxa"/>
            <w:tcBorders>
              <w:top w:val="nil"/>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2010</w:t>
            </w:r>
          </w:p>
        </w:tc>
        <w:tc>
          <w:tcPr>
            <w:tcW w:w="2055"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0,0615</w:t>
            </w:r>
          </w:p>
        </w:tc>
        <w:tc>
          <w:tcPr>
            <w:tcW w:w="2200" w:type="dxa"/>
            <w:tcBorders>
              <w:top w:val="nil"/>
              <w:left w:val="single" w:sz="4" w:space="0" w:color="auto"/>
              <w:bottom w:val="single" w:sz="4" w:space="0" w:color="auto"/>
              <w:right w:val="single" w:sz="4" w:space="0" w:color="auto"/>
            </w:tcBorders>
            <w:noWrap/>
            <w:vAlign w:val="center"/>
          </w:tcPr>
          <w:p w:rsidR="00AD7D77" w:rsidRPr="00A605B9" w:rsidRDefault="00A605B9" w:rsidP="00F11BD7">
            <w:pPr>
              <w:spacing w:after="0" w:line="240" w:lineRule="auto"/>
              <w:jc w:val="right"/>
              <w:rPr>
                <w:rFonts w:ascii="Times New Roman" w:hAnsi="Times New Roman" w:cs="Times New Roman"/>
                <w:color w:val="000000"/>
                <w:sz w:val="23"/>
                <w:szCs w:val="23"/>
                <w:lang w:val="en-GB" w:eastAsia="ru-RU"/>
              </w:rPr>
            </w:pPr>
            <w:r>
              <w:rPr>
                <w:rFonts w:ascii="Times New Roman" w:hAnsi="Times New Roman" w:cs="Times New Roman"/>
                <w:color w:val="000000"/>
                <w:sz w:val="23"/>
                <w:szCs w:val="23"/>
                <w:lang w:val="en-GB" w:eastAsia="ru-RU"/>
              </w:rPr>
              <w:t>297</w:t>
            </w:r>
          </w:p>
        </w:tc>
        <w:tc>
          <w:tcPr>
            <w:tcW w:w="1340"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62,07</w:t>
            </w:r>
          </w:p>
        </w:tc>
        <w:tc>
          <w:tcPr>
            <w:tcW w:w="1340"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76,37</w:t>
            </w:r>
          </w:p>
        </w:tc>
        <w:tc>
          <w:tcPr>
            <w:tcW w:w="1340"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89,69</w:t>
            </w:r>
          </w:p>
        </w:tc>
      </w:tr>
      <w:tr w:rsidR="00AD7D77" w:rsidRPr="00097705" w:rsidTr="0012647D">
        <w:trPr>
          <w:trHeight w:val="300"/>
          <w:jc w:val="center"/>
        </w:trPr>
        <w:tc>
          <w:tcPr>
            <w:tcW w:w="945" w:type="dxa"/>
            <w:tcBorders>
              <w:top w:val="nil"/>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center"/>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2011</w:t>
            </w:r>
          </w:p>
        </w:tc>
        <w:tc>
          <w:tcPr>
            <w:tcW w:w="2055" w:type="dxa"/>
            <w:tcBorders>
              <w:top w:val="single" w:sz="4" w:space="0" w:color="auto"/>
              <w:left w:val="single" w:sz="4" w:space="0" w:color="auto"/>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0,0628</w:t>
            </w:r>
          </w:p>
        </w:tc>
        <w:tc>
          <w:tcPr>
            <w:tcW w:w="2200" w:type="dxa"/>
            <w:tcBorders>
              <w:top w:val="nil"/>
              <w:left w:val="nil"/>
              <w:bottom w:val="single" w:sz="4" w:space="0" w:color="auto"/>
              <w:right w:val="single" w:sz="4" w:space="0" w:color="auto"/>
            </w:tcBorders>
            <w:noWrap/>
            <w:vAlign w:val="center"/>
          </w:tcPr>
          <w:p w:rsidR="00AD7D77" w:rsidRPr="00DE0912" w:rsidRDefault="00DE0912" w:rsidP="00F11BD7">
            <w:pPr>
              <w:spacing w:after="0" w:line="240" w:lineRule="auto"/>
              <w:jc w:val="right"/>
              <w:rPr>
                <w:rFonts w:ascii="Times New Roman" w:hAnsi="Times New Roman" w:cs="Times New Roman"/>
                <w:color w:val="000000"/>
                <w:sz w:val="23"/>
                <w:szCs w:val="23"/>
                <w:lang w:val="en-GB" w:eastAsia="ru-RU"/>
              </w:rPr>
            </w:pPr>
            <w:r>
              <w:rPr>
                <w:rFonts w:ascii="Times New Roman" w:hAnsi="Times New Roman" w:cs="Times New Roman"/>
                <w:color w:val="000000"/>
                <w:sz w:val="23"/>
                <w:szCs w:val="23"/>
                <w:lang w:val="en-GB" w:eastAsia="ru-RU"/>
              </w:rPr>
              <w:t>243</w:t>
            </w:r>
          </w:p>
        </w:tc>
        <w:tc>
          <w:tcPr>
            <w:tcW w:w="1340"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64,42</w:t>
            </w:r>
          </w:p>
        </w:tc>
        <w:tc>
          <w:tcPr>
            <w:tcW w:w="1340"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79,19</w:t>
            </w:r>
          </w:p>
        </w:tc>
        <w:tc>
          <w:tcPr>
            <w:tcW w:w="1340" w:type="dxa"/>
            <w:tcBorders>
              <w:top w:val="nil"/>
              <w:left w:val="nil"/>
              <w:bottom w:val="single" w:sz="4" w:space="0" w:color="auto"/>
              <w:right w:val="single" w:sz="4" w:space="0" w:color="auto"/>
            </w:tcBorders>
            <w:noWrap/>
            <w:vAlign w:val="center"/>
          </w:tcPr>
          <w:p w:rsidR="00AD7D77" w:rsidRPr="002F37D0" w:rsidRDefault="00AD7D77" w:rsidP="00F11BD7">
            <w:pPr>
              <w:spacing w:after="0" w:line="240" w:lineRule="auto"/>
              <w:jc w:val="right"/>
              <w:rPr>
                <w:rFonts w:ascii="Times New Roman" w:hAnsi="Times New Roman" w:cs="Times New Roman"/>
                <w:color w:val="000000"/>
                <w:sz w:val="23"/>
                <w:szCs w:val="23"/>
                <w:lang w:eastAsia="ru-RU"/>
              </w:rPr>
            </w:pPr>
            <w:r w:rsidRPr="002F37D0">
              <w:rPr>
                <w:rFonts w:ascii="Times New Roman" w:hAnsi="Times New Roman" w:cs="Times New Roman"/>
                <w:color w:val="000000"/>
                <w:sz w:val="23"/>
                <w:szCs w:val="23"/>
                <w:lang w:eastAsia="ru-RU"/>
              </w:rPr>
              <w:t>91,20</w:t>
            </w:r>
          </w:p>
        </w:tc>
      </w:tr>
      <w:tr w:rsidR="00E52380" w:rsidRPr="00E52380" w:rsidTr="0012647D">
        <w:trPr>
          <w:trHeight w:val="300"/>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E52380" w:rsidRPr="00E52380" w:rsidRDefault="00E52380" w:rsidP="00F11BD7">
            <w:pPr>
              <w:spacing w:after="0" w:line="240" w:lineRule="auto"/>
              <w:jc w:val="center"/>
              <w:rPr>
                <w:rFonts w:ascii="Times New Roman" w:hAnsi="Times New Roman" w:cs="Times New Roman"/>
                <w:color w:val="000000"/>
                <w:sz w:val="23"/>
                <w:szCs w:val="23"/>
                <w:lang w:eastAsia="ru-RU"/>
              </w:rPr>
            </w:pPr>
            <w:r w:rsidRPr="00E52380">
              <w:rPr>
                <w:rFonts w:ascii="Times New Roman" w:hAnsi="Times New Roman" w:cs="Times New Roman"/>
                <w:color w:val="000000"/>
                <w:sz w:val="23"/>
                <w:szCs w:val="23"/>
                <w:lang w:eastAsia="ru-RU"/>
              </w:rPr>
              <w:t>2012</w:t>
            </w:r>
          </w:p>
        </w:tc>
        <w:tc>
          <w:tcPr>
            <w:tcW w:w="2055" w:type="dxa"/>
            <w:tcBorders>
              <w:top w:val="single" w:sz="4" w:space="0" w:color="auto"/>
              <w:left w:val="single" w:sz="4" w:space="0" w:color="auto"/>
              <w:bottom w:val="single" w:sz="4" w:space="0" w:color="auto"/>
              <w:right w:val="single" w:sz="4" w:space="0" w:color="auto"/>
            </w:tcBorders>
            <w:noWrap/>
            <w:vAlign w:val="center"/>
          </w:tcPr>
          <w:p w:rsidR="00E52380" w:rsidRPr="00E52380" w:rsidRDefault="00E52380" w:rsidP="00E52380">
            <w:pPr>
              <w:spacing w:after="0" w:line="240" w:lineRule="auto"/>
              <w:jc w:val="right"/>
              <w:rPr>
                <w:rFonts w:ascii="Times New Roman" w:hAnsi="Times New Roman" w:cs="Times New Roman"/>
                <w:color w:val="000000"/>
                <w:sz w:val="23"/>
                <w:szCs w:val="23"/>
                <w:lang w:eastAsia="ru-RU"/>
              </w:rPr>
            </w:pPr>
            <w:r w:rsidRPr="00E52380">
              <w:rPr>
                <w:rFonts w:ascii="Times New Roman" w:hAnsi="Times New Roman" w:cs="Times New Roman"/>
                <w:color w:val="000000"/>
                <w:sz w:val="23"/>
                <w:szCs w:val="23"/>
                <w:lang w:eastAsia="ru-RU"/>
              </w:rPr>
              <w:t>0,0729</w:t>
            </w:r>
          </w:p>
        </w:tc>
        <w:tc>
          <w:tcPr>
            <w:tcW w:w="2200" w:type="dxa"/>
            <w:tcBorders>
              <w:top w:val="single" w:sz="4" w:space="0" w:color="auto"/>
              <w:left w:val="nil"/>
              <w:bottom w:val="single" w:sz="4" w:space="0" w:color="auto"/>
              <w:right w:val="single" w:sz="4" w:space="0" w:color="auto"/>
            </w:tcBorders>
            <w:noWrap/>
            <w:vAlign w:val="center"/>
          </w:tcPr>
          <w:p w:rsidR="00E52380" w:rsidRPr="00E52380" w:rsidRDefault="00E52380" w:rsidP="00E52380">
            <w:pPr>
              <w:spacing w:after="0" w:line="240" w:lineRule="auto"/>
              <w:jc w:val="right"/>
              <w:rPr>
                <w:rFonts w:ascii="Times New Roman" w:hAnsi="Times New Roman" w:cs="Times New Roman"/>
                <w:color w:val="000000"/>
                <w:sz w:val="23"/>
                <w:szCs w:val="23"/>
                <w:lang w:eastAsia="ru-RU"/>
              </w:rPr>
            </w:pPr>
            <w:r w:rsidRPr="00E52380">
              <w:rPr>
                <w:rFonts w:ascii="Times New Roman" w:hAnsi="Times New Roman" w:cs="Times New Roman"/>
                <w:color w:val="000000"/>
                <w:sz w:val="23"/>
                <w:szCs w:val="23"/>
                <w:lang w:eastAsia="ru-RU"/>
              </w:rPr>
              <w:t>224</w:t>
            </w:r>
          </w:p>
        </w:tc>
        <w:tc>
          <w:tcPr>
            <w:tcW w:w="1340" w:type="dxa"/>
            <w:tcBorders>
              <w:top w:val="single" w:sz="4" w:space="0" w:color="auto"/>
              <w:left w:val="nil"/>
              <w:bottom w:val="single" w:sz="4" w:space="0" w:color="auto"/>
              <w:right w:val="single" w:sz="4" w:space="0" w:color="auto"/>
            </w:tcBorders>
            <w:noWrap/>
            <w:vAlign w:val="center"/>
          </w:tcPr>
          <w:p w:rsidR="00E52380" w:rsidRPr="00E52380" w:rsidRDefault="00E52380" w:rsidP="00E52380">
            <w:pPr>
              <w:spacing w:after="0" w:line="240" w:lineRule="auto"/>
              <w:jc w:val="right"/>
              <w:rPr>
                <w:rFonts w:ascii="Times New Roman" w:hAnsi="Times New Roman" w:cs="Times New Roman"/>
                <w:color w:val="000000"/>
                <w:sz w:val="23"/>
                <w:szCs w:val="23"/>
                <w:lang w:eastAsia="ru-RU"/>
              </w:rPr>
            </w:pPr>
            <w:r w:rsidRPr="00E52380">
              <w:rPr>
                <w:rFonts w:ascii="Times New Roman" w:hAnsi="Times New Roman" w:cs="Times New Roman"/>
                <w:color w:val="000000"/>
                <w:sz w:val="23"/>
                <w:szCs w:val="23"/>
                <w:lang w:eastAsia="ru-RU"/>
              </w:rPr>
              <w:t>67,44</w:t>
            </w:r>
          </w:p>
        </w:tc>
        <w:tc>
          <w:tcPr>
            <w:tcW w:w="1340" w:type="dxa"/>
            <w:tcBorders>
              <w:top w:val="single" w:sz="4" w:space="0" w:color="auto"/>
              <w:left w:val="nil"/>
              <w:bottom w:val="single" w:sz="4" w:space="0" w:color="auto"/>
              <w:right w:val="single" w:sz="4" w:space="0" w:color="auto"/>
            </w:tcBorders>
            <w:noWrap/>
            <w:vAlign w:val="center"/>
          </w:tcPr>
          <w:p w:rsidR="00E52380" w:rsidRPr="00E52380" w:rsidRDefault="00E52380" w:rsidP="00E52380">
            <w:pPr>
              <w:spacing w:after="0" w:line="240" w:lineRule="auto"/>
              <w:jc w:val="right"/>
              <w:rPr>
                <w:rFonts w:ascii="Times New Roman" w:hAnsi="Times New Roman" w:cs="Times New Roman"/>
                <w:color w:val="000000"/>
                <w:sz w:val="23"/>
                <w:szCs w:val="23"/>
                <w:lang w:eastAsia="ru-RU"/>
              </w:rPr>
            </w:pPr>
            <w:r w:rsidRPr="00E52380">
              <w:rPr>
                <w:rFonts w:ascii="Times New Roman" w:hAnsi="Times New Roman" w:cs="Times New Roman"/>
                <w:color w:val="000000"/>
                <w:sz w:val="23"/>
                <w:szCs w:val="23"/>
                <w:lang w:eastAsia="ru-RU"/>
              </w:rPr>
              <w:t>80,87</w:t>
            </w:r>
          </w:p>
        </w:tc>
        <w:tc>
          <w:tcPr>
            <w:tcW w:w="1340" w:type="dxa"/>
            <w:tcBorders>
              <w:top w:val="single" w:sz="4" w:space="0" w:color="auto"/>
              <w:left w:val="nil"/>
              <w:bottom w:val="single" w:sz="4" w:space="0" w:color="auto"/>
              <w:right w:val="single" w:sz="4" w:space="0" w:color="auto"/>
            </w:tcBorders>
            <w:noWrap/>
            <w:vAlign w:val="center"/>
          </w:tcPr>
          <w:p w:rsidR="00E52380" w:rsidRPr="00E52380" w:rsidRDefault="00E52380" w:rsidP="00E52380">
            <w:pPr>
              <w:spacing w:after="0" w:line="240" w:lineRule="auto"/>
              <w:jc w:val="right"/>
              <w:rPr>
                <w:rFonts w:ascii="Times New Roman" w:hAnsi="Times New Roman" w:cs="Times New Roman"/>
                <w:color w:val="000000"/>
                <w:sz w:val="23"/>
                <w:szCs w:val="23"/>
                <w:lang w:eastAsia="ru-RU"/>
              </w:rPr>
            </w:pPr>
            <w:r w:rsidRPr="00E52380">
              <w:rPr>
                <w:rFonts w:ascii="Times New Roman" w:hAnsi="Times New Roman" w:cs="Times New Roman"/>
                <w:color w:val="000000"/>
                <w:sz w:val="23"/>
                <w:szCs w:val="23"/>
                <w:lang w:eastAsia="ru-RU"/>
              </w:rPr>
              <w:t>92,08</w:t>
            </w:r>
          </w:p>
        </w:tc>
      </w:tr>
    </w:tbl>
    <w:p w:rsidR="00057220" w:rsidRDefault="00057220" w:rsidP="00057220">
      <w:pPr>
        <w:spacing w:before="80" w:after="0" w:line="360" w:lineRule="auto"/>
        <w:ind w:firstLine="709"/>
        <w:jc w:val="both"/>
        <w:rPr>
          <w:rFonts w:ascii="Times New Roman" w:hAnsi="Times New Roman" w:cs="Times New Roman"/>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Pr="00057220">
        <w:rPr>
          <w:rFonts w:ascii="Times New Roman" w:hAnsi="Times New Roman" w:cs="Times New Roman"/>
        </w:rPr>
        <w:t>http://www.insur-info.ru/statistics/analytics/</w:t>
      </w:r>
    </w:p>
    <w:p w:rsidR="00AD7D77" w:rsidRDefault="00AD7D77" w:rsidP="00233750">
      <w:pPr>
        <w:spacing w:before="80" w:after="0" w:line="360" w:lineRule="auto"/>
        <w:ind w:firstLine="709"/>
        <w:jc w:val="both"/>
        <w:rPr>
          <w:rFonts w:ascii="Times New Roman" w:hAnsi="Times New Roman" w:cs="Times New Roman"/>
          <w:sz w:val="24"/>
          <w:szCs w:val="24"/>
        </w:rPr>
      </w:pPr>
      <w:r w:rsidRPr="001C395F">
        <w:rPr>
          <w:rFonts w:ascii="Times New Roman" w:hAnsi="Times New Roman" w:cs="Times New Roman"/>
          <w:sz w:val="28"/>
          <w:szCs w:val="28"/>
        </w:rPr>
        <w:t>Уровень концентрации страховых организаций на рынке добровольн</w:t>
      </w:r>
      <w:r w:rsidRPr="001C395F">
        <w:rPr>
          <w:rFonts w:ascii="Times New Roman" w:hAnsi="Times New Roman" w:cs="Times New Roman"/>
          <w:sz w:val="28"/>
          <w:szCs w:val="28"/>
        </w:rPr>
        <w:t>о</w:t>
      </w:r>
      <w:r w:rsidRPr="001C395F">
        <w:rPr>
          <w:rFonts w:ascii="Times New Roman" w:hAnsi="Times New Roman" w:cs="Times New Roman"/>
          <w:sz w:val="28"/>
          <w:szCs w:val="28"/>
        </w:rPr>
        <w:t>го медицинского страхования постепенно увеличивается (</w:t>
      </w:r>
      <w:r w:rsidR="00057220" w:rsidRPr="00057220">
        <w:rPr>
          <w:rFonts w:ascii="Times New Roman" w:hAnsi="Times New Roman" w:cs="Times New Roman"/>
          <w:iCs/>
          <w:sz w:val="28"/>
          <w:szCs w:val="28"/>
        </w:rPr>
        <w:t xml:space="preserve">табл. </w:t>
      </w:r>
      <w:r w:rsidR="00DA62A2">
        <w:rPr>
          <w:rFonts w:ascii="Times New Roman" w:hAnsi="Times New Roman" w:cs="Times New Roman"/>
          <w:iCs/>
          <w:sz w:val="28"/>
          <w:szCs w:val="28"/>
        </w:rPr>
        <w:t>6</w:t>
      </w:r>
      <w:r w:rsidR="004A1089">
        <w:rPr>
          <w:rFonts w:ascii="Times New Roman" w:hAnsi="Times New Roman" w:cs="Times New Roman"/>
          <w:sz w:val="28"/>
          <w:szCs w:val="28"/>
        </w:rPr>
        <w:t>): за период 201</w:t>
      </w:r>
      <w:r w:rsidR="004A1089" w:rsidRPr="004A1089">
        <w:rPr>
          <w:rFonts w:ascii="Times New Roman" w:hAnsi="Times New Roman" w:cs="Times New Roman"/>
          <w:sz w:val="28"/>
          <w:szCs w:val="28"/>
        </w:rPr>
        <w:t>1</w:t>
      </w:r>
      <w:r w:rsidRPr="001C395F">
        <w:rPr>
          <w:rFonts w:ascii="Times New Roman" w:hAnsi="Times New Roman" w:cs="Times New Roman"/>
          <w:sz w:val="28"/>
          <w:szCs w:val="28"/>
        </w:rPr>
        <w:t>-201</w:t>
      </w:r>
      <w:r w:rsidR="004A1089" w:rsidRPr="004A1089">
        <w:rPr>
          <w:rFonts w:ascii="Times New Roman" w:hAnsi="Times New Roman" w:cs="Times New Roman"/>
          <w:sz w:val="28"/>
          <w:szCs w:val="28"/>
        </w:rPr>
        <w:t>2</w:t>
      </w:r>
      <w:r w:rsidRPr="001C395F">
        <w:rPr>
          <w:rFonts w:ascii="Times New Roman" w:hAnsi="Times New Roman" w:cs="Times New Roman"/>
          <w:sz w:val="28"/>
          <w:szCs w:val="28"/>
        </w:rPr>
        <w:t xml:space="preserve"> гг. индекс </w:t>
      </w:r>
      <w:proofErr w:type="spellStart"/>
      <w:r w:rsidRPr="001C395F">
        <w:rPr>
          <w:rFonts w:ascii="Times New Roman" w:hAnsi="Times New Roman" w:cs="Times New Roman"/>
          <w:sz w:val="28"/>
          <w:szCs w:val="28"/>
        </w:rPr>
        <w:t>Герфиндаля-Хиршмана</w:t>
      </w:r>
      <w:proofErr w:type="spellEnd"/>
      <w:r w:rsidRPr="001C395F">
        <w:rPr>
          <w:rFonts w:ascii="Times New Roman" w:hAnsi="Times New Roman" w:cs="Times New Roman"/>
          <w:sz w:val="28"/>
          <w:szCs w:val="28"/>
        </w:rPr>
        <w:t xml:space="preserve">, рассчитываемый по формуле: </w:t>
      </w:r>
      <w:r w:rsidR="005F2FF8" w:rsidRPr="00097705">
        <w:rPr>
          <w:rFonts w:ascii="Times New Roman" w:hAnsi="Times New Roman" w:cs="Times New Roman"/>
          <w:sz w:val="28"/>
          <w:szCs w:val="28"/>
        </w:rPr>
        <w:fldChar w:fldCharType="begin"/>
      </w:r>
      <w:r w:rsidRPr="00097705">
        <w:rPr>
          <w:rFonts w:ascii="Times New Roman" w:hAnsi="Times New Roman" w:cs="Times New Roman"/>
          <w:sz w:val="28"/>
          <w:szCs w:val="28"/>
        </w:rPr>
        <w:instrText xml:space="preserve"> QUOTE </w:instrText>
      </w:r>
      <w:r>
        <w:rPr>
          <w:noProof/>
          <w:lang w:eastAsia="ru-RU"/>
        </w:rPr>
        <w:drawing>
          <wp:inline distT="0" distB="0" distL="0" distR="0">
            <wp:extent cx="952500" cy="504825"/>
            <wp:effectExtent l="1905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952500" cy="504825"/>
                    </a:xfrm>
                    <a:prstGeom prst="rect">
                      <a:avLst/>
                    </a:prstGeom>
                    <a:noFill/>
                    <a:ln w="9525">
                      <a:noFill/>
                      <a:miter lim="800000"/>
                      <a:headEnd/>
                      <a:tailEnd/>
                    </a:ln>
                  </pic:spPr>
                </pic:pic>
              </a:graphicData>
            </a:graphic>
          </wp:inline>
        </w:drawing>
      </w:r>
      <w:r w:rsidRPr="00097705">
        <w:rPr>
          <w:rFonts w:ascii="Times New Roman" w:hAnsi="Times New Roman" w:cs="Times New Roman"/>
          <w:sz w:val="28"/>
          <w:szCs w:val="28"/>
        </w:rPr>
        <w:instrText xml:space="preserve"> </w:instrText>
      </w:r>
      <w:r w:rsidR="005F2FF8" w:rsidRPr="00097705">
        <w:rPr>
          <w:rFonts w:ascii="Times New Roman" w:hAnsi="Times New Roman" w:cs="Times New Roman"/>
          <w:sz w:val="28"/>
          <w:szCs w:val="28"/>
        </w:rPr>
        <w:fldChar w:fldCharType="separate"/>
      </w:r>
      <m:oMath>
        <m:r>
          <w:rPr>
            <w:rFonts w:ascii="Cambria Math" w:hAnsi="Cambria Math" w:cs="Times New Roman"/>
            <w:sz w:val="28"/>
            <w:szCs w:val="28"/>
          </w:rPr>
          <m:t>HHI=</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i</m:t>
                </m:r>
              </m:sub>
              <m:sup>
                <m:r>
                  <w:rPr>
                    <w:rFonts w:ascii="Cambria Math" w:hAnsi="Cambria Math" w:cs="Times New Roman"/>
                    <w:sz w:val="28"/>
                    <w:szCs w:val="28"/>
                  </w:rPr>
                  <m:t>2</m:t>
                </m:r>
              </m:sup>
            </m:sSubSup>
          </m:e>
        </m:nary>
      </m:oMath>
      <w:r w:rsidR="005F2FF8" w:rsidRPr="00097705">
        <w:rPr>
          <w:rFonts w:ascii="Times New Roman" w:hAnsi="Times New Roman" w:cs="Times New Roman"/>
          <w:sz w:val="28"/>
          <w:szCs w:val="28"/>
        </w:rPr>
        <w:fldChar w:fldCharType="end"/>
      </w:r>
      <w:r w:rsidRPr="001C395F">
        <w:rPr>
          <w:rFonts w:ascii="Times New Roman" w:hAnsi="Times New Roman" w:cs="Times New Roman"/>
          <w:sz w:val="28"/>
          <w:szCs w:val="28"/>
        </w:rPr>
        <w:t xml:space="preserve">, где </w:t>
      </w:r>
      <w:r w:rsidR="005F2FF8" w:rsidRPr="00097705">
        <w:rPr>
          <w:rFonts w:ascii="Times New Roman" w:hAnsi="Times New Roman" w:cs="Times New Roman"/>
          <w:sz w:val="28"/>
          <w:szCs w:val="28"/>
        </w:rPr>
        <w:fldChar w:fldCharType="begin"/>
      </w:r>
      <w:r w:rsidRPr="00097705">
        <w:rPr>
          <w:rFonts w:ascii="Times New Roman" w:hAnsi="Times New Roman" w:cs="Times New Roman"/>
          <w:sz w:val="28"/>
          <w:szCs w:val="28"/>
        </w:rPr>
        <w:instrText xml:space="preserve"> QUOTE </w:instrText>
      </w:r>
      <w:r>
        <w:rPr>
          <w:noProof/>
          <w:lang w:eastAsia="ru-RU"/>
        </w:rPr>
        <w:drawing>
          <wp:inline distT="0" distB="0" distL="0" distR="0">
            <wp:extent cx="180975" cy="180975"/>
            <wp:effectExtent l="19050" t="0" r="9525"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097705">
        <w:rPr>
          <w:rFonts w:ascii="Times New Roman" w:hAnsi="Times New Roman" w:cs="Times New Roman"/>
          <w:sz w:val="28"/>
          <w:szCs w:val="28"/>
        </w:rPr>
        <w:instrText xml:space="preserve"> </w:instrText>
      </w:r>
      <w:r w:rsidR="005F2FF8" w:rsidRPr="00097705">
        <w:rPr>
          <w:rFonts w:ascii="Times New Roman" w:hAnsi="Times New Roman" w:cs="Times New Roman"/>
          <w:sz w:val="28"/>
          <w:szCs w:val="28"/>
        </w:rPr>
        <w:fldChar w:fldCharType="separate"/>
      </w: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oMath>
      <w:r w:rsidR="005F2FF8" w:rsidRPr="00097705">
        <w:rPr>
          <w:rFonts w:ascii="Times New Roman" w:hAnsi="Times New Roman" w:cs="Times New Roman"/>
          <w:sz w:val="28"/>
          <w:szCs w:val="28"/>
        </w:rPr>
        <w:fldChar w:fldCharType="end"/>
      </w:r>
      <w:r w:rsidRPr="001C395F">
        <w:rPr>
          <w:rFonts w:ascii="Times New Roman" w:hAnsi="Times New Roman" w:cs="Times New Roman"/>
          <w:sz w:val="28"/>
          <w:szCs w:val="28"/>
        </w:rPr>
        <w:t xml:space="preserve"> – доля поступлений </w:t>
      </w:r>
      <w:proofErr w:type="spellStart"/>
      <w:r w:rsidRPr="001C395F">
        <w:rPr>
          <w:rFonts w:ascii="Times New Roman" w:hAnsi="Times New Roman" w:cs="Times New Roman"/>
          <w:i/>
          <w:iCs/>
          <w:sz w:val="28"/>
          <w:szCs w:val="28"/>
          <w:lang w:val="en-GB"/>
        </w:rPr>
        <w:t>i</w:t>
      </w:r>
      <w:proofErr w:type="spellEnd"/>
      <w:r w:rsidRPr="001C395F">
        <w:rPr>
          <w:rFonts w:ascii="Times New Roman" w:hAnsi="Times New Roman" w:cs="Times New Roman"/>
          <w:sz w:val="28"/>
          <w:szCs w:val="28"/>
        </w:rPr>
        <w:t>-ой компании в общей сумме страховых премий, собранных функционирующими в секторе ДМС страх</w:t>
      </w:r>
      <w:r w:rsidRPr="001C395F">
        <w:rPr>
          <w:rFonts w:ascii="Times New Roman" w:hAnsi="Times New Roman" w:cs="Times New Roman"/>
          <w:sz w:val="28"/>
          <w:szCs w:val="28"/>
        </w:rPr>
        <w:t>о</w:t>
      </w:r>
      <w:r w:rsidRPr="001C395F">
        <w:rPr>
          <w:rFonts w:ascii="Times New Roman" w:hAnsi="Times New Roman" w:cs="Times New Roman"/>
          <w:sz w:val="28"/>
          <w:szCs w:val="28"/>
        </w:rPr>
        <w:t xml:space="preserve">выми организациями, повысился с </w:t>
      </w:r>
      <w:r w:rsidR="004A1089" w:rsidRPr="001C395F">
        <w:rPr>
          <w:rFonts w:ascii="Times New Roman" w:hAnsi="Times New Roman" w:cs="Times New Roman"/>
          <w:sz w:val="28"/>
          <w:szCs w:val="28"/>
        </w:rPr>
        <w:t>0,0628</w:t>
      </w:r>
      <w:r w:rsidR="004A1089" w:rsidRPr="004A1089">
        <w:rPr>
          <w:rFonts w:ascii="Times New Roman" w:hAnsi="Times New Roman" w:cs="Times New Roman"/>
          <w:sz w:val="28"/>
          <w:szCs w:val="28"/>
        </w:rPr>
        <w:t xml:space="preserve"> </w:t>
      </w:r>
      <w:r w:rsidRPr="001C395F">
        <w:rPr>
          <w:rFonts w:ascii="Times New Roman" w:hAnsi="Times New Roman" w:cs="Times New Roman"/>
          <w:sz w:val="28"/>
          <w:szCs w:val="28"/>
        </w:rPr>
        <w:t>до 0,0</w:t>
      </w:r>
      <w:r w:rsidR="004A1089" w:rsidRPr="004A1089">
        <w:rPr>
          <w:rFonts w:ascii="Times New Roman" w:hAnsi="Times New Roman" w:cs="Times New Roman"/>
          <w:sz w:val="28"/>
          <w:szCs w:val="28"/>
        </w:rPr>
        <w:t>729</w:t>
      </w:r>
      <w:r w:rsidRPr="001C395F">
        <w:rPr>
          <w:rFonts w:ascii="Times New Roman" w:hAnsi="Times New Roman" w:cs="Times New Roman"/>
          <w:sz w:val="28"/>
          <w:szCs w:val="28"/>
        </w:rPr>
        <w:t>; количество страховщ</w:t>
      </w:r>
      <w:r w:rsidRPr="001C395F">
        <w:rPr>
          <w:rFonts w:ascii="Times New Roman" w:hAnsi="Times New Roman" w:cs="Times New Roman"/>
          <w:sz w:val="28"/>
          <w:szCs w:val="28"/>
        </w:rPr>
        <w:t>и</w:t>
      </w:r>
      <w:r w:rsidRPr="001C395F">
        <w:rPr>
          <w:rFonts w:ascii="Times New Roman" w:hAnsi="Times New Roman" w:cs="Times New Roman"/>
          <w:sz w:val="28"/>
          <w:szCs w:val="28"/>
        </w:rPr>
        <w:t xml:space="preserve">ков, осуществляющих страхование </w:t>
      </w:r>
      <w:proofErr w:type="gramStart"/>
      <w:r w:rsidRPr="001C395F">
        <w:rPr>
          <w:rFonts w:ascii="Times New Roman" w:hAnsi="Times New Roman" w:cs="Times New Roman"/>
          <w:sz w:val="28"/>
          <w:szCs w:val="28"/>
        </w:rPr>
        <w:t>в рассматриваем</w:t>
      </w:r>
      <w:proofErr w:type="gramEnd"/>
      <w:r w:rsidRPr="001C395F">
        <w:rPr>
          <w:rFonts w:ascii="Times New Roman" w:hAnsi="Times New Roman" w:cs="Times New Roman"/>
          <w:sz w:val="28"/>
          <w:szCs w:val="28"/>
        </w:rPr>
        <w:t xml:space="preserve"> сегменте страхового </w:t>
      </w:r>
      <w:r w:rsidRPr="001C395F">
        <w:rPr>
          <w:rFonts w:ascii="Times New Roman" w:hAnsi="Times New Roman" w:cs="Times New Roman"/>
          <w:sz w:val="28"/>
          <w:szCs w:val="28"/>
        </w:rPr>
        <w:lastRenderedPageBreak/>
        <w:t xml:space="preserve">рынка, сократилось с </w:t>
      </w:r>
      <w:r w:rsidR="004A1089" w:rsidRPr="004A1089">
        <w:rPr>
          <w:rFonts w:ascii="Times New Roman" w:hAnsi="Times New Roman" w:cs="Times New Roman"/>
          <w:sz w:val="28"/>
          <w:szCs w:val="28"/>
        </w:rPr>
        <w:t>243</w:t>
      </w:r>
      <w:r w:rsidRPr="001C395F">
        <w:rPr>
          <w:rFonts w:ascii="Times New Roman" w:hAnsi="Times New Roman" w:cs="Times New Roman"/>
          <w:sz w:val="28"/>
          <w:szCs w:val="28"/>
        </w:rPr>
        <w:t xml:space="preserve"> до </w:t>
      </w:r>
      <w:r w:rsidR="004A1089" w:rsidRPr="004A1089">
        <w:rPr>
          <w:rFonts w:ascii="Times New Roman" w:hAnsi="Times New Roman" w:cs="Times New Roman"/>
          <w:sz w:val="28"/>
          <w:szCs w:val="28"/>
        </w:rPr>
        <w:t>224</w:t>
      </w:r>
      <w:r w:rsidRPr="001C395F">
        <w:rPr>
          <w:rFonts w:ascii="Times New Roman" w:hAnsi="Times New Roman" w:cs="Times New Roman"/>
          <w:sz w:val="28"/>
          <w:szCs w:val="28"/>
        </w:rPr>
        <w:t>. Доля страховых премий десятки крупне</w:t>
      </w:r>
      <w:r w:rsidRPr="001C395F">
        <w:rPr>
          <w:rFonts w:ascii="Times New Roman" w:hAnsi="Times New Roman" w:cs="Times New Roman"/>
          <w:sz w:val="28"/>
          <w:szCs w:val="28"/>
        </w:rPr>
        <w:t>й</w:t>
      </w:r>
      <w:r w:rsidRPr="001C395F">
        <w:rPr>
          <w:rFonts w:ascii="Times New Roman" w:hAnsi="Times New Roman" w:cs="Times New Roman"/>
          <w:sz w:val="28"/>
          <w:szCs w:val="28"/>
        </w:rPr>
        <w:t xml:space="preserve">ших страховых организаций возросла с 56,40% в 2009 г. до </w:t>
      </w:r>
      <w:r w:rsidR="004A1089" w:rsidRPr="001C395F">
        <w:rPr>
          <w:rFonts w:ascii="Times New Roman" w:hAnsi="Times New Roman" w:cs="Times New Roman"/>
          <w:sz w:val="28"/>
          <w:szCs w:val="28"/>
        </w:rPr>
        <w:t xml:space="preserve">64,42% </w:t>
      </w:r>
      <w:r w:rsidR="004A1089">
        <w:rPr>
          <w:rFonts w:ascii="Times New Roman" w:hAnsi="Times New Roman" w:cs="Times New Roman"/>
          <w:sz w:val="28"/>
          <w:szCs w:val="28"/>
        </w:rPr>
        <w:t>и 6</w:t>
      </w:r>
      <w:r w:rsidR="004A1089" w:rsidRPr="004A1089">
        <w:rPr>
          <w:rFonts w:ascii="Times New Roman" w:hAnsi="Times New Roman" w:cs="Times New Roman"/>
          <w:sz w:val="28"/>
          <w:szCs w:val="28"/>
        </w:rPr>
        <w:t>7</w:t>
      </w:r>
      <w:r w:rsidR="004A1089">
        <w:rPr>
          <w:rFonts w:ascii="Times New Roman" w:hAnsi="Times New Roman" w:cs="Times New Roman"/>
          <w:sz w:val="28"/>
          <w:szCs w:val="28"/>
        </w:rPr>
        <w:t>,4</w:t>
      </w:r>
      <w:r w:rsidR="004A1089" w:rsidRPr="004A1089">
        <w:rPr>
          <w:rFonts w:ascii="Times New Roman" w:hAnsi="Times New Roman" w:cs="Times New Roman"/>
          <w:sz w:val="28"/>
          <w:szCs w:val="28"/>
        </w:rPr>
        <w:t>4</w:t>
      </w:r>
      <w:r w:rsidRPr="001C395F">
        <w:rPr>
          <w:rFonts w:ascii="Times New Roman" w:hAnsi="Times New Roman" w:cs="Times New Roman"/>
          <w:sz w:val="28"/>
          <w:szCs w:val="28"/>
        </w:rPr>
        <w:t xml:space="preserve">% в </w:t>
      </w:r>
      <w:r w:rsidR="004A1089" w:rsidRPr="001C395F">
        <w:rPr>
          <w:rFonts w:ascii="Times New Roman" w:hAnsi="Times New Roman" w:cs="Times New Roman"/>
          <w:sz w:val="28"/>
          <w:szCs w:val="28"/>
        </w:rPr>
        <w:t>2011</w:t>
      </w:r>
      <w:r w:rsidR="004A1089" w:rsidRPr="004A1089">
        <w:rPr>
          <w:rFonts w:ascii="Times New Roman" w:hAnsi="Times New Roman" w:cs="Times New Roman"/>
          <w:sz w:val="28"/>
          <w:szCs w:val="28"/>
        </w:rPr>
        <w:t xml:space="preserve"> </w:t>
      </w:r>
      <w:r w:rsidR="004A1089">
        <w:rPr>
          <w:rFonts w:ascii="Times New Roman" w:hAnsi="Times New Roman" w:cs="Times New Roman"/>
          <w:sz w:val="28"/>
          <w:szCs w:val="28"/>
        </w:rPr>
        <w:t>и 201</w:t>
      </w:r>
      <w:r w:rsidR="004A1089" w:rsidRPr="004A1089">
        <w:rPr>
          <w:rFonts w:ascii="Times New Roman" w:hAnsi="Times New Roman" w:cs="Times New Roman"/>
          <w:sz w:val="28"/>
          <w:szCs w:val="28"/>
        </w:rPr>
        <w:t>2</w:t>
      </w:r>
      <w:r w:rsidRPr="001C395F">
        <w:rPr>
          <w:rFonts w:ascii="Times New Roman" w:hAnsi="Times New Roman" w:cs="Times New Roman"/>
          <w:sz w:val="28"/>
          <w:szCs w:val="28"/>
        </w:rPr>
        <w:t xml:space="preserve"> гг. соответственно. Двадцатке лидеров по ДМС удалось в 201</w:t>
      </w:r>
      <w:r w:rsidR="004A1089" w:rsidRPr="004A1089">
        <w:rPr>
          <w:rFonts w:ascii="Times New Roman" w:hAnsi="Times New Roman" w:cs="Times New Roman"/>
          <w:sz w:val="28"/>
          <w:szCs w:val="28"/>
        </w:rPr>
        <w:t>2</w:t>
      </w:r>
      <w:r w:rsidRPr="001C395F">
        <w:rPr>
          <w:rFonts w:ascii="Times New Roman" w:hAnsi="Times New Roman" w:cs="Times New Roman"/>
          <w:sz w:val="28"/>
          <w:szCs w:val="28"/>
        </w:rPr>
        <w:t xml:space="preserve"> г. сконцентрировать в своих руках </w:t>
      </w:r>
      <w:r w:rsidR="004A1089" w:rsidRPr="004A1089">
        <w:rPr>
          <w:rFonts w:ascii="Times New Roman" w:hAnsi="Times New Roman" w:cs="Times New Roman"/>
          <w:sz w:val="28"/>
          <w:szCs w:val="28"/>
        </w:rPr>
        <w:t>80</w:t>
      </w:r>
      <w:r w:rsidR="004A1089" w:rsidRPr="005F66B7">
        <w:rPr>
          <w:rFonts w:ascii="Times New Roman" w:hAnsi="Times New Roman" w:cs="Times New Roman"/>
          <w:sz w:val="28"/>
          <w:szCs w:val="28"/>
        </w:rPr>
        <w:t>,</w:t>
      </w:r>
      <w:r w:rsidR="004A1089" w:rsidRPr="004A1089">
        <w:rPr>
          <w:rFonts w:ascii="Times New Roman" w:hAnsi="Times New Roman" w:cs="Times New Roman"/>
          <w:sz w:val="28"/>
          <w:szCs w:val="28"/>
        </w:rPr>
        <w:t>87</w:t>
      </w:r>
      <w:r w:rsidRPr="001C395F">
        <w:rPr>
          <w:rFonts w:ascii="Times New Roman" w:hAnsi="Times New Roman" w:cs="Times New Roman"/>
          <w:sz w:val="28"/>
          <w:szCs w:val="28"/>
        </w:rPr>
        <w:t>% суммарных страховых взносов в противовес доле в 7</w:t>
      </w:r>
      <w:r w:rsidR="004A1089" w:rsidRPr="004A1089">
        <w:rPr>
          <w:rFonts w:ascii="Times New Roman" w:hAnsi="Times New Roman" w:cs="Times New Roman"/>
          <w:sz w:val="28"/>
          <w:szCs w:val="28"/>
        </w:rPr>
        <w:t>9</w:t>
      </w:r>
      <w:r w:rsidR="005F66B7" w:rsidRPr="005F66B7">
        <w:rPr>
          <w:rFonts w:ascii="Times New Roman" w:hAnsi="Times New Roman" w:cs="Times New Roman"/>
          <w:sz w:val="28"/>
          <w:szCs w:val="28"/>
        </w:rPr>
        <w:t>,</w:t>
      </w:r>
      <w:r w:rsidR="004A1089" w:rsidRPr="004A1089">
        <w:rPr>
          <w:rFonts w:ascii="Times New Roman" w:hAnsi="Times New Roman" w:cs="Times New Roman"/>
          <w:sz w:val="28"/>
          <w:szCs w:val="28"/>
        </w:rPr>
        <w:t>19</w:t>
      </w:r>
      <w:r w:rsidRPr="001C395F">
        <w:rPr>
          <w:rFonts w:ascii="Times New Roman" w:hAnsi="Times New Roman" w:cs="Times New Roman"/>
          <w:sz w:val="28"/>
          <w:szCs w:val="28"/>
        </w:rPr>
        <w:t>% годом ранее. Пятьдесят ведущих страховщиков в 201</w:t>
      </w:r>
      <w:r w:rsidR="004A1089" w:rsidRPr="004A1089">
        <w:rPr>
          <w:rFonts w:ascii="Times New Roman" w:hAnsi="Times New Roman" w:cs="Times New Roman"/>
          <w:sz w:val="28"/>
          <w:szCs w:val="28"/>
        </w:rPr>
        <w:t>2</w:t>
      </w:r>
      <w:r w:rsidRPr="001C395F">
        <w:rPr>
          <w:rFonts w:ascii="Times New Roman" w:hAnsi="Times New Roman" w:cs="Times New Roman"/>
          <w:sz w:val="28"/>
          <w:szCs w:val="28"/>
        </w:rPr>
        <w:t xml:space="preserve"> г. аккумулировали совместными усилиями </w:t>
      </w:r>
      <w:r w:rsidR="004A1089">
        <w:rPr>
          <w:rFonts w:ascii="Times New Roman" w:hAnsi="Times New Roman" w:cs="Times New Roman"/>
          <w:sz w:val="28"/>
          <w:szCs w:val="28"/>
        </w:rPr>
        <w:t>92</w:t>
      </w:r>
      <w:r w:rsidR="004A1089" w:rsidRPr="004A1089">
        <w:rPr>
          <w:rFonts w:ascii="Times New Roman" w:hAnsi="Times New Roman" w:cs="Times New Roman"/>
          <w:sz w:val="28"/>
          <w:szCs w:val="28"/>
        </w:rPr>
        <w:t>,08</w:t>
      </w:r>
      <w:r w:rsidRPr="001C395F">
        <w:rPr>
          <w:rFonts w:ascii="Times New Roman" w:hAnsi="Times New Roman" w:cs="Times New Roman"/>
          <w:sz w:val="28"/>
          <w:szCs w:val="28"/>
        </w:rPr>
        <w:t>% общей суммы со</w:t>
      </w:r>
      <w:r w:rsidRPr="001C395F">
        <w:rPr>
          <w:rFonts w:ascii="Times New Roman" w:hAnsi="Times New Roman" w:cs="Times New Roman"/>
          <w:sz w:val="28"/>
          <w:szCs w:val="28"/>
        </w:rPr>
        <w:t>б</w:t>
      </w:r>
      <w:r w:rsidRPr="001C395F">
        <w:rPr>
          <w:rFonts w:ascii="Times New Roman" w:hAnsi="Times New Roman" w:cs="Times New Roman"/>
          <w:sz w:val="28"/>
          <w:szCs w:val="28"/>
        </w:rPr>
        <w:t>ранных страховых премий в секторе ДМС (для сравнения – в 2009 г. этот п</w:t>
      </w:r>
      <w:r w:rsidRPr="001C395F">
        <w:rPr>
          <w:rFonts w:ascii="Times New Roman" w:hAnsi="Times New Roman" w:cs="Times New Roman"/>
          <w:sz w:val="28"/>
          <w:szCs w:val="28"/>
        </w:rPr>
        <w:t>о</w:t>
      </w:r>
      <w:r w:rsidRPr="001C395F">
        <w:rPr>
          <w:rFonts w:ascii="Times New Roman" w:hAnsi="Times New Roman" w:cs="Times New Roman"/>
          <w:sz w:val="28"/>
          <w:szCs w:val="28"/>
        </w:rPr>
        <w:t>казатель составлял 85,56%).</w:t>
      </w:r>
    </w:p>
    <w:p w:rsidR="00F0569A" w:rsidRDefault="0020020A" w:rsidP="00F0569A">
      <w:pPr>
        <w:spacing w:after="0" w:line="360" w:lineRule="auto"/>
        <w:jc w:val="center"/>
        <w:rPr>
          <w:rFonts w:ascii="Times New Roman" w:hAnsi="Times New Roman" w:cs="Times New Roman"/>
          <w:i/>
          <w:iCs/>
          <w:sz w:val="25"/>
          <w:szCs w:val="25"/>
        </w:rPr>
      </w:pPr>
      <w:r w:rsidRPr="0020020A">
        <w:rPr>
          <w:rFonts w:ascii="Times New Roman" w:hAnsi="Times New Roman" w:cs="Times New Roman"/>
          <w:i/>
          <w:iCs/>
          <w:noProof/>
          <w:sz w:val="25"/>
          <w:szCs w:val="25"/>
          <w:lang w:eastAsia="ru-RU"/>
        </w:rPr>
        <w:drawing>
          <wp:inline distT="0" distB="0" distL="0" distR="0">
            <wp:extent cx="4924425" cy="3105150"/>
            <wp:effectExtent l="19050" t="0" r="9525" b="0"/>
            <wp:docPr id="1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4BD5" w:rsidRPr="00233750" w:rsidRDefault="00AD7D77" w:rsidP="00F0569A">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Рис. </w:t>
      </w:r>
      <w:r w:rsidR="00DA62A2" w:rsidRPr="00233750">
        <w:rPr>
          <w:rFonts w:ascii="Times New Roman" w:hAnsi="Times New Roman" w:cs="Times New Roman"/>
          <w:i/>
          <w:iCs/>
          <w:sz w:val="26"/>
          <w:szCs w:val="26"/>
        </w:rPr>
        <w:t>8</w:t>
      </w:r>
      <w:r w:rsidRPr="00233750">
        <w:rPr>
          <w:rFonts w:ascii="Times New Roman" w:hAnsi="Times New Roman" w:cs="Times New Roman"/>
          <w:i/>
          <w:iCs/>
          <w:sz w:val="26"/>
          <w:szCs w:val="26"/>
        </w:rPr>
        <w:t xml:space="preserve">. Удельные веса страховых премий, собранных десяткой ведущих </w:t>
      </w:r>
    </w:p>
    <w:p w:rsidR="00AD7D77" w:rsidRPr="00233750" w:rsidRDefault="00AD7D77" w:rsidP="00F0569A">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российских страховщиков в секторе ДМС в 200</w:t>
      </w:r>
      <w:r w:rsidR="00010FAE" w:rsidRPr="00233750">
        <w:rPr>
          <w:rFonts w:ascii="Times New Roman" w:hAnsi="Times New Roman" w:cs="Times New Roman"/>
          <w:i/>
          <w:iCs/>
          <w:sz w:val="26"/>
          <w:szCs w:val="26"/>
        </w:rPr>
        <w:t>7</w:t>
      </w:r>
      <w:r w:rsidRPr="00233750">
        <w:rPr>
          <w:rFonts w:ascii="Times New Roman" w:hAnsi="Times New Roman" w:cs="Times New Roman"/>
          <w:i/>
          <w:iCs/>
          <w:sz w:val="26"/>
          <w:szCs w:val="26"/>
        </w:rPr>
        <w:t xml:space="preserve"> г.</w:t>
      </w:r>
    </w:p>
    <w:p w:rsidR="00AD7D77" w:rsidRPr="001C395F" w:rsidRDefault="00AD7D77" w:rsidP="00233750">
      <w:pPr>
        <w:spacing w:before="40"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 xml:space="preserve">Как видно </w:t>
      </w:r>
      <w:proofErr w:type="gramStart"/>
      <w:r w:rsidRPr="001C395F">
        <w:rPr>
          <w:rFonts w:ascii="Times New Roman" w:hAnsi="Times New Roman" w:cs="Times New Roman"/>
          <w:sz w:val="28"/>
          <w:szCs w:val="28"/>
        </w:rPr>
        <w:t>из</w:t>
      </w:r>
      <w:proofErr w:type="gramEnd"/>
      <w:r w:rsidRPr="001C395F">
        <w:rPr>
          <w:rFonts w:ascii="Times New Roman" w:hAnsi="Times New Roman" w:cs="Times New Roman"/>
          <w:sz w:val="28"/>
          <w:szCs w:val="28"/>
        </w:rPr>
        <w:t xml:space="preserve"> </w:t>
      </w:r>
      <w:proofErr w:type="gramStart"/>
      <w:r w:rsidR="00010FAE" w:rsidRPr="00010FAE">
        <w:rPr>
          <w:rFonts w:ascii="Times New Roman" w:hAnsi="Times New Roman" w:cs="Times New Roman"/>
          <w:iCs/>
          <w:sz w:val="28"/>
          <w:szCs w:val="28"/>
        </w:rPr>
        <w:t>рис</w:t>
      </w:r>
      <w:proofErr w:type="gramEnd"/>
      <w:r w:rsidR="00010FAE" w:rsidRPr="00010FAE">
        <w:rPr>
          <w:rFonts w:ascii="Times New Roman" w:hAnsi="Times New Roman" w:cs="Times New Roman"/>
          <w:iCs/>
          <w:sz w:val="28"/>
          <w:szCs w:val="28"/>
        </w:rPr>
        <w:t xml:space="preserve">. </w:t>
      </w:r>
      <w:r w:rsidR="00DA62A2">
        <w:rPr>
          <w:rFonts w:ascii="Times New Roman" w:hAnsi="Times New Roman" w:cs="Times New Roman"/>
          <w:iCs/>
          <w:sz w:val="28"/>
          <w:szCs w:val="28"/>
        </w:rPr>
        <w:t>8</w:t>
      </w:r>
      <w:r w:rsidR="00010FAE" w:rsidRPr="00010FAE">
        <w:rPr>
          <w:rFonts w:ascii="Times New Roman" w:hAnsi="Times New Roman" w:cs="Times New Roman"/>
          <w:iCs/>
          <w:sz w:val="28"/>
          <w:szCs w:val="28"/>
        </w:rPr>
        <w:t>-</w:t>
      </w:r>
      <w:r w:rsidR="00DA62A2">
        <w:rPr>
          <w:rFonts w:ascii="Times New Roman" w:hAnsi="Times New Roman" w:cs="Times New Roman"/>
          <w:iCs/>
          <w:sz w:val="28"/>
          <w:szCs w:val="28"/>
        </w:rPr>
        <w:t>10</w:t>
      </w:r>
      <w:r w:rsidRPr="001C395F">
        <w:rPr>
          <w:rFonts w:ascii="Times New Roman" w:hAnsi="Times New Roman" w:cs="Times New Roman"/>
          <w:sz w:val="28"/>
          <w:szCs w:val="28"/>
        </w:rPr>
        <w:t>, на протяжении 200</w:t>
      </w:r>
      <w:r w:rsidR="00E84BD5">
        <w:rPr>
          <w:rFonts w:ascii="Times New Roman" w:hAnsi="Times New Roman" w:cs="Times New Roman"/>
          <w:sz w:val="28"/>
          <w:szCs w:val="28"/>
        </w:rPr>
        <w:t>7</w:t>
      </w:r>
      <w:r w:rsidRPr="001C395F">
        <w:rPr>
          <w:rFonts w:ascii="Times New Roman" w:hAnsi="Times New Roman" w:cs="Times New Roman"/>
          <w:sz w:val="28"/>
          <w:szCs w:val="28"/>
        </w:rPr>
        <w:t>-201</w:t>
      </w:r>
      <w:r w:rsidR="00E84BD5">
        <w:rPr>
          <w:rFonts w:ascii="Times New Roman" w:hAnsi="Times New Roman" w:cs="Times New Roman"/>
          <w:sz w:val="28"/>
          <w:szCs w:val="28"/>
        </w:rPr>
        <w:t>2</w:t>
      </w:r>
      <w:r w:rsidRPr="001C395F">
        <w:rPr>
          <w:rFonts w:ascii="Times New Roman" w:hAnsi="Times New Roman" w:cs="Times New Roman"/>
          <w:sz w:val="28"/>
          <w:szCs w:val="28"/>
        </w:rPr>
        <w:t xml:space="preserve"> гг. в десятку лидеров рынка добровольного медицинского страхования неизменно входили сл</w:t>
      </w:r>
      <w:r w:rsidRPr="001C395F">
        <w:rPr>
          <w:rFonts w:ascii="Times New Roman" w:hAnsi="Times New Roman" w:cs="Times New Roman"/>
          <w:sz w:val="28"/>
          <w:szCs w:val="28"/>
        </w:rPr>
        <w:t>е</w:t>
      </w:r>
      <w:r w:rsidRPr="001C395F">
        <w:rPr>
          <w:rFonts w:ascii="Times New Roman" w:hAnsi="Times New Roman" w:cs="Times New Roman"/>
          <w:sz w:val="28"/>
          <w:szCs w:val="28"/>
        </w:rPr>
        <w:t xml:space="preserve">дующие страховые организации: СОГАЗ, </w:t>
      </w:r>
      <w:r w:rsidRPr="001C395F">
        <w:rPr>
          <w:rFonts w:ascii="Times New Roman" w:hAnsi="Times New Roman" w:cs="Times New Roman"/>
          <w:sz w:val="28"/>
          <w:szCs w:val="28"/>
          <w:lang w:val="en-GB"/>
        </w:rPr>
        <w:t>Allianz</w:t>
      </w:r>
      <w:r w:rsidR="00705377">
        <w:rPr>
          <w:rFonts w:ascii="Times New Roman" w:hAnsi="Times New Roman" w:cs="Times New Roman"/>
          <w:sz w:val="28"/>
          <w:szCs w:val="28"/>
        </w:rPr>
        <w:t xml:space="preserve">, ЖАСО, </w:t>
      </w:r>
      <w:proofErr w:type="spellStart"/>
      <w:r w:rsidR="00705377">
        <w:rPr>
          <w:rFonts w:ascii="Times New Roman" w:hAnsi="Times New Roman" w:cs="Times New Roman"/>
          <w:sz w:val="28"/>
          <w:szCs w:val="28"/>
        </w:rPr>
        <w:t>Ингосстрах</w:t>
      </w:r>
      <w:proofErr w:type="spellEnd"/>
      <w:r w:rsidRPr="001C395F">
        <w:rPr>
          <w:rFonts w:ascii="Times New Roman" w:hAnsi="Times New Roman" w:cs="Times New Roman"/>
          <w:sz w:val="28"/>
          <w:szCs w:val="28"/>
        </w:rPr>
        <w:t xml:space="preserve">, </w:t>
      </w:r>
      <w:proofErr w:type="spellStart"/>
      <w:r w:rsidRPr="001C395F">
        <w:rPr>
          <w:rFonts w:ascii="Times New Roman" w:hAnsi="Times New Roman" w:cs="Times New Roman"/>
          <w:sz w:val="28"/>
          <w:szCs w:val="28"/>
        </w:rPr>
        <w:t>РЕСО-Гарантия</w:t>
      </w:r>
      <w:proofErr w:type="spellEnd"/>
      <w:r w:rsidRPr="001C395F">
        <w:rPr>
          <w:rFonts w:ascii="Times New Roman" w:hAnsi="Times New Roman" w:cs="Times New Roman"/>
          <w:sz w:val="28"/>
          <w:szCs w:val="28"/>
        </w:rPr>
        <w:t>, Ренессанс Страхование. В 2010 г. благодаря беспрецедентно выс</w:t>
      </w:r>
      <w:r w:rsidRPr="001C395F">
        <w:rPr>
          <w:rFonts w:ascii="Times New Roman" w:hAnsi="Times New Roman" w:cs="Times New Roman"/>
          <w:sz w:val="28"/>
          <w:szCs w:val="28"/>
        </w:rPr>
        <w:t>о</w:t>
      </w:r>
      <w:r w:rsidRPr="001C395F">
        <w:rPr>
          <w:rFonts w:ascii="Times New Roman" w:hAnsi="Times New Roman" w:cs="Times New Roman"/>
          <w:sz w:val="28"/>
          <w:szCs w:val="28"/>
        </w:rPr>
        <w:t>ким темпам прироста поступлений по договорам ДМС к ним присоединилась группа компаний «</w:t>
      </w:r>
      <w:proofErr w:type="spellStart"/>
      <w:r w:rsidRPr="001C395F">
        <w:rPr>
          <w:rFonts w:ascii="Times New Roman" w:hAnsi="Times New Roman" w:cs="Times New Roman"/>
          <w:sz w:val="28"/>
          <w:szCs w:val="28"/>
        </w:rPr>
        <w:t>Росгосстрах</w:t>
      </w:r>
      <w:proofErr w:type="spellEnd"/>
      <w:r w:rsidRPr="001C395F">
        <w:rPr>
          <w:rFonts w:ascii="Times New Roman" w:hAnsi="Times New Roman" w:cs="Times New Roman"/>
          <w:sz w:val="28"/>
          <w:szCs w:val="28"/>
        </w:rPr>
        <w:t>», а в 2011 г. – ООО «СК «Согласие» и ЗАО «СК «</w:t>
      </w:r>
      <w:proofErr w:type="spellStart"/>
      <w:r w:rsidRPr="001C395F">
        <w:rPr>
          <w:rFonts w:ascii="Times New Roman" w:hAnsi="Times New Roman" w:cs="Times New Roman"/>
          <w:sz w:val="28"/>
          <w:szCs w:val="28"/>
        </w:rPr>
        <w:t>Транснефть</w:t>
      </w:r>
      <w:proofErr w:type="spellEnd"/>
      <w:r w:rsidRPr="001C395F">
        <w:rPr>
          <w:rFonts w:ascii="Times New Roman" w:hAnsi="Times New Roman" w:cs="Times New Roman"/>
          <w:sz w:val="28"/>
          <w:szCs w:val="28"/>
        </w:rPr>
        <w:t>». Однако стоит отметить, что стремительное увеличение страховых премий трех вышеуказанных страховщиков сопровождалось зн</w:t>
      </w:r>
      <w:r w:rsidRPr="001C395F">
        <w:rPr>
          <w:rFonts w:ascii="Times New Roman" w:hAnsi="Times New Roman" w:cs="Times New Roman"/>
          <w:sz w:val="28"/>
          <w:szCs w:val="28"/>
        </w:rPr>
        <w:t>а</w:t>
      </w:r>
      <w:r w:rsidRPr="001C395F">
        <w:rPr>
          <w:rFonts w:ascii="Times New Roman" w:hAnsi="Times New Roman" w:cs="Times New Roman"/>
          <w:sz w:val="28"/>
          <w:szCs w:val="28"/>
        </w:rPr>
        <w:t>чительным ростом осуществляемых ими страховых выплат: у группы комп</w:t>
      </w:r>
      <w:r w:rsidRPr="001C395F">
        <w:rPr>
          <w:rFonts w:ascii="Times New Roman" w:hAnsi="Times New Roman" w:cs="Times New Roman"/>
          <w:sz w:val="28"/>
          <w:szCs w:val="28"/>
        </w:rPr>
        <w:t>а</w:t>
      </w:r>
      <w:r w:rsidRPr="001C395F">
        <w:rPr>
          <w:rFonts w:ascii="Times New Roman" w:hAnsi="Times New Roman" w:cs="Times New Roman"/>
          <w:sz w:val="28"/>
          <w:szCs w:val="28"/>
        </w:rPr>
        <w:lastRenderedPageBreak/>
        <w:t>ний «</w:t>
      </w:r>
      <w:proofErr w:type="spellStart"/>
      <w:r w:rsidRPr="001C395F">
        <w:rPr>
          <w:rFonts w:ascii="Times New Roman" w:hAnsi="Times New Roman" w:cs="Times New Roman"/>
          <w:sz w:val="28"/>
          <w:szCs w:val="28"/>
        </w:rPr>
        <w:t>Росгосстрах</w:t>
      </w:r>
      <w:proofErr w:type="spellEnd"/>
      <w:r w:rsidRPr="001C395F">
        <w:rPr>
          <w:rFonts w:ascii="Times New Roman" w:hAnsi="Times New Roman" w:cs="Times New Roman"/>
          <w:sz w:val="28"/>
          <w:szCs w:val="28"/>
        </w:rPr>
        <w:t xml:space="preserve">» – на 42,48% по отношению к значению в 2010 г., </w:t>
      </w:r>
      <w:proofErr w:type="gramStart"/>
      <w:r w:rsidRPr="001C395F">
        <w:rPr>
          <w:rFonts w:ascii="Times New Roman" w:hAnsi="Times New Roman" w:cs="Times New Roman"/>
          <w:sz w:val="28"/>
          <w:szCs w:val="28"/>
        </w:rPr>
        <w:t>у ООО</w:t>
      </w:r>
      <w:proofErr w:type="gramEnd"/>
      <w:r w:rsidRPr="001C395F">
        <w:rPr>
          <w:rFonts w:ascii="Times New Roman" w:hAnsi="Times New Roman" w:cs="Times New Roman"/>
          <w:sz w:val="28"/>
          <w:szCs w:val="28"/>
        </w:rPr>
        <w:t xml:space="preserve"> «СК «Согласие» – на 219,89%, а у ЗАО «СК «</w:t>
      </w:r>
      <w:proofErr w:type="spellStart"/>
      <w:r w:rsidRPr="001C395F">
        <w:rPr>
          <w:rFonts w:ascii="Times New Roman" w:hAnsi="Times New Roman" w:cs="Times New Roman"/>
          <w:sz w:val="28"/>
          <w:szCs w:val="28"/>
        </w:rPr>
        <w:t>Транснефть</w:t>
      </w:r>
      <w:proofErr w:type="spellEnd"/>
      <w:r w:rsidRPr="001C395F">
        <w:rPr>
          <w:rFonts w:ascii="Times New Roman" w:hAnsi="Times New Roman" w:cs="Times New Roman"/>
          <w:sz w:val="28"/>
          <w:szCs w:val="28"/>
        </w:rPr>
        <w:t>» – на 33,36%.</w:t>
      </w:r>
    </w:p>
    <w:p w:rsidR="00AD7D77" w:rsidRDefault="00351B03" w:rsidP="00AD7D77">
      <w:pPr>
        <w:spacing w:after="0" w:line="360" w:lineRule="auto"/>
        <w:jc w:val="center"/>
        <w:rPr>
          <w:rFonts w:ascii="Times New Roman" w:hAnsi="Times New Roman" w:cs="Times New Roman"/>
          <w:sz w:val="24"/>
          <w:szCs w:val="24"/>
        </w:rPr>
      </w:pPr>
      <w:r w:rsidRPr="00351B03">
        <w:rPr>
          <w:rFonts w:ascii="Times New Roman" w:hAnsi="Times New Roman" w:cs="Times New Roman"/>
          <w:noProof/>
          <w:sz w:val="24"/>
          <w:szCs w:val="24"/>
          <w:lang w:eastAsia="ru-RU"/>
        </w:rPr>
        <w:drawing>
          <wp:inline distT="0" distB="0" distL="0" distR="0">
            <wp:extent cx="4972050" cy="3171826"/>
            <wp:effectExtent l="19050" t="0" r="19050" b="9524"/>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3750" w:rsidRPr="00233750" w:rsidRDefault="00AD7D77" w:rsidP="0020020A">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Рис. </w:t>
      </w:r>
      <w:r w:rsidR="00DA62A2" w:rsidRPr="00233750">
        <w:rPr>
          <w:rFonts w:ascii="Times New Roman" w:hAnsi="Times New Roman" w:cs="Times New Roman"/>
          <w:i/>
          <w:iCs/>
          <w:sz w:val="26"/>
          <w:szCs w:val="26"/>
        </w:rPr>
        <w:t>9</w:t>
      </w:r>
      <w:r w:rsidRPr="00233750">
        <w:rPr>
          <w:rFonts w:ascii="Times New Roman" w:hAnsi="Times New Roman" w:cs="Times New Roman"/>
          <w:i/>
          <w:iCs/>
          <w:sz w:val="26"/>
          <w:szCs w:val="26"/>
        </w:rPr>
        <w:t xml:space="preserve">. Удельные веса страховых премий, собранных десяткой ведущих </w:t>
      </w:r>
    </w:p>
    <w:p w:rsidR="00AD7D77" w:rsidRPr="00233750" w:rsidRDefault="00AD7D77" w:rsidP="0020020A">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российских страховщиков в секторе ДМС в 2010 г.</w:t>
      </w:r>
    </w:p>
    <w:p w:rsidR="004E5CB6" w:rsidRPr="001C395F" w:rsidRDefault="004E5CB6" w:rsidP="004E5CB6">
      <w:pPr>
        <w:spacing w:after="0" w:line="360" w:lineRule="auto"/>
        <w:ind w:firstLine="709"/>
        <w:jc w:val="both"/>
        <w:rPr>
          <w:rFonts w:ascii="Times New Roman" w:hAnsi="Times New Roman" w:cs="Times New Roman"/>
          <w:sz w:val="28"/>
          <w:szCs w:val="28"/>
        </w:rPr>
      </w:pPr>
      <w:proofErr w:type="gramStart"/>
      <w:r w:rsidRPr="001C395F">
        <w:rPr>
          <w:rFonts w:ascii="Times New Roman" w:hAnsi="Times New Roman" w:cs="Times New Roman"/>
          <w:sz w:val="28"/>
          <w:szCs w:val="28"/>
        </w:rPr>
        <w:t>Страховые взносы по договорам ДМС трех крупнейших страховых о</w:t>
      </w:r>
      <w:r w:rsidRPr="001C395F">
        <w:rPr>
          <w:rFonts w:ascii="Times New Roman" w:hAnsi="Times New Roman" w:cs="Times New Roman"/>
          <w:sz w:val="28"/>
          <w:szCs w:val="28"/>
        </w:rPr>
        <w:t>р</w:t>
      </w:r>
      <w:r w:rsidRPr="001C395F">
        <w:rPr>
          <w:rFonts w:ascii="Times New Roman" w:hAnsi="Times New Roman" w:cs="Times New Roman"/>
          <w:sz w:val="28"/>
          <w:szCs w:val="28"/>
        </w:rPr>
        <w:t>ганизаций – страховой группы «СОГАЗ», О</w:t>
      </w:r>
      <w:r w:rsidR="0005651F">
        <w:rPr>
          <w:rFonts w:ascii="Times New Roman" w:hAnsi="Times New Roman" w:cs="Times New Roman"/>
          <w:sz w:val="28"/>
          <w:szCs w:val="28"/>
        </w:rPr>
        <w:t>С</w:t>
      </w:r>
      <w:r w:rsidRPr="001C395F">
        <w:rPr>
          <w:rFonts w:ascii="Times New Roman" w:hAnsi="Times New Roman" w:cs="Times New Roman"/>
          <w:sz w:val="28"/>
          <w:szCs w:val="28"/>
        </w:rPr>
        <w:t>АО «</w:t>
      </w:r>
      <w:proofErr w:type="spellStart"/>
      <w:r w:rsidR="0005651F">
        <w:rPr>
          <w:rFonts w:ascii="Times New Roman" w:hAnsi="Times New Roman" w:cs="Times New Roman"/>
          <w:sz w:val="28"/>
          <w:szCs w:val="28"/>
        </w:rPr>
        <w:t>Ингосстрах</w:t>
      </w:r>
      <w:proofErr w:type="spellEnd"/>
      <w:r w:rsidRPr="001C395F">
        <w:rPr>
          <w:rFonts w:ascii="Times New Roman" w:hAnsi="Times New Roman" w:cs="Times New Roman"/>
          <w:sz w:val="28"/>
          <w:szCs w:val="28"/>
        </w:rPr>
        <w:t>» и О</w:t>
      </w:r>
      <w:r w:rsidR="0005651F">
        <w:rPr>
          <w:rFonts w:ascii="Times New Roman" w:hAnsi="Times New Roman" w:cs="Times New Roman"/>
          <w:sz w:val="28"/>
          <w:szCs w:val="28"/>
        </w:rPr>
        <w:t>С</w:t>
      </w:r>
      <w:r w:rsidRPr="001C395F">
        <w:rPr>
          <w:rFonts w:ascii="Times New Roman" w:hAnsi="Times New Roman" w:cs="Times New Roman"/>
          <w:sz w:val="28"/>
          <w:szCs w:val="28"/>
        </w:rPr>
        <w:t>АО «</w:t>
      </w:r>
      <w:proofErr w:type="spellStart"/>
      <w:r w:rsidR="0005651F">
        <w:rPr>
          <w:rFonts w:ascii="Times New Roman" w:hAnsi="Times New Roman" w:cs="Times New Roman"/>
          <w:sz w:val="28"/>
          <w:szCs w:val="28"/>
        </w:rPr>
        <w:t>РЕСО-Гарантия</w:t>
      </w:r>
      <w:proofErr w:type="spellEnd"/>
      <w:r w:rsidR="0005651F">
        <w:rPr>
          <w:rFonts w:ascii="Times New Roman" w:hAnsi="Times New Roman" w:cs="Times New Roman"/>
          <w:sz w:val="28"/>
          <w:szCs w:val="28"/>
        </w:rPr>
        <w:t>» – росли в 201</w:t>
      </w:r>
      <w:r w:rsidR="0005651F" w:rsidRPr="0005651F">
        <w:rPr>
          <w:rFonts w:ascii="Times New Roman" w:hAnsi="Times New Roman" w:cs="Times New Roman"/>
          <w:sz w:val="28"/>
          <w:szCs w:val="28"/>
        </w:rPr>
        <w:t>2</w:t>
      </w:r>
      <w:r w:rsidRPr="001C395F">
        <w:rPr>
          <w:rFonts w:ascii="Times New Roman" w:hAnsi="Times New Roman" w:cs="Times New Roman"/>
          <w:sz w:val="28"/>
          <w:szCs w:val="28"/>
        </w:rPr>
        <w:t xml:space="preserve"> г. более </w:t>
      </w:r>
      <w:r w:rsidR="0005651F">
        <w:rPr>
          <w:rFonts w:ascii="Times New Roman" w:hAnsi="Times New Roman" w:cs="Times New Roman"/>
          <w:sz w:val="28"/>
          <w:szCs w:val="28"/>
        </w:rPr>
        <w:t>быстрыми</w:t>
      </w:r>
      <w:r w:rsidRPr="001C395F">
        <w:rPr>
          <w:rFonts w:ascii="Times New Roman" w:hAnsi="Times New Roman" w:cs="Times New Roman"/>
          <w:sz w:val="28"/>
          <w:szCs w:val="28"/>
        </w:rPr>
        <w:t xml:space="preserve"> темпами (в </w:t>
      </w:r>
      <w:r w:rsidR="0005651F">
        <w:rPr>
          <w:rFonts w:ascii="Times New Roman" w:hAnsi="Times New Roman" w:cs="Times New Roman"/>
          <w:sz w:val="28"/>
          <w:szCs w:val="28"/>
        </w:rPr>
        <w:t>28,34</w:t>
      </w:r>
      <w:r w:rsidRPr="001C395F">
        <w:rPr>
          <w:rFonts w:ascii="Times New Roman" w:hAnsi="Times New Roman" w:cs="Times New Roman"/>
          <w:sz w:val="28"/>
          <w:szCs w:val="28"/>
        </w:rPr>
        <w:t xml:space="preserve">%, </w:t>
      </w:r>
      <w:r w:rsidR="0005651F">
        <w:rPr>
          <w:rFonts w:ascii="Times New Roman" w:hAnsi="Times New Roman" w:cs="Times New Roman"/>
          <w:sz w:val="28"/>
          <w:szCs w:val="28"/>
        </w:rPr>
        <w:t>28,63</w:t>
      </w:r>
      <w:r w:rsidRPr="001C395F">
        <w:rPr>
          <w:rFonts w:ascii="Times New Roman" w:hAnsi="Times New Roman" w:cs="Times New Roman"/>
          <w:sz w:val="28"/>
          <w:szCs w:val="28"/>
        </w:rPr>
        <w:t xml:space="preserve">% и </w:t>
      </w:r>
      <w:r w:rsidR="0005651F">
        <w:rPr>
          <w:rFonts w:ascii="Times New Roman" w:hAnsi="Times New Roman" w:cs="Times New Roman"/>
          <w:sz w:val="28"/>
          <w:szCs w:val="28"/>
        </w:rPr>
        <w:t>42,72</w:t>
      </w:r>
      <w:r w:rsidRPr="001C395F">
        <w:rPr>
          <w:rFonts w:ascii="Times New Roman" w:hAnsi="Times New Roman" w:cs="Times New Roman"/>
          <w:sz w:val="28"/>
          <w:szCs w:val="28"/>
        </w:rPr>
        <w:t xml:space="preserve">% соответственно) по сравнению со средним темпом прироста (в </w:t>
      </w:r>
      <w:r w:rsidR="00CF5FFB">
        <w:rPr>
          <w:rFonts w:ascii="Times New Roman" w:hAnsi="Times New Roman" w:cs="Times New Roman"/>
          <w:sz w:val="28"/>
          <w:szCs w:val="28"/>
        </w:rPr>
        <w:t>17,04</w:t>
      </w:r>
      <w:r w:rsidRPr="001C395F">
        <w:rPr>
          <w:rFonts w:ascii="Times New Roman" w:hAnsi="Times New Roman" w:cs="Times New Roman"/>
          <w:sz w:val="28"/>
          <w:szCs w:val="28"/>
        </w:rPr>
        <w:t>%), рассчитанным по десятке крупнейших страховщиков в рассма</w:t>
      </w:r>
      <w:r w:rsidRPr="001C395F">
        <w:rPr>
          <w:rFonts w:ascii="Times New Roman" w:hAnsi="Times New Roman" w:cs="Times New Roman"/>
          <w:sz w:val="28"/>
          <w:szCs w:val="28"/>
        </w:rPr>
        <w:t>т</w:t>
      </w:r>
      <w:r w:rsidRPr="001C395F">
        <w:rPr>
          <w:rFonts w:ascii="Times New Roman" w:hAnsi="Times New Roman" w:cs="Times New Roman"/>
          <w:sz w:val="28"/>
          <w:szCs w:val="28"/>
        </w:rPr>
        <w:t xml:space="preserve">риваемом секторе, что повлекло за собой </w:t>
      </w:r>
      <w:r w:rsidR="00CF5FFB">
        <w:rPr>
          <w:rFonts w:ascii="Times New Roman" w:hAnsi="Times New Roman" w:cs="Times New Roman"/>
          <w:sz w:val="28"/>
          <w:szCs w:val="28"/>
        </w:rPr>
        <w:t>существенное увеличение</w:t>
      </w:r>
      <w:r w:rsidRPr="001C395F">
        <w:rPr>
          <w:rFonts w:ascii="Times New Roman" w:hAnsi="Times New Roman" w:cs="Times New Roman"/>
          <w:sz w:val="28"/>
          <w:szCs w:val="28"/>
        </w:rPr>
        <w:t xml:space="preserve"> прина</w:t>
      </w:r>
      <w:r w:rsidRPr="001C395F">
        <w:rPr>
          <w:rFonts w:ascii="Times New Roman" w:hAnsi="Times New Roman" w:cs="Times New Roman"/>
          <w:sz w:val="28"/>
          <w:szCs w:val="28"/>
        </w:rPr>
        <w:t>д</w:t>
      </w:r>
      <w:r w:rsidRPr="001C395F">
        <w:rPr>
          <w:rFonts w:ascii="Times New Roman" w:hAnsi="Times New Roman" w:cs="Times New Roman"/>
          <w:sz w:val="28"/>
          <w:szCs w:val="28"/>
        </w:rPr>
        <w:t>лежащих им рыночных долей</w:t>
      </w:r>
      <w:r>
        <w:rPr>
          <w:rFonts w:ascii="Times New Roman" w:hAnsi="Times New Roman" w:cs="Times New Roman"/>
          <w:sz w:val="28"/>
          <w:szCs w:val="28"/>
        </w:rPr>
        <w:t xml:space="preserve"> (</w:t>
      </w:r>
      <w:r w:rsidR="00E876D5">
        <w:rPr>
          <w:rFonts w:ascii="Times New Roman" w:hAnsi="Times New Roman" w:cs="Times New Roman"/>
          <w:iCs/>
          <w:sz w:val="28"/>
          <w:szCs w:val="28"/>
        </w:rPr>
        <w:t xml:space="preserve">табл. </w:t>
      </w:r>
      <w:r w:rsidR="00DA62A2">
        <w:rPr>
          <w:rFonts w:ascii="Times New Roman" w:hAnsi="Times New Roman" w:cs="Times New Roman"/>
          <w:iCs/>
          <w:sz w:val="28"/>
          <w:szCs w:val="28"/>
        </w:rPr>
        <w:t>7</w:t>
      </w:r>
      <w:r>
        <w:rPr>
          <w:rFonts w:ascii="Times New Roman" w:hAnsi="Times New Roman" w:cs="Times New Roman"/>
          <w:sz w:val="28"/>
          <w:szCs w:val="28"/>
        </w:rPr>
        <w:t>)</w:t>
      </w:r>
      <w:r w:rsidRPr="001C395F">
        <w:rPr>
          <w:rFonts w:ascii="Times New Roman" w:hAnsi="Times New Roman" w:cs="Times New Roman"/>
          <w:sz w:val="28"/>
          <w:szCs w:val="28"/>
        </w:rPr>
        <w:t>.</w:t>
      </w:r>
      <w:proofErr w:type="gramEnd"/>
      <w:r w:rsidRPr="001C395F">
        <w:rPr>
          <w:rFonts w:ascii="Times New Roman" w:hAnsi="Times New Roman" w:cs="Times New Roman"/>
          <w:sz w:val="28"/>
          <w:szCs w:val="28"/>
        </w:rPr>
        <w:t xml:space="preserve"> Для неоспоримого лидера на рынке ДМС – страховой группы «СОГАЗ» – это </w:t>
      </w:r>
      <w:r w:rsidR="00CF5FFB">
        <w:rPr>
          <w:rFonts w:ascii="Times New Roman" w:hAnsi="Times New Roman" w:cs="Times New Roman"/>
          <w:sz w:val="28"/>
          <w:szCs w:val="28"/>
        </w:rPr>
        <w:t xml:space="preserve">увеличение </w:t>
      </w:r>
      <w:r w:rsidRPr="001C395F">
        <w:rPr>
          <w:rFonts w:ascii="Times New Roman" w:hAnsi="Times New Roman" w:cs="Times New Roman"/>
          <w:sz w:val="28"/>
          <w:szCs w:val="28"/>
        </w:rPr>
        <w:t xml:space="preserve">составило </w:t>
      </w:r>
      <w:r w:rsidR="00CF5FFB">
        <w:rPr>
          <w:rFonts w:ascii="Times New Roman" w:hAnsi="Times New Roman" w:cs="Times New Roman"/>
          <w:sz w:val="28"/>
          <w:szCs w:val="28"/>
        </w:rPr>
        <w:t>2,71</w:t>
      </w:r>
      <w:r w:rsidRPr="001C395F">
        <w:rPr>
          <w:rFonts w:ascii="Times New Roman" w:hAnsi="Times New Roman" w:cs="Times New Roman"/>
          <w:sz w:val="28"/>
          <w:szCs w:val="28"/>
        </w:rPr>
        <w:t xml:space="preserve"> п.п. о</w:t>
      </w:r>
      <w:r w:rsidRPr="001C395F">
        <w:rPr>
          <w:rFonts w:ascii="Times New Roman" w:hAnsi="Times New Roman" w:cs="Times New Roman"/>
          <w:sz w:val="28"/>
          <w:szCs w:val="28"/>
        </w:rPr>
        <w:t>т</w:t>
      </w:r>
      <w:r w:rsidRPr="001C395F">
        <w:rPr>
          <w:rFonts w:ascii="Times New Roman" w:hAnsi="Times New Roman" w:cs="Times New Roman"/>
          <w:sz w:val="28"/>
          <w:szCs w:val="28"/>
        </w:rPr>
        <w:t>носительно уровня годом ра</w:t>
      </w:r>
      <w:r w:rsidR="00CF5FFB">
        <w:rPr>
          <w:rFonts w:ascii="Times New Roman" w:hAnsi="Times New Roman" w:cs="Times New Roman"/>
          <w:sz w:val="28"/>
          <w:szCs w:val="28"/>
        </w:rPr>
        <w:t xml:space="preserve">нее, для </w:t>
      </w:r>
      <w:r w:rsidR="00CF5FFB" w:rsidRPr="001C395F">
        <w:rPr>
          <w:rFonts w:ascii="Times New Roman" w:hAnsi="Times New Roman" w:cs="Times New Roman"/>
          <w:sz w:val="28"/>
          <w:szCs w:val="28"/>
        </w:rPr>
        <w:t>О</w:t>
      </w:r>
      <w:r w:rsidR="00CF5FFB">
        <w:rPr>
          <w:rFonts w:ascii="Times New Roman" w:hAnsi="Times New Roman" w:cs="Times New Roman"/>
          <w:sz w:val="28"/>
          <w:szCs w:val="28"/>
        </w:rPr>
        <w:t>С</w:t>
      </w:r>
      <w:r w:rsidR="00CF5FFB" w:rsidRPr="001C395F">
        <w:rPr>
          <w:rFonts w:ascii="Times New Roman" w:hAnsi="Times New Roman" w:cs="Times New Roman"/>
          <w:sz w:val="28"/>
          <w:szCs w:val="28"/>
        </w:rPr>
        <w:t>АО «</w:t>
      </w:r>
      <w:proofErr w:type="spellStart"/>
      <w:r w:rsidR="00CF5FFB">
        <w:rPr>
          <w:rFonts w:ascii="Times New Roman" w:hAnsi="Times New Roman" w:cs="Times New Roman"/>
          <w:sz w:val="28"/>
          <w:szCs w:val="28"/>
        </w:rPr>
        <w:t>Ингосстрах</w:t>
      </w:r>
      <w:proofErr w:type="spellEnd"/>
      <w:r w:rsidR="00CF5FFB" w:rsidRPr="001C395F">
        <w:rPr>
          <w:rFonts w:ascii="Times New Roman" w:hAnsi="Times New Roman" w:cs="Times New Roman"/>
          <w:sz w:val="28"/>
          <w:szCs w:val="28"/>
        </w:rPr>
        <w:t>»</w:t>
      </w:r>
      <w:r w:rsidR="00CF5FFB">
        <w:rPr>
          <w:rFonts w:ascii="Times New Roman" w:hAnsi="Times New Roman" w:cs="Times New Roman"/>
          <w:sz w:val="28"/>
          <w:szCs w:val="28"/>
        </w:rPr>
        <w:t xml:space="preserve"> – 0,95</w:t>
      </w:r>
      <w:r w:rsidRPr="001C395F">
        <w:rPr>
          <w:rFonts w:ascii="Times New Roman" w:hAnsi="Times New Roman" w:cs="Times New Roman"/>
          <w:sz w:val="28"/>
          <w:szCs w:val="28"/>
        </w:rPr>
        <w:t xml:space="preserve"> п.п., а для </w:t>
      </w:r>
      <w:r w:rsidR="00CF5FFB" w:rsidRPr="001C395F">
        <w:rPr>
          <w:rFonts w:ascii="Times New Roman" w:hAnsi="Times New Roman" w:cs="Times New Roman"/>
          <w:sz w:val="28"/>
          <w:szCs w:val="28"/>
        </w:rPr>
        <w:t>О</w:t>
      </w:r>
      <w:r w:rsidR="00CF5FFB">
        <w:rPr>
          <w:rFonts w:ascii="Times New Roman" w:hAnsi="Times New Roman" w:cs="Times New Roman"/>
          <w:sz w:val="28"/>
          <w:szCs w:val="28"/>
        </w:rPr>
        <w:t>С</w:t>
      </w:r>
      <w:r w:rsidR="00CF5FFB" w:rsidRPr="001C395F">
        <w:rPr>
          <w:rFonts w:ascii="Times New Roman" w:hAnsi="Times New Roman" w:cs="Times New Roman"/>
          <w:sz w:val="28"/>
          <w:szCs w:val="28"/>
        </w:rPr>
        <w:t>АО «</w:t>
      </w:r>
      <w:proofErr w:type="spellStart"/>
      <w:r w:rsidR="00CF5FFB">
        <w:rPr>
          <w:rFonts w:ascii="Times New Roman" w:hAnsi="Times New Roman" w:cs="Times New Roman"/>
          <w:sz w:val="28"/>
          <w:szCs w:val="28"/>
        </w:rPr>
        <w:t>РЕСО-Гарантия</w:t>
      </w:r>
      <w:proofErr w:type="spellEnd"/>
      <w:r w:rsidR="00CF5FFB">
        <w:rPr>
          <w:rFonts w:ascii="Times New Roman" w:hAnsi="Times New Roman" w:cs="Times New Roman"/>
          <w:sz w:val="28"/>
          <w:szCs w:val="28"/>
        </w:rPr>
        <w:t>»</w:t>
      </w:r>
      <w:r w:rsidRPr="001C395F">
        <w:rPr>
          <w:rFonts w:ascii="Times New Roman" w:hAnsi="Times New Roman" w:cs="Times New Roman"/>
          <w:sz w:val="28"/>
          <w:szCs w:val="28"/>
        </w:rPr>
        <w:t xml:space="preserve"> – </w:t>
      </w:r>
      <w:r w:rsidR="00CF5FFB">
        <w:rPr>
          <w:rFonts w:ascii="Times New Roman" w:hAnsi="Times New Roman" w:cs="Times New Roman"/>
          <w:sz w:val="28"/>
          <w:szCs w:val="28"/>
        </w:rPr>
        <w:t>1,53</w:t>
      </w:r>
      <w:r w:rsidRPr="001C395F">
        <w:rPr>
          <w:rFonts w:ascii="Times New Roman" w:hAnsi="Times New Roman" w:cs="Times New Roman"/>
          <w:sz w:val="28"/>
          <w:szCs w:val="28"/>
        </w:rPr>
        <w:t xml:space="preserve"> п.п.</w:t>
      </w:r>
    </w:p>
    <w:p w:rsidR="004E5CB6" w:rsidRPr="007F5DF7" w:rsidRDefault="004E5CB6" w:rsidP="0020020A">
      <w:pPr>
        <w:spacing w:after="0" w:line="360" w:lineRule="auto"/>
        <w:jc w:val="center"/>
        <w:rPr>
          <w:rFonts w:ascii="Times New Roman" w:hAnsi="Times New Roman" w:cs="Times New Roman"/>
          <w:i/>
          <w:iCs/>
          <w:sz w:val="25"/>
          <w:szCs w:val="25"/>
        </w:rPr>
      </w:pPr>
    </w:p>
    <w:p w:rsidR="00AD7D77" w:rsidRDefault="0020020A" w:rsidP="00AD7D77">
      <w:pPr>
        <w:spacing w:after="0" w:line="360" w:lineRule="auto"/>
        <w:jc w:val="center"/>
        <w:rPr>
          <w:rFonts w:ascii="Times New Roman" w:hAnsi="Times New Roman" w:cs="Times New Roman"/>
          <w:sz w:val="24"/>
          <w:szCs w:val="24"/>
        </w:rPr>
      </w:pPr>
      <w:r w:rsidRPr="0020020A">
        <w:rPr>
          <w:rFonts w:ascii="Times New Roman" w:hAnsi="Times New Roman" w:cs="Times New Roman"/>
          <w:noProof/>
          <w:sz w:val="24"/>
          <w:szCs w:val="24"/>
          <w:lang w:eastAsia="ru-RU"/>
        </w:rPr>
        <w:lastRenderedPageBreak/>
        <w:drawing>
          <wp:inline distT="0" distB="0" distL="0" distR="0">
            <wp:extent cx="4705350" cy="299085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3750" w:rsidRPr="00233750" w:rsidRDefault="00AD7D77" w:rsidP="0020020A">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Рис. </w:t>
      </w:r>
      <w:r w:rsidR="00DA62A2" w:rsidRPr="00233750">
        <w:rPr>
          <w:rFonts w:ascii="Times New Roman" w:hAnsi="Times New Roman" w:cs="Times New Roman"/>
          <w:i/>
          <w:iCs/>
          <w:sz w:val="26"/>
          <w:szCs w:val="26"/>
        </w:rPr>
        <w:t>10</w:t>
      </w:r>
      <w:r w:rsidRPr="00233750">
        <w:rPr>
          <w:rFonts w:ascii="Times New Roman" w:hAnsi="Times New Roman" w:cs="Times New Roman"/>
          <w:i/>
          <w:iCs/>
          <w:sz w:val="26"/>
          <w:szCs w:val="26"/>
        </w:rPr>
        <w:t>. Удельные веса страховых премий, собранных десяткой ведущих</w:t>
      </w:r>
    </w:p>
    <w:p w:rsidR="00AD7D77" w:rsidRPr="00233750" w:rsidRDefault="00AD7D77" w:rsidP="0020020A">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российских страховщиков в секторе ДМС в 201</w:t>
      </w:r>
      <w:r w:rsidR="0020020A" w:rsidRPr="00233750">
        <w:rPr>
          <w:rFonts w:ascii="Times New Roman" w:hAnsi="Times New Roman" w:cs="Times New Roman"/>
          <w:i/>
          <w:iCs/>
          <w:sz w:val="26"/>
          <w:szCs w:val="26"/>
        </w:rPr>
        <w:t>2</w:t>
      </w:r>
      <w:r w:rsidRPr="00233750">
        <w:rPr>
          <w:rFonts w:ascii="Times New Roman" w:hAnsi="Times New Roman" w:cs="Times New Roman"/>
          <w:i/>
          <w:iCs/>
          <w:sz w:val="26"/>
          <w:szCs w:val="26"/>
        </w:rPr>
        <w:t xml:space="preserve"> г.</w:t>
      </w:r>
    </w:p>
    <w:p w:rsidR="00AD7D77" w:rsidRPr="001C395F" w:rsidRDefault="00AD7D77" w:rsidP="00E876D5">
      <w:pPr>
        <w:spacing w:after="0" w:line="360" w:lineRule="auto"/>
        <w:ind w:firstLine="709"/>
        <w:jc w:val="both"/>
        <w:rPr>
          <w:rFonts w:ascii="Times New Roman" w:hAnsi="Times New Roman" w:cs="Times New Roman"/>
          <w:sz w:val="28"/>
          <w:szCs w:val="28"/>
        </w:rPr>
      </w:pPr>
      <w:r w:rsidRPr="001C395F">
        <w:rPr>
          <w:rFonts w:ascii="Times New Roman" w:hAnsi="Times New Roman" w:cs="Times New Roman"/>
          <w:sz w:val="28"/>
          <w:szCs w:val="28"/>
        </w:rPr>
        <w:t>Наибольшей убыточностью в 201</w:t>
      </w:r>
      <w:r w:rsidR="00E876D5">
        <w:rPr>
          <w:rFonts w:ascii="Times New Roman" w:hAnsi="Times New Roman" w:cs="Times New Roman"/>
          <w:sz w:val="28"/>
          <w:szCs w:val="28"/>
        </w:rPr>
        <w:t>2</w:t>
      </w:r>
      <w:r w:rsidRPr="001C395F">
        <w:rPr>
          <w:rFonts w:ascii="Times New Roman" w:hAnsi="Times New Roman" w:cs="Times New Roman"/>
          <w:sz w:val="28"/>
          <w:szCs w:val="28"/>
        </w:rPr>
        <w:t xml:space="preserve"> г. характеризовались портфели по ДМС страховой группы «СОГАЗ» (</w:t>
      </w:r>
      <w:r w:rsidR="00E876D5">
        <w:rPr>
          <w:rFonts w:ascii="Times New Roman" w:hAnsi="Times New Roman" w:cs="Times New Roman"/>
          <w:sz w:val="28"/>
          <w:szCs w:val="28"/>
        </w:rPr>
        <w:t>88,33</w:t>
      </w:r>
      <w:r w:rsidRPr="001C395F">
        <w:rPr>
          <w:rFonts w:ascii="Times New Roman" w:hAnsi="Times New Roman" w:cs="Times New Roman"/>
          <w:sz w:val="28"/>
          <w:szCs w:val="28"/>
        </w:rPr>
        <w:t xml:space="preserve">%) </w:t>
      </w:r>
      <w:proofErr w:type="gramStart"/>
      <w:r w:rsidRPr="001C395F">
        <w:rPr>
          <w:rFonts w:ascii="Times New Roman" w:hAnsi="Times New Roman" w:cs="Times New Roman"/>
          <w:sz w:val="28"/>
          <w:szCs w:val="28"/>
        </w:rPr>
        <w:t xml:space="preserve">и </w:t>
      </w:r>
      <w:r w:rsidR="00E876D5" w:rsidRPr="001C395F">
        <w:rPr>
          <w:rFonts w:ascii="Times New Roman" w:hAnsi="Times New Roman" w:cs="Times New Roman"/>
          <w:sz w:val="28"/>
          <w:szCs w:val="28"/>
        </w:rPr>
        <w:t>ООО</w:t>
      </w:r>
      <w:proofErr w:type="gramEnd"/>
      <w:r w:rsidR="00E876D5" w:rsidRPr="001C395F">
        <w:rPr>
          <w:rFonts w:ascii="Times New Roman" w:hAnsi="Times New Roman" w:cs="Times New Roman"/>
          <w:sz w:val="28"/>
          <w:szCs w:val="28"/>
        </w:rPr>
        <w:t xml:space="preserve"> «СК «Согласие»</w:t>
      </w:r>
      <w:r w:rsidRPr="001C395F">
        <w:rPr>
          <w:rFonts w:ascii="Times New Roman" w:hAnsi="Times New Roman" w:cs="Times New Roman"/>
          <w:sz w:val="28"/>
          <w:szCs w:val="28"/>
        </w:rPr>
        <w:t xml:space="preserve"> (</w:t>
      </w:r>
      <w:r w:rsidR="00E876D5">
        <w:rPr>
          <w:rFonts w:ascii="Times New Roman" w:hAnsi="Times New Roman" w:cs="Times New Roman"/>
          <w:sz w:val="28"/>
          <w:szCs w:val="28"/>
        </w:rPr>
        <w:t>84,29</w:t>
      </w:r>
      <w:r w:rsidRPr="001C395F">
        <w:rPr>
          <w:rFonts w:ascii="Times New Roman" w:hAnsi="Times New Roman" w:cs="Times New Roman"/>
          <w:sz w:val="28"/>
          <w:szCs w:val="28"/>
        </w:rPr>
        <w:t xml:space="preserve">%), тогда как наименьшие значения коэффициента выплат по договорам ДМС были зафиксированы у </w:t>
      </w:r>
      <w:r w:rsidR="00C74131">
        <w:rPr>
          <w:rFonts w:ascii="Times New Roman" w:hAnsi="Times New Roman" w:cs="Times New Roman"/>
          <w:sz w:val="28"/>
          <w:szCs w:val="28"/>
        </w:rPr>
        <w:t>ОО</w:t>
      </w:r>
      <w:r w:rsidRPr="001C395F">
        <w:rPr>
          <w:rFonts w:ascii="Times New Roman" w:hAnsi="Times New Roman" w:cs="Times New Roman"/>
          <w:sz w:val="28"/>
          <w:szCs w:val="28"/>
        </w:rPr>
        <w:t>О «</w:t>
      </w:r>
      <w:r w:rsidR="00C74131">
        <w:rPr>
          <w:rFonts w:ascii="Times New Roman" w:hAnsi="Times New Roman" w:cs="Times New Roman"/>
          <w:sz w:val="28"/>
          <w:szCs w:val="28"/>
        </w:rPr>
        <w:t>Группа Ренессанс Страхование</w:t>
      </w:r>
      <w:r w:rsidRPr="001C395F">
        <w:rPr>
          <w:rFonts w:ascii="Times New Roman" w:hAnsi="Times New Roman" w:cs="Times New Roman"/>
          <w:sz w:val="28"/>
          <w:szCs w:val="28"/>
        </w:rPr>
        <w:t>» (</w:t>
      </w:r>
      <w:r w:rsidR="00C74131">
        <w:rPr>
          <w:rFonts w:ascii="Times New Roman" w:hAnsi="Times New Roman" w:cs="Times New Roman"/>
          <w:sz w:val="28"/>
          <w:szCs w:val="28"/>
        </w:rPr>
        <w:t>48,41</w:t>
      </w:r>
      <w:r w:rsidRPr="001C395F">
        <w:rPr>
          <w:rFonts w:ascii="Times New Roman" w:hAnsi="Times New Roman" w:cs="Times New Roman"/>
          <w:sz w:val="28"/>
          <w:szCs w:val="28"/>
        </w:rPr>
        <w:t>%)</w:t>
      </w:r>
      <w:r w:rsidR="00C74131" w:rsidRPr="00C74131">
        <w:rPr>
          <w:rFonts w:ascii="Times New Roman" w:hAnsi="Times New Roman" w:cs="Times New Roman"/>
          <w:sz w:val="28"/>
          <w:szCs w:val="28"/>
        </w:rPr>
        <w:t xml:space="preserve"> </w:t>
      </w:r>
      <w:r w:rsidR="00C74131">
        <w:rPr>
          <w:rFonts w:ascii="Times New Roman" w:hAnsi="Times New Roman" w:cs="Times New Roman"/>
          <w:sz w:val="28"/>
          <w:szCs w:val="28"/>
        </w:rPr>
        <w:t xml:space="preserve">и </w:t>
      </w:r>
      <w:r w:rsidR="00C74131" w:rsidRPr="001C395F">
        <w:rPr>
          <w:rFonts w:ascii="Times New Roman" w:hAnsi="Times New Roman" w:cs="Times New Roman"/>
          <w:sz w:val="28"/>
          <w:szCs w:val="28"/>
        </w:rPr>
        <w:t>группы компаний «</w:t>
      </w:r>
      <w:proofErr w:type="spellStart"/>
      <w:r w:rsidR="00C74131" w:rsidRPr="001C395F">
        <w:rPr>
          <w:rFonts w:ascii="Times New Roman" w:hAnsi="Times New Roman" w:cs="Times New Roman"/>
          <w:sz w:val="28"/>
          <w:szCs w:val="28"/>
        </w:rPr>
        <w:t>Росгосстрах</w:t>
      </w:r>
      <w:proofErr w:type="spellEnd"/>
      <w:r w:rsidR="00C74131" w:rsidRPr="001C395F">
        <w:rPr>
          <w:rFonts w:ascii="Times New Roman" w:hAnsi="Times New Roman" w:cs="Times New Roman"/>
          <w:sz w:val="28"/>
          <w:szCs w:val="28"/>
        </w:rPr>
        <w:t>» (</w:t>
      </w:r>
      <w:r w:rsidR="00C74131">
        <w:rPr>
          <w:rFonts w:ascii="Times New Roman" w:hAnsi="Times New Roman" w:cs="Times New Roman"/>
          <w:sz w:val="28"/>
          <w:szCs w:val="28"/>
        </w:rPr>
        <w:t>61,29</w:t>
      </w:r>
      <w:r w:rsidR="00C74131" w:rsidRPr="001C395F">
        <w:rPr>
          <w:rFonts w:ascii="Times New Roman" w:hAnsi="Times New Roman" w:cs="Times New Roman"/>
          <w:sz w:val="28"/>
          <w:szCs w:val="28"/>
        </w:rPr>
        <w:t>%)</w:t>
      </w:r>
      <w:r w:rsidRPr="001C395F">
        <w:rPr>
          <w:rFonts w:ascii="Times New Roman" w:hAnsi="Times New Roman" w:cs="Times New Roman"/>
          <w:sz w:val="28"/>
          <w:szCs w:val="28"/>
        </w:rPr>
        <w:t>.</w:t>
      </w:r>
    </w:p>
    <w:p w:rsidR="00AD7D77" w:rsidRPr="00233750" w:rsidRDefault="00AD7D77" w:rsidP="00E876D5">
      <w:pPr>
        <w:spacing w:after="0" w:line="360" w:lineRule="auto"/>
        <w:ind w:firstLine="709"/>
        <w:jc w:val="right"/>
        <w:rPr>
          <w:rFonts w:ascii="Times New Roman" w:hAnsi="Times New Roman" w:cs="Times New Roman"/>
          <w:i/>
          <w:iCs/>
          <w:sz w:val="26"/>
          <w:szCs w:val="26"/>
        </w:rPr>
      </w:pPr>
      <w:r w:rsidRPr="00233750">
        <w:rPr>
          <w:rFonts w:ascii="Times New Roman" w:hAnsi="Times New Roman" w:cs="Times New Roman"/>
          <w:i/>
          <w:iCs/>
          <w:sz w:val="26"/>
          <w:szCs w:val="26"/>
        </w:rPr>
        <w:t xml:space="preserve">Таблица </w:t>
      </w:r>
      <w:r w:rsidR="00DA62A2" w:rsidRPr="00233750">
        <w:rPr>
          <w:rFonts w:ascii="Times New Roman" w:hAnsi="Times New Roman" w:cs="Times New Roman"/>
          <w:i/>
          <w:iCs/>
          <w:sz w:val="26"/>
          <w:szCs w:val="26"/>
        </w:rPr>
        <w:t>7</w:t>
      </w:r>
    </w:p>
    <w:p w:rsidR="00AD7D77" w:rsidRPr="00233750" w:rsidRDefault="00AD7D77" w:rsidP="00E876D5">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 xml:space="preserve">Страховые организации, лидировавшие по страховым премиям </w:t>
      </w:r>
    </w:p>
    <w:p w:rsidR="00AD7D77" w:rsidRPr="00233750" w:rsidRDefault="00AD7D77" w:rsidP="00E876D5">
      <w:pPr>
        <w:spacing w:after="0" w:line="360" w:lineRule="auto"/>
        <w:jc w:val="center"/>
        <w:rPr>
          <w:rFonts w:ascii="Times New Roman" w:hAnsi="Times New Roman" w:cs="Times New Roman"/>
          <w:i/>
          <w:iCs/>
          <w:sz w:val="26"/>
          <w:szCs w:val="26"/>
        </w:rPr>
      </w:pPr>
      <w:r w:rsidRPr="00233750">
        <w:rPr>
          <w:rFonts w:ascii="Times New Roman" w:hAnsi="Times New Roman" w:cs="Times New Roman"/>
          <w:i/>
          <w:iCs/>
          <w:sz w:val="26"/>
          <w:szCs w:val="26"/>
        </w:rPr>
        <w:t>в секторе ДМС в 201</w:t>
      </w:r>
      <w:r w:rsidR="00E876D5" w:rsidRPr="00233750">
        <w:rPr>
          <w:rFonts w:ascii="Times New Roman" w:hAnsi="Times New Roman" w:cs="Times New Roman"/>
          <w:i/>
          <w:iCs/>
          <w:sz w:val="26"/>
          <w:szCs w:val="26"/>
        </w:rPr>
        <w:t xml:space="preserve">2 </w:t>
      </w:r>
      <w:r w:rsidRPr="00233750">
        <w:rPr>
          <w:rFonts w:ascii="Times New Roman" w:hAnsi="Times New Roman" w:cs="Times New Roman"/>
          <w:i/>
          <w:iCs/>
          <w:sz w:val="26"/>
          <w:szCs w:val="26"/>
        </w:rPr>
        <w:t>г.</w:t>
      </w:r>
    </w:p>
    <w:tbl>
      <w:tblPr>
        <w:tblW w:w="9805" w:type="dxa"/>
        <w:jc w:val="right"/>
        <w:tblInd w:w="349" w:type="dxa"/>
        <w:tblLook w:val="04A0"/>
      </w:tblPr>
      <w:tblGrid>
        <w:gridCol w:w="531"/>
        <w:gridCol w:w="2031"/>
        <w:gridCol w:w="1692"/>
        <w:gridCol w:w="1275"/>
        <w:gridCol w:w="1701"/>
        <w:gridCol w:w="1140"/>
        <w:gridCol w:w="1598"/>
      </w:tblGrid>
      <w:tr w:rsidR="004E5CB6" w:rsidRPr="004E5CB6" w:rsidTr="00233750">
        <w:trPr>
          <w:trHeight w:val="1116"/>
          <w:jc w:val="right"/>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 xml:space="preserve">№ </w:t>
            </w:r>
            <w:proofErr w:type="spellStart"/>
            <w:proofErr w:type="gramStart"/>
            <w:r w:rsidRPr="004E5CB6">
              <w:rPr>
                <w:rFonts w:ascii="Times New Roman" w:eastAsia="Times New Roman" w:hAnsi="Times New Roman" w:cs="Times New Roman"/>
                <w:b/>
                <w:bCs/>
                <w:color w:val="000000"/>
                <w:lang w:eastAsia="ru-RU"/>
              </w:rPr>
              <w:t>п</w:t>
            </w:r>
            <w:proofErr w:type="spellEnd"/>
            <w:proofErr w:type="gramEnd"/>
            <w:r w:rsidRPr="004E5CB6">
              <w:rPr>
                <w:rFonts w:ascii="Times New Roman" w:eastAsia="Times New Roman" w:hAnsi="Times New Roman" w:cs="Times New Roman"/>
                <w:b/>
                <w:bCs/>
                <w:color w:val="000000"/>
                <w:lang w:eastAsia="ru-RU"/>
              </w:rPr>
              <w:t>/</w:t>
            </w:r>
            <w:proofErr w:type="spellStart"/>
            <w:r w:rsidRPr="004E5CB6">
              <w:rPr>
                <w:rFonts w:ascii="Times New Roman" w:eastAsia="Times New Roman" w:hAnsi="Times New Roman" w:cs="Times New Roman"/>
                <w:b/>
                <w:bCs/>
                <w:color w:val="000000"/>
                <w:lang w:eastAsia="ru-RU"/>
              </w:rPr>
              <w:t>п</w:t>
            </w:r>
            <w:proofErr w:type="spellEnd"/>
          </w:p>
        </w:tc>
        <w:tc>
          <w:tcPr>
            <w:tcW w:w="2031" w:type="dxa"/>
            <w:tcBorders>
              <w:top w:val="single" w:sz="4" w:space="0" w:color="auto"/>
              <w:left w:val="nil"/>
              <w:bottom w:val="single" w:sz="4" w:space="0" w:color="auto"/>
              <w:right w:val="single" w:sz="4" w:space="0" w:color="auto"/>
            </w:tcBorders>
            <w:shd w:val="clear" w:color="auto" w:fill="auto"/>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Наименование страховой орг</w:t>
            </w:r>
            <w:r w:rsidRPr="004E5CB6">
              <w:rPr>
                <w:rFonts w:ascii="Times New Roman" w:eastAsia="Times New Roman" w:hAnsi="Times New Roman" w:cs="Times New Roman"/>
                <w:b/>
                <w:bCs/>
                <w:color w:val="000000"/>
                <w:lang w:eastAsia="ru-RU"/>
              </w:rPr>
              <w:t>а</w:t>
            </w:r>
            <w:r w:rsidRPr="004E5CB6">
              <w:rPr>
                <w:rFonts w:ascii="Times New Roman" w:eastAsia="Times New Roman" w:hAnsi="Times New Roman" w:cs="Times New Roman"/>
                <w:b/>
                <w:bCs/>
                <w:color w:val="000000"/>
                <w:lang w:eastAsia="ru-RU"/>
              </w:rPr>
              <w:t>низации</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Страховые премии по д</w:t>
            </w:r>
            <w:r w:rsidRPr="004E5CB6">
              <w:rPr>
                <w:rFonts w:ascii="Times New Roman" w:eastAsia="Times New Roman" w:hAnsi="Times New Roman" w:cs="Times New Roman"/>
                <w:b/>
                <w:bCs/>
                <w:color w:val="000000"/>
                <w:lang w:eastAsia="ru-RU"/>
              </w:rPr>
              <w:t>о</w:t>
            </w:r>
            <w:r w:rsidRPr="004E5CB6">
              <w:rPr>
                <w:rFonts w:ascii="Times New Roman" w:eastAsia="Times New Roman" w:hAnsi="Times New Roman" w:cs="Times New Roman"/>
                <w:b/>
                <w:bCs/>
                <w:color w:val="000000"/>
                <w:lang w:eastAsia="ru-RU"/>
              </w:rPr>
              <w:t>говорам ДМС, тыс.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Темп прироста к 201</w:t>
            </w:r>
            <w:r w:rsidR="00E876D5">
              <w:rPr>
                <w:rFonts w:ascii="Times New Roman" w:eastAsia="Times New Roman" w:hAnsi="Times New Roman" w:cs="Times New Roman"/>
                <w:b/>
                <w:bCs/>
                <w:color w:val="000000"/>
                <w:lang w:val="en-GB" w:eastAsia="ru-RU"/>
              </w:rPr>
              <w:t>1</w:t>
            </w:r>
            <w:r w:rsidRPr="004E5CB6">
              <w:rPr>
                <w:rFonts w:ascii="Times New Roman" w:eastAsia="Times New Roman" w:hAnsi="Times New Roman" w:cs="Times New Roman"/>
                <w:b/>
                <w:bCs/>
                <w:color w:val="000000"/>
                <w:lang w:eastAsia="ru-RU"/>
              </w:rPr>
              <w:t xml:space="preserve"> г.,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Страховые выплаты по договорам ДМС, тыс. руб.</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4E5CB6" w:rsidRPr="004E5CB6" w:rsidRDefault="00E876D5" w:rsidP="00E876D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Темп прироста к 201</w:t>
            </w:r>
            <w:r>
              <w:rPr>
                <w:rFonts w:ascii="Times New Roman" w:eastAsia="Times New Roman" w:hAnsi="Times New Roman" w:cs="Times New Roman"/>
                <w:b/>
                <w:bCs/>
                <w:color w:val="000000"/>
                <w:lang w:val="en-GB" w:eastAsia="ru-RU"/>
              </w:rPr>
              <w:t>1</w:t>
            </w:r>
            <w:r w:rsidR="004E5CB6" w:rsidRPr="004E5CB6">
              <w:rPr>
                <w:rFonts w:ascii="Times New Roman" w:eastAsia="Times New Roman" w:hAnsi="Times New Roman" w:cs="Times New Roman"/>
                <w:b/>
                <w:bCs/>
                <w:color w:val="000000"/>
                <w:lang w:eastAsia="ru-RU"/>
              </w:rPr>
              <w:t xml:space="preserve"> г., %</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Коэффициент выплат, %</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1</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СОГАЗ</w:t>
            </w:r>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22 841 309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28,34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20 175 310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19,96</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88,33</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2</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proofErr w:type="spellStart"/>
            <w:r w:rsidRPr="004E5CB6">
              <w:rPr>
                <w:rFonts w:ascii="Times New Roman" w:eastAsia="Times New Roman" w:hAnsi="Times New Roman" w:cs="Times New Roman"/>
                <w:lang w:eastAsia="ru-RU"/>
              </w:rPr>
              <w:t>Ингосстрах</w:t>
            </w:r>
            <w:proofErr w:type="spellEnd"/>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7 876 564</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28,63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5 788 335</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19,22</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73,49</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3</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proofErr w:type="spellStart"/>
            <w:r w:rsidRPr="004E5CB6">
              <w:rPr>
                <w:rFonts w:ascii="Times New Roman" w:eastAsia="Times New Roman" w:hAnsi="Times New Roman" w:cs="Times New Roman"/>
                <w:lang w:eastAsia="ru-RU"/>
              </w:rPr>
              <w:t>РЕСО-Гарантия</w:t>
            </w:r>
            <w:proofErr w:type="spellEnd"/>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7 662 655</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42,72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5 159 007</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42,38</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67,33</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4</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ЖАСО</w:t>
            </w:r>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7 615 518</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12,75</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6 385 600</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11,02</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83,85</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5</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proofErr w:type="spellStart"/>
            <w:r w:rsidRPr="004E5CB6">
              <w:rPr>
                <w:rFonts w:ascii="Times New Roman" w:eastAsia="Times New Roman" w:hAnsi="Times New Roman" w:cs="Times New Roman"/>
                <w:lang w:eastAsia="ru-RU"/>
              </w:rPr>
              <w:t>Allianz</w:t>
            </w:r>
            <w:proofErr w:type="spellEnd"/>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6 143 503</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-14,63</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5 091 981</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-7,19</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82,88</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6</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proofErr w:type="spellStart"/>
            <w:r w:rsidRPr="004E5CB6">
              <w:rPr>
                <w:rFonts w:ascii="Times New Roman" w:eastAsia="Times New Roman" w:hAnsi="Times New Roman" w:cs="Times New Roman"/>
                <w:lang w:eastAsia="ru-RU"/>
              </w:rPr>
              <w:t>Росгосстрах</w:t>
            </w:r>
            <w:proofErr w:type="spellEnd"/>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5 653 106</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-2,04</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3 465 023</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8,80</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61,29</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7</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proofErr w:type="spellStart"/>
            <w:r w:rsidRPr="004E5CB6">
              <w:rPr>
                <w:rFonts w:ascii="Times New Roman" w:eastAsia="Times New Roman" w:hAnsi="Times New Roman" w:cs="Times New Roman"/>
                <w:lang w:eastAsia="ru-RU"/>
              </w:rPr>
              <w:t>АльфаСтрахование</w:t>
            </w:r>
            <w:proofErr w:type="spellEnd"/>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5 315 160</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-4,28</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4 252 962</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28,64</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80,02</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8</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Согласие</w:t>
            </w:r>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4 560 925</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36,13</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3 871 653</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46,91</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84,89</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9</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Ренессанс Страх</w:t>
            </w:r>
            <w:r w:rsidRPr="004E5CB6">
              <w:rPr>
                <w:rFonts w:ascii="Times New Roman" w:eastAsia="Times New Roman" w:hAnsi="Times New Roman" w:cs="Times New Roman"/>
                <w:lang w:eastAsia="ru-RU"/>
              </w:rPr>
              <w:t>о</w:t>
            </w:r>
            <w:r w:rsidRPr="004E5CB6">
              <w:rPr>
                <w:rFonts w:ascii="Times New Roman" w:eastAsia="Times New Roman" w:hAnsi="Times New Roman" w:cs="Times New Roman"/>
                <w:lang w:eastAsia="ru-RU"/>
              </w:rPr>
              <w:t>вание</w:t>
            </w:r>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3 234 352</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33,78</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1 565 841</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13,41</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48,41</w:t>
            </w:r>
          </w:p>
        </w:tc>
      </w:tr>
      <w:tr w:rsidR="004E5CB6" w:rsidRPr="004E5CB6" w:rsidTr="0012647D">
        <w:trPr>
          <w:trHeight w:val="296"/>
          <w:jc w:val="right"/>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center"/>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10</w:t>
            </w:r>
          </w:p>
        </w:tc>
        <w:tc>
          <w:tcPr>
            <w:tcW w:w="2031" w:type="dxa"/>
            <w:tcBorders>
              <w:top w:val="nil"/>
              <w:left w:val="nil"/>
              <w:bottom w:val="single" w:sz="4" w:space="0" w:color="auto"/>
              <w:right w:val="single" w:sz="4" w:space="0" w:color="auto"/>
            </w:tcBorders>
            <w:shd w:val="clear" w:color="000000" w:fill="FFFFFF"/>
            <w:vAlign w:val="center"/>
            <w:hideMark/>
          </w:tcPr>
          <w:p w:rsidR="004E5CB6" w:rsidRPr="004E5CB6" w:rsidRDefault="004E5CB6" w:rsidP="004E5CB6">
            <w:pPr>
              <w:spacing w:after="0" w:line="240" w:lineRule="auto"/>
              <w:rPr>
                <w:rFonts w:ascii="Times New Roman" w:eastAsia="Times New Roman" w:hAnsi="Times New Roman" w:cs="Times New Roman"/>
                <w:lang w:eastAsia="ru-RU"/>
              </w:rPr>
            </w:pPr>
            <w:proofErr w:type="spellStart"/>
            <w:r w:rsidRPr="004E5CB6">
              <w:rPr>
                <w:rFonts w:ascii="Times New Roman" w:eastAsia="Times New Roman" w:hAnsi="Times New Roman" w:cs="Times New Roman"/>
                <w:lang w:eastAsia="ru-RU"/>
              </w:rPr>
              <w:t>Транснефть</w:t>
            </w:r>
            <w:proofErr w:type="spellEnd"/>
          </w:p>
        </w:tc>
        <w:tc>
          <w:tcPr>
            <w:tcW w:w="1692"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4E5CB6">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2 372 706</w:t>
            </w:r>
          </w:p>
        </w:tc>
        <w:tc>
          <w:tcPr>
            <w:tcW w:w="127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4,26</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color w:val="000000"/>
                <w:lang w:eastAsia="ru-RU"/>
              </w:rPr>
            </w:pPr>
            <w:r w:rsidRPr="004E5CB6">
              <w:rPr>
                <w:rFonts w:ascii="Times New Roman" w:eastAsia="Times New Roman" w:hAnsi="Times New Roman" w:cs="Times New Roman"/>
                <w:color w:val="000000"/>
                <w:lang w:eastAsia="ru-RU"/>
              </w:rPr>
              <w:t>1 661 786</w:t>
            </w:r>
          </w:p>
        </w:tc>
        <w:tc>
          <w:tcPr>
            <w:tcW w:w="1140"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29,18</w:t>
            </w:r>
          </w:p>
        </w:tc>
        <w:tc>
          <w:tcPr>
            <w:tcW w:w="1435"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lang w:eastAsia="ru-RU"/>
              </w:rPr>
            </w:pPr>
            <w:r w:rsidRPr="004E5CB6">
              <w:rPr>
                <w:rFonts w:ascii="Times New Roman" w:eastAsia="Times New Roman" w:hAnsi="Times New Roman" w:cs="Times New Roman"/>
                <w:lang w:eastAsia="ru-RU"/>
              </w:rPr>
              <w:t>70,04</w:t>
            </w:r>
          </w:p>
        </w:tc>
      </w:tr>
      <w:tr w:rsidR="004E5CB6" w:rsidRPr="004E5CB6" w:rsidTr="0012647D">
        <w:trPr>
          <w:trHeight w:val="296"/>
          <w:jc w:val="right"/>
        </w:trPr>
        <w:tc>
          <w:tcPr>
            <w:tcW w:w="2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center"/>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Итого по Топ-10</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73 275 798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b/>
                <w:bCs/>
                <w:lang w:eastAsia="ru-RU"/>
              </w:rPr>
            </w:pPr>
            <w:r w:rsidRPr="004E5CB6">
              <w:rPr>
                <w:rFonts w:ascii="Times New Roman" w:eastAsia="Times New Roman" w:hAnsi="Times New Roman" w:cs="Times New Roman"/>
                <w:b/>
                <w:bCs/>
                <w:lang w:eastAsia="ru-RU"/>
              </w:rPr>
              <w:t>17,04</w:t>
            </w:r>
          </w:p>
        </w:tc>
        <w:tc>
          <w:tcPr>
            <w:tcW w:w="1701" w:type="dxa"/>
            <w:tcBorders>
              <w:top w:val="nil"/>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b/>
                <w:bCs/>
                <w:color w:val="000000"/>
                <w:lang w:eastAsia="ru-RU"/>
              </w:rPr>
            </w:pPr>
            <w:r w:rsidRPr="004E5CB6">
              <w:rPr>
                <w:rFonts w:ascii="Times New Roman" w:eastAsia="Times New Roman" w:hAnsi="Times New Roman" w:cs="Times New Roman"/>
                <w:b/>
                <w:bCs/>
                <w:color w:val="000000"/>
                <w:lang w:eastAsia="ru-RU"/>
              </w:rPr>
              <w:t>57 417 498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b/>
                <w:bCs/>
                <w:lang w:eastAsia="ru-RU"/>
              </w:rPr>
            </w:pPr>
            <w:r w:rsidRPr="004E5CB6">
              <w:rPr>
                <w:rFonts w:ascii="Times New Roman" w:eastAsia="Times New Roman" w:hAnsi="Times New Roman" w:cs="Times New Roman"/>
                <w:b/>
                <w:bCs/>
                <w:lang w:eastAsia="ru-RU"/>
              </w:rPr>
              <w:t>18,81</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4E5CB6" w:rsidRPr="004E5CB6" w:rsidRDefault="004E5CB6" w:rsidP="00E876D5">
            <w:pPr>
              <w:spacing w:after="0" w:line="240" w:lineRule="auto"/>
              <w:jc w:val="right"/>
              <w:rPr>
                <w:rFonts w:ascii="Times New Roman" w:eastAsia="Times New Roman" w:hAnsi="Times New Roman" w:cs="Times New Roman"/>
                <w:b/>
                <w:bCs/>
                <w:lang w:eastAsia="ru-RU"/>
              </w:rPr>
            </w:pPr>
            <w:r w:rsidRPr="004E5CB6">
              <w:rPr>
                <w:rFonts w:ascii="Times New Roman" w:eastAsia="Times New Roman" w:hAnsi="Times New Roman" w:cs="Times New Roman"/>
                <w:b/>
                <w:bCs/>
                <w:lang w:eastAsia="ru-RU"/>
              </w:rPr>
              <w:t>78,36</w:t>
            </w:r>
          </w:p>
        </w:tc>
      </w:tr>
    </w:tbl>
    <w:p w:rsidR="001D2377" w:rsidRPr="00757775" w:rsidRDefault="001D2377" w:rsidP="001D23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1.3</w:t>
      </w:r>
      <w:r w:rsidRPr="00757775">
        <w:rPr>
          <w:rFonts w:ascii="Times New Roman" w:hAnsi="Times New Roman" w:cs="Times New Roman"/>
          <w:b/>
          <w:sz w:val="28"/>
          <w:szCs w:val="28"/>
        </w:rPr>
        <w:t xml:space="preserve">. </w:t>
      </w:r>
      <w:r>
        <w:rPr>
          <w:rFonts w:ascii="Times New Roman" w:hAnsi="Times New Roman" w:cs="Times New Roman"/>
          <w:b/>
          <w:sz w:val="28"/>
          <w:szCs w:val="28"/>
        </w:rPr>
        <w:t>Особенности формирования страховых резервов в ДМС</w:t>
      </w:r>
    </w:p>
    <w:p w:rsidR="00710468" w:rsidRDefault="00710468" w:rsidP="00710468">
      <w:pPr>
        <w:spacing w:after="0" w:line="360" w:lineRule="auto"/>
        <w:ind w:firstLine="709"/>
        <w:jc w:val="both"/>
        <w:rPr>
          <w:rFonts w:ascii="Times New Roman" w:hAnsi="Times New Roman" w:cs="Times New Roman"/>
          <w:sz w:val="28"/>
          <w:szCs w:val="28"/>
        </w:rPr>
      </w:pPr>
      <w:r w:rsidRPr="00DC6275">
        <w:rPr>
          <w:rFonts w:ascii="Times New Roman" w:hAnsi="Times New Roman" w:cs="Times New Roman"/>
          <w:i/>
          <w:sz w:val="28"/>
          <w:szCs w:val="28"/>
        </w:rPr>
        <w:t>Страховой резерв</w:t>
      </w:r>
      <w:r w:rsidRPr="00DC6275">
        <w:rPr>
          <w:rFonts w:ascii="Times New Roman" w:hAnsi="Times New Roman" w:cs="Times New Roman"/>
          <w:sz w:val="28"/>
          <w:szCs w:val="28"/>
        </w:rPr>
        <w:t xml:space="preserve"> – это денежный фонд, образуемый страховой комп</w:t>
      </w:r>
      <w:r w:rsidRPr="00DC6275">
        <w:rPr>
          <w:rFonts w:ascii="Times New Roman" w:hAnsi="Times New Roman" w:cs="Times New Roman"/>
          <w:sz w:val="28"/>
          <w:szCs w:val="28"/>
        </w:rPr>
        <w:t>а</w:t>
      </w:r>
      <w:r w:rsidRPr="00DC6275">
        <w:rPr>
          <w:rFonts w:ascii="Times New Roman" w:hAnsi="Times New Roman" w:cs="Times New Roman"/>
          <w:sz w:val="28"/>
          <w:szCs w:val="28"/>
        </w:rPr>
        <w:t xml:space="preserve">нией за счет </w:t>
      </w:r>
      <w:r>
        <w:rPr>
          <w:rFonts w:ascii="Times New Roman" w:hAnsi="Times New Roman" w:cs="Times New Roman"/>
          <w:sz w:val="28"/>
          <w:szCs w:val="28"/>
        </w:rPr>
        <w:t>аккумулированных</w:t>
      </w:r>
      <w:r w:rsidRPr="00DC6275">
        <w:rPr>
          <w:rFonts w:ascii="Times New Roman" w:hAnsi="Times New Roman" w:cs="Times New Roman"/>
          <w:sz w:val="28"/>
          <w:szCs w:val="28"/>
        </w:rPr>
        <w:t xml:space="preserve"> страховых взносов и предназначенный </w:t>
      </w:r>
      <w:r>
        <w:rPr>
          <w:rFonts w:ascii="Times New Roman" w:hAnsi="Times New Roman" w:cs="Times New Roman"/>
          <w:sz w:val="28"/>
          <w:szCs w:val="28"/>
        </w:rPr>
        <w:t xml:space="preserve">для обеспечения исполнения ею обязательств по страховым выплатам </w:t>
      </w:r>
      <w:r w:rsidRPr="00DC6275">
        <w:rPr>
          <w:rFonts w:ascii="Times New Roman" w:hAnsi="Times New Roman" w:cs="Times New Roman"/>
          <w:sz w:val="28"/>
          <w:szCs w:val="28"/>
        </w:rPr>
        <w:t xml:space="preserve">в порядке и на условиях, предусмотренных как </w:t>
      </w:r>
      <w:r>
        <w:rPr>
          <w:rFonts w:ascii="Times New Roman" w:hAnsi="Times New Roman" w:cs="Times New Roman"/>
          <w:sz w:val="28"/>
          <w:szCs w:val="28"/>
        </w:rPr>
        <w:t>действующим</w:t>
      </w:r>
      <w:r w:rsidRPr="00DC6275">
        <w:rPr>
          <w:rFonts w:ascii="Times New Roman" w:hAnsi="Times New Roman" w:cs="Times New Roman"/>
          <w:sz w:val="28"/>
          <w:szCs w:val="28"/>
        </w:rPr>
        <w:t xml:space="preserve"> законодательством, так и заключенным договором страхования</w:t>
      </w:r>
      <w:r w:rsidR="003A59AE" w:rsidRPr="003A59AE">
        <w:rPr>
          <w:rFonts w:ascii="Times New Roman" w:hAnsi="Times New Roman" w:cs="Times New Roman"/>
          <w:sz w:val="28"/>
          <w:szCs w:val="28"/>
        </w:rPr>
        <w:t xml:space="preserve"> [2]</w:t>
      </w:r>
      <w:r w:rsidRPr="00DC6275">
        <w:rPr>
          <w:rFonts w:ascii="Times New Roman" w:hAnsi="Times New Roman" w:cs="Times New Roman"/>
          <w:sz w:val="28"/>
          <w:szCs w:val="28"/>
        </w:rPr>
        <w:t>.</w:t>
      </w:r>
      <w:r>
        <w:rPr>
          <w:rFonts w:ascii="Times New Roman" w:hAnsi="Times New Roman" w:cs="Times New Roman"/>
          <w:sz w:val="28"/>
          <w:szCs w:val="28"/>
        </w:rPr>
        <w:t xml:space="preserve"> </w:t>
      </w:r>
    </w:p>
    <w:p w:rsidR="008F5AA8" w:rsidRDefault="00710468" w:rsidP="008F5AA8">
      <w:pPr>
        <w:spacing w:after="0" w:line="360" w:lineRule="auto"/>
        <w:ind w:firstLine="709"/>
        <w:jc w:val="both"/>
        <w:rPr>
          <w:rFonts w:ascii="Times New Roman" w:hAnsi="Times New Roman" w:cs="Times New Roman"/>
          <w:sz w:val="28"/>
          <w:szCs w:val="28"/>
        </w:rPr>
      </w:pPr>
      <w:r w:rsidRPr="00710468">
        <w:rPr>
          <w:rFonts w:ascii="Times New Roman" w:hAnsi="Times New Roman" w:cs="Times New Roman"/>
          <w:sz w:val="28"/>
          <w:szCs w:val="28"/>
        </w:rPr>
        <w:t>Потребность в формировании страховых резервов обусловлена вероя</w:t>
      </w:r>
      <w:r w:rsidRPr="00710468">
        <w:rPr>
          <w:rFonts w:ascii="Times New Roman" w:hAnsi="Times New Roman" w:cs="Times New Roman"/>
          <w:sz w:val="28"/>
          <w:szCs w:val="28"/>
        </w:rPr>
        <w:t>т</w:t>
      </w:r>
      <w:r w:rsidRPr="00710468">
        <w:rPr>
          <w:rFonts w:ascii="Times New Roman" w:hAnsi="Times New Roman" w:cs="Times New Roman"/>
          <w:sz w:val="28"/>
          <w:szCs w:val="28"/>
        </w:rPr>
        <w:t>ностным характером страховых событий и неопределенностью момента н</w:t>
      </w:r>
      <w:r w:rsidRPr="00710468">
        <w:rPr>
          <w:rFonts w:ascii="Times New Roman" w:hAnsi="Times New Roman" w:cs="Times New Roman"/>
          <w:sz w:val="28"/>
          <w:szCs w:val="28"/>
        </w:rPr>
        <w:t>а</w:t>
      </w:r>
      <w:r w:rsidRPr="00710468">
        <w:rPr>
          <w:rFonts w:ascii="Times New Roman" w:hAnsi="Times New Roman" w:cs="Times New Roman"/>
          <w:sz w:val="28"/>
          <w:szCs w:val="28"/>
        </w:rPr>
        <w:t xml:space="preserve">ступления и </w:t>
      </w:r>
      <w:r>
        <w:rPr>
          <w:rFonts w:ascii="Times New Roman" w:hAnsi="Times New Roman" w:cs="Times New Roman"/>
          <w:sz w:val="28"/>
          <w:szCs w:val="28"/>
        </w:rPr>
        <w:t>величины</w:t>
      </w:r>
      <w:r w:rsidRPr="00710468">
        <w:rPr>
          <w:rFonts w:ascii="Times New Roman" w:hAnsi="Times New Roman" w:cs="Times New Roman"/>
          <w:sz w:val="28"/>
          <w:szCs w:val="28"/>
        </w:rPr>
        <w:t xml:space="preserve"> ущерба.</w:t>
      </w:r>
      <w:r>
        <w:rPr>
          <w:rFonts w:ascii="Times New Roman" w:hAnsi="Times New Roman" w:cs="Times New Roman"/>
          <w:sz w:val="28"/>
          <w:szCs w:val="28"/>
        </w:rPr>
        <w:t xml:space="preserve"> </w:t>
      </w:r>
      <w:r w:rsidR="00A45276">
        <w:rPr>
          <w:rFonts w:ascii="Times New Roman" w:hAnsi="Times New Roman" w:cs="Times New Roman"/>
          <w:sz w:val="28"/>
          <w:szCs w:val="28"/>
        </w:rPr>
        <w:t xml:space="preserve">Поскольку имеет место временной лаг между поступлением страховой премии и осуществлением страховых выплат, то определенная часть страховой премии должна быть зарезервирована </w:t>
      </w:r>
      <w:r w:rsidR="000A5E31">
        <w:rPr>
          <w:rFonts w:ascii="Times New Roman" w:hAnsi="Times New Roman" w:cs="Times New Roman"/>
          <w:sz w:val="28"/>
          <w:szCs w:val="28"/>
        </w:rPr>
        <w:t xml:space="preserve">на </w:t>
      </w:r>
      <w:r w:rsidR="00A45276">
        <w:rPr>
          <w:rFonts w:ascii="Times New Roman" w:hAnsi="Times New Roman" w:cs="Times New Roman"/>
          <w:sz w:val="28"/>
          <w:szCs w:val="28"/>
        </w:rPr>
        <w:t>б</w:t>
      </w:r>
      <w:r w:rsidR="00A45276">
        <w:rPr>
          <w:rFonts w:ascii="Times New Roman" w:hAnsi="Times New Roman" w:cs="Times New Roman"/>
          <w:sz w:val="28"/>
          <w:szCs w:val="28"/>
        </w:rPr>
        <w:t>у</w:t>
      </w:r>
      <w:r w:rsidR="00A45276">
        <w:rPr>
          <w:rFonts w:ascii="Times New Roman" w:hAnsi="Times New Roman" w:cs="Times New Roman"/>
          <w:sz w:val="28"/>
          <w:szCs w:val="28"/>
        </w:rPr>
        <w:t>дущее</w:t>
      </w:r>
      <w:r w:rsidR="008F5AA8">
        <w:rPr>
          <w:rFonts w:ascii="Times New Roman" w:hAnsi="Times New Roman" w:cs="Times New Roman"/>
          <w:sz w:val="28"/>
          <w:szCs w:val="28"/>
        </w:rPr>
        <w:t xml:space="preserve"> для обеспечения потенциальных страховых выплат по </w:t>
      </w:r>
      <w:r w:rsidR="008F5AA8" w:rsidRPr="008F5AA8">
        <w:rPr>
          <w:rFonts w:ascii="Times New Roman" w:hAnsi="Times New Roman" w:cs="Times New Roman"/>
          <w:sz w:val="28"/>
          <w:szCs w:val="28"/>
        </w:rPr>
        <w:t>действующи</w:t>
      </w:r>
      <w:r w:rsidR="008F5AA8">
        <w:rPr>
          <w:rFonts w:ascii="Times New Roman" w:hAnsi="Times New Roman" w:cs="Times New Roman"/>
          <w:sz w:val="28"/>
          <w:szCs w:val="28"/>
        </w:rPr>
        <w:t>м</w:t>
      </w:r>
      <w:r w:rsidR="008F5AA8" w:rsidRPr="008F5AA8">
        <w:rPr>
          <w:rFonts w:ascii="Times New Roman" w:hAnsi="Times New Roman" w:cs="Times New Roman"/>
          <w:sz w:val="28"/>
          <w:szCs w:val="28"/>
        </w:rPr>
        <w:t xml:space="preserve"> догово</w:t>
      </w:r>
      <w:r w:rsidR="008F5AA8">
        <w:rPr>
          <w:rFonts w:ascii="Times New Roman" w:hAnsi="Times New Roman" w:cs="Times New Roman"/>
          <w:sz w:val="28"/>
          <w:szCs w:val="28"/>
        </w:rPr>
        <w:t>рам</w:t>
      </w:r>
      <w:r w:rsidR="008F5AA8" w:rsidRPr="008F5AA8">
        <w:rPr>
          <w:rFonts w:ascii="Times New Roman" w:hAnsi="Times New Roman" w:cs="Times New Roman"/>
          <w:sz w:val="28"/>
          <w:szCs w:val="28"/>
        </w:rPr>
        <w:t xml:space="preserve"> страхования</w:t>
      </w:r>
      <w:r w:rsidR="008F5AA8">
        <w:rPr>
          <w:rFonts w:ascii="Times New Roman" w:hAnsi="Times New Roman" w:cs="Times New Roman"/>
          <w:sz w:val="28"/>
          <w:szCs w:val="28"/>
        </w:rPr>
        <w:t xml:space="preserve"> </w:t>
      </w:r>
      <w:r w:rsidR="00A45276" w:rsidRPr="008F5AA8">
        <w:rPr>
          <w:rFonts w:ascii="Times New Roman" w:hAnsi="Times New Roman" w:cs="Times New Roman"/>
          <w:sz w:val="28"/>
          <w:szCs w:val="28"/>
        </w:rPr>
        <w:t>путем создания страхового денежного фонда.</w:t>
      </w:r>
    </w:p>
    <w:p w:rsidR="00F6652F" w:rsidRPr="00F6652F" w:rsidRDefault="00F6652F" w:rsidP="00F6652F">
      <w:pPr>
        <w:pStyle w:val="af"/>
        <w:spacing w:line="360" w:lineRule="auto"/>
        <w:ind w:firstLine="709"/>
        <w:rPr>
          <w:rFonts w:eastAsiaTheme="minorHAnsi"/>
          <w:szCs w:val="28"/>
          <w:lang w:eastAsia="en-US"/>
        </w:rPr>
      </w:pPr>
      <w:proofErr w:type="gramStart"/>
      <w:r>
        <w:rPr>
          <w:rFonts w:eastAsiaTheme="minorHAnsi"/>
          <w:szCs w:val="28"/>
          <w:lang w:eastAsia="en-US"/>
        </w:rPr>
        <w:t xml:space="preserve">Величина </w:t>
      </w:r>
      <w:r w:rsidRPr="00F6652F">
        <w:rPr>
          <w:rFonts w:eastAsiaTheme="minorHAnsi"/>
          <w:szCs w:val="28"/>
          <w:lang w:eastAsia="en-US"/>
        </w:rPr>
        <w:t>страхового денежного фонда не может быть постоянной, п</w:t>
      </w:r>
      <w:r w:rsidRPr="00F6652F">
        <w:rPr>
          <w:rFonts w:eastAsiaTheme="minorHAnsi"/>
          <w:szCs w:val="28"/>
          <w:lang w:eastAsia="en-US"/>
        </w:rPr>
        <w:t>о</w:t>
      </w:r>
      <w:r w:rsidRPr="00F6652F">
        <w:rPr>
          <w:rFonts w:eastAsiaTheme="minorHAnsi"/>
          <w:szCs w:val="28"/>
          <w:lang w:eastAsia="en-US"/>
        </w:rPr>
        <w:t xml:space="preserve">скольку объем ответственности </w:t>
      </w:r>
      <w:r>
        <w:rPr>
          <w:rFonts w:eastAsiaTheme="minorHAnsi"/>
          <w:szCs w:val="28"/>
          <w:lang w:eastAsia="en-US"/>
        </w:rPr>
        <w:t>страховой организации</w:t>
      </w:r>
      <w:r w:rsidRPr="00F6652F">
        <w:rPr>
          <w:rFonts w:eastAsiaTheme="minorHAnsi"/>
          <w:szCs w:val="28"/>
          <w:lang w:eastAsia="en-US"/>
        </w:rPr>
        <w:t xml:space="preserve"> по действующим д</w:t>
      </w:r>
      <w:r w:rsidRPr="00F6652F">
        <w:rPr>
          <w:rFonts w:eastAsiaTheme="minorHAnsi"/>
          <w:szCs w:val="28"/>
          <w:lang w:eastAsia="en-US"/>
        </w:rPr>
        <w:t>о</w:t>
      </w:r>
      <w:r w:rsidRPr="00F6652F">
        <w:rPr>
          <w:rFonts w:eastAsiaTheme="minorHAnsi"/>
          <w:szCs w:val="28"/>
          <w:lang w:eastAsia="en-US"/>
        </w:rPr>
        <w:t>говорам</w:t>
      </w:r>
      <w:r>
        <w:rPr>
          <w:rFonts w:eastAsiaTheme="minorHAnsi"/>
          <w:szCs w:val="28"/>
          <w:lang w:eastAsia="en-US"/>
        </w:rPr>
        <w:t>,</w:t>
      </w:r>
      <w:r w:rsidRPr="00F6652F">
        <w:rPr>
          <w:rFonts w:eastAsiaTheme="minorHAnsi"/>
          <w:szCs w:val="28"/>
          <w:lang w:eastAsia="en-US"/>
        </w:rPr>
        <w:t xml:space="preserve"> </w:t>
      </w:r>
      <w:r>
        <w:rPr>
          <w:rFonts w:eastAsiaTheme="minorHAnsi"/>
          <w:szCs w:val="28"/>
          <w:lang w:eastAsia="en-US"/>
        </w:rPr>
        <w:t>определяем</w:t>
      </w:r>
      <w:r w:rsidR="000A5E31">
        <w:rPr>
          <w:rFonts w:eastAsiaTheme="minorHAnsi"/>
          <w:szCs w:val="28"/>
          <w:lang w:eastAsia="en-US"/>
        </w:rPr>
        <w:t>ый</w:t>
      </w:r>
      <w:r>
        <w:rPr>
          <w:rFonts w:eastAsiaTheme="minorHAnsi"/>
          <w:szCs w:val="28"/>
          <w:lang w:eastAsia="en-US"/>
        </w:rPr>
        <w:t xml:space="preserve"> числом договоров страхования, объемом аккумул</w:t>
      </w:r>
      <w:r>
        <w:rPr>
          <w:rFonts w:eastAsiaTheme="minorHAnsi"/>
          <w:szCs w:val="28"/>
          <w:lang w:eastAsia="en-US"/>
        </w:rPr>
        <w:t>и</w:t>
      </w:r>
      <w:r>
        <w:rPr>
          <w:rFonts w:eastAsiaTheme="minorHAnsi"/>
          <w:szCs w:val="28"/>
          <w:lang w:eastAsia="en-US"/>
        </w:rPr>
        <w:t xml:space="preserve">руемых </w:t>
      </w:r>
      <w:r w:rsidR="000A5E31">
        <w:rPr>
          <w:rFonts w:eastAsiaTheme="minorHAnsi"/>
          <w:szCs w:val="28"/>
          <w:lang w:eastAsia="en-US"/>
        </w:rPr>
        <w:t xml:space="preserve">страховых </w:t>
      </w:r>
      <w:r>
        <w:rPr>
          <w:rFonts w:eastAsiaTheme="minorHAnsi"/>
          <w:szCs w:val="28"/>
          <w:lang w:eastAsia="en-US"/>
        </w:rPr>
        <w:t>премий, структурой страхового портфеля, ценовой пол</w:t>
      </w:r>
      <w:r>
        <w:rPr>
          <w:rFonts w:eastAsiaTheme="minorHAnsi"/>
          <w:szCs w:val="28"/>
          <w:lang w:eastAsia="en-US"/>
        </w:rPr>
        <w:t>и</w:t>
      </w:r>
      <w:r>
        <w:rPr>
          <w:rFonts w:eastAsiaTheme="minorHAnsi"/>
          <w:szCs w:val="28"/>
          <w:lang w:eastAsia="en-US"/>
        </w:rPr>
        <w:t xml:space="preserve">тикой, </w:t>
      </w:r>
      <w:r w:rsidRPr="00F6652F">
        <w:rPr>
          <w:rFonts w:eastAsiaTheme="minorHAnsi"/>
          <w:szCs w:val="28"/>
          <w:lang w:eastAsia="en-US"/>
        </w:rPr>
        <w:t>меняется вследствие непрерывности процесса страхования</w:t>
      </w:r>
      <w:r w:rsidR="00CB755C">
        <w:rPr>
          <w:rFonts w:eastAsiaTheme="minorHAnsi"/>
          <w:szCs w:val="28"/>
          <w:lang w:eastAsia="en-US"/>
        </w:rPr>
        <w:t xml:space="preserve"> </w:t>
      </w:r>
      <w:r w:rsidR="00CB755C" w:rsidRPr="00CB755C">
        <w:rPr>
          <w:rFonts w:eastAsiaTheme="minorHAnsi"/>
          <w:szCs w:val="28"/>
          <w:lang w:eastAsia="en-US"/>
        </w:rPr>
        <w:t>[12]</w:t>
      </w:r>
      <w:r w:rsidRPr="00F6652F">
        <w:rPr>
          <w:rFonts w:eastAsiaTheme="minorHAnsi"/>
          <w:szCs w:val="28"/>
          <w:lang w:eastAsia="en-US"/>
        </w:rPr>
        <w:t>.</w:t>
      </w:r>
      <w:proofErr w:type="gramEnd"/>
    </w:p>
    <w:p w:rsidR="00F6652F" w:rsidRPr="00F6652F" w:rsidRDefault="00710468" w:rsidP="00F6652F">
      <w:pPr>
        <w:spacing w:after="0" w:line="360" w:lineRule="auto"/>
        <w:ind w:firstLine="709"/>
        <w:jc w:val="both"/>
        <w:rPr>
          <w:rFonts w:ascii="Times New Roman" w:hAnsi="Times New Roman" w:cs="Times New Roman"/>
          <w:sz w:val="28"/>
          <w:szCs w:val="28"/>
        </w:rPr>
      </w:pPr>
      <w:r w:rsidRPr="00F05BDA">
        <w:rPr>
          <w:rFonts w:ascii="Times New Roman" w:hAnsi="Times New Roman" w:cs="Times New Roman"/>
          <w:sz w:val="28"/>
          <w:szCs w:val="28"/>
        </w:rPr>
        <w:t xml:space="preserve">От корректной </w:t>
      </w:r>
      <w:r>
        <w:rPr>
          <w:rFonts w:ascii="Times New Roman" w:hAnsi="Times New Roman" w:cs="Times New Roman"/>
          <w:sz w:val="28"/>
          <w:szCs w:val="28"/>
        </w:rPr>
        <w:t>оценки страховых резервов по неисполненным или и</w:t>
      </w:r>
      <w:r>
        <w:rPr>
          <w:rFonts w:ascii="Times New Roman" w:hAnsi="Times New Roman" w:cs="Times New Roman"/>
          <w:sz w:val="28"/>
          <w:szCs w:val="28"/>
        </w:rPr>
        <w:t>с</w:t>
      </w:r>
      <w:r>
        <w:rPr>
          <w:rFonts w:ascii="Times New Roman" w:hAnsi="Times New Roman" w:cs="Times New Roman"/>
          <w:sz w:val="28"/>
          <w:szCs w:val="28"/>
        </w:rPr>
        <w:t>полненным не полностью обязательствам завися</w:t>
      </w:r>
      <w:r w:rsidRPr="00F05BDA">
        <w:rPr>
          <w:rFonts w:ascii="Times New Roman" w:hAnsi="Times New Roman" w:cs="Times New Roman"/>
          <w:sz w:val="28"/>
          <w:szCs w:val="28"/>
        </w:rPr>
        <w:t xml:space="preserve">т финансовая устойчивость </w:t>
      </w:r>
      <w:r>
        <w:rPr>
          <w:rFonts w:ascii="Times New Roman" w:hAnsi="Times New Roman" w:cs="Times New Roman"/>
          <w:sz w:val="28"/>
          <w:szCs w:val="28"/>
        </w:rPr>
        <w:t xml:space="preserve">и платежеспособность </w:t>
      </w:r>
      <w:r w:rsidRPr="00F05BDA">
        <w:rPr>
          <w:rFonts w:ascii="Times New Roman" w:hAnsi="Times New Roman" w:cs="Times New Roman"/>
          <w:sz w:val="28"/>
          <w:szCs w:val="28"/>
        </w:rPr>
        <w:t>страховой компании</w:t>
      </w:r>
      <w:r>
        <w:rPr>
          <w:rFonts w:ascii="Times New Roman" w:hAnsi="Times New Roman" w:cs="Times New Roman"/>
          <w:sz w:val="28"/>
          <w:szCs w:val="28"/>
        </w:rPr>
        <w:t>.</w:t>
      </w:r>
      <w:r w:rsidRPr="00F6652F">
        <w:rPr>
          <w:rFonts w:ascii="Times New Roman" w:hAnsi="Times New Roman" w:cs="Times New Roman"/>
          <w:sz w:val="28"/>
          <w:szCs w:val="28"/>
        </w:rPr>
        <w:t xml:space="preserve"> </w:t>
      </w:r>
      <w:r w:rsidR="00F6652F" w:rsidRPr="00F6652F">
        <w:rPr>
          <w:rFonts w:ascii="Times New Roman" w:hAnsi="Times New Roman" w:cs="Times New Roman"/>
          <w:sz w:val="28"/>
          <w:szCs w:val="28"/>
        </w:rPr>
        <w:t xml:space="preserve">На основании нормативных актов органов страхового надзора страховщиками разрабатывается положение о порядке формирования страховых резервов, </w:t>
      </w:r>
      <w:r w:rsidR="000A5E31">
        <w:rPr>
          <w:rFonts w:ascii="Times New Roman" w:hAnsi="Times New Roman" w:cs="Times New Roman"/>
          <w:sz w:val="28"/>
          <w:szCs w:val="28"/>
        </w:rPr>
        <w:t xml:space="preserve">являющееся </w:t>
      </w:r>
      <w:r w:rsidR="00F6652F" w:rsidRPr="00F6652F">
        <w:rPr>
          <w:rFonts w:ascii="Times New Roman" w:hAnsi="Times New Roman" w:cs="Times New Roman"/>
          <w:sz w:val="28"/>
          <w:szCs w:val="28"/>
        </w:rPr>
        <w:t>элементом учетной политики</w:t>
      </w:r>
      <w:r w:rsidR="00B437F4">
        <w:rPr>
          <w:rFonts w:ascii="Times New Roman" w:hAnsi="Times New Roman" w:cs="Times New Roman"/>
          <w:sz w:val="28"/>
          <w:szCs w:val="28"/>
        </w:rPr>
        <w:t xml:space="preserve"> компании</w:t>
      </w:r>
      <w:r w:rsidR="00F6652F" w:rsidRPr="00F6652F">
        <w:rPr>
          <w:rFonts w:ascii="Times New Roman" w:hAnsi="Times New Roman" w:cs="Times New Roman"/>
          <w:sz w:val="28"/>
          <w:szCs w:val="28"/>
        </w:rPr>
        <w:t>.</w:t>
      </w:r>
    </w:p>
    <w:p w:rsidR="00710468" w:rsidRPr="00710468" w:rsidRDefault="00A9645E" w:rsidP="008F5AA8">
      <w:pPr>
        <w:pStyle w:val="af"/>
        <w:spacing w:line="360" w:lineRule="auto"/>
        <w:ind w:firstLine="709"/>
        <w:rPr>
          <w:rFonts w:eastAsiaTheme="minorHAnsi"/>
          <w:szCs w:val="28"/>
          <w:lang w:eastAsia="en-US"/>
        </w:rPr>
      </w:pPr>
      <w:r>
        <w:rPr>
          <w:rFonts w:eastAsiaTheme="minorHAnsi"/>
          <w:szCs w:val="28"/>
          <w:lang w:eastAsia="en-US"/>
        </w:rPr>
        <w:t xml:space="preserve">Оценка </w:t>
      </w:r>
      <w:r w:rsidR="00710468" w:rsidRPr="00710468">
        <w:rPr>
          <w:rFonts w:eastAsiaTheme="minorHAnsi"/>
          <w:szCs w:val="28"/>
          <w:lang w:eastAsia="en-US"/>
        </w:rPr>
        <w:t xml:space="preserve">страховых резервов </w:t>
      </w:r>
      <w:r w:rsidR="00D92EB7">
        <w:rPr>
          <w:rFonts w:eastAsiaTheme="minorHAnsi"/>
          <w:szCs w:val="28"/>
          <w:lang w:eastAsia="en-US"/>
        </w:rPr>
        <w:t>производится</w:t>
      </w:r>
      <w:r w:rsidR="00710468" w:rsidRPr="00710468">
        <w:rPr>
          <w:rFonts w:eastAsiaTheme="minorHAnsi"/>
          <w:szCs w:val="28"/>
          <w:lang w:eastAsia="en-US"/>
        </w:rPr>
        <w:t xml:space="preserve"> </w:t>
      </w:r>
      <w:r w:rsidR="00D92EB7">
        <w:rPr>
          <w:rFonts w:eastAsiaTheme="minorHAnsi"/>
          <w:szCs w:val="28"/>
          <w:lang w:eastAsia="en-US"/>
        </w:rPr>
        <w:t xml:space="preserve">на конец отчетного периода </w:t>
      </w:r>
      <w:r w:rsidR="00710468" w:rsidRPr="00710468">
        <w:rPr>
          <w:rFonts w:eastAsiaTheme="minorHAnsi"/>
          <w:szCs w:val="28"/>
          <w:lang w:eastAsia="en-US"/>
        </w:rPr>
        <w:t xml:space="preserve">при определении финансового результата от страховой деятельности. Отчет о страховых резервах </w:t>
      </w:r>
      <w:r w:rsidR="001C59D8">
        <w:t>по страхованию иному, чем страхование жизни</w:t>
      </w:r>
      <w:r w:rsidR="001C59D8" w:rsidRPr="00710468">
        <w:rPr>
          <w:rFonts w:eastAsiaTheme="minorHAnsi"/>
          <w:szCs w:val="28"/>
          <w:lang w:eastAsia="en-US"/>
        </w:rPr>
        <w:t xml:space="preserve"> </w:t>
      </w:r>
      <w:r w:rsidR="00710468" w:rsidRPr="00710468">
        <w:rPr>
          <w:rFonts w:eastAsiaTheme="minorHAnsi"/>
          <w:szCs w:val="28"/>
          <w:lang w:eastAsia="en-US"/>
        </w:rPr>
        <w:t>предо</w:t>
      </w:r>
      <w:r w:rsidR="00710468" w:rsidRPr="00710468">
        <w:rPr>
          <w:rFonts w:eastAsiaTheme="minorHAnsi"/>
          <w:szCs w:val="28"/>
          <w:lang w:eastAsia="en-US"/>
        </w:rPr>
        <w:t>с</w:t>
      </w:r>
      <w:r w:rsidR="00710468" w:rsidRPr="00710468">
        <w:rPr>
          <w:rFonts w:eastAsiaTheme="minorHAnsi"/>
          <w:szCs w:val="28"/>
          <w:lang w:eastAsia="en-US"/>
        </w:rPr>
        <w:t xml:space="preserve">тавляется в Министерство Финансов РФ в составе </w:t>
      </w:r>
      <w:r w:rsidR="00D92EB7">
        <w:rPr>
          <w:rFonts w:eastAsiaTheme="minorHAnsi"/>
          <w:szCs w:val="28"/>
          <w:lang w:eastAsia="en-US"/>
        </w:rPr>
        <w:t>годовой бухгалтерской о</w:t>
      </w:r>
      <w:r w:rsidR="00D92EB7">
        <w:rPr>
          <w:rFonts w:eastAsiaTheme="minorHAnsi"/>
          <w:szCs w:val="28"/>
          <w:lang w:eastAsia="en-US"/>
        </w:rPr>
        <w:t>т</w:t>
      </w:r>
      <w:r w:rsidR="00D92EB7">
        <w:rPr>
          <w:rFonts w:eastAsiaTheme="minorHAnsi"/>
          <w:szCs w:val="28"/>
          <w:lang w:eastAsia="en-US"/>
        </w:rPr>
        <w:t>четности</w:t>
      </w:r>
      <w:r w:rsidR="00710468" w:rsidRPr="00710468">
        <w:rPr>
          <w:rFonts w:eastAsiaTheme="minorHAnsi"/>
          <w:szCs w:val="28"/>
          <w:lang w:eastAsia="en-US"/>
        </w:rPr>
        <w:t>.</w:t>
      </w:r>
    </w:p>
    <w:p w:rsidR="00710468" w:rsidRDefault="00710468" w:rsidP="008F5AA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Предусмотренная действующим законодательством структура страх</w:t>
      </w:r>
      <w:r>
        <w:rPr>
          <w:rFonts w:ascii="Times New Roman" w:hAnsi="Times New Roman" w:cs="Times New Roman"/>
          <w:sz w:val="28"/>
          <w:szCs w:val="28"/>
        </w:rPr>
        <w:t>о</w:t>
      </w:r>
      <w:r>
        <w:rPr>
          <w:rFonts w:ascii="Times New Roman" w:hAnsi="Times New Roman" w:cs="Times New Roman"/>
          <w:sz w:val="28"/>
          <w:szCs w:val="28"/>
        </w:rPr>
        <w:t>вых резервов по страхованию иному, чем страхование жизни (так называ</w:t>
      </w:r>
      <w:r>
        <w:rPr>
          <w:rFonts w:ascii="Times New Roman" w:hAnsi="Times New Roman" w:cs="Times New Roman"/>
          <w:sz w:val="28"/>
          <w:szCs w:val="28"/>
        </w:rPr>
        <w:t>е</w:t>
      </w:r>
      <w:r>
        <w:rPr>
          <w:rFonts w:ascii="Times New Roman" w:hAnsi="Times New Roman" w:cs="Times New Roman"/>
          <w:sz w:val="28"/>
          <w:szCs w:val="28"/>
        </w:rPr>
        <w:t xml:space="preserve">мые </w:t>
      </w:r>
      <w:r w:rsidRPr="00F606C3">
        <w:rPr>
          <w:rFonts w:ascii="Times New Roman" w:hAnsi="Times New Roman" w:cs="Times New Roman"/>
          <w:i/>
          <w:sz w:val="28"/>
          <w:szCs w:val="28"/>
        </w:rPr>
        <w:t>технические</w:t>
      </w:r>
      <w:r>
        <w:rPr>
          <w:rFonts w:ascii="Times New Roman" w:hAnsi="Times New Roman" w:cs="Times New Roman"/>
          <w:sz w:val="28"/>
          <w:szCs w:val="28"/>
        </w:rPr>
        <w:t xml:space="preserve"> резервы) представлена на рис. 11.</w:t>
      </w:r>
    </w:p>
    <w:p w:rsidR="003C1A5B" w:rsidRPr="003C1A5B" w:rsidRDefault="003C1A5B" w:rsidP="003C1A5B">
      <w:pPr>
        <w:spacing w:after="0" w:line="360" w:lineRule="auto"/>
        <w:jc w:val="center"/>
        <w:rPr>
          <w:rFonts w:ascii="Times New Roman" w:hAnsi="Times New Roman" w:cs="Times New Roman"/>
          <w:sz w:val="28"/>
          <w:szCs w:val="28"/>
        </w:rPr>
      </w:pPr>
      <w:r w:rsidRPr="003C1A5B">
        <w:rPr>
          <w:rFonts w:ascii="Times New Roman" w:hAnsi="Times New Roman" w:cs="Times New Roman"/>
          <w:noProof/>
          <w:sz w:val="28"/>
          <w:szCs w:val="28"/>
          <w:lang w:eastAsia="ru-RU"/>
        </w:rPr>
        <w:drawing>
          <wp:inline distT="0" distB="0" distL="0" distR="0">
            <wp:extent cx="5939790" cy="3187219"/>
            <wp:effectExtent l="19050" t="0" r="3810" b="0"/>
            <wp:docPr id="4"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56984" cy="4752368"/>
                      <a:chOff x="107504" y="764848"/>
                      <a:chExt cx="8856984" cy="4752368"/>
                    </a:xfrm>
                  </a:grpSpPr>
                  <a:grpSp>
                    <a:nvGrpSpPr>
                      <a:cNvPr id="27" name="Группа 26"/>
                      <a:cNvGrpSpPr/>
                    </a:nvGrpSpPr>
                    <a:grpSpPr>
                      <a:xfrm>
                        <a:off x="107504" y="764848"/>
                        <a:ext cx="8856984" cy="4752368"/>
                        <a:chOff x="107504" y="764848"/>
                        <a:chExt cx="8856984" cy="4752368"/>
                      </a:xfrm>
                    </a:grpSpPr>
                    <a:sp>
                      <a:nvSpPr>
                        <a:cNvPr id="6" name="Скругленный прямоугольник 5"/>
                        <a:cNvSpPr/>
                      </a:nvSpPr>
                      <a:spPr>
                        <a:xfrm>
                          <a:off x="3491880" y="764848"/>
                          <a:ext cx="2160000" cy="1296000"/>
                        </a:xfrm>
                        <a:prstGeom prst="roundRect">
                          <a:avLst/>
                        </a:prstGeom>
                        <a:solidFill>
                          <a:srgbClr val="F5CBEF">
                            <a:alpha val="20000"/>
                          </a:srgbClr>
                        </a:solid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2000" b="1" dirty="0" smtClean="0">
                                <a:solidFill>
                                  <a:schemeClr val="tx1"/>
                                </a:solidFill>
                                <a:latin typeface="Times New Roman" pitchFamily="18" charset="0"/>
                                <a:cs typeface="Times New Roman" pitchFamily="18" charset="0"/>
                              </a:rPr>
                              <a:t>Страховые резервы</a:t>
                            </a:r>
                            <a:endParaRPr lang="ru-RU" sz="2000" b="1"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Скругленный прямоугольник 6"/>
                        <a:cNvSpPr/>
                      </a:nvSpPr>
                      <a:spPr>
                        <a:xfrm>
                          <a:off x="107504" y="2492896"/>
                          <a:ext cx="2160000" cy="1296000"/>
                        </a:xfrm>
                        <a:prstGeom prst="roundRect">
                          <a:avLst/>
                        </a:prstGeom>
                        <a:solidFill>
                          <a:srgbClr val="F3FCC4">
                            <a:alpha val="42000"/>
                          </a:srgbClr>
                        </a:solidFill>
                        <a:ln w="19050">
                          <a:solidFill>
                            <a:schemeClr val="tx1"/>
                          </a:solidFill>
                        </a:ln>
                      </a:spPr>
                      <a:txSp>
                        <a:txBody>
                          <a:bodyPr lIns="36000" tIns="36000" rIns="36000" bIns="3600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b="1" dirty="0">
                                <a:solidFill>
                                  <a:schemeClr val="tx1"/>
                                </a:solidFill>
                                <a:latin typeface="Times New Roman" pitchFamily="18" charset="0"/>
                                <a:cs typeface="Times New Roman" pitchFamily="18" charset="0"/>
                              </a:rPr>
                              <a:t>Резерв незаработанной премии</a:t>
                            </a:r>
                            <a:r>
                              <a:rPr lang="ru-RU" sz="1600" dirty="0">
                                <a:solidFill>
                                  <a:schemeClr val="tx1"/>
                                </a:solidFill>
                                <a:latin typeface="Times New Roman" pitchFamily="18" charset="0"/>
                                <a:cs typeface="Times New Roman" pitchFamily="18" charset="0"/>
                              </a:rPr>
                              <a:t> (РНП)</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Скругленный прямоугольник 7"/>
                        <a:cNvSpPr/>
                      </a:nvSpPr>
                      <a:spPr>
                        <a:xfrm>
                          <a:off x="2339992" y="2492896"/>
                          <a:ext cx="2160000" cy="1296000"/>
                        </a:xfrm>
                        <a:prstGeom prst="roundRect">
                          <a:avLst/>
                        </a:prstGeom>
                        <a:solidFill>
                          <a:srgbClr val="F3FCC4">
                            <a:alpha val="42000"/>
                          </a:srgbClr>
                        </a:solidFill>
                        <a:ln w="19050">
                          <a:solidFill>
                            <a:schemeClr val="tx1"/>
                          </a:solidFill>
                        </a:ln>
                      </a:spPr>
                      <a:txSp>
                        <a:txBody>
                          <a:bodyPr lIns="36000" tIns="36000" rIns="36000" bIns="3600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b="1" dirty="0">
                                <a:solidFill>
                                  <a:schemeClr val="tx1"/>
                                </a:solidFill>
                                <a:latin typeface="Times New Roman" pitchFamily="18" charset="0"/>
                                <a:cs typeface="Times New Roman" pitchFamily="18" charset="0"/>
                              </a:rPr>
                              <a:t>Резерв убытков </a:t>
                            </a:r>
                            <a:r>
                              <a:rPr lang="ru-RU" sz="1600" dirty="0">
                                <a:solidFill>
                                  <a:schemeClr val="tx1"/>
                                </a:solidFill>
                                <a:latin typeface="Times New Roman" pitchFamily="18" charset="0"/>
                                <a:cs typeface="Times New Roman" pitchFamily="18" charset="0"/>
                              </a:rPr>
                              <a:t>(РУ)</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Скругленный прямоугольник 8"/>
                        <a:cNvSpPr/>
                      </a:nvSpPr>
                      <a:spPr>
                        <a:xfrm>
                          <a:off x="4572000" y="2492896"/>
                          <a:ext cx="2160000" cy="1296000"/>
                        </a:xfrm>
                        <a:prstGeom prst="roundRect">
                          <a:avLst/>
                        </a:prstGeom>
                        <a:solidFill>
                          <a:srgbClr val="F3FCC4">
                            <a:alpha val="42000"/>
                          </a:srgbClr>
                        </a:solidFill>
                        <a:ln w="19050">
                          <a:solidFill>
                            <a:schemeClr val="tx1"/>
                          </a:solidFill>
                        </a:ln>
                      </a:spPr>
                      <a:txSp>
                        <a:txBody>
                          <a:bodyPr lIns="36000" tIns="36000" rIns="36000" bIns="3600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b="1" dirty="0">
                                <a:solidFill>
                                  <a:schemeClr val="tx1"/>
                                </a:solidFill>
                                <a:latin typeface="Times New Roman" pitchFamily="18" charset="0"/>
                                <a:cs typeface="Times New Roman" pitchFamily="18" charset="0"/>
                              </a:rPr>
                              <a:t>Стабилизационный резерв</a:t>
                            </a:r>
                            <a:r>
                              <a:rPr lang="ru-RU" sz="1600" dirty="0">
                                <a:solidFill>
                                  <a:schemeClr val="tx1"/>
                                </a:solidFill>
                                <a:latin typeface="Times New Roman" pitchFamily="18" charset="0"/>
                                <a:cs typeface="Times New Roman" pitchFamily="18" charset="0"/>
                              </a:rPr>
                              <a:t> (СР)</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Скругленный прямоугольник 9"/>
                        <a:cNvSpPr/>
                      </a:nvSpPr>
                      <a:spPr>
                        <a:xfrm>
                          <a:off x="6804248" y="2492896"/>
                          <a:ext cx="2160240" cy="1296144"/>
                        </a:xfrm>
                        <a:prstGeom prst="roundRect">
                          <a:avLst/>
                        </a:prstGeom>
                        <a:solidFill>
                          <a:srgbClr val="F3FCC4">
                            <a:alpha val="42000"/>
                          </a:srgbClr>
                        </a:solidFill>
                        <a:ln w="19050">
                          <a:solidFill>
                            <a:schemeClr val="tx1"/>
                          </a:solidFill>
                        </a:ln>
                      </a:spPr>
                      <a:txSp>
                        <a:txBody>
                          <a:bodyPr lIns="36000" tIns="36000" rIns="36000" bIns="3600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b="1" dirty="0" smtClean="0">
                                <a:solidFill>
                                  <a:schemeClr val="tx1"/>
                                </a:solidFill>
                                <a:latin typeface="Times New Roman" pitchFamily="18" charset="0"/>
                                <a:cs typeface="Times New Roman" pitchFamily="18" charset="0"/>
                              </a:rPr>
                              <a:t>Иные страховые резервы </a:t>
                            </a:r>
                          </a:p>
                          <a:p>
                            <a:pPr algn="ctr"/>
                            <a:r>
                              <a:rPr lang="ru-RU" sz="1400" dirty="0" smtClean="0">
                                <a:solidFill>
                                  <a:schemeClr val="tx1"/>
                                </a:solidFill>
                                <a:latin typeface="Times New Roman" pitchFamily="18" charset="0"/>
                                <a:cs typeface="Times New Roman" pitchFamily="18" charset="0"/>
                              </a:rPr>
                              <a:t>(в зависимости от специфики деятельности по согласованию с ФСФР)</a:t>
                            </a:r>
                            <a:endParaRPr lang="ru-RU" sz="14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Скругленный прямоугольник 10"/>
                        <a:cNvSpPr/>
                      </a:nvSpPr>
                      <a:spPr>
                        <a:xfrm>
                          <a:off x="1259872" y="4221216"/>
                          <a:ext cx="2160000" cy="1296000"/>
                        </a:xfrm>
                        <a:prstGeom prst="roundRect">
                          <a:avLst/>
                        </a:prstGeom>
                        <a:solidFill>
                          <a:schemeClr val="tx2">
                            <a:lumMod val="20000"/>
                            <a:lumOff val="80000"/>
                            <a:alpha val="20000"/>
                          </a:schemeClr>
                        </a:solid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b="1" dirty="0" smtClean="0">
                                <a:solidFill>
                                  <a:schemeClr val="tx1"/>
                                </a:solidFill>
                                <a:latin typeface="Times New Roman" pitchFamily="18" charset="0"/>
                                <a:cs typeface="Times New Roman" pitchFamily="18" charset="0"/>
                              </a:rPr>
                              <a:t>Резерв заявленных, но неурегулированных убытков</a:t>
                            </a:r>
                            <a:r>
                              <a:rPr lang="ru-RU" sz="1600" dirty="0" smtClean="0">
                                <a:solidFill>
                                  <a:schemeClr val="tx1"/>
                                </a:solidFill>
                                <a:latin typeface="Times New Roman" pitchFamily="18" charset="0"/>
                                <a:cs typeface="Times New Roman" pitchFamily="18" charset="0"/>
                              </a:rPr>
                              <a:t> (РЗУ)</a:t>
                            </a:r>
                            <a:endParaRPr lang="ru-RU" sz="16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Скругленный прямоугольник 11"/>
                        <a:cNvSpPr/>
                      </a:nvSpPr>
                      <a:spPr>
                        <a:xfrm>
                          <a:off x="3491880" y="4221216"/>
                          <a:ext cx="2160000" cy="1296000"/>
                        </a:xfrm>
                        <a:prstGeom prst="roundRect">
                          <a:avLst/>
                        </a:prstGeom>
                        <a:solidFill>
                          <a:schemeClr val="tx2">
                            <a:lumMod val="20000"/>
                            <a:lumOff val="80000"/>
                            <a:alpha val="20000"/>
                          </a:schemeClr>
                        </a:solidFill>
                        <a:ln w="19050">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600" b="1" dirty="0" smtClean="0">
                                <a:solidFill>
                                  <a:schemeClr val="tx1"/>
                                </a:solidFill>
                                <a:latin typeface="Times New Roman" pitchFamily="18" charset="0"/>
                                <a:cs typeface="Times New Roman" pitchFamily="18" charset="0"/>
                              </a:rPr>
                              <a:t>Резерв произошедших, но незаявленных убытков </a:t>
                            </a:r>
                            <a:r>
                              <a:rPr lang="ru-RU" sz="1600" dirty="0" smtClean="0">
                                <a:solidFill>
                                  <a:schemeClr val="tx1"/>
                                </a:solidFill>
                                <a:latin typeface="Times New Roman" pitchFamily="18" charset="0"/>
                                <a:cs typeface="Times New Roman" pitchFamily="18" charset="0"/>
                              </a:rPr>
                              <a:t>(РПНУ)</a:t>
                            </a:r>
                            <a:endParaRPr lang="ru-RU" sz="16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Прямая соединительная линия 17"/>
                        <a:cNvCxnSpPr>
                          <a:stCxn id="7" idx="0"/>
                        </a:cNvCxnSpPr>
                      </a:nvCxnSpPr>
                      <a:spPr>
                        <a:xfrm flipV="1">
                          <a:off x="1187504" y="2276872"/>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Прямая соединительная линия 18"/>
                        <a:cNvCxnSpPr/>
                      </a:nvCxnSpPr>
                      <a:spPr>
                        <a:xfrm flipV="1">
                          <a:off x="3419872" y="2276872"/>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Прямая соединительная линия 19"/>
                        <a:cNvCxnSpPr/>
                      </a:nvCxnSpPr>
                      <a:spPr>
                        <a:xfrm flipV="1">
                          <a:off x="7884368" y="2276872"/>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flipV="1">
                          <a:off x="5652120" y="2276872"/>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3" name="Прямая соединительная линия 22"/>
                        <a:cNvCxnSpPr/>
                      </a:nvCxnSpPr>
                      <a:spPr>
                        <a:xfrm>
                          <a:off x="1187624" y="2276872"/>
                          <a:ext cx="6696744"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Прямая соединительная линия 23"/>
                        <a:cNvCxnSpPr/>
                      </a:nvCxnSpPr>
                      <a:spPr>
                        <a:xfrm flipV="1">
                          <a:off x="4499992" y="2060848"/>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flipV="1">
                          <a:off x="4499992" y="4005064"/>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Прямая соединительная линия 25"/>
                        <a:cNvCxnSpPr/>
                      </a:nvCxnSpPr>
                      <a:spPr>
                        <a:xfrm flipV="1">
                          <a:off x="2339632" y="4005064"/>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Прямая соединительная линия 27"/>
                        <a:cNvCxnSpPr/>
                      </a:nvCxnSpPr>
                      <a:spPr>
                        <a:xfrm>
                          <a:off x="2339752" y="4005064"/>
                          <a:ext cx="216024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Прямая соединительная линия 28"/>
                        <a:cNvCxnSpPr/>
                      </a:nvCxnSpPr>
                      <a:spPr>
                        <a:xfrm flipV="1">
                          <a:off x="3419872" y="3789040"/>
                          <a:ext cx="120" cy="21602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344CC4" w:rsidRPr="00D15D2D" w:rsidRDefault="003C1A5B" w:rsidP="003C1A5B">
      <w:pPr>
        <w:spacing w:after="0" w:line="360" w:lineRule="auto"/>
        <w:jc w:val="center"/>
        <w:rPr>
          <w:rFonts w:ascii="Times New Roman" w:hAnsi="Times New Roman" w:cs="Times New Roman"/>
          <w:i/>
          <w:iCs/>
          <w:sz w:val="26"/>
          <w:szCs w:val="26"/>
        </w:rPr>
      </w:pPr>
      <w:r w:rsidRPr="00D15D2D">
        <w:rPr>
          <w:rFonts w:ascii="Times New Roman" w:hAnsi="Times New Roman" w:cs="Times New Roman"/>
          <w:i/>
          <w:iCs/>
          <w:sz w:val="26"/>
          <w:szCs w:val="26"/>
        </w:rPr>
        <w:t>Рис. 1</w:t>
      </w:r>
      <w:r w:rsidR="00DA62A2" w:rsidRPr="00D15D2D">
        <w:rPr>
          <w:rFonts w:ascii="Times New Roman" w:hAnsi="Times New Roman" w:cs="Times New Roman"/>
          <w:i/>
          <w:iCs/>
          <w:sz w:val="26"/>
          <w:szCs w:val="26"/>
        </w:rPr>
        <w:t>1</w:t>
      </w:r>
      <w:r w:rsidRPr="00D15D2D">
        <w:rPr>
          <w:rFonts w:ascii="Times New Roman" w:hAnsi="Times New Roman" w:cs="Times New Roman"/>
          <w:i/>
          <w:iCs/>
          <w:sz w:val="26"/>
          <w:szCs w:val="26"/>
        </w:rPr>
        <w:t xml:space="preserve">. </w:t>
      </w:r>
      <w:r w:rsidR="002C327E" w:rsidRPr="00D15D2D">
        <w:rPr>
          <w:rFonts w:ascii="Times New Roman" w:hAnsi="Times New Roman" w:cs="Times New Roman"/>
          <w:i/>
          <w:iCs/>
          <w:sz w:val="26"/>
          <w:szCs w:val="26"/>
        </w:rPr>
        <w:t xml:space="preserve">Классификация страховых резервов по страхованию </w:t>
      </w:r>
    </w:p>
    <w:p w:rsidR="003C1A5B" w:rsidRPr="00D15D2D" w:rsidRDefault="002C327E" w:rsidP="003C1A5B">
      <w:pPr>
        <w:spacing w:after="0" w:line="360" w:lineRule="auto"/>
        <w:jc w:val="center"/>
        <w:rPr>
          <w:rFonts w:ascii="Times New Roman" w:hAnsi="Times New Roman" w:cs="Times New Roman"/>
          <w:i/>
          <w:iCs/>
          <w:sz w:val="26"/>
          <w:szCs w:val="26"/>
        </w:rPr>
      </w:pPr>
      <w:r w:rsidRPr="00D15D2D">
        <w:rPr>
          <w:rFonts w:ascii="Times New Roman" w:hAnsi="Times New Roman" w:cs="Times New Roman"/>
          <w:i/>
          <w:iCs/>
          <w:sz w:val="26"/>
          <w:szCs w:val="26"/>
        </w:rPr>
        <w:t>иному, чем страхование жизни.</w:t>
      </w:r>
    </w:p>
    <w:p w:rsidR="005A208E" w:rsidRPr="00F50E15" w:rsidRDefault="005A208E" w:rsidP="001C59D8">
      <w:pPr>
        <w:spacing w:after="0" w:line="360" w:lineRule="auto"/>
        <w:ind w:firstLine="709"/>
        <w:jc w:val="both"/>
        <w:rPr>
          <w:rFonts w:ascii="Times New Roman" w:hAnsi="Times New Roman" w:cs="Times New Roman"/>
          <w:sz w:val="28"/>
          <w:szCs w:val="28"/>
        </w:rPr>
      </w:pPr>
      <w:r w:rsidRPr="005A208E">
        <w:rPr>
          <w:rFonts w:ascii="Times New Roman" w:hAnsi="Times New Roman" w:cs="Times New Roman"/>
          <w:i/>
          <w:sz w:val="28"/>
          <w:szCs w:val="28"/>
        </w:rPr>
        <w:t>Резерв незаработанной премии</w:t>
      </w:r>
      <w:r>
        <w:rPr>
          <w:rFonts w:ascii="Times New Roman" w:hAnsi="Times New Roman" w:cs="Times New Roman"/>
          <w:sz w:val="28"/>
          <w:szCs w:val="28"/>
        </w:rPr>
        <w:t xml:space="preserve"> (РНП) </w:t>
      </w:r>
      <w:r w:rsidRPr="005A208E">
        <w:rPr>
          <w:rFonts w:ascii="Times New Roman" w:hAnsi="Times New Roman" w:cs="Times New Roman"/>
          <w:sz w:val="28"/>
          <w:szCs w:val="28"/>
        </w:rPr>
        <w:t xml:space="preserve">предназначен для </w:t>
      </w:r>
      <w:r w:rsidR="00BC66A2">
        <w:rPr>
          <w:rFonts w:ascii="Times New Roman" w:hAnsi="Times New Roman" w:cs="Times New Roman"/>
          <w:sz w:val="28"/>
          <w:szCs w:val="28"/>
        </w:rPr>
        <w:t>обеспечения исполнения обязатель</w:t>
      </w:r>
      <w:proofErr w:type="gramStart"/>
      <w:r w:rsidR="00BC66A2">
        <w:rPr>
          <w:rFonts w:ascii="Times New Roman" w:hAnsi="Times New Roman" w:cs="Times New Roman"/>
          <w:sz w:val="28"/>
          <w:szCs w:val="28"/>
        </w:rPr>
        <w:t>ств стр</w:t>
      </w:r>
      <w:proofErr w:type="gramEnd"/>
      <w:r w:rsidR="00BC66A2">
        <w:rPr>
          <w:rFonts w:ascii="Times New Roman" w:hAnsi="Times New Roman" w:cs="Times New Roman"/>
          <w:sz w:val="28"/>
          <w:szCs w:val="28"/>
        </w:rPr>
        <w:t xml:space="preserve">аховщика по </w:t>
      </w:r>
      <w:r w:rsidRPr="005A208E">
        <w:rPr>
          <w:rFonts w:ascii="Times New Roman" w:hAnsi="Times New Roman" w:cs="Times New Roman"/>
          <w:sz w:val="28"/>
          <w:szCs w:val="28"/>
        </w:rPr>
        <w:t>предстоящи</w:t>
      </w:r>
      <w:r w:rsidR="00BC66A2">
        <w:rPr>
          <w:rFonts w:ascii="Times New Roman" w:hAnsi="Times New Roman" w:cs="Times New Roman"/>
          <w:sz w:val="28"/>
          <w:szCs w:val="28"/>
        </w:rPr>
        <w:t>м</w:t>
      </w:r>
      <w:r w:rsidRPr="005A208E">
        <w:rPr>
          <w:rFonts w:ascii="Times New Roman" w:hAnsi="Times New Roman" w:cs="Times New Roman"/>
          <w:sz w:val="28"/>
          <w:szCs w:val="28"/>
        </w:rPr>
        <w:t xml:space="preserve"> выплат</w:t>
      </w:r>
      <w:r w:rsidR="00BC66A2">
        <w:rPr>
          <w:rFonts w:ascii="Times New Roman" w:hAnsi="Times New Roman" w:cs="Times New Roman"/>
          <w:sz w:val="28"/>
          <w:szCs w:val="28"/>
        </w:rPr>
        <w:t>ам</w:t>
      </w:r>
      <w:r w:rsidRPr="005A208E">
        <w:rPr>
          <w:rFonts w:ascii="Times New Roman" w:hAnsi="Times New Roman" w:cs="Times New Roman"/>
          <w:sz w:val="28"/>
          <w:szCs w:val="28"/>
        </w:rPr>
        <w:t>, которые могут возникнуть в будущих отчетных периодах</w:t>
      </w:r>
      <w:r w:rsidR="00BC66A2">
        <w:rPr>
          <w:rFonts w:ascii="Times New Roman" w:hAnsi="Times New Roman" w:cs="Times New Roman"/>
          <w:sz w:val="28"/>
          <w:szCs w:val="28"/>
        </w:rPr>
        <w:t>.</w:t>
      </w:r>
    </w:p>
    <w:p w:rsidR="001C59D8" w:rsidRDefault="001C59D8" w:rsidP="001C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 моментом наступления страхового случая и моментом его окончательного урегулирования всегда проходит определенный срок. Во-первых, убыток должен быть зарегистрирован и проверен страховой орган</w:t>
      </w:r>
      <w:r>
        <w:rPr>
          <w:rFonts w:ascii="Times New Roman" w:hAnsi="Times New Roman" w:cs="Times New Roman"/>
          <w:sz w:val="28"/>
          <w:szCs w:val="28"/>
        </w:rPr>
        <w:t>и</w:t>
      </w:r>
      <w:r>
        <w:rPr>
          <w:rFonts w:ascii="Times New Roman" w:hAnsi="Times New Roman" w:cs="Times New Roman"/>
          <w:sz w:val="28"/>
          <w:szCs w:val="28"/>
        </w:rPr>
        <w:t>зацией. Кроме того, специфика определенных видов страхования, в частн</w:t>
      </w:r>
      <w:r>
        <w:rPr>
          <w:rFonts w:ascii="Times New Roman" w:hAnsi="Times New Roman" w:cs="Times New Roman"/>
          <w:sz w:val="28"/>
          <w:szCs w:val="28"/>
        </w:rPr>
        <w:t>о</w:t>
      </w:r>
      <w:r>
        <w:rPr>
          <w:rFonts w:ascii="Times New Roman" w:hAnsi="Times New Roman" w:cs="Times New Roman"/>
          <w:sz w:val="28"/>
          <w:szCs w:val="28"/>
        </w:rPr>
        <w:t>сти страхования гражданской ответственности, такова, что ущерб может пр</w:t>
      </w:r>
      <w:r>
        <w:rPr>
          <w:rFonts w:ascii="Times New Roman" w:hAnsi="Times New Roman" w:cs="Times New Roman"/>
          <w:sz w:val="28"/>
          <w:szCs w:val="28"/>
        </w:rPr>
        <w:t>о</w:t>
      </w:r>
      <w:r>
        <w:rPr>
          <w:rFonts w:ascii="Times New Roman" w:hAnsi="Times New Roman" w:cs="Times New Roman"/>
          <w:sz w:val="28"/>
          <w:szCs w:val="28"/>
        </w:rPr>
        <w:t>явиться лишь спустя долгое время после его причинения. Так, скрытая до п</w:t>
      </w:r>
      <w:r>
        <w:rPr>
          <w:rFonts w:ascii="Times New Roman" w:hAnsi="Times New Roman" w:cs="Times New Roman"/>
          <w:sz w:val="28"/>
          <w:szCs w:val="28"/>
        </w:rPr>
        <w:t>о</w:t>
      </w:r>
      <w:r>
        <w:rPr>
          <w:rFonts w:ascii="Times New Roman" w:hAnsi="Times New Roman" w:cs="Times New Roman"/>
          <w:sz w:val="28"/>
          <w:szCs w:val="28"/>
        </w:rPr>
        <w:t>ры до времени ошибка проектирования архитектора может быть обнаружена при повышенной нагрузке на сооружение. Во-вторых, само урегулирование убытка, особенно в случае крупного ущерба, может занять немало времени, если его окончательная стоимость зависит, например, от исхода судебного процесса или от длительности лечения серьезного заболевания</w:t>
      </w:r>
      <w:r w:rsidR="003A59AE" w:rsidRPr="003A59AE">
        <w:rPr>
          <w:rFonts w:ascii="Times New Roman" w:hAnsi="Times New Roman" w:cs="Times New Roman"/>
          <w:sz w:val="28"/>
          <w:szCs w:val="28"/>
        </w:rPr>
        <w:t xml:space="preserve"> [19]</w:t>
      </w:r>
      <w:r>
        <w:rPr>
          <w:rFonts w:ascii="Times New Roman" w:hAnsi="Times New Roman" w:cs="Times New Roman"/>
          <w:sz w:val="28"/>
          <w:szCs w:val="28"/>
        </w:rPr>
        <w:t>.</w:t>
      </w:r>
    </w:p>
    <w:p w:rsidR="006F26A1" w:rsidRDefault="006F26A1" w:rsidP="001C59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конце каждого отчетного периода имеются два вида убытков неопределенного размера:</w:t>
      </w:r>
    </w:p>
    <w:p w:rsidR="004201F0" w:rsidRDefault="006F26A1" w:rsidP="00AB4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убытки второго типа уже заявлены страховщику, но еще не урегул</w:t>
      </w:r>
      <w:r>
        <w:rPr>
          <w:rFonts w:ascii="Times New Roman" w:hAnsi="Times New Roman" w:cs="Times New Roman"/>
          <w:sz w:val="28"/>
          <w:szCs w:val="28"/>
        </w:rPr>
        <w:t>и</w:t>
      </w:r>
      <w:r>
        <w:rPr>
          <w:rFonts w:ascii="Times New Roman" w:hAnsi="Times New Roman" w:cs="Times New Roman"/>
          <w:sz w:val="28"/>
          <w:szCs w:val="28"/>
        </w:rPr>
        <w:t xml:space="preserve">рованы окончательно. </w:t>
      </w:r>
      <w:r w:rsidR="004201F0" w:rsidRPr="004201F0">
        <w:rPr>
          <w:rFonts w:ascii="Times New Roman" w:hAnsi="Times New Roman" w:cs="Times New Roman"/>
          <w:i/>
          <w:sz w:val="28"/>
          <w:szCs w:val="28"/>
        </w:rPr>
        <w:t>Резерв заявленных, но неурегулированных убытков</w:t>
      </w:r>
      <w:r w:rsidR="004201F0" w:rsidRPr="004201F0">
        <w:rPr>
          <w:rFonts w:ascii="Times New Roman" w:hAnsi="Times New Roman" w:cs="Times New Roman"/>
          <w:sz w:val="28"/>
          <w:szCs w:val="28"/>
        </w:rPr>
        <w:t xml:space="preserve"> (</w:t>
      </w:r>
      <w:r w:rsidR="004201F0">
        <w:rPr>
          <w:rFonts w:ascii="Times New Roman" w:hAnsi="Times New Roman" w:cs="Times New Roman"/>
          <w:sz w:val="28"/>
          <w:szCs w:val="28"/>
        </w:rPr>
        <w:t xml:space="preserve">РЗУ) </w:t>
      </w:r>
      <w:r w:rsidR="004201F0" w:rsidRPr="004201F0">
        <w:rPr>
          <w:rFonts w:ascii="Times New Roman" w:hAnsi="Times New Roman" w:cs="Times New Roman"/>
          <w:sz w:val="28"/>
          <w:szCs w:val="28"/>
        </w:rPr>
        <w:t>есть денежная оценка обязатель</w:t>
      </w:r>
      <w:proofErr w:type="gramStart"/>
      <w:r w:rsidR="004201F0" w:rsidRPr="004201F0">
        <w:rPr>
          <w:rFonts w:ascii="Times New Roman" w:hAnsi="Times New Roman" w:cs="Times New Roman"/>
          <w:sz w:val="28"/>
          <w:szCs w:val="28"/>
        </w:rPr>
        <w:t>ств стр</w:t>
      </w:r>
      <w:proofErr w:type="gramEnd"/>
      <w:r w:rsidR="004201F0" w:rsidRPr="004201F0">
        <w:rPr>
          <w:rFonts w:ascii="Times New Roman" w:hAnsi="Times New Roman" w:cs="Times New Roman"/>
          <w:sz w:val="28"/>
          <w:szCs w:val="28"/>
        </w:rPr>
        <w:t xml:space="preserve">аховщика на отчетную дату по заявленным, но неурегулированным убыткам, дополнительно учитывающая возврат страховых премий и расходы </w:t>
      </w:r>
      <w:r w:rsidR="00AB4417">
        <w:rPr>
          <w:rFonts w:ascii="Times New Roman" w:hAnsi="Times New Roman" w:cs="Times New Roman"/>
          <w:sz w:val="28"/>
          <w:szCs w:val="28"/>
        </w:rPr>
        <w:t>по</w:t>
      </w:r>
      <w:r w:rsidR="004201F0" w:rsidRPr="004201F0">
        <w:rPr>
          <w:rFonts w:ascii="Times New Roman" w:hAnsi="Times New Roman" w:cs="Times New Roman"/>
          <w:sz w:val="28"/>
          <w:szCs w:val="28"/>
        </w:rPr>
        <w:t xml:space="preserve"> урегулировани</w:t>
      </w:r>
      <w:r w:rsidR="00AB4417">
        <w:rPr>
          <w:rFonts w:ascii="Times New Roman" w:hAnsi="Times New Roman" w:cs="Times New Roman"/>
          <w:sz w:val="28"/>
          <w:szCs w:val="28"/>
        </w:rPr>
        <w:t>ю</w:t>
      </w:r>
      <w:r w:rsidR="004201F0" w:rsidRPr="004201F0">
        <w:rPr>
          <w:rFonts w:ascii="Times New Roman" w:hAnsi="Times New Roman" w:cs="Times New Roman"/>
          <w:sz w:val="28"/>
          <w:szCs w:val="28"/>
        </w:rPr>
        <w:t xml:space="preserve"> убытков.</w:t>
      </w:r>
    </w:p>
    <w:p w:rsidR="00AB4417" w:rsidRDefault="00AB4417" w:rsidP="00AB44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убытки первого типа уже наступили или причинены, но еще не зая</w:t>
      </w:r>
      <w:r>
        <w:rPr>
          <w:rFonts w:ascii="Times New Roman" w:hAnsi="Times New Roman" w:cs="Times New Roman"/>
          <w:sz w:val="28"/>
          <w:szCs w:val="28"/>
        </w:rPr>
        <w:t>в</w:t>
      </w:r>
      <w:r>
        <w:rPr>
          <w:rFonts w:ascii="Times New Roman" w:hAnsi="Times New Roman" w:cs="Times New Roman"/>
          <w:sz w:val="28"/>
          <w:szCs w:val="28"/>
        </w:rPr>
        <w:t xml:space="preserve">лены страховщику в установленном порядке или не замечены страхователем; для них страховщик обязан сформировать достаточный </w:t>
      </w:r>
      <w:r w:rsidRPr="00AB4417">
        <w:rPr>
          <w:rFonts w:ascii="Times New Roman" w:hAnsi="Times New Roman" w:cs="Times New Roman"/>
          <w:i/>
          <w:sz w:val="28"/>
          <w:szCs w:val="28"/>
        </w:rPr>
        <w:t>резерв произоше</w:t>
      </w:r>
      <w:r w:rsidRPr="00AB4417">
        <w:rPr>
          <w:rFonts w:ascii="Times New Roman" w:hAnsi="Times New Roman" w:cs="Times New Roman"/>
          <w:i/>
          <w:sz w:val="28"/>
          <w:szCs w:val="28"/>
        </w:rPr>
        <w:t>д</w:t>
      </w:r>
      <w:r w:rsidRPr="00AB4417">
        <w:rPr>
          <w:rFonts w:ascii="Times New Roman" w:hAnsi="Times New Roman" w:cs="Times New Roman"/>
          <w:i/>
          <w:sz w:val="28"/>
          <w:szCs w:val="28"/>
        </w:rPr>
        <w:t>ших, но незаявленных убытков</w:t>
      </w:r>
      <w:r>
        <w:rPr>
          <w:rFonts w:ascii="Times New Roman" w:hAnsi="Times New Roman" w:cs="Times New Roman"/>
          <w:sz w:val="28"/>
          <w:szCs w:val="28"/>
        </w:rPr>
        <w:t xml:space="preserve"> (РПНУ).</w:t>
      </w:r>
    </w:p>
    <w:p w:rsidR="00F3333D" w:rsidRPr="004201F0" w:rsidRDefault="00F3333D" w:rsidP="00AB4417">
      <w:pPr>
        <w:spacing w:after="0" w:line="360" w:lineRule="auto"/>
        <w:ind w:firstLine="709"/>
        <w:jc w:val="both"/>
        <w:rPr>
          <w:bCs/>
          <w:szCs w:val="28"/>
        </w:rPr>
      </w:pPr>
      <w:r>
        <w:rPr>
          <w:rFonts w:ascii="Times New Roman" w:hAnsi="Times New Roman" w:cs="Times New Roman"/>
          <w:sz w:val="28"/>
          <w:szCs w:val="28"/>
        </w:rPr>
        <w:t>Точная оценка резервов убытков необходима не только для внешней отчетности, но и для расчета премий, в основе которого лежат данные о пр</w:t>
      </w:r>
      <w:r>
        <w:rPr>
          <w:rFonts w:ascii="Times New Roman" w:hAnsi="Times New Roman" w:cs="Times New Roman"/>
          <w:sz w:val="28"/>
          <w:szCs w:val="28"/>
        </w:rPr>
        <w:t>о</w:t>
      </w:r>
      <w:r>
        <w:rPr>
          <w:rFonts w:ascii="Times New Roman" w:hAnsi="Times New Roman" w:cs="Times New Roman"/>
          <w:sz w:val="28"/>
          <w:szCs w:val="28"/>
        </w:rPr>
        <w:t>шлом процессе убытков.</w:t>
      </w:r>
    </w:p>
    <w:p w:rsidR="00AB4417" w:rsidRDefault="00AB4417" w:rsidP="001C59D8">
      <w:pPr>
        <w:spacing w:after="0" w:line="360" w:lineRule="auto"/>
        <w:ind w:firstLine="709"/>
        <w:jc w:val="both"/>
        <w:rPr>
          <w:rFonts w:ascii="Times New Roman" w:hAnsi="Times New Roman" w:cs="Times New Roman"/>
          <w:sz w:val="28"/>
          <w:szCs w:val="28"/>
        </w:rPr>
      </w:pPr>
      <w:r w:rsidRPr="00AB4417">
        <w:rPr>
          <w:rFonts w:ascii="Times New Roman" w:hAnsi="Times New Roman" w:cs="Times New Roman"/>
          <w:i/>
          <w:sz w:val="28"/>
          <w:szCs w:val="28"/>
        </w:rPr>
        <w:t>Стабилизационный резерв</w:t>
      </w:r>
      <w:r>
        <w:rPr>
          <w:rFonts w:ascii="Times New Roman" w:hAnsi="Times New Roman" w:cs="Times New Roman"/>
          <w:sz w:val="28"/>
          <w:szCs w:val="28"/>
        </w:rPr>
        <w:t xml:space="preserve"> (</w:t>
      </w: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предназначен для исполнения обяз</w:t>
      </w:r>
      <w:r>
        <w:rPr>
          <w:rFonts w:ascii="Times New Roman" w:hAnsi="Times New Roman" w:cs="Times New Roman"/>
          <w:sz w:val="28"/>
          <w:szCs w:val="28"/>
        </w:rPr>
        <w:t>а</w:t>
      </w:r>
      <w:r>
        <w:rPr>
          <w:rFonts w:ascii="Times New Roman" w:hAnsi="Times New Roman" w:cs="Times New Roman"/>
          <w:sz w:val="28"/>
          <w:szCs w:val="28"/>
        </w:rPr>
        <w:t>тельств по страховым выплатам, плохо поддающимся количественной оце</w:t>
      </w:r>
      <w:r>
        <w:rPr>
          <w:rFonts w:ascii="Times New Roman" w:hAnsi="Times New Roman" w:cs="Times New Roman"/>
          <w:sz w:val="28"/>
          <w:szCs w:val="28"/>
        </w:rPr>
        <w:t>н</w:t>
      </w:r>
      <w:r>
        <w:rPr>
          <w:rFonts w:ascii="Times New Roman" w:hAnsi="Times New Roman" w:cs="Times New Roman"/>
          <w:sz w:val="28"/>
          <w:szCs w:val="28"/>
        </w:rPr>
        <w:t>ке.</w:t>
      </w:r>
    </w:p>
    <w:p w:rsidR="001C59D8" w:rsidRDefault="001C59D8" w:rsidP="001C59D8">
      <w:pPr>
        <w:spacing w:after="0" w:line="360" w:lineRule="auto"/>
        <w:ind w:firstLine="709"/>
        <w:jc w:val="both"/>
        <w:rPr>
          <w:rFonts w:ascii="Times New Roman" w:hAnsi="Times New Roman" w:cs="Times New Roman"/>
          <w:sz w:val="28"/>
          <w:szCs w:val="28"/>
        </w:rPr>
      </w:pPr>
      <w:r w:rsidRPr="001E4665">
        <w:rPr>
          <w:rFonts w:ascii="Times New Roman" w:hAnsi="Times New Roman" w:cs="Times New Roman"/>
          <w:sz w:val="28"/>
          <w:szCs w:val="28"/>
        </w:rPr>
        <w:t>До</w:t>
      </w:r>
      <w:r>
        <w:rPr>
          <w:rFonts w:ascii="Times New Roman" w:hAnsi="Times New Roman" w:cs="Times New Roman"/>
          <w:sz w:val="28"/>
          <w:szCs w:val="28"/>
        </w:rPr>
        <w:t>бровольное медицинское страхование относится к так называемым видам страхования «с коротким хвостом», т.е. в этом сегменте страхового рынка срок между моментом наступления убытка и моментом его оконч</w:t>
      </w:r>
      <w:r>
        <w:rPr>
          <w:rFonts w:ascii="Times New Roman" w:hAnsi="Times New Roman" w:cs="Times New Roman"/>
          <w:sz w:val="28"/>
          <w:szCs w:val="28"/>
        </w:rPr>
        <w:t>а</w:t>
      </w:r>
      <w:r>
        <w:rPr>
          <w:rFonts w:ascii="Times New Roman" w:hAnsi="Times New Roman" w:cs="Times New Roman"/>
          <w:sz w:val="28"/>
          <w:szCs w:val="28"/>
        </w:rPr>
        <w:t xml:space="preserve">тельного урегулирования относительно короток (1-2 квартала). </w:t>
      </w:r>
    </w:p>
    <w:p w:rsidR="00524701" w:rsidRDefault="001E4665" w:rsidP="001E4665">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Как уже от</w:t>
      </w:r>
      <w:r w:rsidR="00FE01E6">
        <w:rPr>
          <w:rFonts w:ascii="Times New Roman" w:hAnsi="Times New Roman" w:cs="Times New Roman"/>
          <w:sz w:val="28"/>
          <w:szCs w:val="28"/>
        </w:rPr>
        <w:t xml:space="preserve">мечалось </w:t>
      </w:r>
      <w:r w:rsidR="009C53A7">
        <w:rPr>
          <w:rFonts w:ascii="Times New Roman" w:hAnsi="Times New Roman" w:cs="Times New Roman"/>
          <w:sz w:val="28"/>
          <w:szCs w:val="28"/>
        </w:rPr>
        <w:t>ранее</w:t>
      </w:r>
      <w:r w:rsidR="00FE01E6">
        <w:rPr>
          <w:rFonts w:ascii="Times New Roman" w:hAnsi="Times New Roman" w:cs="Times New Roman"/>
          <w:sz w:val="28"/>
          <w:szCs w:val="28"/>
        </w:rPr>
        <w:t xml:space="preserve">, </w:t>
      </w:r>
      <w:r w:rsidR="00847542">
        <w:rPr>
          <w:rFonts w:ascii="Times New Roman" w:hAnsi="Times New Roman" w:cs="Times New Roman"/>
          <w:sz w:val="28"/>
          <w:szCs w:val="28"/>
        </w:rPr>
        <w:t>отечественными</w:t>
      </w:r>
      <w:r w:rsidR="00FE01E6">
        <w:rPr>
          <w:rFonts w:ascii="Times New Roman" w:hAnsi="Times New Roman" w:cs="Times New Roman"/>
          <w:sz w:val="28"/>
          <w:szCs w:val="28"/>
        </w:rPr>
        <w:t xml:space="preserve"> страховыми организаци</w:t>
      </w:r>
      <w:r w:rsidR="00FE01E6">
        <w:rPr>
          <w:rFonts w:ascii="Times New Roman" w:hAnsi="Times New Roman" w:cs="Times New Roman"/>
          <w:sz w:val="28"/>
          <w:szCs w:val="28"/>
        </w:rPr>
        <w:t>я</w:t>
      </w:r>
      <w:r w:rsidR="00FE01E6">
        <w:rPr>
          <w:rFonts w:ascii="Times New Roman" w:hAnsi="Times New Roman" w:cs="Times New Roman"/>
          <w:sz w:val="28"/>
          <w:szCs w:val="28"/>
        </w:rPr>
        <w:t>ми, как правило, не принимаются на страхование риски трудноизлечимых, смертельно опасных заболеваний таких</w:t>
      </w:r>
      <w:r w:rsidR="00847542">
        <w:rPr>
          <w:rFonts w:ascii="Times New Roman" w:hAnsi="Times New Roman" w:cs="Times New Roman"/>
          <w:sz w:val="28"/>
          <w:szCs w:val="28"/>
        </w:rPr>
        <w:t>,</w:t>
      </w:r>
      <w:r w:rsidR="00FE01E6">
        <w:rPr>
          <w:rFonts w:ascii="Times New Roman" w:hAnsi="Times New Roman" w:cs="Times New Roman"/>
          <w:sz w:val="28"/>
          <w:szCs w:val="28"/>
        </w:rPr>
        <w:t xml:space="preserve"> как злокачественные новообразов</w:t>
      </w:r>
      <w:r w:rsidR="00FE01E6">
        <w:rPr>
          <w:rFonts w:ascii="Times New Roman" w:hAnsi="Times New Roman" w:cs="Times New Roman"/>
          <w:sz w:val="28"/>
          <w:szCs w:val="28"/>
        </w:rPr>
        <w:t>а</w:t>
      </w:r>
      <w:r w:rsidR="00FE01E6">
        <w:rPr>
          <w:rFonts w:ascii="Times New Roman" w:hAnsi="Times New Roman" w:cs="Times New Roman"/>
          <w:sz w:val="28"/>
          <w:szCs w:val="28"/>
        </w:rPr>
        <w:t>ния, ВИЧ-инфекция и СПИД, инфаркт миокарда, инсульт, острая почечная и сердечная недостаточность, а также заболевания</w:t>
      </w:r>
      <w:r w:rsidR="00847542">
        <w:rPr>
          <w:rFonts w:ascii="Times New Roman" w:hAnsi="Times New Roman" w:cs="Times New Roman"/>
          <w:sz w:val="28"/>
          <w:szCs w:val="28"/>
        </w:rPr>
        <w:t>, при которых возникает н</w:t>
      </w:r>
      <w:r w:rsidR="00847542">
        <w:rPr>
          <w:rFonts w:ascii="Times New Roman" w:hAnsi="Times New Roman" w:cs="Times New Roman"/>
          <w:sz w:val="28"/>
          <w:szCs w:val="28"/>
        </w:rPr>
        <w:t>е</w:t>
      </w:r>
      <w:r w:rsidR="00847542">
        <w:rPr>
          <w:rFonts w:ascii="Times New Roman" w:hAnsi="Times New Roman" w:cs="Times New Roman"/>
          <w:sz w:val="28"/>
          <w:szCs w:val="28"/>
        </w:rPr>
        <w:t>обходимость трансплантации жизненно важных органов. Именно ориентир</w:t>
      </w:r>
      <w:r w:rsidR="00847542">
        <w:rPr>
          <w:rFonts w:ascii="Times New Roman" w:hAnsi="Times New Roman" w:cs="Times New Roman"/>
          <w:sz w:val="28"/>
          <w:szCs w:val="28"/>
        </w:rPr>
        <w:t>о</w:t>
      </w:r>
      <w:r w:rsidR="00847542">
        <w:rPr>
          <w:rFonts w:ascii="Times New Roman" w:hAnsi="Times New Roman" w:cs="Times New Roman"/>
          <w:sz w:val="28"/>
          <w:szCs w:val="28"/>
        </w:rPr>
        <w:t xml:space="preserve">ванность </w:t>
      </w:r>
      <w:r w:rsidR="002F413F">
        <w:rPr>
          <w:rFonts w:ascii="Times New Roman" w:hAnsi="Times New Roman" w:cs="Times New Roman"/>
          <w:sz w:val="28"/>
          <w:szCs w:val="28"/>
        </w:rPr>
        <w:t xml:space="preserve">российских страховщиков </w:t>
      </w:r>
      <w:r w:rsidR="00847542">
        <w:rPr>
          <w:rFonts w:ascii="Times New Roman" w:hAnsi="Times New Roman" w:cs="Times New Roman"/>
          <w:sz w:val="28"/>
          <w:szCs w:val="28"/>
        </w:rPr>
        <w:t xml:space="preserve">на оказание </w:t>
      </w:r>
      <w:proofErr w:type="gramStart"/>
      <w:r w:rsidR="00847542">
        <w:rPr>
          <w:rFonts w:ascii="Times New Roman" w:hAnsi="Times New Roman" w:cs="Times New Roman"/>
          <w:sz w:val="28"/>
          <w:szCs w:val="28"/>
        </w:rPr>
        <w:t>застрахованным</w:t>
      </w:r>
      <w:proofErr w:type="gramEnd"/>
      <w:r w:rsidR="00847542">
        <w:rPr>
          <w:rFonts w:ascii="Times New Roman" w:hAnsi="Times New Roman" w:cs="Times New Roman"/>
          <w:sz w:val="28"/>
          <w:szCs w:val="28"/>
        </w:rPr>
        <w:t xml:space="preserve"> </w:t>
      </w:r>
      <w:r w:rsidR="002F413F">
        <w:rPr>
          <w:rFonts w:ascii="Times New Roman" w:hAnsi="Times New Roman" w:cs="Times New Roman"/>
          <w:sz w:val="28"/>
          <w:szCs w:val="28"/>
        </w:rPr>
        <w:t>преимущ</w:t>
      </w:r>
      <w:r w:rsidR="002F413F">
        <w:rPr>
          <w:rFonts w:ascii="Times New Roman" w:hAnsi="Times New Roman" w:cs="Times New Roman"/>
          <w:sz w:val="28"/>
          <w:szCs w:val="28"/>
        </w:rPr>
        <w:t>е</w:t>
      </w:r>
      <w:r w:rsidR="002F413F">
        <w:rPr>
          <w:rFonts w:ascii="Times New Roman" w:hAnsi="Times New Roman" w:cs="Times New Roman"/>
          <w:sz w:val="28"/>
          <w:szCs w:val="28"/>
        </w:rPr>
        <w:t xml:space="preserve">ственно </w:t>
      </w:r>
      <w:r w:rsidR="00847542" w:rsidRPr="009E1FDB">
        <w:rPr>
          <w:rFonts w:ascii="Times New Roman" w:hAnsi="Times New Roman"/>
          <w:color w:val="000000"/>
          <w:sz w:val="28"/>
          <w:szCs w:val="28"/>
        </w:rPr>
        <w:t>амбу</w:t>
      </w:r>
      <w:r w:rsidR="00847542">
        <w:rPr>
          <w:rFonts w:ascii="Times New Roman" w:hAnsi="Times New Roman"/>
          <w:color w:val="000000"/>
          <w:sz w:val="28"/>
          <w:szCs w:val="28"/>
        </w:rPr>
        <w:t xml:space="preserve">латорно-поликлинической помощи </w:t>
      </w:r>
      <w:r w:rsidR="009C53A7">
        <w:rPr>
          <w:rFonts w:ascii="Times New Roman" w:hAnsi="Times New Roman"/>
          <w:color w:val="000000"/>
          <w:sz w:val="28"/>
          <w:szCs w:val="28"/>
        </w:rPr>
        <w:t>(диагно</w:t>
      </w:r>
      <w:r w:rsidR="002603C7">
        <w:rPr>
          <w:rFonts w:ascii="Times New Roman" w:hAnsi="Times New Roman"/>
          <w:color w:val="000000"/>
          <w:sz w:val="28"/>
          <w:szCs w:val="28"/>
        </w:rPr>
        <w:t xml:space="preserve">стика, физиотерапия, стоматологические услуги и т.д.) без хирургического вмешательства </w:t>
      </w:r>
      <w:r w:rsidR="002F413F">
        <w:rPr>
          <w:rFonts w:ascii="Times New Roman" w:hAnsi="Times New Roman"/>
          <w:color w:val="000000"/>
          <w:sz w:val="28"/>
          <w:szCs w:val="28"/>
        </w:rPr>
        <w:t>спосо</w:t>
      </w:r>
      <w:r w:rsidR="002F413F">
        <w:rPr>
          <w:rFonts w:ascii="Times New Roman" w:hAnsi="Times New Roman"/>
          <w:color w:val="000000"/>
          <w:sz w:val="28"/>
          <w:szCs w:val="28"/>
        </w:rPr>
        <w:t>б</w:t>
      </w:r>
      <w:r w:rsidR="002F413F">
        <w:rPr>
          <w:rFonts w:ascii="Times New Roman" w:hAnsi="Times New Roman"/>
          <w:color w:val="000000"/>
          <w:sz w:val="28"/>
          <w:szCs w:val="28"/>
        </w:rPr>
        <w:lastRenderedPageBreak/>
        <w:t xml:space="preserve">ствует тому, что большая часть убытков урегулируется в течение одного квартала с момента их возникновения. </w:t>
      </w:r>
      <w:r w:rsidR="009C53A7">
        <w:rPr>
          <w:rFonts w:ascii="Times New Roman" w:hAnsi="Times New Roman"/>
          <w:color w:val="000000"/>
          <w:sz w:val="28"/>
          <w:szCs w:val="28"/>
        </w:rPr>
        <w:t>Тогда как в случае вышеперечисле</w:t>
      </w:r>
      <w:r w:rsidR="009C53A7">
        <w:rPr>
          <w:rFonts w:ascii="Times New Roman" w:hAnsi="Times New Roman"/>
          <w:color w:val="000000"/>
          <w:sz w:val="28"/>
          <w:szCs w:val="28"/>
        </w:rPr>
        <w:t>н</w:t>
      </w:r>
      <w:r w:rsidR="009C53A7">
        <w:rPr>
          <w:rFonts w:ascii="Times New Roman" w:hAnsi="Times New Roman"/>
          <w:color w:val="000000"/>
          <w:sz w:val="28"/>
          <w:szCs w:val="28"/>
        </w:rPr>
        <w:t>ных заболеваний продолжительность лечения и, соответственно, длител</w:t>
      </w:r>
      <w:r w:rsidR="009C53A7">
        <w:rPr>
          <w:rFonts w:ascii="Times New Roman" w:hAnsi="Times New Roman"/>
          <w:color w:val="000000"/>
          <w:sz w:val="28"/>
          <w:szCs w:val="28"/>
        </w:rPr>
        <w:t>ь</w:t>
      </w:r>
      <w:r w:rsidR="009C53A7">
        <w:rPr>
          <w:rFonts w:ascii="Times New Roman" w:hAnsi="Times New Roman"/>
          <w:color w:val="000000"/>
          <w:sz w:val="28"/>
          <w:szCs w:val="28"/>
        </w:rPr>
        <w:t>ность урегулирования страховых случаев, могла бы достигать нескольких лет</w:t>
      </w:r>
      <w:r w:rsidR="003A59AE" w:rsidRPr="003A59AE">
        <w:rPr>
          <w:rFonts w:ascii="Times New Roman" w:hAnsi="Times New Roman"/>
          <w:color w:val="000000"/>
          <w:sz w:val="28"/>
          <w:szCs w:val="28"/>
        </w:rPr>
        <w:t xml:space="preserve"> [7]</w:t>
      </w:r>
      <w:r w:rsidR="009C53A7">
        <w:rPr>
          <w:rFonts w:ascii="Times New Roman" w:hAnsi="Times New Roman"/>
          <w:color w:val="000000"/>
          <w:sz w:val="28"/>
          <w:szCs w:val="28"/>
        </w:rPr>
        <w:t>.</w:t>
      </w:r>
      <w:r w:rsidR="00524701">
        <w:rPr>
          <w:rFonts w:ascii="Times New Roman" w:hAnsi="Times New Roman"/>
          <w:color w:val="000000"/>
          <w:sz w:val="28"/>
          <w:szCs w:val="28"/>
        </w:rPr>
        <w:t xml:space="preserve"> </w:t>
      </w:r>
    </w:p>
    <w:p w:rsidR="001D2377" w:rsidRPr="001E4665" w:rsidRDefault="00524701" w:rsidP="001E4665">
      <w:pPr>
        <w:spacing w:after="0" w:line="360" w:lineRule="auto"/>
        <w:ind w:firstLine="709"/>
        <w:jc w:val="both"/>
        <w:rPr>
          <w:rFonts w:ascii="Times New Roman" w:hAnsi="Times New Roman" w:cs="Times New Roman"/>
          <w:sz w:val="28"/>
          <w:szCs w:val="28"/>
        </w:rPr>
      </w:pPr>
      <w:proofErr w:type="gramStart"/>
      <w:r>
        <w:rPr>
          <w:rFonts w:ascii="Times New Roman" w:hAnsi="Times New Roman"/>
          <w:color w:val="000000"/>
          <w:sz w:val="28"/>
          <w:szCs w:val="28"/>
        </w:rPr>
        <w:t xml:space="preserve">Соответственно, наибольшие удельные веса в общей величине резерва произошедших, но незаявленных убытков </w:t>
      </w:r>
      <w:r w:rsidR="0013442E">
        <w:rPr>
          <w:rFonts w:ascii="Times New Roman" w:hAnsi="Times New Roman"/>
          <w:color w:val="000000"/>
          <w:sz w:val="28"/>
          <w:szCs w:val="28"/>
        </w:rPr>
        <w:t>на конец отчетного периода</w:t>
      </w:r>
      <w:r>
        <w:rPr>
          <w:rFonts w:ascii="Times New Roman" w:hAnsi="Times New Roman"/>
          <w:color w:val="000000"/>
          <w:sz w:val="28"/>
          <w:szCs w:val="28"/>
        </w:rPr>
        <w:t xml:space="preserve"> имеют резервы убытков по страховым случаям наиболее близких по времени пери</w:t>
      </w:r>
      <w:r>
        <w:rPr>
          <w:rFonts w:ascii="Times New Roman" w:hAnsi="Times New Roman"/>
          <w:color w:val="000000"/>
          <w:sz w:val="28"/>
          <w:szCs w:val="28"/>
        </w:rPr>
        <w:t>о</w:t>
      </w:r>
      <w:r>
        <w:rPr>
          <w:rFonts w:ascii="Times New Roman" w:hAnsi="Times New Roman"/>
          <w:color w:val="000000"/>
          <w:sz w:val="28"/>
          <w:szCs w:val="28"/>
        </w:rPr>
        <w:t>дов зарождения, тогда как для более отдаленных периодов инцидента на ра</w:t>
      </w:r>
      <w:r>
        <w:rPr>
          <w:rFonts w:ascii="Times New Roman" w:hAnsi="Times New Roman"/>
          <w:color w:val="000000"/>
          <w:sz w:val="28"/>
          <w:szCs w:val="28"/>
        </w:rPr>
        <w:t>с</w:t>
      </w:r>
      <w:r>
        <w:rPr>
          <w:rFonts w:ascii="Times New Roman" w:hAnsi="Times New Roman"/>
          <w:color w:val="000000"/>
          <w:sz w:val="28"/>
          <w:szCs w:val="28"/>
        </w:rPr>
        <w:t>сматриваемом временном промежутке денежные суммы могут и вовсе не р</w:t>
      </w:r>
      <w:r>
        <w:rPr>
          <w:rFonts w:ascii="Times New Roman" w:hAnsi="Times New Roman"/>
          <w:color w:val="000000"/>
          <w:sz w:val="28"/>
          <w:szCs w:val="28"/>
        </w:rPr>
        <w:t>е</w:t>
      </w:r>
      <w:r>
        <w:rPr>
          <w:rFonts w:ascii="Times New Roman" w:hAnsi="Times New Roman"/>
          <w:color w:val="000000"/>
          <w:sz w:val="28"/>
          <w:szCs w:val="28"/>
        </w:rPr>
        <w:t xml:space="preserve">зервироваться, поскольку </w:t>
      </w:r>
      <w:r w:rsidR="0013442E">
        <w:rPr>
          <w:rFonts w:ascii="Times New Roman" w:hAnsi="Times New Roman"/>
          <w:color w:val="000000"/>
          <w:sz w:val="28"/>
          <w:szCs w:val="28"/>
        </w:rPr>
        <w:t>все возможные убытки по ним уже урегулированы на отчетную дату.</w:t>
      </w:r>
      <w:proofErr w:type="gramEnd"/>
    </w:p>
    <w:p w:rsidR="000A3243" w:rsidRPr="000A3243" w:rsidRDefault="000A3243" w:rsidP="000A3243">
      <w:pPr>
        <w:spacing w:before="120" w:after="0" w:line="360" w:lineRule="auto"/>
        <w:jc w:val="center"/>
        <w:rPr>
          <w:rFonts w:ascii="Times New Roman" w:hAnsi="Times New Roman"/>
          <w:b/>
          <w:sz w:val="28"/>
          <w:szCs w:val="28"/>
        </w:rPr>
      </w:pPr>
      <w:r w:rsidRPr="000A3243">
        <w:rPr>
          <w:rFonts w:ascii="Times New Roman" w:hAnsi="Times New Roman"/>
          <w:b/>
          <w:sz w:val="28"/>
          <w:szCs w:val="28"/>
        </w:rPr>
        <w:t>Выводы по Главе 1</w:t>
      </w:r>
    </w:p>
    <w:p w:rsidR="000A3243" w:rsidRPr="000A3243" w:rsidRDefault="000A3243" w:rsidP="000A324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Обзор </w:t>
      </w:r>
      <w:r w:rsidR="00170233">
        <w:rPr>
          <w:rFonts w:ascii="Times New Roman" w:hAnsi="Times New Roman"/>
          <w:sz w:val="28"/>
          <w:szCs w:val="28"/>
        </w:rPr>
        <w:t xml:space="preserve">современного </w:t>
      </w:r>
      <w:r>
        <w:rPr>
          <w:rFonts w:ascii="Times New Roman" w:hAnsi="Times New Roman"/>
          <w:sz w:val="28"/>
          <w:szCs w:val="28"/>
        </w:rPr>
        <w:t xml:space="preserve">состояния рынка ДМС </w:t>
      </w:r>
      <w:r w:rsidR="00170233">
        <w:rPr>
          <w:rFonts w:ascii="Times New Roman" w:hAnsi="Times New Roman"/>
          <w:sz w:val="28"/>
          <w:szCs w:val="28"/>
        </w:rPr>
        <w:t xml:space="preserve">в России </w:t>
      </w:r>
      <w:r>
        <w:rPr>
          <w:rFonts w:ascii="Times New Roman" w:hAnsi="Times New Roman"/>
          <w:sz w:val="28"/>
          <w:szCs w:val="28"/>
        </w:rPr>
        <w:t>показал, что об</w:t>
      </w:r>
      <w:r>
        <w:rPr>
          <w:rFonts w:ascii="Times New Roman" w:hAnsi="Times New Roman"/>
          <w:sz w:val="28"/>
          <w:szCs w:val="28"/>
        </w:rPr>
        <w:t>ъ</w:t>
      </w:r>
      <w:r>
        <w:rPr>
          <w:rFonts w:ascii="Times New Roman" w:hAnsi="Times New Roman"/>
          <w:sz w:val="28"/>
          <w:szCs w:val="28"/>
        </w:rPr>
        <w:t xml:space="preserve">ем собираемых страховыми компаниями взносов </w:t>
      </w:r>
      <w:r w:rsidR="00170233">
        <w:rPr>
          <w:rFonts w:ascii="Times New Roman" w:hAnsi="Times New Roman"/>
          <w:sz w:val="28"/>
          <w:szCs w:val="28"/>
        </w:rPr>
        <w:t xml:space="preserve">по договорам ДМС </w:t>
      </w:r>
      <w:r>
        <w:rPr>
          <w:rFonts w:ascii="Times New Roman" w:hAnsi="Times New Roman"/>
          <w:sz w:val="28"/>
          <w:szCs w:val="28"/>
        </w:rPr>
        <w:t>неи</w:t>
      </w:r>
      <w:r>
        <w:rPr>
          <w:rFonts w:ascii="Times New Roman" w:hAnsi="Times New Roman"/>
          <w:sz w:val="28"/>
          <w:szCs w:val="28"/>
        </w:rPr>
        <w:t>з</w:t>
      </w:r>
      <w:r>
        <w:rPr>
          <w:rFonts w:ascii="Times New Roman" w:hAnsi="Times New Roman"/>
          <w:sz w:val="28"/>
          <w:szCs w:val="28"/>
        </w:rPr>
        <w:t>менно увеличивается из года в год</w:t>
      </w:r>
      <w:r w:rsidR="00170233">
        <w:rPr>
          <w:rFonts w:ascii="Times New Roman" w:hAnsi="Times New Roman"/>
          <w:sz w:val="28"/>
          <w:szCs w:val="28"/>
        </w:rPr>
        <w:t>. На корпоративных клиентов приходится приблизительно 87% страховых премий, среди частных лиц ДМС еще не п</w:t>
      </w:r>
      <w:r w:rsidR="00170233">
        <w:rPr>
          <w:rFonts w:ascii="Times New Roman" w:hAnsi="Times New Roman"/>
          <w:sz w:val="28"/>
          <w:szCs w:val="28"/>
        </w:rPr>
        <w:t>о</w:t>
      </w:r>
      <w:r w:rsidR="00170233">
        <w:rPr>
          <w:rFonts w:ascii="Times New Roman" w:hAnsi="Times New Roman"/>
          <w:sz w:val="28"/>
          <w:szCs w:val="28"/>
        </w:rPr>
        <w:t xml:space="preserve">лучило столь широкого распространения. С течением времени </w:t>
      </w:r>
      <w:r w:rsidR="00341F12">
        <w:rPr>
          <w:rFonts w:ascii="Times New Roman" w:hAnsi="Times New Roman"/>
          <w:sz w:val="28"/>
          <w:szCs w:val="28"/>
        </w:rPr>
        <w:t>растет</w:t>
      </w:r>
      <w:r w:rsidR="00170233">
        <w:rPr>
          <w:rFonts w:ascii="Times New Roman" w:hAnsi="Times New Roman"/>
          <w:sz w:val="28"/>
          <w:szCs w:val="28"/>
        </w:rPr>
        <w:t xml:space="preserve"> ко</w:t>
      </w:r>
      <w:r w:rsidR="00170233">
        <w:rPr>
          <w:rFonts w:ascii="Times New Roman" w:hAnsi="Times New Roman"/>
          <w:sz w:val="28"/>
          <w:szCs w:val="28"/>
        </w:rPr>
        <w:t>н</w:t>
      </w:r>
      <w:r w:rsidR="00170233">
        <w:rPr>
          <w:rFonts w:ascii="Times New Roman" w:hAnsi="Times New Roman"/>
          <w:sz w:val="28"/>
          <w:szCs w:val="28"/>
        </w:rPr>
        <w:t>центрация страховщиков в исследуемом секторе, что, наряду</w:t>
      </w:r>
      <w:r w:rsidR="00341F12">
        <w:rPr>
          <w:rFonts w:ascii="Times New Roman" w:hAnsi="Times New Roman"/>
          <w:sz w:val="28"/>
          <w:szCs w:val="28"/>
        </w:rPr>
        <w:t xml:space="preserve"> с совершенс</w:t>
      </w:r>
      <w:r w:rsidR="00341F12">
        <w:rPr>
          <w:rFonts w:ascii="Times New Roman" w:hAnsi="Times New Roman"/>
          <w:sz w:val="28"/>
          <w:szCs w:val="28"/>
        </w:rPr>
        <w:t>т</w:t>
      </w:r>
      <w:r w:rsidR="00341F12">
        <w:rPr>
          <w:rFonts w:ascii="Times New Roman" w:hAnsi="Times New Roman"/>
          <w:sz w:val="28"/>
          <w:szCs w:val="28"/>
        </w:rPr>
        <w:t>вованием актуарных расчетов тарифных ставок для граждан с раз</w:t>
      </w:r>
      <w:r w:rsidR="00B81EE2">
        <w:rPr>
          <w:rFonts w:ascii="Times New Roman" w:hAnsi="Times New Roman"/>
          <w:sz w:val="28"/>
          <w:szCs w:val="28"/>
        </w:rPr>
        <w:t>личными</w:t>
      </w:r>
      <w:r w:rsidR="00341F12">
        <w:rPr>
          <w:rFonts w:ascii="Times New Roman" w:hAnsi="Times New Roman"/>
          <w:sz w:val="28"/>
          <w:szCs w:val="28"/>
        </w:rPr>
        <w:t xml:space="preserve"> рисками заболеваний, </w:t>
      </w:r>
      <w:r w:rsidR="00B81EE2">
        <w:rPr>
          <w:rFonts w:ascii="Times New Roman" w:hAnsi="Times New Roman"/>
          <w:sz w:val="28"/>
          <w:szCs w:val="28"/>
        </w:rPr>
        <w:t>должно привести к</w:t>
      </w:r>
      <w:r w:rsidR="00341F12">
        <w:rPr>
          <w:rFonts w:ascii="Times New Roman" w:hAnsi="Times New Roman"/>
          <w:sz w:val="28"/>
          <w:szCs w:val="28"/>
        </w:rPr>
        <w:t xml:space="preserve"> повышению рентабельности этого вида страхования.</w:t>
      </w:r>
      <w:r w:rsidR="00B81EE2">
        <w:rPr>
          <w:rFonts w:ascii="Times New Roman" w:hAnsi="Times New Roman"/>
          <w:sz w:val="28"/>
          <w:szCs w:val="28"/>
        </w:rPr>
        <w:t xml:space="preserve"> Развитию розничного ДМС в нашей стране мо</w:t>
      </w:r>
      <w:r w:rsidR="00C11C35">
        <w:rPr>
          <w:rFonts w:ascii="Times New Roman" w:hAnsi="Times New Roman"/>
          <w:sz w:val="28"/>
          <w:szCs w:val="28"/>
        </w:rPr>
        <w:t>жет</w:t>
      </w:r>
      <w:r w:rsidR="00B81EE2">
        <w:rPr>
          <w:rFonts w:ascii="Times New Roman" w:hAnsi="Times New Roman"/>
          <w:sz w:val="28"/>
          <w:szCs w:val="28"/>
        </w:rPr>
        <w:t xml:space="preserve"> спосо</w:t>
      </w:r>
      <w:r w:rsidR="00B81EE2">
        <w:rPr>
          <w:rFonts w:ascii="Times New Roman" w:hAnsi="Times New Roman"/>
          <w:sz w:val="28"/>
          <w:szCs w:val="28"/>
        </w:rPr>
        <w:t>б</w:t>
      </w:r>
      <w:r w:rsidR="00B81EE2">
        <w:rPr>
          <w:rFonts w:ascii="Times New Roman" w:hAnsi="Times New Roman"/>
          <w:sz w:val="28"/>
          <w:szCs w:val="28"/>
        </w:rPr>
        <w:t>ствовать усиленная реклама со стороны страховщиков, обновление и диве</w:t>
      </w:r>
      <w:r w:rsidR="00B81EE2">
        <w:rPr>
          <w:rFonts w:ascii="Times New Roman" w:hAnsi="Times New Roman"/>
          <w:sz w:val="28"/>
          <w:szCs w:val="28"/>
        </w:rPr>
        <w:t>р</w:t>
      </w:r>
      <w:r w:rsidR="00B81EE2">
        <w:rPr>
          <w:rFonts w:ascii="Times New Roman" w:hAnsi="Times New Roman"/>
          <w:sz w:val="28"/>
          <w:szCs w:val="28"/>
        </w:rPr>
        <w:t>сификация продуктовой линейки, упрощение применения налоговых льгот.</w:t>
      </w:r>
    </w:p>
    <w:p w:rsidR="000A3243" w:rsidRPr="00227615" w:rsidRDefault="000A3243" w:rsidP="000A3243">
      <w:pPr>
        <w:spacing w:after="0" w:line="360" w:lineRule="auto"/>
        <w:ind w:firstLine="709"/>
        <w:jc w:val="both"/>
        <w:rPr>
          <w:rFonts w:ascii="Times New Roman" w:hAnsi="Times New Roman"/>
          <w:sz w:val="28"/>
          <w:szCs w:val="28"/>
        </w:rPr>
      </w:pPr>
      <w:r>
        <w:rPr>
          <w:rFonts w:ascii="Times New Roman" w:hAnsi="Times New Roman"/>
          <w:sz w:val="28"/>
          <w:szCs w:val="28"/>
        </w:rPr>
        <w:t>Резерв произошедших, но незаявленных убытков формируется страх</w:t>
      </w:r>
      <w:r>
        <w:rPr>
          <w:rFonts w:ascii="Times New Roman" w:hAnsi="Times New Roman"/>
          <w:sz w:val="28"/>
          <w:szCs w:val="28"/>
        </w:rPr>
        <w:t>о</w:t>
      </w:r>
      <w:r>
        <w:rPr>
          <w:rFonts w:ascii="Times New Roman" w:hAnsi="Times New Roman"/>
          <w:sz w:val="28"/>
          <w:szCs w:val="28"/>
        </w:rPr>
        <w:t xml:space="preserve">вой организацией как гарантия исполнения ею своих обязательств по </w:t>
      </w:r>
      <w:r w:rsidR="00C11C35">
        <w:rPr>
          <w:rFonts w:ascii="Times New Roman" w:hAnsi="Times New Roman"/>
          <w:sz w:val="28"/>
          <w:szCs w:val="28"/>
        </w:rPr>
        <w:t>осущ</w:t>
      </w:r>
      <w:r w:rsidR="00C11C35">
        <w:rPr>
          <w:rFonts w:ascii="Times New Roman" w:hAnsi="Times New Roman"/>
          <w:sz w:val="28"/>
          <w:szCs w:val="28"/>
        </w:rPr>
        <w:t>е</w:t>
      </w:r>
      <w:r w:rsidR="00C11C35">
        <w:rPr>
          <w:rFonts w:ascii="Times New Roman" w:hAnsi="Times New Roman"/>
          <w:sz w:val="28"/>
          <w:szCs w:val="28"/>
        </w:rPr>
        <w:t xml:space="preserve">ствлению страховых </w:t>
      </w:r>
      <w:r>
        <w:rPr>
          <w:rFonts w:ascii="Times New Roman" w:hAnsi="Times New Roman"/>
          <w:sz w:val="28"/>
          <w:szCs w:val="28"/>
        </w:rPr>
        <w:t>выплат</w:t>
      </w:r>
      <w:r w:rsidR="00C11C35">
        <w:rPr>
          <w:rFonts w:ascii="Times New Roman" w:hAnsi="Times New Roman"/>
          <w:sz w:val="28"/>
          <w:szCs w:val="28"/>
        </w:rPr>
        <w:t xml:space="preserve"> в связи со страховыми случаями</w:t>
      </w:r>
      <w:r>
        <w:rPr>
          <w:rFonts w:ascii="Times New Roman" w:hAnsi="Times New Roman"/>
          <w:sz w:val="28"/>
          <w:szCs w:val="28"/>
        </w:rPr>
        <w:t>, которые уже наступили, но еще не</w:t>
      </w:r>
      <w:r w:rsidRPr="00227615">
        <w:rPr>
          <w:rFonts w:ascii="Times New Roman" w:hAnsi="Times New Roman"/>
          <w:sz w:val="28"/>
          <w:szCs w:val="28"/>
        </w:rPr>
        <w:t xml:space="preserve"> </w:t>
      </w:r>
      <w:r>
        <w:rPr>
          <w:rFonts w:ascii="Times New Roman" w:hAnsi="Times New Roman"/>
          <w:sz w:val="28"/>
          <w:szCs w:val="28"/>
        </w:rPr>
        <w:t>были заявлены страховщику. РПНУ оказывает сущес</w:t>
      </w:r>
      <w:r>
        <w:rPr>
          <w:rFonts w:ascii="Times New Roman" w:hAnsi="Times New Roman"/>
          <w:sz w:val="28"/>
          <w:szCs w:val="28"/>
        </w:rPr>
        <w:t>т</w:t>
      </w:r>
      <w:r>
        <w:rPr>
          <w:rFonts w:ascii="Times New Roman" w:hAnsi="Times New Roman"/>
          <w:sz w:val="28"/>
          <w:szCs w:val="28"/>
        </w:rPr>
        <w:t>венное воздействие на тарифную политику страховой компании, величину отчислений в федеральный бюджет по налогу на прибыль, размер выплач</w:t>
      </w:r>
      <w:r>
        <w:rPr>
          <w:rFonts w:ascii="Times New Roman" w:hAnsi="Times New Roman"/>
          <w:sz w:val="28"/>
          <w:szCs w:val="28"/>
        </w:rPr>
        <w:t>и</w:t>
      </w:r>
      <w:r>
        <w:rPr>
          <w:rFonts w:ascii="Times New Roman" w:hAnsi="Times New Roman"/>
          <w:sz w:val="28"/>
          <w:szCs w:val="28"/>
        </w:rPr>
        <w:lastRenderedPageBreak/>
        <w:t>ваемых ею дивидендов и т.д.</w:t>
      </w:r>
      <w:r w:rsidR="00C11C35">
        <w:rPr>
          <w:rFonts w:ascii="Times New Roman" w:hAnsi="Times New Roman"/>
          <w:sz w:val="28"/>
          <w:szCs w:val="28"/>
        </w:rPr>
        <w:t>, поэтому т</w:t>
      </w:r>
      <w:r>
        <w:rPr>
          <w:rFonts w:ascii="Times New Roman" w:hAnsi="Times New Roman"/>
          <w:sz w:val="28"/>
          <w:szCs w:val="28"/>
        </w:rPr>
        <w:t xml:space="preserve">очность </w:t>
      </w:r>
      <w:r w:rsidR="00D47CA3">
        <w:rPr>
          <w:rFonts w:ascii="Times New Roman" w:hAnsi="Times New Roman"/>
          <w:sz w:val="28"/>
          <w:szCs w:val="28"/>
        </w:rPr>
        <w:t xml:space="preserve">его </w:t>
      </w:r>
      <w:r>
        <w:rPr>
          <w:rFonts w:ascii="Times New Roman" w:hAnsi="Times New Roman"/>
          <w:sz w:val="28"/>
          <w:szCs w:val="28"/>
        </w:rPr>
        <w:t>оценивания является з</w:t>
      </w:r>
      <w:r>
        <w:rPr>
          <w:rFonts w:ascii="Times New Roman" w:hAnsi="Times New Roman"/>
          <w:sz w:val="28"/>
          <w:szCs w:val="28"/>
        </w:rPr>
        <w:t>а</w:t>
      </w:r>
      <w:r>
        <w:rPr>
          <w:rFonts w:ascii="Times New Roman" w:hAnsi="Times New Roman"/>
          <w:sz w:val="28"/>
          <w:szCs w:val="28"/>
        </w:rPr>
        <w:t>логом успешного функционирования страховой компании.</w:t>
      </w:r>
    </w:p>
    <w:p w:rsidR="000A3243" w:rsidRPr="00126F92" w:rsidRDefault="000A3243" w:rsidP="000A3243">
      <w:pPr>
        <w:spacing w:after="0" w:line="360" w:lineRule="auto"/>
        <w:ind w:firstLine="709"/>
        <w:jc w:val="both"/>
        <w:rPr>
          <w:rFonts w:ascii="Times New Roman" w:hAnsi="Times New Roman"/>
          <w:sz w:val="28"/>
          <w:szCs w:val="28"/>
        </w:rPr>
      </w:pPr>
      <w:r>
        <w:rPr>
          <w:rFonts w:ascii="Times New Roman" w:hAnsi="Times New Roman"/>
          <w:sz w:val="28"/>
          <w:szCs w:val="28"/>
        </w:rPr>
        <w:t>Убытки по договорам страхования ДМС, как правило, развиваются в течение неп</w:t>
      </w:r>
      <w:r w:rsidR="00D47CA3">
        <w:rPr>
          <w:rFonts w:ascii="Times New Roman" w:hAnsi="Times New Roman"/>
          <w:sz w:val="28"/>
          <w:szCs w:val="28"/>
        </w:rPr>
        <w:t>родолжительного периода времени</w:t>
      </w:r>
      <w:r w:rsidR="007838CB">
        <w:rPr>
          <w:rFonts w:ascii="Times New Roman" w:hAnsi="Times New Roman"/>
          <w:sz w:val="28"/>
          <w:szCs w:val="28"/>
        </w:rPr>
        <w:t xml:space="preserve"> </w:t>
      </w:r>
      <w:r w:rsidR="007838CB">
        <w:rPr>
          <w:rFonts w:ascii="Times New Roman" w:hAnsi="Times New Roman" w:cs="Times New Roman"/>
          <w:sz w:val="28"/>
          <w:szCs w:val="28"/>
        </w:rPr>
        <w:t>– 1-2 квартала</w:t>
      </w:r>
      <w:r w:rsidR="00D47CA3">
        <w:rPr>
          <w:rFonts w:ascii="Times New Roman" w:hAnsi="Times New Roman"/>
          <w:sz w:val="28"/>
          <w:szCs w:val="28"/>
        </w:rPr>
        <w:t>, однако в сл</w:t>
      </w:r>
      <w:r w:rsidR="00D47CA3">
        <w:rPr>
          <w:rFonts w:ascii="Times New Roman" w:hAnsi="Times New Roman"/>
          <w:sz w:val="28"/>
          <w:szCs w:val="28"/>
        </w:rPr>
        <w:t>у</w:t>
      </w:r>
      <w:r w:rsidR="00D47CA3">
        <w:rPr>
          <w:rFonts w:ascii="Times New Roman" w:hAnsi="Times New Roman"/>
          <w:sz w:val="28"/>
          <w:szCs w:val="28"/>
        </w:rPr>
        <w:t>чае серьезного заболевания урегулирование страхового случая может раст</w:t>
      </w:r>
      <w:r w:rsidR="00D47CA3">
        <w:rPr>
          <w:rFonts w:ascii="Times New Roman" w:hAnsi="Times New Roman"/>
          <w:sz w:val="28"/>
          <w:szCs w:val="28"/>
        </w:rPr>
        <w:t>я</w:t>
      </w:r>
      <w:r w:rsidR="00D47CA3">
        <w:rPr>
          <w:rFonts w:ascii="Times New Roman" w:hAnsi="Times New Roman"/>
          <w:sz w:val="28"/>
          <w:szCs w:val="28"/>
        </w:rPr>
        <w:t xml:space="preserve">нуться </w:t>
      </w:r>
      <w:r w:rsidR="007838CB">
        <w:rPr>
          <w:rFonts w:ascii="Times New Roman" w:hAnsi="Times New Roman"/>
          <w:sz w:val="28"/>
          <w:szCs w:val="28"/>
        </w:rPr>
        <w:t xml:space="preserve">и </w:t>
      </w:r>
      <w:r w:rsidR="00D47CA3">
        <w:rPr>
          <w:rFonts w:ascii="Times New Roman" w:hAnsi="Times New Roman"/>
          <w:sz w:val="28"/>
          <w:szCs w:val="28"/>
        </w:rPr>
        <w:t xml:space="preserve">на </w:t>
      </w:r>
      <w:r w:rsidR="007838CB">
        <w:rPr>
          <w:rFonts w:ascii="Times New Roman" w:hAnsi="Times New Roman"/>
          <w:sz w:val="28"/>
          <w:szCs w:val="28"/>
        </w:rPr>
        <w:t xml:space="preserve">более </w:t>
      </w:r>
      <w:r w:rsidR="00D47CA3">
        <w:rPr>
          <w:rFonts w:ascii="Times New Roman" w:hAnsi="Times New Roman"/>
          <w:sz w:val="28"/>
          <w:szCs w:val="28"/>
        </w:rPr>
        <w:t>долгий срок.</w:t>
      </w:r>
    </w:p>
    <w:p w:rsidR="003C1A5B" w:rsidRDefault="003C1A5B"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Default="00F227F0" w:rsidP="00DB7C4D">
      <w:pPr>
        <w:spacing w:after="0" w:line="360" w:lineRule="auto"/>
        <w:jc w:val="center"/>
        <w:rPr>
          <w:rFonts w:ascii="Times New Roman" w:hAnsi="Times New Roman" w:cs="Times New Roman"/>
          <w:b/>
          <w:sz w:val="28"/>
          <w:szCs w:val="28"/>
        </w:rPr>
      </w:pPr>
    </w:p>
    <w:p w:rsidR="00F227F0" w:rsidRPr="00DA62A2" w:rsidRDefault="00F227F0" w:rsidP="00DB7C4D">
      <w:pPr>
        <w:spacing w:after="0" w:line="360" w:lineRule="auto"/>
        <w:jc w:val="center"/>
        <w:rPr>
          <w:rFonts w:ascii="Times New Roman" w:hAnsi="Times New Roman" w:cs="Times New Roman"/>
          <w:b/>
          <w:sz w:val="28"/>
          <w:szCs w:val="28"/>
        </w:rPr>
      </w:pPr>
    </w:p>
    <w:p w:rsidR="003C1A5B" w:rsidRPr="00DA62A2" w:rsidRDefault="003C1A5B" w:rsidP="00DB7C4D">
      <w:pPr>
        <w:spacing w:after="0" w:line="360" w:lineRule="auto"/>
        <w:jc w:val="center"/>
        <w:rPr>
          <w:rFonts w:ascii="Times New Roman" w:hAnsi="Times New Roman" w:cs="Times New Roman"/>
          <w:b/>
          <w:sz w:val="28"/>
          <w:szCs w:val="28"/>
        </w:rPr>
      </w:pPr>
    </w:p>
    <w:p w:rsidR="003C1A5B" w:rsidRPr="00DA62A2" w:rsidRDefault="003C1A5B" w:rsidP="00DB7C4D">
      <w:pPr>
        <w:spacing w:after="0" w:line="360" w:lineRule="auto"/>
        <w:jc w:val="center"/>
        <w:rPr>
          <w:rFonts w:ascii="Times New Roman" w:hAnsi="Times New Roman" w:cs="Times New Roman"/>
          <w:b/>
          <w:sz w:val="28"/>
          <w:szCs w:val="28"/>
        </w:rPr>
      </w:pPr>
    </w:p>
    <w:p w:rsidR="00D47CA3" w:rsidRDefault="00D47CA3" w:rsidP="00DB7C4D">
      <w:pPr>
        <w:spacing w:after="0" w:line="360" w:lineRule="auto"/>
        <w:jc w:val="center"/>
        <w:rPr>
          <w:rFonts w:ascii="Times New Roman" w:hAnsi="Times New Roman" w:cs="Times New Roman"/>
          <w:b/>
          <w:sz w:val="28"/>
          <w:szCs w:val="28"/>
        </w:rPr>
      </w:pPr>
    </w:p>
    <w:p w:rsidR="00D47CA3" w:rsidRDefault="00D47CA3" w:rsidP="00DB7C4D">
      <w:pPr>
        <w:spacing w:after="0" w:line="360" w:lineRule="auto"/>
        <w:jc w:val="center"/>
        <w:rPr>
          <w:rFonts w:ascii="Times New Roman" w:hAnsi="Times New Roman" w:cs="Times New Roman"/>
          <w:b/>
          <w:sz w:val="28"/>
          <w:szCs w:val="28"/>
        </w:rPr>
      </w:pPr>
    </w:p>
    <w:p w:rsidR="00D47CA3" w:rsidRDefault="00D47CA3" w:rsidP="00DB7C4D">
      <w:pPr>
        <w:spacing w:after="0" w:line="360" w:lineRule="auto"/>
        <w:jc w:val="center"/>
        <w:rPr>
          <w:rFonts w:ascii="Times New Roman" w:hAnsi="Times New Roman" w:cs="Times New Roman"/>
          <w:b/>
          <w:sz w:val="28"/>
          <w:szCs w:val="28"/>
        </w:rPr>
      </w:pPr>
    </w:p>
    <w:p w:rsidR="00D47CA3" w:rsidRDefault="00D47CA3" w:rsidP="00DB7C4D">
      <w:pPr>
        <w:spacing w:after="0" w:line="360" w:lineRule="auto"/>
        <w:jc w:val="center"/>
        <w:rPr>
          <w:rFonts w:ascii="Times New Roman" w:hAnsi="Times New Roman" w:cs="Times New Roman"/>
          <w:b/>
          <w:sz w:val="28"/>
          <w:szCs w:val="28"/>
        </w:rPr>
      </w:pPr>
    </w:p>
    <w:p w:rsidR="00D47CA3" w:rsidRDefault="00D47CA3" w:rsidP="00DB7C4D">
      <w:pPr>
        <w:spacing w:after="0" w:line="360" w:lineRule="auto"/>
        <w:jc w:val="center"/>
        <w:rPr>
          <w:rFonts w:ascii="Times New Roman" w:hAnsi="Times New Roman" w:cs="Times New Roman"/>
          <w:b/>
          <w:sz w:val="28"/>
          <w:szCs w:val="28"/>
        </w:rPr>
      </w:pPr>
    </w:p>
    <w:p w:rsidR="00D47CA3" w:rsidRDefault="00D47CA3" w:rsidP="00DB7C4D">
      <w:pPr>
        <w:spacing w:after="0" w:line="360" w:lineRule="auto"/>
        <w:jc w:val="center"/>
        <w:rPr>
          <w:rFonts w:ascii="Times New Roman" w:hAnsi="Times New Roman" w:cs="Times New Roman"/>
          <w:b/>
          <w:sz w:val="28"/>
          <w:szCs w:val="28"/>
        </w:rPr>
      </w:pPr>
    </w:p>
    <w:p w:rsidR="00524701" w:rsidRDefault="001D2377" w:rsidP="00DB7C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Расчет резервов убытков в ДМС </w:t>
      </w:r>
      <w:proofErr w:type="gramStart"/>
      <w:r>
        <w:rPr>
          <w:rFonts w:ascii="Times New Roman" w:hAnsi="Times New Roman" w:cs="Times New Roman"/>
          <w:b/>
          <w:sz w:val="28"/>
          <w:szCs w:val="28"/>
        </w:rPr>
        <w:t>стандартными</w:t>
      </w:r>
      <w:proofErr w:type="gramEnd"/>
      <w:r>
        <w:rPr>
          <w:rFonts w:ascii="Times New Roman" w:hAnsi="Times New Roman" w:cs="Times New Roman"/>
          <w:b/>
          <w:sz w:val="28"/>
          <w:szCs w:val="28"/>
        </w:rPr>
        <w:t xml:space="preserve"> </w:t>
      </w:r>
    </w:p>
    <w:p w:rsidR="001D2377" w:rsidRDefault="001D2377" w:rsidP="00DB7C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актуарными методами</w:t>
      </w:r>
    </w:p>
    <w:p w:rsidR="00524701" w:rsidRDefault="00DB7C4D" w:rsidP="00DB7C4D">
      <w:pPr>
        <w:spacing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t xml:space="preserve">§ 2.1. Треугольник развития как инструмент представления </w:t>
      </w:r>
    </w:p>
    <w:p w:rsidR="00DB7C4D" w:rsidRPr="00757775" w:rsidRDefault="00DB7C4D" w:rsidP="00DB7C4D">
      <w:pPr>
        <w:spacing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t>данных по убыткам</w:t>
      </w:r>
      <w:r w:rsidR="000F22EB">
        <w:rPr>
          <w:rFonts w:ascii="Times New Roman" w:hAnsi="Times New Roman" w:cs="Times New Roman"/>
          <w:b/>
          <w:sz w:val="28"/>
          <w:szCs w:val="28"/>
        </w:rPr>
        <w:t xml:space="preserve"> страховой компании</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Треугольник развития (треугольник убытков, треугольник выбывания) служит средством для аккумулирования информации, необходимой для оценки резерва произошедших, но незаявленных убытков.</w:t>
      </w:r>
      <w:r w:rsidRPr="00757775">
        <w:rPr>
          <w:rFonts w:ascii="Calibri" w:hAnsi="Calibri" w:cs="Calibri"/>
        </w:rPr>
        <w:t xml:space="preserve">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Часто треугольник развития строится в кумулятивной форме (</w:t>
      </w:r>
      <w:r w:rsidR="001D2377" w:rsidRPr="001D2377">
        <w:rPr>
          <w:rFonts w:ascii="Times New Roman" w:hAnsi="Times New Roman" w:cs="Times New Roman"/>
          <w:sz w:val="28"/>
          <w:szCs w:val="28"/>
        </w:rPr>
        <w:t xml:space="preserve">табл. </w:t>
      </w:r>
      <w:r w:rsidR="001C58DE">
        <w:rPr>
          <w:rFonts w:ascii="Times New Roman" w:hAnsi="Times New Roman" w:cs="Times New Roman"/>
          <w:sz w:val="28"/>
          <w:szCs w:val="28"/>
        </w:rPr>
        <w:t>8</w:t>
      </w:r>
      <w:r w:rsidRPr="00757775">
        <w:rPr>
          <w:rFonts w:ascii="Times New Roman" w:hAnsi="Times New Roman" w:cs="Times New Roman"/>
          <w:sz w:val="28"/>
          <w:szCs w:val="28"/>
        </w:rPr>
        <w:t xml:space="preserve">), когда величины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oMath>
      <w:r w:rsidRPr="00757775">
        <w:rPr>
          <w:rFonts w:ascii="Times New Roman" w:eastAsiaTheme="minorEastAsia" w:hAnsi="Times New Roman" w:cs="Times New Roman"/>
          <w:sz w:val="28"/>
          <w:szCs w:val="28"/>
        </w:rPr>
        <w:t xml:space="preserve"> представляют собой совокупные страховые выплаты на конец отчетного периода с номером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 xml:space="preserve"> по страховым случаям, наступившим в период номером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 Для них справедлива формула:</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j</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ik</m:t>
                </m:r>
              </m:sub>
            </m:sSub>
          </m:e>
        </m:nary>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both"/>
        <w:rPr>
          <w:rFonts w:ascii="Times New Roman"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ik</m:t>
            </m:r>
          </m:sub>
        </m:sSub>
      </m:oMath>
      <w:r w:rsidRPr="00757775">
        <w:rPr>
          <w:rFonts w:ascii="Times New Roman" w:eastAsiaTheme="minorEastAsia" w:hAnsi="Times New Roman" w:cs="Times New Roman"/>
          <w:sz w:val="28"/>
          <w:szCs w:val="28"/>
        </w:rPr>
        <w:t xml:space="preserve"> – размер платежа в </w:t>
      </w:r>
      <w:r w:rsidRPr="00757775">
        <w:rPr>
          <w:rFonts w:ascii="Times New Roman" w:eastAsiaTheme="minorEastAsia" w:hAnsi="Times New Roman" w:cs="Times New Roman"/>
          <w:i/>
          <w:sz w:val="28"/>
          <w:szCs w:val="28"/>
          <w:lang w:val="en-GB"/>
        </w:rPr>
        <w:t>k</w:t>
      </w:r>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 развития по страховым случаям, произошедшим в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 наступления убытков.</w:t>
      </w:r>
    </w:p>
    <w:p w:rsidR="00DB7C4D" w:rsidRPr="00D15D2D" w:rsidRDefault="00DB7C4D" w:rsidP="001D2377">
      <w:pPr>
        <w:spacing w:after="0" w:line="360" w:lineRule="auto"/>
        <w:jc w:val="right"/>
        <w:rPr>
          <w:rFonts w:ascii="Times New Roman" w:hAnsi="Times New Roman" w:cs="Times New Roman"/>
          <w:i/>
          <w:sz w:val="26"/>
          <w:szCs w:val="26"/>
        </w:rPr>
      </w:pPr>
      <w:r w:rsidRPr="00D15D2D">
        <w:rPr>
          <w:rFonts w:ascii="Times New Roman" w:hAnsi="Times New Roman" w:cs="Times New Roman"/>
          <w:i/>
          <w:sz w:val="26"/>
          <w:szCs w:val="26"/>
        </w:rPr>
        <w:t xml:space="preserve">Таблица </w:t>
      </w:r>
      <w:r w:rsidR="001C58DE" w:rsidRPr="00D15D2D">
        <w:rPr>
          <w:rFonts w:ascii="Times New Roman" w:hAnsi="Times New Roman" w:cs="Times New Roman"/>
          <w:i/>
          <w:sz w:val="26"/>
          <w:szCs w:val="26"/>
        </w:rPr>
        <w:t>8</w:t>
      </w:r>
    </w:p>
    <w:p w:rsidR="00DB7C4D" w:rsidRPr="00D15D2D" w:rsidRDefault="00DB7C4D" w:rsidP="001D2377">
      <w:pPr>
        <w:spacing w:after="0" w:line="360" w:lineRule="auto"/>
        <w:jc w:val="center"/>
        <w:rPr>
          <w:rFonts w:ascii="Times New Roman" w:hAnsi="Times New Roman" w:cs="Times New Roman"/>
          <w:sz w:val="26"/>
          <w:szCs w:val="26"/>
        </w:rPr>
      </w:pPr>
      <w:r w:rsidRPr="00D15D2D">
        <w:rPr>
          <w:rFonts w:ascii="Times New Roman" w:hAnsi="Times New Roman" w:cs="Times New Roman"/>
          <w:i/>
          <w:sz w:val="26"/>
          <w:szCs w:val="26"/>
        </w:rPr>
        <w:t>Треугольник развития</w:t>
      </w:r>
      <w:r w:rsidR="003A59AE" w:rsidRPr="003A59AE">
        <w:rPr>
          <w:rFonts w:ascii="Times New Roman" w:hAnsi="Times New Roman" w:cs="Times New Roman"/>
          <w:i/>
          <w:sz w:val="26"/>
          <w:szCs w:val="26"/>
        </w:rPr>
        <w:t xml:space="preserve"> </w:t>
      </w:r>
      <w:r w:rsidR="003A59AE">
        <w:rPr>
          <w:rFonts w:ascii="Times New Roman" w:hAnsi="Times New Roman" w:cs="Times New Roman"/>
          <w:i/>
          <w:sz w:val="26"/>
          <w:szCs w:val="26"/>
        </w:rPr>
        <w:t>убытков страховой компании</w:t>
      </w:r>
      <w:r w:rsidRPr="00D15D2D">
        <w:rPr>
          <w:rFonts w:ascii="Times New Roman" w:hAnsi="Times New Roman" w:cs="Times New Roman"/>
          <w:i/>
          <w:sz w:val="26"/>
          <w:szCs w:val="26"/>
        </w:rPr>
        <w:t>. Накопленные платежи</w:t>
      </w:r>
    </w:p>
    <w:tbl>
      <w:tblPr>
        <w:tblW w:w="9840" w:type="dxa"/>
        <w:jc w:val="right"/>
        <w:tblInd w:w="-170" w:type="dxa"/>
        <w:tblLook w:val="04A0"/>
      </w:tblPr>
      <w:tblGrid>
        <w:gridCol w:w="2241"/>
        <w:gridCol w:w="851"/>
        <w:gridCol w:w="841"/>
        <w:gridCol w:w="840"/>
        <w:gridCol w:w="840"/>
        <w:gridCol w:w="833"/>
        <w:gridCol w:w="831"/>
        <w:gridCol w:w="831"/>
        <w:gridCol w:w="1732"/>
      </w:tblGrid>
      <w:tr w:rsidR="00DB7C4D" w:rsidRPr="00757775" w:rsidTr="0012647D">
        <w:trPr>
          <w:trHeight w:val="315"/>
          <w:jc w:val="right"/>
        </w:trPr>
        <w:tc>
          <w:tcPr>
            <w:tcW w:w="2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5"/>
                <w:szCs w:val="25"/>
                <w:lang w:eastAsia="ru-RU"/>
              </w:rPr>
            </w:pPr>
            <w:r w:rsidRPr="00757775">
              <w:rPr>
                <w:rFonts w:ascii="Times New Roman" w:eastAsia="Times New Roman" w:hAnsi="Times New Roman" w:cs="Times New Roman"/>
                <w:b/>
                <w:bCs/>
                <w:color w:val="000000"/>
                <w:sz w:val="25"/>
                <w:szCs w:val="25"/>
                <w:lang w:eastAsia="ru-RU"/>
              </w:rPr>
              <w:t>Период насту</w:t>
            </w:r>
            <w:r w:rsidRPr="00757775">
              <w:rPr>
                <w:rFonts w:ascii="Times New Roman" w:eastAsia="Times New Roman" w:hAnsi="Times New Roman" w:cs="Times New Roman"/>
                <w:b/>
                <w:bCs/>
                <w:color w:val="000000"/>
                <w:sz w:val="25"/>
                <w:szCs w:val="25"/>
                <w:lang w:eastAsia="ru-RU"/>
              </w:rPr>
              <w:t>п</w:t>
            </w:r>
            <w:r w:rsidRPr="00757775">
              <w:rPr>
                <w:rFonts w:ascii="Times New Roman" w:eastAsia="Times New Roman" w:hAnsi="Times New Roman" w:cs="Times New Roman"/>
                <w:b/>
                <w:bCs/>
                <w:color w:val="000000"/>
                <w:sz w:val="25"/>
                <w:szCs w:val="25"/>
                <w:lang w:eastAsia="ru-RU"/>
              </w:rPr>
              <w:t xml:space="preserve">ления убытков, </w:t>
            </w:r>
            <w:proofErr w:type="spellStart"/>
            <w:r w:rsidRPr="00757775">
              <w:rPr>
                <w:rFonts w:ascii="Times New Roman" w:eastAsia="Times New Roman" w:hAnsi="Times New Roman" w:cs="Times New Roman"/>
                <w:b/>
                <w:bCs/>
                <w:i/>
                <w:color w:val="000000"/>
                <w:sz w:val="25"/>
                <w:szCs w:val="25"/>
                <w:lang w:val="en-GB" w:eastAsia="ru-RU"/>
              </w:rPr>
              <w:t>i</w:t>
            </w:r>
            <w:proofErr w:type="spellEnd"/>
          </w:p>
        </w:tc>
        <w:tc>
          <w:tcPr>
            <w:tcW w:w="5867" w:type="dxa"/>
            <w:gridSpan w:val="7"/>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5"/>
                <w:szCs w:val="25"/>
                <w:lang w:eastAsia="ru-RU"/>
              </w:rPr>
            </w:pPr>
            <w:r w:rsidRPr="00757775">
              <w:rPr>
                <w:rFonts w:ascii="Times New Roman" w:eastAsia="Times New Roman" w:hAnsi="Times New Roman" w:cs="Times New Roman"/>
                <w:b/>
                <w:bCs/>
                <w:color w:val="000000"/>
                <w:sz w:val="25"/>
                <w:szCs w:val="25"/>
                <w:lang w:eastAsia="ru-RU"/>
              </w:rPr>
              <w:t xml:space="preserve">Период оплаты убытков, </w:t>
            </w:r>
            <w:r w:rsidRPr="00757775">
              <w:rPr>
                <w:rFonts w:ascii="Times New Roman" w:eastAsia="Times New Roman" w:hAnsi="Times New Roman" w:cs="Times New Roman"/>
                <w:b/>
                <w:bCs/>
                <w:i/>
                <w:color w:val="000000"/>
                <w:sz w:val="25"/>
                <w:szCs w:val="25"/>
                <w:lang w:val="en-GB" w:eastAsia="ru-RU"/>
              </w:rPr>
              <w:t>j</w:t>
            </w:r>
          </w:p>
        </w:tc>
        <w:tc>
          <w:tcPr>
            <w:tcW w:w="1732" w:type="dxa"/>
            <w:vMerge w:val="restart"/>
            <w:tcBorders>
              <w:top w:val="single" w:sz="4" w:space="0" w:color="auto"/>
              <w:left w:val="nil"/>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b/>
                <w:bCs/>
                <w:color w:val="000000"/>
                <w:sz w:val="25"/>
                <w:szCs w:val="25"/>
                <w:lang w:eastAsia="ru-RU"/>
              </w:rPr>
            </w:pPr>
            <w:r w:rsidRPr="00757775">
              <w:rPr>
                <w:rFonts w:ascii="Times New Roman" w:eastAsia="Times New Roman" w:hAnsi="Times New Roman" w:cs="Times New Roman"/>
                <w:b/>
                <w:bCs/>
                <w:color w:val="000000"/>
                <w:sz w:val="25"/>
                <w:szCs w:val="25"/>
                <w:lang w:eastAsia="ru-RU"/>
              </w:rPr>
              <w:t>Совокупные выплаты</w:t>
            </w:r>
          </w:p>
        </w:tc>
      </w:tr>
      <w:tr w:rsidR="00DB7C4D" w:rsidRPr="00757775" w:rsidTr="0012647D">
        <w:trPr>
          <w:trHeight w:val="360"/>
          <w:jc w:val="right"/>
        </w:trPr>
        <w:tc>
          <w:tcPr>
            <w:tcW w:w="2241" w:type="dxa"/>
            <w:vMerge/>
            <w:tcBorders>
              <w:top w:val="single" w:sz="4" w:space="0" w:color="auto"/>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6"/>
                <w:szCs w:val="26"/>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eastAsia="ru-RU"/>
              </w:rPr>
            </w:pPr>
            <w:r w:rsidRPr="00757775">
              <w:rPr>
                <w:rFonts w:ascii="Times New Roman" w:eastAsia="Times New Roman" w:hAnsi="Times New Roman" w:cs="Times New Roman"/>
                <w:color w:val="000000"/>
                <w:sz w:val="25"/>
                <w:szCs w:val="25"/>
                <w:lang w:eastAsia="ru-RU"/>
              </w:rPr>
              <w:t>1</w:t>
            </w:r>
          </w:p>
        </w:tc>
        <w:tc>
          <w:tcPr>
            <w:tcW w:w="84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eastAsia="ru-RU"/>
              </w:rPr>
            </w:pPr>
            <w:r w:rsidRPr="00757775">
              <w:rPr>
                <w:rFonts w:ascii="Times New Roman" w:eastAsia="Times New Roman" w:hAnsi="Times New Roman" w:cs="Times New Roman"/>
                <w:color w:val="000000"/>
                <w:sz w:val="25"/>
                <w:szCs w:val="25"/>
                <w:lang w:eastAsia="ru-RU"/>
              </w:rPr>
              <w:t>2</w:t>
            </w:r>
          </w:p>
        </w:tc>
        <w:tc>
          <w:tcPr>
            <w:tcW w:w="8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eastAsia="ru-RU"/>
              </w:rPr>
            </w:pPr>
            <w:r w:rsidRPr="00757775">
              <w:rPr>
                <w:rFonts w:ascii="Times New Roman" w:eastAsia="Times New Roman" w:hAnsi="Times New Roman" w:cs="Times New Roman"/>
                <w:color w:val="000000"/>
                <w:sz w:val="25"/>
                <w:szCs w:val="25"/>
                <w:lang w:eastAsia="ru-RU"/>
              </w:rPr>
              <w:t>3</w:t>
            </w:r>
          </w:p>
        </w:tc>
        <w:tc>
          <w:tcPr>
            <w:tcW w:w="8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eastAsia="ru-RU"/>
              </w:rPr>
            </w:pPr>
            <w:r w:rsidRPr="00757775">
              <w:rPr>
                <w:rFonts w:ascii="Times New Roman" w:eastAsia="Times New Roman" w:hAnsi="Times New Roman" w:cs="Times New Roman"/>
                <w:color w:val="000000"/>
                <w:sz w:val="25"/>
                <w:szCs w:val="25"/>
                <w:lang w:eastAsia="ru-RU"/>
              </w:rPr>
              <w:t>…</w:t>
            </w:r>
          </w:p>
        </w:tc>
        <w:tc>
          <w:tcPr>
            <w:tcW w:w="833" w:type="dxa"/>
            <w:tcBorders>
              <w:top w:val="nil"/>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eastAsia="ru-RU"/>
              </w:rPr>
            </w:pPr>
            <w:r w:rsidRPr="00757775">
              <w:rPr>
                <w:rFonts w:ascii="Times New Roman" w:eastAsia="Times New Roman" w:hAnsi="Times New Roman" w:cs="Times New Roman"/>
                <w:i/>
                <w:color w:val="000000"/>
                <w:sz w:val="25"/>
                <w:szCs w:val="25"/>
                <w:lang w:val="en-GB" w:eastAsia="ru-RU"/>
              </w:rPr>
              <w:t>n</w:t>
            </w:r>
            <w:r w:rsidRPr="00757775">
              <w:rPr>
                <w:rFonts w:ascii="Times New Roman" w:eastAsia="Times New Roman" w:hAnsi="Times New Roman" w:cs="Times New Roman"/>
                <w:i/>
                <w:color w:val="000000"/>
                <w:sz w:val="25"/>
                <w:szCs w:val="25"/>
                <w:lang w:eastAsia="ru-RU"/>
              </w:rPr>
              <w:t>-</w:t>
            </w:r>
            <w:r w:rsidRPr="00757775">
              <w:rPr>
                <w:rFonts w:ascii="Times New Roman" w:eastAsia="Times New Roman" w:hAnsi="Times New Roman" w:cs="Times New Roman"/>
                <w:color w:val="000000"/>
                <w:sz w:val="25"/>
                <w:szCs w:val="25"/>
                <w:lang w:eastAsia="ru-RU"/>
              </w:rPr>
              <w:t>1</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5"/>
                <w:szCs w:val="25"/>
                <w:lang w:eastAsia="ru-RU"/>
              </w:rPr>
            </w:pPr>
            <w:r w:rsidRPr="00757775">
              <w:rPr>
                <w:rFonts w:ascii="Times New Roman" w:eastAsia="Times New Roman" w:hAnsi="Times New Roman" w:cs="Times New Roman"/>
                <w:i/>
                <w:color w:val="000000"/>
                <w:sz w:val="25"/>
                <w:szCs w:val="25"/>
                <w:lang w:val="en-GB" w:eastAsia="ru-RU"/>
              </w:rPr>
              <w:t>n</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5"/>
                <w:szCs w:val="25"/>
                <w:lang w:eastAsia="ru-RU"/>
              </w:rPr>
            </w:pPr>
            <w:r w:rsidRPr="00757775">
              <w:rPr>
                <w:rFonts w:ascii="Times New Roman" w:eastAsia="Times New Roman" w:hAnsi="Times New Roman" w:cs="Times New Roman"/>
                <w:i/>
                <w:color w:val="000000"/>
                <w:sz w:val="25"/>
                <w:szCs w:val="25"/>
                <w:lang w:eastAsia="ru-RU"/>
              </w:rPr>
              <w:t>…</w:t>
            </w:r>
          </w:p>
        </w:tc>
        <w:tc>
          <w:tcPr>
            <w:tcW w:w="1732" w:type="dxa"/>
            <w:vMerge/>
            <w:tcBorders>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p>
        </w:tc>
      </w:tr>
      <w:tr w:rsidR="00DB7C4D" w:rsidRPr="00757775" w:rsidTr="0012647D">
        <w:trPr>
          <w:trHeight w:val="315"/>
          <w:jc w:val="right"/>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eastAsia="ru-RU"/>
              </w:rPr>
            </w:pPr>
            <w:r w:rsidRPr="00757775">
              <w:rPr>
                <w:rFonts w:ascii="Times New Roman" w:eastAsia="Times New Roman" w:hAnsi="Times New Roman" w:cs="Times New Roman"/>
                <w:color w:val="000000"/>
                <w:sz w:val="25"/>
                <w:szCs w:val="25"/>
                <w:lang w:eastAsia="ru-RU"/>
              </w:rPr>
              <w:t>1</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vertAlign w:val="subscript"/>
                <w:lang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eastAsia="ru-RU"/>
              </w:rPr>
              <w:t>11</w:t>
            </w:r>
          </w:p>
        </w:tc>
        <w:tc>
          <w:tcPr>
            <w:tcW w:w="8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eastAsia="ru-RU"/>
              </w:rPr>
              <w:t>12</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13</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color w:val="000000"/>
                <w:sz w:val="26"/>
                <w:szCs w:val="26"/>
                <w:lang w:val="en-GB" w:eastAsia="ru-RU"/>
              </w:rPr>
              <w:t>…</w:t>
            </w:r>
          </w:p>
        </w:tc>
        <w:tc>
          <w:tcPr>
            <w:tcW w:w="8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1</w:t>
            </w:r>
            <w:r w:rsidRPr="00757775">
              <w:rPr>
                <w:rFonts w:ascii="Times New Roman" w:eastAsia="Times New Roman" w:hAnsi="Times New Roman" w:cs="Times New Roman"/>
                <w:color w:val="000000"/>
                <w:sz w:val="26"/>
                <w:szCs w:val="26"/>
                <w:vertAlign w:val="subscript"/>
                <w:lang w:val="en-US" w:eastAsia="ru-RU"/>
              </w:rPr>
              <w:t>,</w:t>
            </w:r>
            <w:r w:rsidRPr="00757775">
              <w:rPr>
                <w:rFonts w:ascii="Times New Roman" w:eastAsia="Times New Roman" w:hAnsi="Times New Roman" w:cs="Times New Roman"/>
                <w:i/>
                <w:color w:val="000000"/>
                <w:sz w:val="26"/>
                <w:szCs w:val="26"/>
                <w:vertAlign w:val="subscript"/>
                <w:lang w:val="en-US" w:eastAsia="ru-RU"/>
              </w:rPr>
              <w:t>n-1</w:t>
            </w:r>
          </w:p>
        </w:tc>
        <w:tc>
          <w:tcPr>
            <w:tcW w:w="8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1n</w:t>
            </w:r>
          </w:p>
        </w:tc>
        <w:tc>
          <w:tcPr>
            <w:tcW w:w="831" w:type="dxa"/>
            <w:tcBorders>
              <w:top w:val="single" w:sz="4" w:space="0" w:color="auto"/>
              <w:left w:val="nil"/>
              <w:bottom w:val="single" w:sz="4" w:space="0" w:color="auto"/>
              <w:right w:val="single" w:sz="4" w:space="0" w:color="auto"/>
            </w:tcBorders>
            <w:shd w:val="clear" w:color="auto" w:fill="auto"/>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US" w:eastAsia="ru-RU"/>
              </w:rPr>
            </w:pPr>
            <w:r w:rsidRPr="00757775">
              <w:rPr>
                <w:rFonts w:ascii="Times New Roman" w:eastAsia="Times New Roman" w:hAnsi="Times New Roman" w:cs="Times New Roman"/>
                <w:i/>
                <w:color w:val="000000"/>
                <w:sz w:val="26"/>
                <w:szCs w:val="26"/>
                <w:lang w:eastAsia="ru-RU"/>
              </w:rPr>
              <w:t>…</w:t>
            </w:r>
          </w:p>
        </w:tc>
        <w:tc>
          <w:tcPr>
            <w:tcW w:w="1732"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vertAlign w:val="subscript"/>
                <w:lang w:val="en-GB" w:eastAsia="ru-RU"/>
              </w:rPr>
            </w:pPr>
            <w:r w:rsidRPr="00757775">
              <w:rPr>
                <w:rFonts w:ascii="Times New Roman" w:eastAsia="Times New Roman" w:hAnsi="Times New Roman" w:cs="Times New Roman"/>
                <w:i/>
                <w:color w:val="000000"/>
                <w:sz w:val="26"/>
                <w:szCs w:val="26"/>
                <w:lang w:val="en-GB" w:eastAsia="ru-RU"/>
              </w:rPr>
              <w:t>Y</w:t>
            </w:r>
            <w:r w:rsidRPr="00757775">
              <w:rPr>
                <w:rFonts w:ascii="Times New Roman" w:eastAsia="Times New Roman" w:hAnsi="Times New Roman" w:cs="Times New Roman"/>
                <w:i/>
                <w:color w:val="000000"/>
                <w:sz w:val="26"/>
                <w:szCs w:val="26"/>
                <w:vertAlign w:val="subscript"/>
                <w:lang w:val="en-GB" w:eastAsia="ru-RU"/>
              </w:rPr>
              <w:t>1∞</w:t>
            </w:r>
          </w:p>
        </w:tc>
      </w:tr>
      <w:tr w:rsidR="00DB7C4D" w:rsidRPr="00757775" w:rsidTr="0012647D">
        <w:trPr>
          <w:trHeight w:val="315"/>
          <w:jc w:val="right"/>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val="en-GB" w:eastAsia="ru-RU"/>
              </w:rPr>
            </w:pPr>
            <w:r w:rsidRPr="00757775">
              <w:rPr>
                <w:rFonts w:ascii="Times New Roman" w:eastAsia="Times New Roman" w:hAnsi="Times New Roman" w:cs="Times New Roman"/>
                <w:color w:val="000000"/>
                <w:sz w:val="25"/>
                <w:szCs w:val="25"/>
                <w:lang w:val="en-GB" w:eastAsia="ru-RU"/>
              </w:rPr>
              <w:t>2</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21</w:t>
            </w:r>
          </w:p>
        </w:tc>
        <w:tc>
          <w:tcPr>
            <w:tcW w:w="8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22</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23</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color w:val="000000"/>
                <w:sz w:val="26"/>
                <w:szCs w:val="26"/>
                <w:lang w:val="en-GB" w:eastAsia="ru-RU"/>
              </w:rPr>
              <w:t>…</w:t>
            </w:r>
          </w:p>
        </w:tc>
        <w:tc>
          <w:tcPr>
            <w:tcW w:w="8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2</w:t>
            </w:r>
            <w:r w:rsidRPr="00757775">
              <w:rPr>
                <w:rFonts w:ascii="Times New Roman" w:eastAsia="Times New Roman" w:hAnsi="Times New Roman" w:cs="Times New Roman"/>
                <w:color w:val="000000"/>
                <w:sz w:val="26"/>
                <w:szCs w:val="26"/>
                <w:vertAlign w:val="subscript"/>
                <w:lang w:val="en-US" w:eastAsia="ru-RU"/>
              </w:rPr>
              <w:t>,</w:t>
            </w:r>
            <w:r w:rsidRPr="00757775">
              <w:rPr>
                <w:rFonts w:ascii="Times New Roman" w:eastAsia="Times New Roman" w:hAnsi="Times New Roman" w:cs="Times New Roman"/>
                <w:i/>
                <w:color w:val="000000"/>
                <w:sz w:val="26"/>
                <w:szCs w:val="26"/>
                <w:vertAlign w:val="subscript"/>
                <w:lang w:val="en-US" w:eastAsia="ru-RU"/>
              </w:rPr>
              <w:t>n-1</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GB"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GB" w:eastAsia="ru-RU"/>
              </w:rPr>
            </w:pPr>
            <w:r w:rsidRPr="00757775">
              <w:rPr>
                <w:rFonts w:ascii="Times New Roman" w:eastAsia="Times New Roman" w:hAnsi="Times New Roman" w:cs="Times New Roman"/>
                <w:i/>
                <w:color w:val="000000"/>
                <w:sz w:val="26"/>
                <w:szCs w:val="26"/>
                <w:lang w:eastAsia="ru-RU"/>
              </w:rPr>
              <w:t>…</w:t>
            </w:r>
          </w:p>
        </w:tc>
        <w:tc>
          <w:tcPr>
            <w:tcW w:w="1732"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r w:rsidRPr="00757775">
              <w:rPr>
                <w:rFonts w:ascii="Times New Roman" w:eastAsia="Times New Roman" w:hAnsi="Times New Roman" w:cs="Times New Roman"/>
                <w:i/>
                <w:color w:val="000000"/>
                <w:sz w:val="26"/>
                <w:szCs w:val="26"/>
                <w:lang w:val="en-GB" w:eastAsia="ru-RU"/>
              </w:rPr>
              <w:t>Y</w:t>
            </w:r>
            <w:r w:rsidRPr="00757775">
              <w:rPr>
                <w:rFonts w:ascii="Times New Roman" w:eastAsia="Times New Roman" w:hAnsi="Times New Roman" w:cs="Times New Roman"/>
                <w:i/>
                <w:color w:val="000000"/>
                <w:sz w:val="26"/>
                <w:szCs w:val="26"/>
                <w:vertAlign w:val="subscript"/>
                <w:lang w:val="en-GB" w:eastAsia="ru-RU"/>
              </w:rPr>
              <w:t>2∞</w:t>
            </w:r>
          </w:p>
        </w:tc>
      </w:tr>
      <w:tr w:rsidR="00DB7C4D" w:rsidRPr="00757775" w:rsidTr="0012647D">
        <w:trPr>
          <w:trHeight w:val="315"/>
          <w:jc w:val="right"/>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val="en-GB" w:eastAsia="ru-RU"/>
              </w:rPr>
            </w:pPr>
            <w:r w:rsidRPr="00757775">
              <w:rPr>
                <w:rFonts w:ascii="Times New Roman" w:eastAsia="Times New Roman" w:hAnsi="Times New Roman" w:cs="Times New Roman"/>
                <w:color w:val="000000"/>
                <w:sz w:val="25"/>
                <w:szCs w:val="25"/>
                <w:lang w:val="en-GB" w:eastAsia="ru-RU"/>
              </w:rPr>
              <w:t>3</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31</w:t>
            </w:r>
          </w:p>
        </w:tc>
        <w:tc>
          <w:tcPr>
            <w:tcW w:w="8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32</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33</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color w:val="000000"/>
                <w:sz w:val="26"/>
                <w:szCs w:val="26"/>
                <w:lang w:val="en-GB" w:eastAsia="ru-RU"/>
              </w:rPr>
              <w:t>…</w:t>
            </w:r>
          </w:p>
        </w:tc>
        <w:tc>
          <w:tcPr>
            <w:tcW w:w="833" w:type="dxa"/>
            <w:tcBorders>
              <w:top w:val="nil"/>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GB" w:eastAsia="ru-RU"/>
              </w:rPr>
            </w:pPr>
            <w:r w:rsidRPr="00757775">
              <w:rPr>
                <w:rFonts w:ascii="Times New Roman" w:eastAsia="Times New Roman" w:hAnsi="Times New Roman" w:cs="Times New Roman"/>
                <w:i/>
                <w:color w:val="000000"/>
                <w:sz w:val="26"/>
                <w:szCs w:val="26"/>
                <w:lang w:eastAsia="ru-RU"/>
              </w:rPr>
              <w:t>…</w:t>
            </w:r>
          </w:p>
        </w:tc>
        <w:tc>
          <w:tcPr>
            <w:tcW w:w="1732"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r w:rsidRPr="00757775">
              <w:rPr>
                <w:rFonts w:ascii="Times New Roman" w:eastAsia="Times New Roman" w:hAnsi="Times New Roman" w:cs="Times New Roman"/>
                <w:i/>
                <w:color w:val="000000"/>
                <w:sz w:val="26"/>
                <w:szCs w:val="26"/>
                <w:lang w:val="en-GB" w:eastAsia="ru-RU"/>
              </w:rPr>
              <w:t>Y</w:t>
            </w:r>
            <w:r w:rsidRPr="00757775">
              <w:rPr>
                <w:rFonts w:ascii="Times New Roman" w:eastAsia="Times New Roman" w:hAnsi="Times New Roman" w:cs="Times New Roman"/>
                <w:i/>
                <w:color w:val="000000"/>
                <w:sz w:val="26"/>
                <w:szCs w:val="26"/>
                <w:vertAlign w:val="subscript"/>
                <w:lang w:val="en-GB" w:eastAsia="ru-RU"/>
              </w:rPr>
              <w:t>3∞</w:t>
            </w:r>
          </w:p>
        </w:tc>
      </w:tr>
      <w:tr w:rsidR="00DB7C4D" w:rsidRPr="00757775" w:rsidTr="0012647D">
        <w:trPr>
          <w:trHeight w:val="315"/>
          <w:jc w:val="right"/>
        </w:trPr>
        <w:tc>
          <w:tcPr>
            <w:tcW w:w="224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val="en-GB" w:eastAsia="ru-RU"/>
              </w:rPr>
            </w:pPr>
            <w:r w:rsidRPr="00757775">
              <w:rPr>
                <w:rFonts w:ascii="Times New Roman" w:eastAsia="Times New Roman" w:hAnsi="Times New Roman" w:cs="Times New Roman"/>
                <w:color w:val="000000"/>
                <w:sz w:val="25"/>
                <w:szCs w:val="25"/>
                <w:lang w:val="en-GB" w:eastAsia="ru-RU"/>
              </w:rPr>
              <w:t>…</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color w:val="000000"/>
                <w:sz w:val="26"/>
                <w:szCs w:val="26"/>
                <w:lang w:val="en-GB" w:eastAsia="ru-RU"/>
              </w:rPr>
              <w:t>…</w:t>
            </w:r>
          </w:p>
        </w:tc>
        <w:tc>
          <w:tcPr>
            <w:tcW w:w="8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color w:val="000000"/>
                <w:sz w:val="26"/>
                <w:szCs w:val="26"/>
                <w:lang w:val="en-GB" w:eastAsia="ru-RU"/>
              </w:rPr>
              <w:t>…</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color w:val="000000"/>
                <w:sz w:val="26"/>
                <w:szCs w:val="26"/>
                <w:lang w:val="en-GB" w:eastAsia="ru-RU"/>
              </w:rPr>
              <w:t>…</w:t>
            </w:r>
          </w:p>
        </w:tc>
        <w:tc>
          <w:tcPr>
            <w:tcW w:w="8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3" w:type="dxa"/>
            <w:tcBorders>
              <w:top w:val="nil"/>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GB" w:eastAsia="ru-RU"/>
              </w:rPr>
            </w:pPr>
            <w:r w:rsidRPr="00757775">
              <w:rPr>
                <w:rFonts w:ascii="Times New Roman" w:eastAsia="Times New Roman" w:hAnsi="Times New Roman" w:cs="Times New Roman"/>
                <w:i/>
                <w:color w:val="000000"/>
                <w:sz w:val="26"/>
                <w:szCs w:val="26"/>
                <w:lang w:eastAsia="ru-RU"/>
              </w:rPr>
              <w:t>…</w:t>
            </w:r>
          </w:p>
        </w:tc>
        <w:tc>
          <w:tcPr>
            <w:tcW w:w="1732"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r w:rsidRPr="00757775">
              <w:rPr>
                <w:rFonts w:ascii="Times New Roman" w:eastAsia="Times New Roman" w:hAnsi="Times New Roman" w:cs="Times New Roman"/>
                <w:i/>
                <w:color w:val="000000"/>
                <w:sz w:val="26"/>
                <w:szCs w:val="26"/>
                <w:lang w:eastAsia="ru-RU"/>
              </w:rPr>
              <w:t>…</w:t>
            </w:r>
          </w:p>
        </w:tc>
      </w:tr>
      <w:tr w:rsidR="00DB7C4D" w:rsidRPr="00757775" w:rsidTr="0012647D">
        <w:trPr>
          <w:trHeight w:val="315"/>
          <w:jc w:val="right"/>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5"/>
                <w:szCs w:val="25"/>
                <w:lang w:val="en-GB" w:eastAsia="ru-RU"/>
              </w:rPr>
            </w:pPr>
            <w:r w:rsidRPr="00757775">
              <w:rPr>
                <w:rFonts w:ascii="Times New Roman" w:eastAsia="Times New Roman" w:hAnsi="Times New Roman" w:cs="Times New Roman"/>
                <w:i/>
                <w:color w:val="000000"/>
                <w:sz w:val="25"/>
                <w:szCs w:val="25"/>
                <w:lang w:val="en-GB" w:eastAsia="ru-RU"/>
              </w:rPr>
              <w:t>n</w:t>
            </w:r>
            <w:r w:rsidRPr="00757775">
              <w:rPr>
                <w:rFonts w:ascii="Times New Roman" w:eastAsia="Times New Roman" w:hAnsi="Times New Roman" w:cs="Times New Roman"/>
                <w:color w:val="000000"/>
                <w:sz w:val="25"/>
                <w:szCs w:val="25"/>
                <w:lang w:val="en-GB" w:eastAsia="ru-RU"/>
              </w:rPr>
              <w:t>-1</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n-1</w:t>
            </w:r>
            <w:r w:rsidRPr="00757775">
              <w:rPr>
                <w:rFonts w:ascii="Times New Roman" w:eastAsia="Times New Roman" w:hAnsi="Times New Roman" w:cs="Times New Roman"/>
                <w:color w:val="000000"/>
                <w:sz w:val="26"/>
                <w:szCs w:val="26"/>
                <w:vertAlign w:val="subscript"/>
                <w:lang w:val="en-US" w:eastAsia="ru-RU"/>
              </w:rPr>
              <w:t>,</w:t>
            </w:r>
            <w:r w:rsidRPr="00757775">
              <w:rPr>
                <w:rFonts w:ascii="Times New Roman" w:eastAsia="Times New Roman" w:hAnsi="Times New Roman" w:cs="Times New Roman"/>
                <w:i/>
                <w:color w:val="000000"/>
                <w:sz w:val="26"/>
                <w:szCs w:val="26"/>
                <w:vertAlign w:val="subscript"/>
                <w:lang w:val="en-US" w:eastAsia="ru-RU"/>
              </w:rPr>
              <w:t>1</w:t>
            </w:r>
          </w:p>
        </w:tc>
        <w:tc>
          <w:tcPr>
            <w:tcW w:w="8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n-1</w:t>
            </w:r>
            <w:r w:rsidRPr="00757775">
              <w:rPr>
                <w:rFonts w:ascii="Times New Roman" w:eastAsia="Times New Roman" w:hAnsi="Times New Roman" w:cs="Times New Roman"/>
                <w:color w:val="000000"/>
                <w:sz w:val="26"/>
                <w:szCs w:val="26"/>
                <w:vertAlign w:val="subscript"/>
                <w:lang w:val="en-US" w:eastAsia="ru-RU"/>
              </w:rPr>
              <w:t>,</w:t>
            </w:r>
            <w:r w:rsidRPr="00757775">
              <w:rPr>
                <w:rFonts w:ascii="Times New Roman" w:eastAsia="Times New Roman" w:hAnsi="Times New Roman" w:cs="Times New Roman"/>
                <w:i/>
                <w:color w:val="000000"/>
                <w:sz w:val="26"/>
                <w:szCs w:val="26"/>
                <w:vertAlign w:val="subscript"/>
                <w:lang w:val="en-US" w:eastAsia="ru-RU"/>
              </w:rPr>
              <w:t>2</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3"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GB" w:eastAsia="ru-RU"/>
              </w:rPr>
            </w:pPr>
            <w:r w:rsidRPr="00757775">
              <w:rPr>
                <w:rFonts w:ascii="Times New Roman" w:eastAsia="Times New Roman" w:hAnsi="Times New Roman" w:cs="Times New Roman"/>
                <w:i/>
                <w:color w:val="000000"/>
                <w:sz w:val="26"/>
                <w:szCs w:val="26"/>
                <w:lang w:eastAsia="ru-RU"/>
              </w:rPr>
              <w:t>…</w:t>
            </w:r>
          </w:p>
        </w:tc>
        <w:tc>
          <w:tcPr>
            <w:tcW w:w="1732"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r w:rsidRPr="00757775">
              <w:rPr>
                <w:rFonts w:ascii="Times New Roman" w:eastAsia="Times New Roman" w:hAnsi="Times New Roman" w:cs="Times New Roman"/>
                <w:i/>
                <w:color w:val="000000"/>
                <w:sz w:val="26"/>
                <w:szCs w:val="26"/>
                <w:lang w:val="en-GB" w:eastAsia="ru-RU"/>
              </w:rPr>
              <w:t>Y</w:t>
            </w:r>
            <w:r w:rsidRPr="00757775">
              <w:rPr>
                <w:rFonts w:ascii="Times New Roman" w:eastAsia="Times New Roman" w:hAnsi="Times New Roman" w:cs="Times New Roman"/>
                <w:i/>
                <w:color w:val="000000"/>
                <w:sz w:val="26"/>
                <w:szCs w:val="26"/>
                <w:vertAlign w:val="subscript"/>
                <w:lang w:val="en-GB" w:eastAsia="ru-RU"/>
              </w:rPr>
              <w:t>n-1</w:t>
            </w:r>
            <w:r w:rsidRPr="00757775">
              <w:rPr>
                <w:rFonts w:ascii="Times New Roman" w:eastAsia="Times New Roman" w:hAnsi="Times New Roman" w:cs="Times New Roman"/>
                <w:color w:val="000000"/>
                <w:sz w:val="26"/>
                <w:szCs w:val="26"/>
                <w:vertAlign w:val="subscript"/>
                <w:lang w:val="en-GB" w:eastAsia="ru-RU"/>
              </w:rPr>
              <w:t>,</w:t>
            </w:r>
            <w:r w:rsidRPr="00757775">
              <w:rPr>
                <w:rFonts w:ascii="Times New Roman" w:eastAsia="Times New Roman" w:hAnsi="Times New Roman" w:cs="Times New Roman"/>
                <w:i/>
                <w:color w:val="000000"/>
                <w:sz w:val="26"/>
                <w:szCs w:val="26"/>
                <w:vertAlign w:val="subscript"/>
                <w:lang w:val="en-GB" w:eastAsia="ru-RU"/>
              </w:rPr>
              <w:t>∞</w:t>
            </w:r>
          </w:p>
        </w:tc>
      </w:tr>
      <w:tr w:rsidR="00DB7C4D" w:rsidRPr="00757775" w:rsidTr="0012647D">
        <w:trPr>
          <w:trHeight w:val="315"/>
          <w:jc w:val="right"/>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i/>
                <w:color w:val="000000"/>
                <w:sz w:val="25"/>
                <w:szCs w:val="25"/>
                <w:lang w:val="en-GB" w:eastAsia="ru-RU"/>
              </w:rPr>
            </w:pPr>
            <w:r w:rsidRPr="00757775">
              <w:rPr>
                <w:rFonts w:ascii="Times New Roman" w:eastAsia="Times New Roman" w:hAnsi="Times New Roman" w:cs="Times New Roman"/>
                <w:i/>
                <w:color w:val="000000"/>
                <w:sz w:val="25"/>
                <w:szCs w:val="25"/>
                <w:lang w:val="en-GB" w:eastAsia="ru-RU"/>
              </w:rPr>
              <w:t>n</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val="en-US" w:eastAsia="ru-RU"/>
              </w:rPr>
            </w:pPr>
            <w:r w:rsidRPr="00757775">
              <w:rPr>
                <w:rFonts w:ascii="Times New Roman" w:eastAsia="Times New Roman" w:hAnsi="Times New Roman" w:cs="Times New Roman"/>
                <w:i/>
                <w:color w:val="000000"/>
                <w:sz w:val="26"/>
                <w:szCs w:val="26"/>
                <w:lang w:val="en-US" w:eastAsia="ru-RU"/>
              </w:rPr>
              <w:t>Y</w:t>
            </w:r>
            <w:r w:rsidRPr="00757775">
              <w:rPr>
                <w:rFonts w:ascii="Times New Roman" w:eastAsia="Times New Roman" w:hAnsi="Times New Roman" w:cs="Times New Roman"/>
                <w:i/>
                <w:color w:val="000000"/>
                <w:sz w:val="26"/>
                <w:szCs w:val="26"/>
                <w:vertAlign w:val="subscript"/>
                <w:lang w:val="en-US" w:eastAsia="ru-RU"/>
              </w:rPr>
              <w:t>n1</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3"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color w:val="000000"/>
                <w:sz w:val="26"/>
                <w:szCs w:val="26"/>
                <w:lang w:eastAsia="ru-RU"/>
              </w:rPr>
            </w:pPr>
            <w:r w:rsidRPr="00757775">
              <w:rPr>
                <w:rFonts w:ascii="Times New Roman" w:eastAsia="Times New Roman" w:hAnsi="Times New Roman" w:cs="Times New Roman"/>
                <w:i/>
                <w:color w:val="000000"/>
                <w:sz w:val="26"/>
                <w:szCs w:val="26"/>
                <w:lang w:val="en-GB" w:eastAsia="ru-RU"/>
              </w:rPr>
              <w:t>?</w:t>
            </w:r>
          </w:p>
        </w:tc>
        <w:tc>
          <w:tcPr>
            <w:tcW w:w="831"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val="en-GB" w:eastAsia="ru-RU"/>
              </w:rPr>
            </w:pPr>
            <w:r w:rsidRPr="00757775">
              <w:rPr>
                <w:rFonts w:ascii="Times New Roman" w:eastAsia="Times New Roman" w:hAnsi="Times New Roman" w:cs="Times New Roman"/>
                <w:i/>
                <w:color w:val="000000"/>
                <w:sz w:val="26"/>
                <w:szCs w:val="26"/>
                <w:lang w:eastAsia="ru-RU"/>
              </w:rPr>
              <w:t>…</w:t>
            </w:r>
          </w:p>
        </w:tc>
        <w:tc>
          <w:tcPr>
            <w:tcW w:w="1732" w:type="dxa"/>
            <w:tcBorders>
              <w:top w:val="single" w:sz="4" w:space="0" w:color="auto"/>
              <w:left w:val="nil"/>
              <w:bottom w:val="single" w:sz="4" w:space="0" w:color="auto"/>
              <w:right w:val="single" w:sz="4" w:space="0" w:color="auto"/>
            </w:tcBorders>
            <w:vAlign w:val="center"/>
          </w:tcPr>
          <w:p w:rsidR="00DB7C4D" w:rsidRPr="00757775" w:rsidRDefault="00DB7C4D" w:rsidP="002F57F4">
            <w:pPr>
              <w:spacing w:after="0" w:line="240" w:lineRule="auto"/>
              <w:jc w:val="center"/>
              <w:rPr>
                <w:rFonts w:ascii="Times New Roman" w:eastAsia="Times New Roman" w:hAnsi="Times New Roman" w:cs="Times New Roman"/>
                <w:i/>
                <w:color w:val="000000"/>
                <w:sz w:val="26"/>
                <w:szCs w:val="26"/>
                <w:lang w:eastAsia="ru-RU"/>
              </w:rPr>
            </w:pPr>
            <w:proofErr w:type="spellStart"/>
            <w:r w:rsidRPr="00757775">
              <w:rPr>
                <w:rFonts w:ascii="Times New Roman" w:eastAsia="Times New Roman" w:hAnsi="Times New Roman" w:cs="Times New Roman"/>
                <w:i/>
                <w:color w:val="000000"/>
                <w:sz w:val="26"/>
                <w:szCs w:val="26"/>
                <w:lang w:val="en-GB" w:eastAsia="ru-RU"/>
              </w:rPr>
              <w:t>Y</w:t>
            </w:r>
            <w:r w:rsidRPr="00757775">
              <w:rPr>
                <w:rFonts w:ascii="Times New Roman" w:eastAsia="Times New Roman" w:hAnsi="Times New Roman" w:cs="Times New Roman"/>
                <w:i/>
                <w:color w:val="000000"/>
                <w:sz w:val="26"/>
                <w:szCs w:val="26"/>
                <w:vertAlign w:val="subscript"/>
                <w:lang w:val="en-GB" w:eastAsia="ru-RU"/>
              </w:rPr>
              <w:t>n</w:t>
            </w:r>
            <w:proofErr w:type="spellEnd"/>
            <w:r w:rsidRPr="00757775">
              <w:rPr>
                <w:rFonts w:ascii="Times New Roman" w:eastAsia="Times New Roman" w:hAnsi="Times New Roman" w:cs="Times New Roman"/>
                <w:i/>
                <w:color w:val="000000"/>
                <w:sz w:val="26"/>
                <w:szCs w:val="26"/>
                <w:vertAlign w:val="subscript"/>
                <w:lang w:val="en-GB" w:eastAsia="ru-RU"/>
              </w:rPr>
              <w:t>∞</w:t>
            </w:r>
          </w:p>
        </w:tc>
      </w:tr>
    </w:tbl>
    <w:p w:rsidR="00A065E9" w:rsidRDefault="00A065E9" w:rsidP="00D15D2D">
      <w:pPr>
        <w:spacing w:before="1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Возможна и другая форма треугольника развития, когда </w:t>
      </w:r>
      <w:r w:rsidRPr="00757775">
        <w:rPr>
          <w:rFonts w:ascii="Times New Roman" w:hAnsi="Times New Roman" w:cs="Times New Roman"/>
          <w:sz w:val="28"/>
          <w:szCs w:val="28"/>
        </w:rPr>
        <w:t>в ячейках ма</w:t>
      </w:r>
      <w:r w:rsidRPr="00757775">
        <w:rPr>
          <w:rFonts w:ascii="Times New Roman" w:hAnsi="Times New Roman" w:cs="Times New Roman"/>
          <w:sz w:val="28"/>
          <w:szCs w:val="28"/>
        </w:rPr>
        <w:t>т</w:t>
      </w:r>
      <w:r w:rsidRPr="00757775">
        <w:rPr>
          <w:rFonts w:ascii="Times New Roman" w:hAnsi="Times New Roman" w:cs="Times New Roman"/>
          <w:sz w:val="28"/>
          <w:szCs w:val="28"/>
        </w:rPr>
        <w:t xml:space="preserve">рицы расположены не аккумулированные уровни убытков, а приращения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i,j-1</m:t>
            </m:r>
          </m:sub>
        </m:sSub>
      </m:oMath>
      <w:r w:rsidRPr="00757775">
        <w:rPr>
          <w:rFonts w:ascii="Times New Roman" w:eastAsiaTheme="minorEastAsia" w:hAnsi="Times New Roman" w:cs="Times New Roman"/>
          <w:sz w:val="28"/>
          <w:szCs w:val="28"/>
        </w:rPr>
        <w:t xml:space="preserve"> (причем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i0</m:t>
            </m:r>
          </m:sub>
        </m:sSub>
        <m:r>
          <w:rPr>
            <w:rFonts w:ascii="Cambria Math" w:eastAsiaTheme="minorEastAsia" w:hAnsi="Cambria Math" w:cs="Times New Roman"/>
            <w:sz w:val="28"/>
            <w:szCs w:val="28"/>
          </w:rPr>
          <m:t>=0)</m:t>
        </m:r>
      </m:oMath>
      <w:r w:rsidRPr="00757775">
        <w:rPr>
          <w:rFonts w:ascii="Times New Roman" w:eastAsiaTheme="minorEastAsia" w:hAnsi="Times New Roman" w:cs="Times New Roman"/>
          <w:sz w:val="28"/>
          <w:szCs w:val="28"/>
        </w:rPr>
        <w:t>, пре</w:t>
      </w:r>
      <w:proofErr w:type="spellStart"/>
      <w:r>
        <w:rPr>
          <w:rFonts w:ascii="Times New Roman" w:eastAsiaTheme="minorEastAsia" w:hAnsi="Times New Roman" w:cs="Times New Roman"/>
          <w:sz w:val="28"/>
          <w:szCs w:val="28"/>
        </w:rPr>
        <w:t>д</w:t>
      </w:r>
      <w:r w:rsidRPr="00757775">
        <w:rPr>
          <w:rFonts w:ascii="Times New Roman" w:eastAsiaTheme="minorEastAsia" w:hAnsi="Times New Roman" w:cs="Times New Roman"/>
          <w:sz w:val="28"/>
          <w:szCs w:val="28"/>
        </w:rPr>
        <w:t>ставляющие</w:t>
      </w:r>
      <w:proofErr w:type="spellEnd"/>
      <w:r w:rsidRPr="00757775">
        <w:rPr>
          <w:rFonts w:ascii="Times New Roman" w:eastAsiaTheme="minorEastAsia" w:hAnsi="Times New Roman" w:cs="Times New Roman"/>
          <w:sz w:val="28"/>
          <w:szCs w:val="28"/>
        </w:rPr>
        <w:t xml:space="preserve"> собой суммарные выпл</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ты в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квартале развития по страховым случаям, произошедшим в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квартале инцидента</w:t>
      </w:r>
      <w:r w:rsidR="00CB755C" w:rsidRPr="00CB755C">
        <w:rPr>
          <w:rFonts w:ascii="Times New Roman" w:eastAsiaTheme="minorEastAsia" w:hAnsi="Times New Roman" w:cs="Times New Roman"/>
          <w:sz w:val="28"/>
          <w:szCs w:val="28"/>
        </w:rPr>
        <w:t xml:space="preserve"> [19]</w:t>
      </w:r>
      <w:r w:rsidRPr="00757775">
        <w:rPr>
          <w:rFonts w:ascii="Times New Roman" w:eastAsiaTheme="minorEastAsia" w:hAnsi="Times New Roman" w:cs="Times New Roman"/>
          <w:sz w:val="28"/>
          <w:szCs w:val="28"/>
        </w:rPr>
        <w:t>.</w:t>
      </w:r>
    </w:p>
    <w:p w:rsidR="00DB7C4D" w:rsidRPr="00757775" w:rsidRDefault="00DB7C4D" w:rsidP="00A065E9">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Диагонали треугольника убытков соответствуют календарным пери</w:t>
      </w:r>
      <w:r w:rsidRPr="00757775">
        <w:rPr>
          <w:rFonts w:ascii="Times New Roman" w:hAnsi="Times New Roman" w:cs="Times New Roman"/>
          <w:sz w:val="28"/>
          <w:szCs w:val="28"/>
        </w:rPr>
        <w:t>о</w:t>
      </w:r>
      <w:r w:rsidRPr="00757775">
        <w:rPr>
          <w:rFonts w:ascii="Times New Roman" w:hAnsi="Times New Roman" w:cs="Times New Roman"/>
          <w:sz w:val="28"/>
          <w:szCs w:val="28"/>
        </w:rPr>
        <w:t>дам (месяцы, кварталы, годы). Все платежи на одной диагонали осуществл</w:t>
      </w:r>
      <w:r w:rsidRPr="00757775">
        <w:rPr>
          <w:rFonts w:ascii="Times New Roman" w:hAnsi="Times New Roman" w:cs="Times New Roman"/>
          <w:sz w:val="28"/>
          <w:szCs w:val="28"/>
        </w:rPr>
        <w:t>я</w:t>
      </w:r>
      <w:r w:rsidRPr="00757775">
        <w:rPr>
          <w:rFonts w:ascii="Times New Roman" w:hAnsi="Times New Roman" w:cs="Times New Roman"/>
          <w:sz w:val="28"/>
          <w:szCs w:val="28"/>
        </w:rPr>
        <w:t>ются на протяжении одного и того же финансового периода. Главная диаг</w:t>
      </w:r>
      <w:r w:rsidRPr="00757775">
        <w:rPr>
          <w:rFonts w:ascii="Times New Roman" w:hAnsi="Times New Roman" w:cs="Times New Roman"/>
          <w:sz w:val="28"/>
          <w:szCs w:val="28"/>
        </w:rPr>
        <w:t>о</w:t>
      </w:r>
      <w:r w:rsidRPr="00757775">
        <w:rPr>
          <w:rFonts w:ascii="Times New Roman" w:hAnsi="Times New Roman" w:cs="Times New Roman"/>
          <w:sz w:val="28"/>
          <w:szCs w:val="28"/>
        </w:rPr>
        <w:lastRenderedPageBreak/>
        <w:t>наль представляет собой последний истекший календарный период, распол</w:t>
      </w:r>
      <w:r w:rsidRPr="00757775">
        <w:rPr>
          <w:rFonts w:ascii="Times New Roman" w:hAnsi="Times New Roman" w:cs="Times New Roman"/>
          <w:sz w:val="28"/>
          <w:szCs w:val="28"/>
        </w:rPr>
        <w:t>а</w:t>
      </w:r>
      <w:r w:rsidRPr="00757775">
        <w:rPr>
          <w:rFonts w:ascii="Times New Roman" w:hAnsi="Times New Roman" w:cs="Times New Roman"/>
          <w:sz w:val="28"/>
          <w:szCs w:val="28"/>
        </w:rPr>
        <w:t>гающаяся под ней информация на отчетную дату неизвестна.</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Задача резервирования сводится к нахождению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 </w:t>
      </w:r>
      <w:r w:rsidRPr="00757775">
        <w:rPr>
          <w:rFonts w:ascii="Times New Roman" w:hAnsi="Times New Roman" w:cs="Times New Roman"/>
          <w:sz w:val="28"/>
          <w:szCs w:val="28"/>
        </w:rPr>
        <w:t>совокупной б</w:t>
      </w:r>
      <w:r w:rsidRPr="00757775">
        <w:rPr>
          <w:rFonts w:ascii="Times New Roman" w:hAnsi="Times New Roman" w:cs="Times New Roman"/>
          <w:sz w:val="28"/>
          <w:szCs w:val="28"/>
        </w:rPr>
        <w:t>у</w:t>
      </w:r>
      <w:r w:rsidRPr="00757775">
        <w:rPr>
          <w:rFonts w:ascii="Times New Roman" w:hAnsi="Times New Roman" w:cs="Times New Roman"/>
          <w:sz w:val="28"/>
          <w:szCs w:val="28"/>
        </w:rPr>
        <w:t xml:space="preserve">дущей стоимости страховых случаев за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w:t>
      </w:r>
      <w:proofErr w:type="spellStart"/>
      <w:r w:rsidRPr="00757775">
        <w:rPr>
          <w:rFonts w:ascii="Times New Roman" w:hAnsi="Times New Roman" w:cs="Times New Roman"/>
          <w:sz w:val="28"/>
          <w:szCs w:val="28"/>
        </w:rPr>
        <w:t>ый</w:t>
      </w:r>
      <w:proofErr w:type="spellEnd"/>
      <w:r w:rsidRPr="00757775">
        <w:rPr>
          <w:rFonts w:ascii="Times New Roman" w:hAnsi="Times New Roman" w:cs="Times New Roman"/>
          <w:sz w:val="28"/>
          <w:szCs w:val="28"/>
        </w:rPr>
        <w:t xml:space="preserve"> период событий, которая треб</w:t>
      </w:r>
      <w:r w:rsidRPr="00757775">
        <w:rPr>
          <w:rFonts w:ascii="Times New Roman" w:hAnsi="Times New Roman" w:cs="Times New Roman"/>
          <w:sz w:val="28"/>
          <w:szCs w:val="28"/>
        </w:rPr>
        <w:t>у</w:t>
      </w:r>
      <w:r w:rsidRPr="00757775">
        <w:rPr>
          <w:rFonts w:ascii="Times New Roman" w:hAnsi="Times New Roman" w:cs="Times New Roman"/>
          <w:sz w:val="28"/>
          <w:szCs w:val="28"/>
        </w:rPr>
        <w:t xml:space="preserve">ется для оценки </w:t>
      </w:r>
      <m:oMath>
        <m:sSub>
          <m:sSubPr>
            <m:ctrlPr>
              <w:rPr>
                <w:rFonts w:ascii="Cambria Math" w:hAnsi="Cambria Math" w:cs="Times New Roman"/>
                <w:i/>
                <w:sz w:val="28"/>
                <w:szCs w:val="28"/>
              </w:rPr>
            </m:ctrlPr>
          </m:sSubPr>
          <m:e>
            <m:r>
              <w:rPr>
                <w:rFonts w:ascii="Cambria Math" w:hAnsi="Cambria Math" w:cs="Times New Roman"/>
                <w:sz w:val="28"/>
                <w:szCs w:val="28"/>
                <w:lang w:val="en-GB"/>
              </w:rPr>
              <m:t>R</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 </w:t>
      </w:r>
      <w:r w:rsidRPr="00757775">
        <w:rPr>
          <w:rFonts w:ascii="Times New Roman" w:hAnsi="Times New Roman" w:cs="Times New Roman"/>
          <w:sz w:val="28"/>
          <w:szCs w:val="28"/>
        </w:rPr>
        <w:t xml:space="preserve">резерва неоплаченных убытков для года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xml:space="preserve">. Общий размер РПНУ к концу страхового периода с номером </w:t>
      </w:r>
      <w:r w:rsidRPr="00757775">
        <w:rPr>
          <w:rFonts w:ascii="Times New Roman" w:hAnsi="Times New Roman" w:cs="Times New Roman"/>
          <w:i/>
          <w:sz w:val="28"/>
          <w:szCs w:val="28"/>
          <w:lang w:val="en-GB"/>
        </w:rPr>
        <w:t>n</w:t>
      </w:r>
      <w:r w:rsidRPr="00757775">
        <w:rPr>
          <w:rFonts w:ascii="Times New Roman" w:hAnsi="Times New Roman" w:cs="Times New Roman"/>
          <w:sz w:val="28"/>
          <w:szCs w:val="28"/>
        </w:rPr>
        <w:t xml:space="preserve"> определяется путем суммирования резервов всех анализируемых периодов наступления убытков</w:t>
      </w:r>
      <w:r w:rsidR="003A59AE">
        <w:rPr>
          <w:rFonts w:ascii="Times New Roman" w:hAnsi="Times New Roman" w:cs="Times New Roman"/>
          <w:sz w:val="28"/>
          <w:szCs w:val="28"/>
        </w:rPr>
        <w:t xml:space="preserve"> </w:t>
      </w:r>
      <w:r w:rsidR="003A59AE" w:rsidRPr="003A59AE">
        <w:rPr>
          <w:rFonts w:ascii="Times New Roman" w:hAnsi="Times New Roman" w:cs="Times New Roman"/>
          <w:sz w:val="28"/>
          <w:szCs w:val="28"/>
        </w:rPr>
        <w:t>[</w:t>
      </w:r>
      <w:r w:rsidR="003A59AE">
        <w:rPr>
          <w:rFonts w:ascii="Times New Roman" w:hAnsi="Times New Roman" w:cs="Times New Roman"/>
          <w:sz w:val="28"/>
          <w:szCs w:val="28"/>
        </w:rPr>
        <w:t>17</w:t>
      </w:r>
      <w:r w:rsidR="003A59AE" w:rsidRPr="003A59AE">
        <w:rPr>
          <w:rFonts w:ascii="Times New Roman" w:hAnsi="Times New Roman" w:cs="Times New Roman"/>
          <w:sz w:val="28"/>
          <w:szCs w:val="28"/>
        </w:rPr>
        <w:t>]</w:t>
      </w:r>
      <w:r w:rsidRPr="00757775">
        <w:rPr>
          <w:rFonts w:ascii="Times New Roman" w:hAnsi="Times New Roman" w:cs="Times New Roman"/>
          <w:sz w:val="28"/>
          <w:szCs w:val="28"/>
        </w:rPr>
        <w:t>:</w:t>
      </w:r>
    </w:p>
    <w:p w:rsidR="00DB7C4D" w:rsidRDefault="00DB7C4D" w:rsidP="00DB7C4D">
      <w:pPr>
        <w:spacing w:after="0" w:line="360" w:lineRule="auto"/>
        <w:jc w:val="center"/>
        <w:rPr>
          <w:rFonts w:ascii="Times New Roman" w:eastAsiaTheme="minorEastAsia" w:hAnsi="Times New Roman" w:cs="Times New Roman"/>
          <w:i/>
          <w:sz w:val="28"/>
          <w:szCs w:val="28"/>
        </w:rPr>
      </w:pPr>
      <m:oMath>
        <m:r>
          <w:rPr>
            <w:rFonts w:ascii="Cambria Math" w:hAnsi="Cambria Math" w:cs="Times New Roman"/>
            <w:sz w:val="28"/>
            <w:szCs w:val="28"/>
          </w:rPr>
          <m:t>R=</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nary>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i,n-i+1</m:t>
            </m:r>
          </m:sub>
        </m:sSub>
        <m:r>
          <w:rPr>
            <w:rFonts w:ascii="Cambria Math" w:hAnsi="Cambria Math" w:cs="Times New Roman"/>
            <w:sz w:val="28"/>
            <w:szCs w:val="28"/>
          </w:rPr>
          <m:t>)</m:t>
        </m:r>
      </m:oMath>
      <w:r w:rsidRPr="00757775">
        <w:rPr>
          <w:rFonts w:ascii="Times New Roman" w:eastAsiaTheme="minorEastAsia" w:hAnsi="Times New Roman" w:cs="Times New Roman"/>
          <w:i/>
          <w:sz w:val="28"/>
          <w:szCs w:val="28"/>
        </w:rPr>
        <w:t>.</w:t>
      </w:r>
    </w:p>
    <w:p w:rsidR="00317AA2" w:rsidRDefault="00317AA2" w:rsidP="00DC74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Все методы оценки РПНУ основаны на одних и тех же принципах:</w:t>
      </w:r>
    </w:p>
    <w:p w:rsidR="00317AA2" w:rsidRDefault="00317AA2" w:rsidP="00DC74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анализ данных за прошедшие периоды;</w:t>
      </w:r>
    </w:p>
    <w:p w:rsidR="00317AA2" w:rsidRDefault="00317AA2" w:rsidP="00DC74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 оценивание параметров модели;</w:t>
      </w:r>
    </w:p>
    <w:p w:rsidR="00317AA2" w:rsidRDefault="00317AA2" w:rsidP="00DC74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 экстраполяция или проектирование полученных результатов на б</w:t>
      </w:r>
      <w:r>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дущее.</w:t>
      </w:r>
    </w:p>
    <w:p w:rsidR="00DC7424" w:rsidRDefault="009676D2" w:rsidP="00DC74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Исследуемый</w:t>
      </w:r>
      <w:r w:rsidR="00DC7424">
        <w:rPr>
          <w:rFonts w:ascii="Times New Roman" w:eastAsiaTheme="minorEastAsia" w:hAnsi="Times New Roman" w:cs="Times New Roman"/>
          <w:sz w:val="28"/>
          <w:szCs w:val="28"/>
        </w:rPr>
        <w:t xml:space="preserve"> массив данных </w:t>
      </w:r>
      <w:r w:rsidR="00992D68">
        <w:rPr>
          <w:rFonts w:ascii="Times New Roman" w:eastAsiaTheme="minorEastAsia" w:hAnsi="Times New Roman" w:cs="Times New Roman"/>
          <w:sz w:val="28"/>
          <w:szCs w:val="28"/>
        </w:rPr>
        <w:t xml:space="preserve">(табл. 9) </w:t>
      </w:r>
      <w:r w:rsidR="00DC7424">
        <w:rPr>
          <w:rFonts w:ascii="Times New Roman" w:eastAsiaTheme="minorEastAsia" w:hAnsi="Times New Roman" w:cs="Times New Roman"/>
          <w:sz w:val="28"/>
          <w:szCs w:val="28"/>
        </w:rPr>
        <w:t>представлен треугольником ра</w:t>
      </w:r>
      <w:r w:rsidR="00DC7424">
        <w:rPr>
          <w:rFonts w:ascii="Times New Roman" w:eastAsiaTheme="minorEastAsia" w:hAnsi="Times New Roman" w:cs="Times New Roman"/>
          <w:sz w:val="28"/>
          <w:szCs w:val="28"/>
        </w:rPr>
        <w:t>з</w:t>
      </w:r>
      <w:r w:rsidR="00DC7424">
        <w:rPr>
          <w:rFonts w:ascii="Times New Roman" w:eastAsiaTheme="minorEastAsia" w:hAnsi="Times New Roman" w:cs="Times New Roman"/>
          <w:sz w:val="28"/>
          <w:szCs w:val="28"/>
        </w:rPr>
        <w:t>вития убытков в кумулятивной форме одной из лидирующих по объему стр</w:t>
      </w:r>
      <w:r w:rsidR="00DC7424">
        <w:rPr>
          <w:rFonts w:ascii="Times New Roman" w:eastAsiaTheme="minorEastAsia" w:hAnsi="Times New Roman" w:cs="Times New Roman"/>
          <w:sz w:val="28"/>
          <w:szCs w:val="28"/>
        </w:rPr>
        <w:t>а</w:t>
      </w:r>
      <w:r w:rsidR="00DC7424">
        <w:rPr>
          <w:rFonts w:ascii="Times New Roman" w:eastAsiaTheme="minorEastAsia" w:hAnsi="Times New Roman" w:cs="Times New Roman"/>
          <w:sz w:val="28"/>
          <w:szCs w:val="28"/>
        </w:rPr>
        <w:t>ховых премий в секторе ДМС российских страховых компаний. В треугол</w:t>
      </w:r>
      <w:r w:rsidR="00DC7424">
        <w:rPr>
          <w:rFonts w:ascii="Times New Roman" w:eastAsiaTheme="minorEastAsia" w:hAnsi="Times New Roman" w:cs="Times New Roman"/>
          <w:sz w:val="28"/>
          <w:szCs w:val="28"/>
        </w:rPr>
        <w:t>ь</w:t>
      </w:r>
      <w:r w:rsidR="00DC7424">
        <w:rPr>
          <w:rFonts w:ascii="Times New Roman" w:eastAsiaTheme="minorEastAsia" w:hAnsi="Times New Roman" w:cs="Times New Roman"/>
          <w:sz w:val="28"/>
          <w:szCs w:val="28"/>
        </w:rPr>
        <w:t>нике развития аккумулирована информация об оплаченных страховой ко</w:t>
      </w:r>
      <w:r w:rsidR="00DC7424">
        <w:rPr>
          <w:rFonts w:ascii="Times New Roman" w:eastAsiaTheme="minorEastAsia" w:hAnsi="Times New Roman" w:cs="Times New Roman"/>
          <w:sz w:val="28"/>
          <w:szCs w:val="28"/>
        </w:rPr>
        <w:t>м</w:t>
      </w:r>
      <w:r w:rsidR="00DC7424">
        <w:rPr>
          <w:rFonts w:ascii="Times New Roman" w:eastAsiaTheme="minorEastAsia" w:hAnsi="Times New Roman" w:cs="Times New Roman"/>
          <w:sz w:val="28"/>
          <w:szCs w:val="28"/>
        </w:rPr>
        <w:t xml:space="preserve">панией </w:t>
      </w:r>
      <w:r w:rsidR="00FB1CBE">
        <w:rPr>
          <w:rFonts w:ascii="Times New Roman" w:eastAsiaTheme="minorEastAsia" w:hAnsi="Times New Roman" w:cs="Times New Roman"/>
          <w:sz w:val="28"/>
          <w:szCs w:val="28"/>
        </w:rPr>
        <w:t xml:space="preserve">убытках по страховым случаям, произошедшим в течение двадцати предшествующих отчетной дате кварталов. Соответственно, </w:t>
      </w:r>
      <w:r>
        <w:rPr>
          <w:rFonts w:ascii="Times New Roman" w:eastAsiaTheme="minorEastAsia" w:hAnsi="Times New Roman" w:cs="Times New Roman"/>
          <w:sz w:val="28"/>
          <w:szCs w:val="28"/>
        </w:rPr>
        <w:t xml:space="preserve">в нашем случае </w:t>
      </w:r>
      <w:r w:rsidR="00FB1CBE">
        <w:rPr>
          <w:rFonts w:ascii="Times New Roman" w:eastAsiaTheme="minorEastAsia" w:hAnsi="Times New Roman" w:cs="Times New Roman"/>
          <w:sz w:val="28"/>
          <w:szCs w:val="28"/>
        </w:rPr>
        <w:t>страховые резервы формируются на конец третьего квартала 2012 г. по стр</w:t>
      </w:r>
      <w:r w:rsidR="00FB1CBE">
        <w:rPr>
          <w:rFonts w:ascii="Times New Roman" w:eastAsiaTheme="minorEastAsia" w:hAnsi="Times New Roman" w:cs="Times New Roman"/>
          <w:sz w:val="28"/>
          <w:szCs w:val="28"/>
        </w:rPr>
        <w:t>а</w:t>
      </w:r>
      <w:r w:rsidR="00FB1CBE">
        <w:rPr>
          <w:rFonts w:ascii="Times New Roman" w:eastAsiaTheme="minorEastAsia" w:hAnsi="Times New Roman" w:cs="Times New Roman"/>
          <w:sz w:val="28"/>
          <w:szCs w:val="28"/>
        </w:rPr>
        <w:t>ховым случаям, наступившим в период с начала четвертого квартала 2007 г. по конец третьего квартала 2012 г.</w:t>
      </w:r>
    </w:p>
    <w:p w:rsidR="004A5573" w:rsidRDefault="002F315D" w:rsidP="00DC742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Определяющая часть платежей производится непосредственно в том же квартале, когда имел место страховой случай, удельный вес страховых в</w:t>
      </w:r>
      <w:r>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 xml:space="preserve">плат второго квартала развития </w:t>
      </w:r>
      <w:r w:rsidR="003E2F36">
        <w:rPr>
          <w:rFonts w:ascii="Times New Roman" w:eastAsiaTheme="minorEastAsia" w:hAnsi="Times New Roman" w:cs="Times New Roman"/>
          <w:sz w:val="28"/>
          <w:szCs w:val="28"/>
        </w:rPr>
        <w:t xml:space="preserve">убытков </w:t>
      </w:r>
      <w:r>
        <w:rPr>
          <w:rFonts w:ascii="Times New Roman" w:eastAsiaTheme="minorEastAsia" w:hAnsi="Times New Roman" w:cs="Times New Roman"/>
          <w:sz w:val="28"/>
          <w:szCs w:val="28"/>
        </w:rPr>
        <w:t>в общей стоимости конечного убы</w:t>
      </w:r>
      <w:r>
        <w:rPr>
          <w:rFonts w:ascii="Times New Roman" w:eastAsiaTheme="minorEastAsia" w:hAnsi="Times New Roman" w:cs="Times New Roman"/>
          <w:sz w:val="28"/>
          <w:szCs w:val="28"/>
        </w:rPr>
        <w:t>т</w:t>
      </w:r>
      <w:r>
        <w:rPr>
          <w:rFonts w:ascii="Times New Roman" w:eastAsiaTheme="minorEastAsia" w:hAnsi="Times New Roman" w:cs="Times New Roman"/>
          <w:sz w:val="28"/>
          <w:szCs w:val="28"/>
        </w:rPr>
        <w:t xml:space="preserve">ка </w:t>
      </w:r>
      <w:proofErr w:type="spellStart"/>
      <w:r w:rsidRPr="003E2F36">
        <w:rPr>
          <w:rFonts w:ascii="Times New Roman" w:eastAsiaTheme="minorEastAsia" w:hAnsi="Times New Roman" w:cs="Times New Roman"/>
          <w:i/>
          <w:sz w:val="28"/>
          <w:szCs w:val="28"/>
          <w:lang w:val="en-GB"/>
        </w:rPr>
        <w:t>i</w:t>
      </w:r>
      <w:proofErr w:type="spellEnd"/>
      <w:r w:rsidRPr="002F315D">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го квартала инцидента </w:t>
      </w:r>
      <w:r w:rsidR="003E2F36">
        <w:rPr>
          <w:rFonts w:ascii="Times New Roman" w:eastAsiaTheme="minorEastAsia" w:hAnsi="Times New Roman" w:cs="Times New Roman"/>
          <w:sz w:val="28"/>
          <w:szCs w:val="28"/>
        </w:rPr>
        <w:t>также велик, по истечении двух лет (восьми ква</w:t>
      </w:r>
      <w:r w:rsidR="003E2F36">
        <w:rPr>
          <w:rFonts w:ascii="Times New Roman" w:eastAsiaTheme="minorEastAsia" w:hAnsi="Times New Roman" w:cs="Times New Roman"/>
          <w:sz w:val="28"/>
          <w:szCs w:val="28"/>
        </w:rPr>
        <w:t>р</w:t>
      </w:r>
      <w:r w:rsidR="003E2F36">
        <w:rPr>
          <w:rFonts w:ascii="Times New Roman" w:eastAsiaTheme="minorEastAsia" w:hAnsi="Times New Roman" w:cs="Times New Roman"/>
          <w:sz w:val="28"/>
          <w:szCs w:val="28"/>
        </w:rPr>
        <w:t xml:space="preserve">талов) с момента возникновения страхового случая </w:t>
      </w:r>
      <w:r w:rsidR="004A5573">
        <w:rPr>
          <w:rFonts w:ascii="Times New Roman" w:eastAsiaTheme="minorEastAsia" w:hAnsi="Times New Roman" w:cs="Times New Roman"/>
          <w:sz w:val="28"/>
          <w:szCs w:val="28"/>
        </w:rPr>
        <w:t>рост суммарных выплат практически прекращается</w:t>
      </w:r>
      <w:r w:rsidR="003E2F3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Так, анализируя распределение конечного убытка четвертого квартала 2007 г. по кварталам </w:t>
      </w:r>
      <w:r w:rsidR="003E2F36">
        <w:rPr>
          <w:rFonts w:ascii="Times New Roman" w:eastAsiaTheme="minorEastAsia" w:hAnsi="Times New Roman" w:cs="Times New Roman"/>
          <w:sz w:val="28"/>
          <w:szCs w:val="28"/>
        </w:rPr>
        <w:t>оплаты</w:t>
      </w:r>
      <w:r>
        <w:rPr>
          <w:rFonts w:ascii="Times New Roman" w:eastAsiaTheme="minorEastAsia" w:hAnsi="Times New Roman" w:cs="Times New Roman"/>
          <w:sz w:val="28"/>
          <w:szCs w:val="28"/>
        </w:rPr>
        <w:t>,</w:t>
      </w:r>
      <w:r w:rsidR="003E2F36">
        <w:rPr>
          <w:rFonts w:ascii="Times New Roman" w:eastAsiaTheme="minorEastAsia" w:hAnsi="Times New Roman" w:cs="Times New Roman"/>
          <w:sz w:val="28"/>
          <w:szCs w:val="28"/>
        </w:rPr>
        <w:t xml:space="preserve"> мы видим, что 87,28% н</w:t>
      </w:r>
      <w:r w:rsidR="003E2F36">
        <w:rPr>
          <w:rFonts w:ascii="Times New Roman" w:eastAsiaTheme="minorEastAsia" w:hAnsi="Times New Roman" w:cs="Times New Roman"/>
          <w:sz w:val="28"/>
          <w:szCs w:val="28"/>
        </w:rPr>
        <w:t>а</w:t>
      </w:r>
      <w:r w:rsidR="003E2F36">
        <w:rPr>
          <w:rFonts w:ascii="Times New Roman" w:eastAsiaTheme="minorEastAsia" w:hAnsi="Times New Roman" w:cs="Times New Roman"/>
          <w:sz w:val="28"/>
          <w:szCs w:val="28"/>
        </w:rPr>
        <w:lastRenderedPageBreak/>
        <w:t>копленной суммы платежей по страховым случаям этого квартала приходи</w:t>
      </w:r>
      <w:r w:rsidR="003E2F36">
        <w:rPr>
          <w:rFonts w:ascii="Times New Roman" w:eastAsiaTheme="minorEastAsia" w:hAnsi="Times New Roman" w:cs="Times New Roman"/>
          <w:sz w:val="28"/>
          <w:szCs w:val="28"/>
        </w:rPr>
        <w:t>т</w:t>
      </w:r>
      <w:r w:rsidR="003E2F36">
        <w:rPr>
          <w:rFonts w:ascii="Times New Roman" w:eastAsiaTheme="minorEastAsia" w:hAnsi="Times New Roman" w:cs="Times New Roman"/>
          <w:sz w:val="28"/>
          <w:szCs w:val="28"/>
        </w:rPr>
        <w:t>ся на первый квартал развития убытков, 10,86% – на второй, в течение п</w:t>
      </w:r>
      <w:r w:rsidR="003E2F36">
        <w:rPr>
          <w:rFonts w:ascii="Times New Roman" w:eastAsiaTheme="minorEastAsia" w:hAnsi="Times New Roman" w:cs="Times New Roman"/>
          <w:sz w:val="28"/>
          <w:szCs w:val="28"/>
        </w:rPr>
        <w:t>о</w:t>
      </w:r>
      <w:r w:rsidR="003E2F36">
        <w:rPr>
          <w:rFonts w:ascii="Times New Roman" w:eastAsiaTheme="minorEastAsia" w:hAnsi="Times New Roman" w:cs="Times New Roman"/>
          <w:sz w:val="28"/>
          <w:szCs w:val="28"/>
        </w:rPr>
        <w:t xml:space="preserve">следующих девяти кварталов страховщиком урегулируется оставшаяся часть конечного убытка в размере 1,87%. </w:t>
      </w:r>
    </w:p>
    <w:p w:rsidR="00C348B1" w:rsidRPr="00B37098" w:rsidRDefault="004A5573" w:rsidP="005A3960">
      <w:pPr>
        <w:spacing w:after="240" w:line="360" w:lineRule="auto"/>
        <w:ind w:firstLine="709"/>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Платежи, относящиеся к отдаленным во времени от момента наступл</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ния с</w:t>
      </w:r>
      <w:r w:rsidR="00F36B5C">
        <w:rPr>
          <w:rFonts w:ascii="Times New Roman" w:eastAsiaTheme="minorEastAsia" w:hAnsi="Times New Roman" w:cs="Times New Roman"/>
          <w:sz w:val="28"/>
          <w:szCs w:val="28"/>
        </w:rPr>
        <w:t xml:space="preserve">трахового случая </w:t>
      </w:r>
      <w:r>
        <w:rPr>
          <w:rFonts w:ascii="Times New Roman" w:eastAsiaTheme="minorEastAsia" w:hAnsi="Times New Roman" w:cs="Times New Roman"/>
          <w:sz w:val="28"/>
          <w:szCs w:val="28"/>
        </w:rPr>
        <w:t>кварталам развития</w:t>
      </w:r>
      <w:r w:rsidR="00F36B5C">
        <w:rPr>
          <w:rFonts w:ascii="Times New Roman" w:eastAsiaTheme="minorEastAsia" w:hAnsi="Times New Roman" w:cs="Times New Roman"/>
          <w:sz w:val="28"/>
          <w:szCs w:val="28"/>
        </w:rPr>
        <w:t>, могут быть обусловлены как дл</w:t>
      </w:r>
      <w:r w:rsidR="00F36B5C">
        <w:rPr>
          <w:rFonts w:ascii="Times New Roman" w:eastAsiaTheme="minorEastAsia" w:hAnsi="Times New Roman" w:cs="Times New Roman"/>
          <w:sz w:val="28"/>
          <w:szCs w:val="28"/>
        </w:rPr>
        <w:t>и</w:t>
      </w:r>
      <w:r w:rsidR="00F36B5C">
        <w:rPr>
          <w:rFonts w:ascii="Times New Roman" w:eastAsiaTheme="minorEastAsia" w:hAnsi="Times New Roman" w:cs="Times New Roman"/>
          <w:sz w:val="28"/>
          <w:szCs w:val="28"/>
        </w:rPr>
        <w:t>тельностью лечения того или иного заболевания (например, осложн</w:t>
      </w:r>
      <w:r w:rsidR="009676D2">
        <w:rPr>
          <w:rFonts w:ascii="Times New Roman" w:eastAsiaTheme="minorEastAsia" w:hAnsi="Times New Roman" w:cs="Times New Roman"/>
          <w:sz w:val="28"/>
          <w:szCs w:val="28"/>
        </w:rPr>
        <w:t>ениями после перелома конечностей</w:t>
      </w:r>
      <w:r w:rsidR="00F36B5C">
        <w:rPr>
          <w:rFonts w:ascii="Times New Roman" w:eastAsiaTheme="minorEastAsia" w:hAnsi="Times New Roman" w:cs="Times New Roman"/>
          <w:sz w:val="28"/>
          <w:szCs w:val="28"/>
        </w:rPr>
        <w:t xml:space="preserve"> или операции по удалению катаракты), так и ошибками сотрудников компании, в чьем ведении находится процесс урег</w:t>
      </w:r>
      <w:r w:rsidR="00F36B5C">
        <w:rPr>
          <w:rFonts w:ascii="Times New Roman" w:eastAsiaTheme="minorEastAsia" w:hAnsi="Times New Roman" w:cs="Times New Roman"/>
          <w:sz w:val="28"/>
          <w:szCs w:val="28"/>
        </w:rPr>
        <w:t>у</w:t>
      </w:r>
      <w:r w:rsidR="00F36B5C">
        <w:rPr>
          <w:rFonts w:ascii="Times New Roman" w:eastAsiaTheme="minorEastAsia" w:hAnsi="Times New Roman" w:cs="Times New Roman"/>
          <w:sz w:val="28"/>
          <w:szCs w:val="28"/>
        </w:rPr>
        <w:t>лирования убытков, и несовершенствами процедуры взаимных расчетов м</w:t>
      </w:r>
      <w:r w:rsidR="00F36B5C">
        <w:rPr>
          <w:rFonts w:ascii="Times New Roman" w:eastAsiaTheme="minorEastAsia" w:hAnsi="Times New Roman" w:cs="Times New Roman"/>
          <w:sz w:val="28"/>
          <w:szCs w:val="28"/>
        </w:rPr>
        <w:t>е</w:t>
      </w:r>
      <w:r w:rsidR="00F36B5C">
        <w:rPr>
          <w:rFonts w:ascii="Times New Roman" w:eastAsiaTheme="minorEastAsia" w:hAnsi="Times New Roman" w:cs="Times New Roman"/>
          <w:sz w:val="28"/>
          <w:szCs w:val="28"/>
        </w:rPr>
        <w:t>жду страховщиком и аккредитова</w:t>
      </w:r>
      <w:r w:rsidR="00D87DDB">
        <w:rPr>
          <w:rFonts w:ascii="Times New Roman" w:eastAsiaTheme="minorEastAsia" w:hAnsi="Times New Roman" w:cs="Times New Roman"/>
          <w:sz w:val="28"/>
          <w:szCs w:val="28"/>
        </w:rPr>
        <w:t>нными им медицинскими учреждениями (неточности в выставленных</w:t>
      </w:r>
      <w:proofErr w:type="gramEnd"/>
      <w:r w:rsidR="00D87DDB">
        <w:rPr>
          <w:rFonts w:ascii="Times New Roman" w:eastAsiaTheme="minorEastAsia" w:hAnsi="Times New Roman" w:cs="Times New Roman"/>
          <w:sz w:val="28"/>
          <w:szCs w:val="28"/>
        </w:rPr>
        <w:t xml:space="preserve"> </w:t>
      </w:r>
      <w:proofErr w:type="gramStart"/>
      <w:r w:rsidR="00D87DDB">
        <w:rPr>
          <w:rFonts w:ascii="Times New Roman" w:eastAsiaTheme="minorEastAsia" w:hAnsi="Times New Roman" w:cs="Times New Roman"/>
          <w:sz w:val="28"/>
          <w:szCs w:val="28"/>
        </w:rPr>
        <w:t>ЛПУ счетах на оплату оказанных услуг).</w:t>
      </w:r>
      <w:proofErr w:type="gramEnd"/>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Pr="00B37098" w:rsidRDefault="00B71305" w:rsidP="005A3960">
      <w:pPr>
        <w:spacing w:after="240" w:line="360" w:lineRule="auto"/>
        <w:ind w:firstLine="709"/>
        <w:jc w:val="both"/>
        <w:rPr>
          <w:rFonts w:ascii="Times New Roman" w:eastAsiaTheme="minorEastAsia" w:hAnsi="Times New Roman" w:cs="Times New Roman"/>
          <w:sz w:val="28"/>
          <w:szCs w:val="28"/>
        </w:rPr>
      </w:pPr>
    </w:p>
    <w:p w:rsidR="00B71305" w:rsidRDefault="00B71305" w:rsidP="005A3960">
      <w:pPr>
        <w:spacing w:after="240" w:line="360" w:lineRule="auto"/>
        <w:ind w:firstLine="709"/>
        <w:jc w:val="both"/>
        <w:rPr>
          <w:rFonts w:ascii="Times New Roman" w:eastAsiaTheme="minorEastAsia" w:hAnsi="Times New Roman" w:cs="Times New Roman"/>
          <w:sz w:val="28"/>
          <w:szCs w:val="28"/>
        </w:rPr>
      </w:pPr>
    </w:p>
    <w:p w:rsidR="00C119FE" w:rsidRPr="00B71305" w:rsidRDefault="00C119FE" w:rsidP="005A3960">
      <w:pPr>
        <w:spacing w:after="240" w:line="360" w:lineRule="auto"/>
        <w:ind w:firstLine="709"/>
        <w:jc w:val="both"/>
        <w:rPr>
          <w:rFonts w:ascii="Times New Roman" w:eastAsiaTheme="minorEastAsia" w:hAnsi="Times New Roman" w:cs="Times New Roman"/>
          <w:sz w:val="28"/>
          <w:szCs w:val="28"/>
        </w:rPr>
        <w:sectPr w:rsidR="00C119FE" w:rsidRPr="00B71305" w:rsidSect="00AB4906">
          <w:footerReference w:type="default" r:id="rId18"/>
          <w:footerReference w:type="first" r:id="rId19"/>
          <w:pgSz w:w="11906" w:h="16838"/>
          <w:pgMar w:top="1134" w:right="567" w:bottom="1134" w:left="1985" w:header="709" w:footer="709" w:gutter="0"/>
          <w:cols w:space="708"/>
          <w:titlePg/>
          <w:docGrid w:linePitch="360"/>
        </w:sectPr>
      </w:pPr>
    </w:p>
    <w:p w:rsidR="00D15D2D" w:rsidRDefault="00D15D2D" w:rsidP="00D00620">
      <w:pPr>
        <w:spacing w:after="0" w:line="360" w:lineRule="auto"/>
        <w:jc w:val="right"/>
        <w:rPr>
          <w:rFonts w:ascii="Times New Roman" w:hAnsi="Times New Roman" w:cs="Times New Roman"/>
          <w:i/>
          <w:sz w:val="26"/>
          <w:szCs w:val="26"/>
        </w:rPr>
      </w:pPr>
    </w:p>
    <w:p w:rsidR="00D15D2D" w:rsidRDefault="00D15D2D" w:rsidP="00D00620">
      <w:pPr>
        <w:spacing w:after="0" w:line="360" w:lineRule="auto"/>
        <w:jc w:val="right"/>
        <w:rPr>
          <w:rFonts w:ascii="Times New Roman" w:hAnsi="Times New Roman" w:cs="Times New Roman"/>
          <w:i/>
          <w:sz w:val="26"/>
          <w:szCs w:val="26"/>
        </w:rPr>
      </w:pPr>
    </w:p>
    <w:p w:rsidR="00D00620" w:rsidRPr="00D15D2D" w:rsidRDefault="00D00620" w:rsidP="00D00620">
      <w:pPr>
        <w:spacing w:after="0" w:line="360" w:lineRule="auto"/>
        <w:jc w:val="right"/>
        <w:rPr>
          <w:rFonts w:ascii="Times New Roman" w:hAnsi="Times New Roman" w:cs="Times New Roman"/>
          <w:i/>
          <w:sz w:val="26"/>
          <w:szCs w:val="26"/>
        </w:rPr>
      </w:pPr>
      <w:r w:rsidRPr="00D15D2D">
        <w:rPr>
          <w:rFonts w:ascii="Times New Roman" w:hAnsi="Times New Roman" w:cs="Times New Roman"/>
          <w:i/>
          <w:sz w:val="26"/>
          <w:szCs w:val="26"/>
        </w:rPr>
        <w:t>Таблица 9</w:t>
      </w:r>
    </w:p>
    <w:p w:rsidR="00D00620" w:rsidRDefault="00D00620" w:rsidP="00D00620">
      <w:pPr>
        <w:spacing w:after="0" w:line="360" w:lineRule="auto"/>
        <w:jc w:val="center"/>
        <w:rPr>
          <w:rFonts w:ascii="Times New Roman" w:hAnsi="Times New Roman" w:cs="Times New Roman"/>
          <w:i/>
          <w:sz w:val="26"/>
          <w:szCs w:val="26"/>
        </w:rPr>
      </w:pPr>
      <w:r w:rsidRPr="00D15D2D">
        <w:rPr>
          <w:rFonts w:ascii="Times New Roman" w:hAnsi="Times New Roman" w:cs="Times New Roman"/>
          <w:i/>
          <w:sz w:val="26"/>
          <w:szCs w:val="26"/>
        </w:rPr>
        <w:t>Исследуемый массив данных о деятельности конкретной страховой организации</w:t>
      </w:r>
    </w:p>
    <w:tbl>
      <w:tblPr>
        <w:tblW w:w="15009" w:type="dxa"/>
        <w:tblInd w:w="93" w:type="dxa"/>
        <w:tblLook w:val="04A0"/>
      </w:tblPr>
      <w:tblGrid>
        <w:gridCol w:w="484"/>
        <w:gridCol w:w="1514"/>
        <w:gridCol w:w="471"/>
        <w:gridCol w:w="1140"/>
        <w:gridCol w:w="1140"/>
        <w:gridCol w:w="1140"/>
        <w:gridCol w:w="1140"/>
        <w:gridCol w:w="1140"/>
        <w:gridCol w:w="1140"/>
        <w:gridCol w:w="1140"/>
        <w:gridCol w:w="1140"/>
        <w:gridCol w:w="1140"/>
        <w:gridCol w:w="1140"/>
        <w:gridCol w:w="1140"/>
      </w:tblGrid>
      <w:tr w:rsidR="003E3949" w:rsidRPr="00324FCD" w:rsidTr="003E3949">
        <w:trPr>
          <w:trHeight w:val="300"/>
        </w:trPr>
        <w:tc>
          <w:tcPr>
            <w:tcW w:w="246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bCs/>
                <w:lang w:eastAsia="ru-RU"/>
              </w:rPr>
            </w:pPr>
            <w:r w:rsidRPr="00DD0652">
              <w:rPr>
                <w:rFonts w:ascii="Times New Roman" w:eastAsia="Times New Roman" w:hAnsi="Times New Roman" w:cs="Times New Roman"/>
                <w:b/>
                <w:bCs/>
                <w:lang w:eastAsia="ru-RU"/>
              </w:rPr>
              <w:t>Y</w:t>
            </w:r>
            <w:r w:rsidRPr="00DD0652">
              <w:rPr>
                <w:rFonts w:ascii="Times New Roman" w:eastAsia="Times New Roman" w:hAnsi="Times New Roman" w:cs="Times New Roman"/>
                <w:b/>
                <w:bCs/>
                <w:vertAlign w:val="subscript"/>
                <w:lang w:eastAsia="ru-RU"/>
              </w:rPr>
              <w:t xml:space="preserve">ij </w:t>
            </w:r>
            <w:r w:rsidRPr="00DD0652">
              <w:rPr>
                <w:rFonts w:ascii="Times New Roman" w:eastAsia="Times New Roman" w:hAnsi="Times New Roman" w:cs="Times New Roman"/>
                <w:b/>
                <w:bCs/>
                <w:lang w:eastAsia="ru-RU"/>
              </w:rPr>
              <w:t>, руб.</w:t>
            </w:r>
          </w:p>
        </w:tc>
        <w:tc>
          <w:tcPr>
            <w:tcW w:w="125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FF0000"/>
                <w:lang w:eastAsia="ru-RU"/>
              </w:rPr>
            </w:pPr>
            <w:r w:rsidRPr="00DD0652">
              <w:rPr>
                <w:rFonts w:ascii="Times New Roman" w:eastAsia="Times New Roman" w:hAnsi="Times New Roman" w:cs="Times New Roman"/>
                <w:b/>
                <w:color w:val="FF0000"/>
                <w:lang w:eastAsia="ru-RU"/>
              </w:rPr>
              <w:t xml:space="preserve">Квартал оплаты (развития) убытков (накопленные), </w:t>
            </w:r>
            <w:proofErr w:type="spellStart"/>
            <w:r w:rsidRPr="00DD0652">
              <w:rPr>
                <w:rFonts w:ascii="Times New Roman" w:eastAsia="Times New Roman" w:hAnsi="Times New Roman" w:cs="Times New Roman"/>
                <w:b/>
                <w:color w:val="FF0000"/>
                <w:lang w:eastAsia="ru-RU"/>
              </w:rPr>
              <w:t>j</w:t>
            </w:r>
            <w:proofErr w:type="spellEnd"/>
          </w:p>
        </w:tc>
      </w:tr>
      <w:tr w:rsidR="003E3949" w:rsidRPr="00324FCD" w:rsidTr="003E3949">
        <w:trPr>
          <w:trHeight w:val="345"/>
        </w:trPr>
        <w:tc>
          <w:tcPr>
            <w:tcW w:w="2469" w:type="dxa"/>
            <w:gridSpan w:val="3"/>
            <w:vMerge/>
            <w:tcBorders>
              <w:top w:val="single" w:sz="4" w:space="0" w:color="auto"/>
              <w:left w:val="single" w:sz="4" w:space="0" w:color="auto"/>
              <w:bottom w:val="single" w:sz="4" w:space="0" w:color="000000"/>
              <w:right w:val="single" w:sz="4" w:space="0" w:color="000000"/>
            </w:tcBorders>
            <w:vAlign w:val="center"/>
            <w:hideMark/>
          </w:tcPr>
          <w:p w:rsidR="003E3949" w:rsidRPr="00324FCD" w:rsidRDefault="003E3949" w:rsidP="002F4EB1">
            <w:pPr>
              <w:spacing w:after="0" w:line="240" w:lineRule="auto"/>
              <w:rPr>
                <w:rFonts w:ascii="Times New Roman" w:eastAsia="Times New Roman" w:hAnsi="Times New Roman" w:cs="Times New Roman"/>
                <w:b/>
                <w:bCs/>
                <w:sz w:val="16"/>
                <w:szCs w:val="16"/>
                <w:lang w:eastAsia="ru-RU"/>
              </w:rPr>
            </w:pP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2</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3</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4</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5</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6</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7</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8</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9</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10</w:t>
            </w:r>
          </w:p>
        </w:tc>
        <w:tc>
          <w:tcPr>
            <w:tcW w:w="1140"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11</w:t>
            </w:r>
          </w:p>
        </w:tc>
      </w:tr>
      <w:tr w:rsidR="003E3949" w:rsidRPr="00324FCD" w:rsidTr="003E3949">
        <w:trPr>
          <w:trHeight w:val="300"/>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E3949" w:rsidRPr="00DD0652" w:rsidRDefault="003E3949" w:rsidP="002F4EB1">
            <w:pPr>
              <w:spacing w:after="0" w:line="240" w:lineRule="auto"/>
              <w:jc w:val="center"/>
              <w:rPr>
                <w:rFonts w:ascii="Times New Roman" w:eastAsia="Times New Roman" w:hAnsi="Times New Roman" w:cs="Times New Roman"/>
                <w:b/>
                <w:bCs/>
                <w:color w:val="FF0000"/>
                <w:lang w:eastAsia="ru-RU"/>
              </w:rPr>
            </w:pPr>
            <w:r w:rsidRPr="00DD0652">
              <w:rPr>
                <w:rFonts w:ascii="Times New Roman" w:eastAsia="Times New Roman" w:hAnsi="Times New Roman" w:cs="Times New Roman"/>
                <w:b/>
                <w:bCs/>
                <w:color w:val="FF0000"/>
                <w:lang w:eastAsia="ru-RU"/>
              </w:rPr>
              <w:t xml:space="preserve">Квартал наступления убытков, </w:t>
            </w:r>
            <w:proofErr w:type="spellStart"/>
            <w:r w:rsidRPr="00DD0652">
              <w:rPr>
                <w:rFonts w:ascii="Times New Roman" w:eastAsia="Times New Roman" w:hAnsi="Times New Roman" w:cs="Times New Roman"/>
                <w:b/>
                <w:bCs/>
                <w:color w:val="FF0000"/>
                <w:lang w:eastAsia="ru-RU"/>
              </w:rPr>
              <w:t>i</w:t>
            </w:r>
            <w:proofErr w:type="spellEnd"/>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2007</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2008</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2</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2008</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3</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2008</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4</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2008</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2009</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2009</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7</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2009</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8</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2009</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9</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2010</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10</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2010</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11</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2010</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12</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2010</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13</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2011</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14</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2011</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15</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2011</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16</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2011</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17</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2012</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18</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2012</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19</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r w:rsidR="003E3949" w:rsidRPr="00324FCD" w:rsidTr="003E3949">
        <w:trPr>
          <w:trHeight w:val="225"/>
        </w:trPr>
        <w:tc>
          <w:tcPr>
            <w:tcW w:w="484" w:type="dxa"/>
            <w:vMerge/>
            <w:tcBorders>
              <w:top w:val="nil"/>
              <w:left w:val="single" w:sz="4" w:space="0" w:color="auto"/>
              <w:bottom w:val="single" w:sz="4" w:space="0" w:color="auto"/>
              <w:right w:val="single" w:sz="4" w:space="0" w:color="auto"/>
            </w:tcBorders>
            <w:vAlign w:val="center"/>
            <w:hideMark/>
          </w:tcPr>
          <w:p w:rsidR="003E3949" w:rsidRPr="00324FCD" w:rsidRDefault="003E3949" w:rsidP="002F4EB1">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3E3949" w:rsidRPr="00502D9D" w:rsidRDefault="003E3949" w:rsidP="002F4EB1">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2012</w:t>
            </w:r>
          </w:p>
        </w:tc>
        <w:tc>
          <w:tcPr>
            <w:tcW w:w="471" w:type="dxa"/>
            <w:tcBorders>
              <w:top w:val="nil"/>
              <w:left w:val="nil"/>
              <w:bottom w:val="single" w:sz="4" w:space="0" w:color="auto"/>
              <w:right w:val="single" w:sz="4" w:space="0" w:color="auto"/>
            </w:tcBorders>
            <w:shd w:val="clear" w:color="000000" w:fill="CCC0DA"/>
            <w:noWrap/>
            <w:vAlign w:val="center"/>
            <w:hideMark/>
          </w:tcPr>
          <w:p w:rsidR="003E3949" w:rsidRPr="00DD0652" w:rsidRDefault="003E3949" w:rsidP="002F4EB1">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20</w:t>
            </w:r>
          </w:p>
        </w:tc>
        <w:tc>
          <w:tcPr>
            <w:tcW w:w="1140" w:type="dxa"/>
            <w:tcBorders>
              <w:top w:val="nil"/>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3E3949" w:rsidRPr="00324FCD" w:rsidRDefault="003E3949" w:rsidP="002F4EB1">
            <w:pPr>
              <w:spacing w:after="0" w:line="240" w:lineRule="auto"/>
              <w:jc w:val="right"/>
              <w:rPr>
                <w:rFonts w:ascii="Times New Roman" w:eastAsia="Times New Roman" w:hAnsi="Times New Roman" w:cs="Times New Roman"/>
                <w:color w:val="000000"/>
                <w:sz w:val="16"/>
                <w:szCs w:val="16"/>
                <w:lang w:eastAsia="ru-RU"/>
              </w:rPr>
            </w:pPr>
          </w:p>
        </w:tc>
      </w:tr>
    </w:tbl>
    <w:p w:rsidR="003E3949" w:rsidRDefault="003E3949" w:rsidP="00D00620">
      <w:pPr>
        <w:spacing w:after="0" w:line="360" w:lineRule="auto"/>
        <w:jc w:val="center"/>
        <w:rPr>
          <w:rFonts w:ascii="Times New Roman" w:hAnsi="Times New Roman" w:cs="Times New Roman"/>
          <w:i/>
          <w:sz w:val="26"/>
          <w:szCs w:val="26"/>
        </w:rPr>
      </w:pPr>
    </w:p>
    <w:p w:rsidR="003E3949" w:rsidRPr="00D15D2D" w:rsidRDefault="003E3949" w:rsidP="00D00620">
      <w:pPr>
        <w:spacing w:after="0" w:line="360" w:lineRule="auto"/>
        <w:jc w:val="center"/>
        <w:rPr>
          <w:rFonts w:ascii="Times New Roman" w:hAnsi="Times New Roman" w:cs="Times New Roman"/>
          <w:sz w:val="26"/>
          <w:szCs w:val="26"/>
        </w:rPr>
      </w:pPr>
    </w:p>
    <w:p w:rsidR="00C348B1" w:rsidRDefault="00C348B1" w:rsidP="005A3960">
      <w:pPr>
        <w:spacing w:after="240" w:line="360" w:lineRule="auto"/>
        <w:ind w:firstLine="709"/>
        <w:jc w:val="both"/>
        <w:rPr>
          <w:rFonts w:ascii="Times New Roman" w:hAnsi="Times New Roman" w:cs="Times New Roman"/>
          <w:sz w:val="28"/>
          <w:szCs w:val="28"/>
        </w:rPr>
      </w:pPr>
    </w:p>
    <w:p w:rsidR="00D00620" w:rsidRPr="00D15D2D" w:rsidRDefault="00D00620" w:rsidP="00D00620">
      <w:pPr>
        <w:spacing w:after="0" w:line="360" w:lineRule="auto"/>
        <w:jc w:val="right"/>
        <w:rPr>
          <w:rFonts w:ascii="Times New Roman" w:hAnsi="Times New Roman" w:cs="Times New Roman"/>
          <w:i/>
          <w:sz w:val="26"/>
          <w:szCs w:val="26"/>
        </w:rPr>
      </w:pPr>
      <w:r w:rsidRPr="00D15D2D">
        <w:rPr>
          <w:rFonts w:ascii="Times New Roman" w:hAnsi="Times New Roman" w:cs="Times New Roman"/>
          <w:i/>
          <w:sz w:val="26"/>
          <w:szCs w:val="26"/>
        </w:rPr>
        <w:lastRenderedPageBreak/>
        <w:t>Таблица 9</w:t>
      </w:r>
    </w:p>
    <w:p w:rsidR="00D00620" w:rsidRPr="00D15D2D" w:rsidRDefault="00D00620" w:rsidP="00D00620">
      <w:pPr>
        <w:spacing w:after="0" w:line="360" w:lineRule="auto"/>
        <w:jc w:val="center"/>
        <w:rPr>
          <w:rFonts w:ascii="Times New Roman" w:hAnsi="Times New Roman" w:cs="Times New Roman"/>
          <w:sz w:val="26"/>
          <w:szCs w:val="26"/>
        </w:rPr>
      </w:pPr>
      <w:r w:rsidRPr="00D15D2D">
        <w:rPr>
          <w:rFonts w:ascii="Times New Roman" w:hAnsi="Times New Roman" w:cs="Times New Roman"/>
          <w:i/>
          <w:sz w:val="26"/>
          <w:szCs w:val="26"/>
        </w:rPr>
        <w:t>Исследуемый массив данных о деятельности конкретной страховой организации (Продолжение)</w:t>
      </w:r>
    </w:p>
    <w:tbl>
      <w:tblPr>
        <w:tblW w:w="15183" w:type="dxa"/>
        <w:tblInd w:w="93" w:type="dxa"/>
        <w:tblLayout w:type="fixed"/>
        <w:tblLook w:val="04A0"/>
      </w:tblPr>
      <w:tblGrid>
        <w:gridCol w:w="518"/>
        <w:gridCol w:w="469"/>
        <w:gridCol w:w="1296"/>
        <w:gridCol w:w="1276"/>
        <w:gridCol w:w="1276"/>
        <w:gridCol w:w="1276"/>
        <w:gridCol w:w="1275"/>
        <w:gridCol w:w="1276"/>
        <w:gridCol w:w="1276"/>
        <w:gridCol w:w="1276"/>
        <w:gridCol w:w="1275"/>
        <w:gridCol w:w="1276"/>
        <w:gridCol w:w="1418"/>
      </w:tblGrid>
      <w:tr w:rsidR="004B049A" w:rsidRPr="00DC5B8C" w:rsidTr="00FD137F">
        <w:trPr>
          <w:trHeight w:val="555"/>
        </w:trPr>
        <w:tc>
          <w:tcPr>
            <w:tcW w:w="9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5B8C" w:rsidRPr="00DC5B8C" w:rsidRDefault="00DC5B8C" w:rsidP="00DC5B8C">
            <w:pPr>
              <w:spacing w:after="0" w:line="240" w:lineRule="auto"/>
              <w:jc w:val="center"/>
              <w:rPr>
                <w:rFonts w:ascii="Times New Roman" w:eastAsia="Times New Roman" w:hAnsi="Times New Roman" w:cs="Times New Roman"/>
                <w:b/>
                <w:bCs/>
                <w:lang w:eastAsia="ru-RU"/>
              </w:rPr>
            </w:pPr>
            <w:r w:rsidRPr="00DC5B8C">
              <w:rPr>
                <w:rFonts w:ascii="Times New Roman" w:eastAsia="Times New Roman" w:hAnsi="Times New Roman" w:cs="Times New Roman"/>
                <w:b/>
                <w:bCs/>
                <w:lang w:eastAsia="ru-RU"/>
              </w:rPr>
              <w:t>Y</w:t>
            </w:r>
            <w:r w:rsidRPr="00DC5B8C">
              <w:rPr>
                <w:rFonts w:ascii="Times New Roman" w:eastAsia="Times New Roman" w:hAnsi="Times New Roman" w:cs="Times New Roman"/>
                <w:b/>
                <w:bCs/>
                <w:vertAlign w:val="subscript"/>
                <w:lang w:eastAsia="ru-RU"/>
              </w:rPr>
              <w:t xml:space="preserve">ij </w:t>
            </w:r>
            <w:r w:rsidRPr="00DC5B8C">
              <w:rPr>
                <w:rFonts w:ascii="Times New Roman" w:eastAsia="Times New Roman" w:hAnsi="Times New Roman" w:cs="Times New Roman"/>
                <w:b/>
                <w:bCs/>
                <w:lang w:eastAsia="ru-RU"/>
              </w:rPr>
              <w:t>, руб.</w:t>
            </w:r>
          </w:p>
        </w:tc>
        <w:tc>
          <w:tcPr>
            <w:tcW w:w="1150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FF0000"/>
                <w:lang w:eastAsia="ru-RU"/>
              </w:rPr>
            </w:pPr>
            <w:r w:rsidRPr="00725CF7">
              <w:rPr>
                <w:rFonts w:ascii="Times New Roman" w:eastAsia="Times New Roman" w:hAnsi="Times New Roman" w:cs="Times New Roman"/>
                <w:b/>
                <w:color w:val="FF0000"/>
                <w:lang w:eastAsia="ru-RU"/>
              </w:rPr>
              <w:t xml:space="preserve">Квартал оплаты (развития) убытков (накопленные), </w:t>
            </w:r>
            <w:proofErr w:type="spellStart"/>
            <w:r w:rsidRPr="00725CF7">
              <w:rPr>
                <w:rFonts w:ascii="Times New Roman" w:eastAsia="Times New Roman" w:hAnsi="Times New Roman" w:cs="Times New Roman"/>
                <w:b/>
                <w:color w:val="FF0000"/>
                <w:lang w:eastAsia="ru-RU"/>
              </w:rPr>
              <w:t>j</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C5B8C" w:rsidRPr="00DC5B8C" w:rsidRDefault="00DC5B8C" w:rsidP="00DC5B8C">
            <w:pPr>
              <w:spacing w:after="0" w:line="240" w:lineRule="auto"/>
              <w:jc w:val="center"/>
              <w:rPr>
                <w:rFonts w:ascii="Times New Roman" w:eastAsia="Times New Roman" w:hAnsi="Times New Roman" w:cs="Times New Roman"/>
                <w:b/>
                <w:bCs/>
                <w:color w:val="000000"/>
                <w:lang w:eastAsia="ru-RU"/>
              </w:rPr>
            </w:pPr>
            <w:r w:rsidRPr="00DC5B8C">
              <w:rPr>
                <w:rFonts w:ascii="Times New Roman" w:eastAsia="Times New Roman" w:hAnsi="Times New Roman" w:cs="Times New Roman"/>
                <w:b/>
                <w:bCs/>
                <w:color w:val="000000"/>
                <w:lang w:eastAsia="ru-RU"/>
              </w:rPr>
              <w:t>Зараб</w:t>
            </w:r>
            <w:r w:rsidRPr="00DC5B8C">
              <w:rPr>
                <w:rFonts w:ascii="Times New Roman" w:eastAsia="Times New Roman" w:hAnsi="Times New Roman" w:cs="Times New Roman"/>
                <w:b/>
                <w:bCs/>
                <w:color w:val="000000"/>
                <w:lang w:eastAsia="ru-RU"/>
              </w:rPr>
              <w:t>о</w:t>
            </w:r>
            <w:r w:rsidRPr="00DC5B8C">
              <w:rPr>
                <w:rFonts w:ascii="Times New Roman" w:eastAsia="Times New Roman" w:hAnsi="Times New Roman" w:cs="Times New Roman"/>
                <w:b/>
                <w:bCs/>
                <w:color w:val="000000"/>
                <w:lang w:eastAsia="ru-RU"/>
              </w:rPr>
              <w:t>танная страховая премия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5B8C" w:rsidRPr="00DC5B8C" w:rsidRDefault="00DC5B8C" w:rsidP="00DC5B8C">
            <w:pPr>
              <w:spacing w:after="0" w:line="240" w:lineRule="auto"/>
              <w:jc w:val="center"/>
              <w:rPr>
                <w:rFonts w:ascii="Times New Roman" w:eastAsia="Times New Roman" w:hAnsi="Times New Roman" w:cs="Times New Roman"/>
                <w:b/>
                <w:bCs/>
                <w:color w:val="000000"/>
                <w:lang w:eastAsia="ru-RU"/>
              </w:rPr>
            </w:pPr>
            <w:r w:rsidRPr="00DC5B8C">
              <w:rPr>
                <w:rFonts w:ascii="Times New Roman" w:eastAsia="Times New Roman" w:hAnsi="Times New Roman" w:cs="Times New Roman"/>
                <w:b/>
                <w:bCs/>
                <w:color w:val="000000"/>
                <w:lang w:eastAsia="ru-RU"/>
              </w:rPr>
              <w:t>Заявле</w:t>
            </w:r>
            <w:r w:rsidRPr="00DC5B8C">
              <w:rPr>
                <w:rFonts w:ascii="Times New Roman" w:eastAsia="Times New Roman" w:hAnsi="Times New Roman" w:cs="Times New Roman"/>
                <w:b/>
                <w:bCs/>
                <w:color w:val="000000"/>
                <w:lang w:eastAsia="ru-RU"/>
              </w:rPr>
              <w:t>н</w:t>
            </w:r>
            <w:r w:rsidRPr="00DC5B8C">
              <w:rPr>
                <w:rFonts w:ascii="Times New Roman" w:eastAsia="Times New Roman" w:hAnsi="Times New Roman" w:cs="Times New Roman"/>
                <w:b/>
                <w:bCs/>
                <w:color w:val="000000"/>
                <w:lang w:eastAsia="ru-RU"/>
              </w:rPr>
              <w:t>ные, но н</w:t>
            </w:r>
            <w:r w:rsidRPr="00DC5B8C">
              <w:rPr>
                <w:rFonts w:ascii="Times New Roman" w:eastAsia="Times New Roman" w:hAnsi="Times New Roman" w:cs="Times New Roman"/>
                <w:b/>
                <w:bCs/>
                <w:color w:val="000000"/>
                <w:lang w:eastAsia="ru-RU"/>
              </w:rPr>
              <w:t>е</w:t>
            </w:r>
            <w:r w:rsidRPr="00DC5B8C">
              <w:rPr>
                <w:rFonts w:ascii="Times New Roman" w:eastAsia="Times New Roman" w:hAnsi="Times New Roman" w:cs="Times New Roman"/>
                <w:b/>
                <w:bCs/>
                <w:color w:val="000000"/>
                <w:lang w:eastAsia="ru-RU"/>
              </w:rPr>
              <w:t>урегулир</w:t>
            </w:r>
            <w:r w:rsidRPr="00DC5B8C">
              <w:rPr>
                <w:rFonts w:ascii="Times New Roman" w:eastAsia="Times New Roman" w:hAnsi="Times New Roman" w:cs="Times New Roman"/>
                <w:b/>
                <w:bCs/>
                <w:color w:val="000000"/>
                <w:lang w:eastAsia="ru-RU"/>
              </w:rPr>
              <w:t>о</w:t>
            </w:r>
            <w:r w:rsidRPr="00DC5B8C">
              <w:rPr>
                <w:rFonts w:ascii="Times New Roman" w:eastAsia="Times New Roman" w:hAnsi="Times New Roman" w:cs="Times New Roman"/>
                <w:b/>
                <w:bCs/>
                <w:color w:val="000000"/>
                <w:lang w:eastAsia="ru-RU"/>
              </w:rPr>
              <w:t>ванные убытки</w:t>
            </w:r>
          </w:p>
        </w:tc>
      </w:tr>
      <w:tr w:rsidR="004B049A" w:rsidRPr="00DC5B8C" w:rsidTr="00FD137F">
        <w:trPr>
          <w:trHeight w:val="300"/>
        </w:trPr>
        <w:tc>
          <w:tcPr>
            <w:tcW w:w="987" w:type="dxa"/>
            <w:gridSpan w:val="2"/>
            <w:vMerge/>
            <w:tcBorders>
              <w:top w:val="single" w:sz="4" w:space="0" w:color="000000"/>
              <w:left w:val="single" w:sz="4" w:space="0" w:color="auto"/>
              <w:bottom w:val="single" w:sz="4" w:space="0" w:color="000000"/>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lang w:eastAsia="ru-RU"/>
              </w:rPr>
            </w:pPr>
          </w:p>
        </w:tc>
        <w:tc>
          <w:tcPr>
            <w:tcW w:w="1296" w:type="dxa"/>
            <w:tcBorders>
              <w:top w:val="nil"/>
              <w:left w:val="single" w:sz="4" w:space="0" w:color="auto"/>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12</w:t>
            </w:r>
          </w:p>
        </w:tc>
        <w:tc>
          <w:tcPr>
            <w:tcW w:w="1276"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13</w:t>
            </w:r>
          </w:p>
        </w:tc>
        <w:tc>
          <w:tcPr>
            <w:tcW w:w="1276"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14</w:t>
            </w:r>
          </w:p>
        </w:tc>
        <w:tc>
          <w:tcPr>
            <w:tcW w:w="1276"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15</w:t>
            </w:r>
          </w:p>
        </w:tc>
        <w:tc>
          <w:tcPr>
            <w:tcW w:w="1275"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16</w:t>
            </w:r>
          </w:p>
        </w:tc>
        <w:tc>
          <w:tcPr>
            <w:tcW w:w="1276"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17</w:t>
            </w:r>
          </w:p>
        </w:tc>
        <w:tc>
          <w:tcPr>
            <w:tcW w:w="1276"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18</w:t>
            </w:r>
          </w:p>
        </w:tc>
        <w:tc>
          <w:tcPr>
            <w:tcW w:w="1276"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19</w:t>
            </w:r>
          </w:p>
        </w:tc>
        <w:tc>
          <w:tcPr>
            <w:tcW w:w="1275"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000000"/>
                <w:lang w:eastAsia="ru-RU"/>
              </w:rPr>
            </w:pPr>
          </w:p>
        </w:tc>
      </w:tr>
      <w:tr w:rsidR="004B049A" w:rsidRPr="00DC5B8C" w:rsidTr="00FD137F">
        <w:trPr>
          <w:trHeight w:val="300"/>
        </w:trPr>
        <w:tc>
          <w:tcPr>
            <w:tcW w:w="51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DC5B8C" w:rsidRPr="00DC5B8C" w:rsidRDefault="00DC5B8C" w:rsidP="00DC5B8C">
            <w:pPr>
              <w:spacing w:after="0" w:line="240" w:lineRule="auto"/>
              <w:jc w:val="center"/>
              <w:rPr>
                <w:rFonts w:ascii="Times New Roman" w:eastAsia="Times New Roman" w:hAnsi="Times New Roman" w:cs="Times New Roman"/>
                <w:b/>
                <w:bCs/>
                <w:color w:val="FF0000"/>
                <w:lang w:eastAsia="ru-RU"/>
              </w:rPr>
            </w:pPr>
            <w:r w:rsidRPr="00DC5B8C">
              <w:rPr>
                <w:rFonts w:ascii="Times New Roman" w:eastAsia="Times New Roman" w:hAnsi="Times New Roman" w:cs="Times New Roman"/>
                <w:b/>
                <w:bCs/>
                <w:color w:val="FF0000"/>
                <w:lang w:eastAsia="ru-RU"/>
              </w:rPr>
              <w:t>Квартал наступл</w:t>
            </w:r>
            <w:r w:rsidRPr="00DC5B8C">
              <w:rPr>
                <w:rFonts w:ascii="Times New Roman" w:eastAsia="Times New Roman" w:hAnsi="Times New Roman" w:cs="Times New Roman"/>
                <w:b/>
                <w:bCs/>
                <w:color w:val="FF0000"/>
                <w:lang w:eastAsia="ru-RU"/>
              </w:rPr>
              <w:t>е</w:t>
            </w:r>
            <w:r w:rsidRPr="00DC5B8C">
              <w:rPr>
                <w:rFonts w:ascii="Times New Roman" w:eastAsia="Times New Roman" w:hAnsi="Times New Roman" w:cs="Times New Roman"/>
                <w:b/>
                <w:bCs/>
                <w:color w:val="FF0000"/>
                <w:lang w:eastAsia="ru-RU"/>
              </w:rPr>
              <w:t xml:space="preserve">ния убытков, </w:t>
            </w:r>
            <w:proofErr w:type="spellStart"/>
            <w:r w:rsidRPr="00DC5B8C">
              <w:rPr>
                <w:rFonts w:ascii="Times New Roman" w:eastAsia="Times New Roman" w:hAnsi="Times New Roman" w:cs="Times New Roman"/>
                <w:b/>
                <w:bCs/>
                <w:color w:val="FF0000"/>
                <w:lang w:eastAsia="ru-RU"/>
              </w:rPr>
              <w:t>i</w:t>
            </w:r>
            <w:proofErr w:type="spellEnd"/>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2</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3</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4</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5</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6</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7</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8</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9</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10</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11</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12</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13</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14</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15</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16</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17</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18</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19</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r>
      <w:tr w:rsidR="004B049A" w:rsidRPr="00DC5B8C" w:rsidTr="00FD137F">
        <w:trPr>
          <w:trHeight w:val="300"/>
        </w:trPr>
        <w:tc>
          <w:tcPr>
            <w:tcW w:w="518" w:type="dxa"/>
            <w:vMerge/>
            <w:tcBorders>
              <w:top w:val="nil"/>
              <w:left w:val="single" w:sz="4" w:space="0" w:color="auto"/>
              <w:bottom w:val="single" w:sz="4" w:space="0" w:color="auto"/>
              <w:right w:val="single" w:sz="4" w:space="0" w:color="auto"/>
            </w:tcBorders>
            <w:vAlign w:val="center"/>
            <w:hideMark/>
          </w:tcPr>
          <w:p w:rsidR="00DC5B8C" w:rsidRPr="00DC5B8C" w:rsidRDefault="00DC5B8C" w:rsidP="00DC5B8C">
            <w:pPr>
              <w:spacing w:after="0" w:line="240" w:lineRule="auto"/>
              <w:rPr>
                <w:rFonts w:ascii="Times New Roman" w:eastAsia="Times New Roman" w:hAnsi="Times New Roman" w:cs="Times New Roman"/>
                <w:b/>
                <w:bCs/>
                <w:color w:val="FF0000"/>
                <w:lang w:eastAsia="ru-RU"/>
              </w:rPr>
            </w:pPr>
          </w:p>
        </w:tc>
        <w:tc>
          <w:tcPr>
            <w:tcW w:w="469" w:type="dxa"/>
            <w:tcBorders>
              <w:top w:val="nil"/>
              <w:left w:val="nil"/>
              <w:bottom w:val="single" w:sz="4" w:space="0" w:color="auto"/>
              <w:right w:val="single" w:sz="4" w:space="0" w:color="auto"/>
            </w:tcBorders>
            <w:shd w:val="clear" w:color="000000" w:fill="CCC0DA"/>
            <w:noWrap/>
            <w:vAlign w:val="center"/>
            <w:hideMark/>
          </w:tcPr>
          <w:p w:rsidR="00DC5B8C" w:rsidRPr="00725CF7" w:rsidRDefault="00DC5B8C" w:rsidP="00DC5B8C">
            <w:pPr>
              <w:spacing w:after="0" w:line="240" w:lineRule="auto"/>
              <w:jc w:val="center"/>
              <w:rPr>
                <w:rFonts w:ascii="Times New Roman" w:eastAsia="Times New Roman" w:hAnsi="Times New Roman" w:cs="Times New Roman"/>
                <w:b/>
                <w:color w:val="000000"/>
                <w:lang w:eastAsia="ru-RU"/>
              </w:rPr>
            </w:pPr>
            <w:r w:rsidRPr="00725CF7">
              <w:rPr>
                <w:rFonts w:ascii="Times New Roman" w:eastAsia="Times New Roman" w:hAnsi="Times New Roman" w:cs="Times New Roman"/>
                <w:b/>
                <w:color w:val="000000"/>
                <w:lang w:eastAsia="ru-RU"/>
              </w:rPr>
              <w:t>20</w:t>
            </w:r>
          </w:p>
        </w:tc>
        <w:tc>
          <w:tcPr>
            <w:tcW w:w="129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000000" w:fill="FFFFCC"/>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C5B8C" w:rsidRPr="004B049A" w:rsidRDefault="00DC5B8C" w:rsidP="00DC5B8C">
            <w:pPr>
              <w:spacing w:after="0" w:line="240" w:lineRule="auto"/>
              <w:jc w:val="right"/>
              <w:rPr>
                <w:rFonts w:ascii="Times New Roman" w:eastAsia="Times New Roman" w:hAnsi="Times New Roman" w:cs="Times New Roman"/>
                <w:color w:val="000000"/>
                <w:sz w:val="16"/>
                <w:szCs w:val="16"/>
                <w:lang w:eastAsia="ru-RU"/>
              </w:rPr>
            </w:pPr>
          </w:p>
        </w:tc>
      </w:tr>
    </w:tbl>
    <w:p w:rsidR="00C348B1" w:rsidRDefault="00C348B1" w:rsidP="005A3960">
      <w:pPr>
        <w:spacing w:after="240" w:line="360" w:lineRule="auto"/>
        <w:ind w:firstLine="709"/>
        <w:jc w:val="both"/>
        <w:rPr>
          <w:rFonts w:ascii="Times New Roman" w:hAnsi="Times New Roman" w:cs="Times New Roman"/>
          <w:sz w:val="28"/>
          <w:szCs w:val="28"/>
        </w:rPr>
      </w:pPr>
    </w:p>
    <w:p w:rsidR="00C348B1" w:rsidRDefault="00C348B1">
      <w:pPr>
        <w:rPr>
          <w:rFonts w:ascii="Times New Roman" w:hAnsi="Times New Roman" w:cs="Times New Roman"/>
          <w:sz w:val="28"/>
          <w:szCs w:val="28"/>
        </w:rPr>
        <w:sectPr w:rsidR="00C348B1" w:rsidSect="00C348B1">
          <w:pgSz w:w="16838" w:h="11906" w:orient="landscape"/>
          <w:pgMar w:top="567" w:right="1134" w:bottom="1985" w:left="1134" w:header="709" w:footer="709" w:gutter="0"/>
          <w:cols w:space="708"/>
          <w:titlePg/>
          <w:docGrid w:linePitch="360"/>
        </w:sectPr>
      </w:pPr>
    </w:p>
    <w:p w:rsidR="001D2377" w:rsidRDefault="00DB7C4D" w:rsidP="00DB7C4D">
      <w:pPr>
        <w:spacing w:before="240"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lastRenderedPageBreak/>
        <w:t xml:space="preserve">§ 2.2. </w:t>
      </w:r>
      <w:r w:rsidR="001D2377">
        <w:rPr>
          <w:rFonts w:ascii="Times New Roman" w:hAnsi="Times New Roman" w:cs="Times New Roman"/>
          <w:b/>
          <w:sz w:val="28"/>
          <w:szCs w:val="28"/>
        </w:rPr>
        <w:t xml:space="preserve">Расчет резервов произошедших, но незаявленных убытков </w:t>
      </w:r>
    </w:p>
    <w:p w:rsidR="00DB7C4D" w:rsidRPr="00757775" w:rsidRDefault="001D2377" w:rsidP="001D23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методом цепной лестницы</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Основополагающей предпосылкой метода цепной лестницы, также именуемого в научной литературе методом пошагового восхождения, являе</w:t>
      </w:r>
      <w:r w:rsidRPr="00757775">
        <w:rPr>
          <w:rFonts w:ascii="Times New Roman" w:hAnsi="Times New Roman" w:cs="Times New Roman"/>
          <w:sz w:val="28"/>
          <w:szCs w:val="28"/>
        </w:rPr>
        <w:t>т</w:t>
      </w:r>
      <w:r w:rsidRPr="00757775">
        <w:rPr>
          <w:rFonts w:ascii="Times New Roman" w:hAnsi="Times New Roman" w:cs="Times New Roman"/>
          <w:sz w:val="28"/>
          <w:szCs w:val="28"/>
        </w:rPr>
        <w:t>ся предположение о постоянстве во времени соотношения величин оплаче</w:t>
      </w:r>
      <w:r w:rsidRPr="00757775">
        <w:rPr>
          <w:rFonts w:ascii="Times New Roman" w:hAnsi="Times New Roman" w:cs="Times New Roman"/>
          <w:sz w:val="28"/>
          <w:szCs w:val="28"/>
        </w:rPr>
        <w:t>н</w:t>
      </w:r>
      <w:r w:rsidRPr="00757775">
        <w:rPr>
          <w:rFonts w:ascii="Times New Roman" w:hAnsi="Times New Roman" w:cs="Times New Roman"/>
          <w:sz w:val="28"/>
          <w:szCs w:val="28"/>
        </w:rPr>
        <w:t>ных убытков между периодами урегулирования страховых случаев, то есть:</w:t>
      </w:r>
    </w:p>
    <w:p w:rsidR="00DB7C4D" w:rsidRPr="00757775" w:rsidRDefault="005F2FF8" w:rsidP="00DB7C4D">
      <w:pPr>
        <w:spacing w:after="0"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j</m:t>
            </m:r>
          </m:sub>
        </m:sSub>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oMath>
      <w:r w:rsidR="00DB7C4D" w:rsidRPr="00757775">
        <w:rPr>
          <w:rFonts w:ascii="Times New Roman" w:eastAsiaTheme="minorEastAsia" w:hAnsi="Times New Roman" w:cs="Times New Roman"/>
          <w:sz w:val="28"/>
          <w:szCs w:val="28"/>
        </w:rPr>
        <w:t xml:space="preserve">,      </w:t>
      </w:r>
      <m:oMath>
        <m:r>
          <w:rPr>
            <w:rFonts w:ascii="Cambria Math" w:eastAsiaTheme="minorEastAsia" w:hAnsi="Papyrus" w:cs="Times New Roman"/>
            <w:sz w:val="28"/>
            <w:szCs w:val="28"/>
          </w:rPr>
          <m:t xml:space="preserve"> </m:t>
        </m:r>
        <m:r>
          <w:rPr>
            <w:rFonts w:ascii="Cambria Math" w:eastAsiaTheme="minorEastAsia" w:hAnsi="Cambria Math" w:cs="Times New Roman"/>
            <w:sz w:val="28"/>
            <w:szCs w:val="28"/>
            <w:lang w:val="en-GB"/>
          </w:rPr>
          <m:t>i</m:t>
        </m:r>
        <m:r>
          <w:rPr>
            <w:rFonts w:ascii="Cambria Math" w:eastAsiaTheme="minorEastAsia" w:hAnsi="Papyrus" w:cs="Times New Roman"/>
            <w:sz w:val="28"/>
            <w:szCs w:val="28"/>
          </w:rPr>
          <m:t>=1,</m:t>
        </m:r>
        <m:r>
          <w:rPr>
            <w:rFonts w:ascii="Papyrus" w:eastAsiaTheme="minorEastAsia" w:hAnsi="Papyrus" w:cs="Times New Roman"/>
            <w:sz w:val="28"/>
            <w:szCs w:val="28"/>
          </w:rPr>
          <m:t>…</m:t>
        </m:r>
        <m:r>
          <w:rPr>
            <w:rFonts w:ascii="Cambria Math" w:eastAsiaTheme="minorEastAsia" w:hAnsi="Papyrus" w:cs="Times New Roman"/>
            <w:sz w:val="28"/>
            <w:szCs w:val="28"/>
          </w:rPr>
          <m:t xml:space="preserve">, </m:t>
        </m:r>
        <m:r>
          <w:rPr>
            <w:rFonts w:ascii="Cambria Math" w:eastAsiaTheme="minorEastAsia" w:hAnsi="Cambria Math" w:cs="Times New Roman"/>
            <w:sz w:val="28"/>
            <w:szCs w:val="28"/>
            <w:lang w:val="en-GB"/>
          </w:rPr>
          <m:t>n</m:t>
        </m:r>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 xml:space="preserve">=1,…, </m:t>
        </m:r>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-1</m:t>
        </m:r>
      </m:oMath>
    </w:p>
    <w:p w:rsidR="00DB7C4D" w:rsidRPr="00757775" w:rsidRDefault="00DB7C4D" w:rsidP="00DB7C4D">
      <w:pPr>
        <w:spacing w:after="0" w:line="360" w:lineRule="auto"/>
        <w:jc w:val="center"/>
        <w:rPr>
          <w:rFonts w:ascii="Times New Roman" w:eastAsiaTheme="minorEastAsia" w:hAnsi="Times New Roman" w:cs="Times New Roman"/>
          <w:sz w:val="28"/>
          <w:szCs w:val="28"/>
        </w:rPr>
      </w:pPr>
      <w:r w:rsidRPr="00757775">
        <w:rPr>
          <w:rFonts w:ascii="Times New Roman" w:hAnsi="Times New Roman" w:cs="Times New Roman"/>
          <w:sz w:val="28"/>
          <w:szCs w:val="28"/>
        </w:rPr>
        <w:t xml:space="preserve">и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n</m:t>
            </m:r>
          </m:sub>
        </m:sSub>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in</m:t>
            </m:r>
          </m:sub>
        </m:sSub>
      </m:oMath>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 xml:space="preserve">=1,…, </m:t>
        </m:r>
        <m:r>
          <w:rPr>
            <w:rFonts w:ascii="Cambria Math" w:eastAsiaTheme="minorEastAsia" w:hAnsi="Cambria Math" w:cs="Times New Roman"/>
            <w:sz w:val="28"/>
            <w:szCs w:val="28"/>
            <w:lang w:val="en-GB"/>
          </w:rPr>
          <m:t>n</m:t>
        </m:r>
      </m:oMath>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 случайная величина, представляющая собой коэффициент роста в</w:t>
      </w:r>
      <w:proofErr w:type="spellStart"/>
      <w:r w:rsidRPr="00757775">
        <w:rPr>
          <w:rFonts w:ascii="Times New Roman" w:eastAsiaTheme="minorEastAsia" w:hAnsi="Times New Roman" w:cs="Times New Roman"/>
          <w:sz w:val="28"/>
          <w:szCs w:val="28"/>
        </w:rPr>
        <w:t>ы</w:t>
      </w:r>
      <w:r w:rsidRPr="00757775">
        <w:rPr>
          <w:rFonts w:ascii="Times New Roman" w:eastAsiaTheme="minorEastAsia" w:hAnsi="Times New Roman" w:cs="Times New Roman"/>
          <w:sz w:val="28"/>
          <w:szCs w:val="28"/>
        </w:rPr>
        <w:t>плат</w:t>
      </w:r>
      <w:proofErr w:type="spellEnd"/>
      <w:r w:rsidRPr="00757775">
        <w:rPr>
          <w:rFonts w:ascii="Times New Roman" w:eastAsiaTheme="minorEastAsia" w:hAnsi="Times New Roman" w:cs="Times New Roman"/>
          <w:sz w:val="28"/>
          <w:szCs w:val="28"/>
        </w:rPr>
        <w:t xml:space="preserve"> по страховым случаям, произошедшим в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 от одного отче</w:t>
      </w:r>
      <w:r w:rsidRPr="00757775">
        <w:rPr>
          <w:rFonts w:ascii="Times New Roman" w:eastAsiaTheme="minorEastAsia" w:hAnsi="Times New Roman" w:cs="Times New Roman"/>
          <w:sz w:val="28"/>
          <w:szCs w:val="28"/>
        </w:rPr>
        <w:t>т</w:t>
      </w:r>
      <w:r w:rsidRPr="00757775">
        <w:rPr>
          <w:rFonts w:ascii="Times New Roman" w:eastAsiaTheme="minorEastAsia" w:hAnsi="Times New Roman" w:cs="Times New Roman"/>
          <w:sz w:val="28"/>
          <w:szCs w:val="28"/>
        </w:rPr>
        <w:t xml:space="preserve">ного периода к другому (с номерами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 xml:space="preserve"> и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+1 соответственно);</w:t>
      </w:r>
    </w:p>
    <w:p w:rsidR="00DB7C4D" w:rsidRPr="00757775" w:rsidRDefault="005F2FF8" w:rsidP="00DB7C4D">
      <w:pPr>
        <w:spacing w:after="0" w:line="360" w:lineRule="auto"/>
        <w:ind w:firstLine="510"/>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M</m:t>
            </m:r>
          </m:e>
          <m:sub>
            <m:r>
              <w:rPr>
                <w:rFonts w:ascii="Cambria Math" w:hAnsi="Cambria Math" w:cs="Times New Roman"/>
                <w:sz w:val="28"/>
                <w:szCs w:val="28"/>
              </w:rPr>
              <m:t>n</m:t>
            </m:r>
          </m:sub>
        </m:sSub>
      </m:oMath>
      <w:r w:rsidR="00DB7C4D" w:rsidRPr="00757775">
        <w:rPr>
          <w:rFonts w:ascii="Times New Roman" w:eastAsiaTheme="minorEastAsia" w:hAnsi="Times New Roman" w:cs="Times New Roman"/>
          <w:sz w:val="28"/>
          <w:szCs w:val="28"/>
        </w:rPr>
        <w:t xml:space="preserve"> – случайная величина, отражаю</w:t>
      </w:r>
      <w:proofErr w:type="spellStart"/>
      <w:r w:rsidR="00DB7C4D" w:rsidRPr="00757775">
        <w:rPr>
          <w:rFonts w:ascii="Times New Roman" w:eastAsiaTheme="minorEastAsia" w:hAnsi="Times New Roman" w:cs="Times New Roman"/>
          <w:sz w:val="28"/>
          <w:szCs w:val="28"/>
        </w:rPr>
        <w:t>щая</w:t>
      </w:r>
      <w:proofErr w:type="spellEnd"/>
      <w:r w:rsidR="00DB7C4D" w:rsidRPr="00757775">
        <w:rPr>
          <w:rFonts w:ascii="Times New Roman" w:eastAsiaTheme="minorEastAsia" w:hAnsi="Times New Roman" w:cs="Times New Roman"/>
          <w:sz w:val="28"/>
          <w:szCs w:val="28"/>
        </w:rPr>
        <w:t xml:space="preserve"> изменение размера убытков по страховым случаям, произошедшим в </w:t>
      </w:r>
      <w:proofErr w:type="spellStart"/>
      <w:r w:rsidR="00DB7C4D" w:rsidRPr="00757775">
        <w:rPr>
          <w:rFonts w:ascii="Times New Roman" w:eastAsiaTheme="minorEastAsia" w:hAnsi="Times New Roman" w:cs="Times New Roman"/>
          <w:i/>
          <w:sz w:val="28"/>
          <w:szCs w:val="28"/>
          <w:lang w:val="en-GB"/>
        </w:rPr>
        <w:t>i</w:t>
      </w:r>
      <w:proofErr w:type="spellEnd"/>
      <w:r w:rsidR="00DB7C4D" w:rsidRPr="00757775">
        <w:rPr>
          <w:rFonts w:ascii="Times New Roman" w:eastAsiaTheme="minorEastAsia" w:hAnsi="Times New Roman" w:cs="Times New Roman"/>
          <w:sz w:val="28"/>
          <w:szCs w:val="28"/>
        </w:rPr>
        <w:t>-</w:t>
      </w:r>
      <w:proofErr w:type="spellStart"/>
      <w:r w:rsidR="00DB7C4D" w:rsidRPr="00757775">
        <w:rPr>
          <w:rFonts w:ascii="Times New Roman" w:eastAsiaTheme="minorEastAsia" w:hAnsi="Times New Roman" w:cs="Times New Roman"/>
          <w:sz w:val="28"/>
          <w:szCs w:val="28"/>
        </w:rPr>
        <w:t>ом</w:t>
      </w:r>
      <w:proofErr w:type="spellEnd"/>
      <w:r w:rsidR="00DB7C4D" w:rsidRPr="00757775">
        <w:rPr>
          <w:rFonts w:ascii="Times New Roman" w:eastAsiaTheme="minorEastAsia" w:hAnsi="Times New Roman" w:cs="Times New Roman"/>
          <w:sz w:val="28"/>
          <w:szCs w:val="28"/>
        </w:rPr>
        <w:t xml:space="preserve"> страховом периоде, в промежутке между периодом с номером </w:t>
      </w:r>
      <w:r w:rsidR="00DB7C4D" w:rsidRPr="00757775">
        <w:rPr>
          <w:rFonts w:ascii="Times New Roman" w:eastAsiaTheme="minorEastAsia" w:hAnsi="Times New Roman" w:cs="Times New Roman"/>
          <w:i/>
          <w:sz w:val="28"/>
          <w:szCs w:val="28"/>
          <w:lang w:val="en-GB"/>
        </w:rPr>
        <w:t>n</w:t>
      </w:r>
      <w:r w:rsidR="00DB7C4D" w:rsidRPr="00757775">
        <w:rPr>
          <w:rFonts w:ascii="Times New Roman" w:eastAsiaTheme="minorEastAsia" w:hAnsi="Times New Roman" w:cs="Times New Roman"/>
          <w:sz w:val="28"/>
          <w:szCs w:val="28"/>
        </w:rPr>
        <w:t xml:space="preserve"> и периодом окончательного урегулирования убытков</w:t>
      </w:r>
      <w:r w:rsidR="003A59AE" w:rsidRPr="003A59AE">
        <w:rPr>
          <w:rFonts w:ascii="Times New Roman" w:eastAsiaTheme="minorEastAsia" w:hAnsi="Times New Roman" w:cs="Times New Roman"/>
          <w:sz w:val="28"/>
          <w:szCs w:val="28"/>
        </w:rPr>
        <w:t xml:space="preserve"> [17]</w:t>
      </w:r>
      <w:r w:rsidR="00DB7C4D" w:rsidRPr="00757775">
        <w:rPr>
          <w:rFonts w:ascii="Times New Roman" w:eastAsiaTheme="minorEastAsia" w:hAnsi="Times New Roman" w:cs="Times New Roman"/>
          <w:sz w:val="28"/>
          <w:szCs w:val="28"/>
        </w:rPr>
        <w:t xml:space="preserve">.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Величины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en-GB"/>
              </w:rPr>
              <m:t>M</m:t>
            </m:r>
          </m:e>
          <m:sub>
            <m:r>
              <w:rPr>
                <w:rFonts w:ascii="Cambria Math" w:hAnsi="Cambria Math" w:cs="Times New Roman"/>
                <w:sz w:val="28"/>
                <w:szCs w:val="28"/>
              </w:rPr>
              <m:t>n</m:t>
            </m:r>
          </m:sub>
        </m:sSub>
      </m:oMath>
      <w:r w:rsidRPr="00757775">
        <w:rPr>
          <w:rFonts w:ascii="Times New Roman" w:eastAsiaTheme="minorEastAsia" w:hAnsi="Times New Roman" w:cs="Times New Roman"/>
          <w:sz w:val="28"/>
          <w:szCs w:val="28"/>
        </w:rPr>
        <w:t xml:space="preserve">, называемые </w:t>
      </w:r>
      <w:r w:rsidRPr="00757775">
        <w:rPr>
          <w:rFonts w:ascii="Times New Roman" w:eastAsiaTheme="minorEastAsia" w:hAnsi="Times New Roman" w:cs="Times New Roman"/>
          <w:i/>
          <w:sz w:val="28"/>
          <w:szCs w:val="28"/>
        </w:rPr>
        <w:t>коэффициентами развития</w:t>
      </w:r>
      <w:r w:rsidRPr="00757775">
        <w:rPr>
          <w:rFonts w:ascii="Times New Roman" w:eastAsiaTheme="minorEastAsia" w:hAnsi="Times New Roman" w:cs="Times New Roman"/>
          <w:sz w:val="28"/>
          <w:szCs w:val="28"/>
        </w:rPr>
        <w:t>, предпол</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гаются независящими от периода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 xml:space="preserve"> наступления страхового случая.</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Процедура расчета РПНУ методом цепной лестницы включает сл</w:t>
      </w:r>
      <w:r w:rsidRPr="00757775">
        <w:rPr>
          <w:rFonts w:ascii="Times New Roman" w:hAnsi="Times New Roman" w:cs="Times New Roman"/>
          <w:sz w:val="28"/>
          <w:szCs w:val="28"/>
        </w:rPr>
        <w:t>е</w:t>
      </w:r>
      <w:r w:rsidRPr="00757775">
        <w:rPr>
          <w:rFonts w:ascii="Times New Roman" w:hAnsi="Times New Roman" w:cs="Times New Roman"/>
          <w:sz w:val="28"/>
          <w:szCs w:val="28"/>
        </w:rPr>
        <w:t>дующие этапы:</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1. </w:t>
      </w:r>
      <w:r w:rsidRPr="00757775">
        <w:rPr>
          <w:rFonts w:ascii="Times New Roman" w:hAnsi="Times New Roman" w:cs="Times New Roman"/>
          <w:sz w:val="28"/>
          <w:szCs w:val="28"/>
        </w:rPr>
        <w:t>Первоначально оцениваются коэффициенты развития убытков:</w:t>
      </w:r>
    </w:p>
    <w:p w:rsidR="00DB7C4D" w:rsidRPr="00757775" w:rsidRDefault="005F2FF8" w:rsidP="00DB7C4D">
      <w:pPr>
        <w:autoSpaceDE w:val="0"/>
        <w:autoSpaceDN w:val="0"/>
        <w:adjustRightInd w:val="0"/>
        <w:spacing w:after="0" w:line="24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m</m:t>
                </m:r>
              </m:e>
            </m:acc>
          </m:e>
          <m:sub>
            <m:r>
              <w:rPr>
                <w:rFonts w:ascii="Cambria Math" w:hAnsi="Cambria Math" w:cs="Times New Roman"/>
                <w:sz w:val="28"/>
                <w:szCs w:val="28"/>
                <w:lang w:val="en-GB"/>
              </w:rPr>
              <m:t>j</m:t>
            </m:r>
          </m:sub>
        </m:sSub>
        <m:r>
          <w:rPr>
            <w:rFonts w:ascii="Cambria Math" w:hAnsi="Cambria Math" w:cs="Times New Roman"/>
            <w:sz w:val="28"/>
            <w:szCs w:val="28"/>
          </w:rPr>
          <m:t>=</m:t>
        </m:r>
        <m:f>
          <m:fPr>
            <m:ctrlPr>
              <w:rPr>
                <w:rFonts w:ascii="Cambria Math" w:hAnsi="Cambria Math" w:cs="Times New Roman"/>
                <w:i/>
                <w:sz w:val="28"/>
                <w:szCs w:val="28"/>
                <w:lang w:val="en-GB"/>
              </w:rPr>
            </m:ctrlPr>
          </m:fPr>
          <m:num>
            <m:nary>
              <m:naryPr>
                <m:chr m:val="∑"/>
                <m:limLoc m:val="undOvr"/>
                <m:ctrlPr>
                  <w:rPr>
                    <w:rFonts w:ascii="Cambria Math" w:hAnsi="Cambria Math" w:cs="Times New Roman"/>
                    <w:i/>
                    <w:sz w:val="28"/>
                    <w:szCs w:val="28"/>
                    <w:lang w:val="en-GB"/>
                  </w:rPr>
                </m:ctrlPr>
              </m:naryPr>
              <m:sub>
                <m:r>
                  <w:rPr>
                    <w:rFonts w:ascii="Cambria Math" w:hAnsi="Cambria Math" w:cs="Times New Roman"/>
                    <w:sz w:val="28"/>
                    <w:szCs w:val="28"/>
                    <w:lang w:val="en-GB"/>
                  </w:rPr>
                  <m:t>i</m:t>
                </m:r>
                <m:r>
                  <w:rPr>
                    <w:rFonts w:ascii="Cambria Math" w:hAnsi="Cambria Math" w:cs="Times New Roman"/>
                    <w:sz w:val="28"/>
                    <w:szCs w:val="28"/>
                  </w:rPr>
                  <m:t>=1</m:t>
                </m:r>
              </m:sub>
              <m:sup>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j</m:t>
                </m:r>
              </m:sup>
              <m:e>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j</m:t>
                    </m:r>
                    <m:r>
                      <w:rPr>
                        <w:rFonts w:ascii="Cambria Math" w:hAnsi="Cambria Math" w:cs="Times New Roman"/>
                        <w:sz w:val="28"/>
                        <w:szCs w:val="28"/>
                      </w:rPr>
                      <m:t>+1</m:t>
                    </m:r>
                  </m:sub>
                </m:sSub>
              </m:e>
            </m:nary>
          </m:num>
          <m:den>
            <m:nary>
              <m:naryPr>
                <m:chr m:val="∑"/>
                <m:limLoc m:val="undOvr"/>
                <m:ctrlPr>
                  <w:rPr>
                    <w:rFonts w:ascii="Cambria Math" w:hAnsi="Cambria Math" w:cs="Times New Roman"/>
                    <w:i/>
                    <w:sz w:val="28"/>
                    <w:szCs w:val="28"/>
                    <w:lang w:val="en-GB"/>
                  </w:rPr>
                </m:ctrlPr>
              </m:naryPr>
              <m:sub>
                <m:r>
                  <w:rPr>
                    <w:rFonts w:ascii="Cambria Math" w:hAnsi="Cambria Math" w:cs="Times New Roman"/>
                    <w:sz w:val="28"/>
                    <w:szCs w:val="28"/>
                    <w:lang w:val="en-GB"/>
                  </w:rPr>
                  <m:t>i</m:t>
                </m:r>
                <m:r>
                  <w:rPr>
                    <w:rFonts w:ascii="Cambria Math" w:hAnsi="Cambria Math" w:cs="Times New Roman"/>
                    <w:sz w:val="28"/>
                    <w:szCs w:val="28"/>
                  </w:rPr>
                  <m:t>=1</m:t>
                </m:r>
              </m:sub>
              <m:sup>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j</m:t>
                </m:r>
              </m:sup>
              <m:e>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ij</m:t>
                    </m:r>
                  </m:sub>
                </m:sSub>
              </m:e>
            </m:nary>
          </m:den>
        </m:f>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=1,…,</m:t>
        </m:r>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-1</m:t>
        </m:r>
      </m:oMath>
    </w:p>
    <w:p w:rsidR="00DB7C4D" w:rsidRPr="00757775" w:rsidRDefault="005F2FF8" w:rsidP="00DB7C4D">
      <w:pPr>
        <w:autoSpaceDE w:val="0"/>
        <w:autoSpaceDN w:val="0"/>
        <w:adjustRightInd w:val="0"/>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M</m:t>
                </m:r>
              </m:e>
            </m:acc>
          </m:e>
          <m:sub>
            <m:r>
              <w:rPr>
                <w:rFonts w:ascii="Cambria Math" w:hAnsi="Cambria Math" w:cs="Times New Roman"/>
                <w:sz w:val="28"/>
                <w:szCs w:val="28"/>
                <w:lang w:val="en-GB"/>
              </w:rPr>
              <m:t>n</m:t>
            </m:r>
          </m:sub>
        </m:sSub>
        <m:r>
          <w:rPr>
            <w:rFonts w:ascii="Cambria Math" w:hAnsi="Cambria Math" w:cs="Times New Roman"/>
            <w:sz w:val="28"/>
            <w:szCs w:val="28"/>
          </w:rPr>
          <m:t>=</m:t>
        </m:r>
        <m:f>
          <m:fPr>
            <m:ctrlPr>
              <w:rPr>
                <w:rFonts w:ascii="Cambria Math" w:hAnsi="Cambria Math" w:cs="Times New Roman"/>
                <w:i/>
                <w:sz w:val="28"/>
                <w:szCs w:val="28"/>
                <w:lang w:val="en-GB"/>
              </w:rPr>
            </m:ctrlPr>
          </m:fPr>
          <m:num>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rPr>
                  <m:t>1∞</m:t>
                </m:r>
              </m:sub>
            </m:sSub>
          </m:num>
          <m:den>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rPr>
                  <m:t>1n</m:t>
                </m:r>
              </m:sub>
            </m:sSub>
          </m:den>
        </m:f>
      </m:oMath>
      <w:r w:rsidR="00DB7C4D" w:rsidRPr="0075777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GB"/>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M</m:t>
                </m:r>
              </m:e>
            </m:acc>
          </m:e>
          <m:sub>
            <m:r>
              <w:rPr>
                <w:rFonts w:ascii="Cambria Math" w:eastAsiaTheme="minorEastAsia" w:hAnsi="Cambria Math" w:cs="Times New Roman"/>
                <w:sz w:val="28"/>
                <w:szCs w:val="28"/>
                <w:lang w:val="en-GB"/>
              </w:rPr>
              <m:t>j</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GB"/>
              </w:rPr>
            </m:ctrlPr>
          </m:dPr>
          <m:e>
            <m:nary>
              <m:naryPr>
                <m:chr m:val="∏"/>
                <m:limLoc m:val="undOvr"/>
                <m:ctrlPr>
                  <w:rPr>
                    <w:rFonts w:ascii="Cambria Math" w:eastAsiaTheme="minorEastAsia" w:hAnsi="Cambria Math" w:cs="Times New Roman"/>
                    <w:i/>
                    <w:sz w:val="28"/>
                    <w:szCs w:val="28"/>
                    <w:lang w:val="en-GB"/>
                  </w:rPr>
                </m:ctrlPr>
              </m:naryPr>
              <m:sub>
                <m:r>
                  <w:rPr>
                    <w:rFonts w:ascii="Cambria Math" w:eastAsiaTheme="minorEastAsia" w:hAnsi="Cambria Math" w:cs="Times New Roman"/>
                    <w:sz w:val="28"/>
                    <w:szCs w:val="28"/>
                    <w:lang w:val="en-GB"/>
                  </w:rPr>
                  <m:t>k</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j</m:t>
                </m:r>
              </m:sub>
              <m:sup>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-1</m:t>
                </m:r>
              </m:sup>
              <m:e>
                <m:sSub>
                  <m:sSubPr>
                    <m:ctrlPr>
                      <w:rPr>
                        <w:rFonts w:ascii="Cambria Math" w:eastAsiaTheme="minorEastAsia" w:hAnsi="Cambria Math" w:cs="Times New Roman"/>
                        <w:i/>
                        <w:sz w:val="28"/>
                        <w:szCs w:val="28"/>
                        <w:lang w:val="en-GB"/>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m</m:t>
                        </m:r>
                      </m:e>
                    </m:acc>
                  </m:e>
                  <m:sub>
                    <m:r>
                      <w:rPr>
                        <w:rFonts w:ascii="Cambria Math" w:eastAsiaTheme="minorEastAsia" w:hAnsi="Cambria Math" w:cs="Times New Roman"/>
                        <w:sz w:val="28"/>
                        <w:szCs w:val="28"/>
                        <w:lang w:val="en-GB"/>
                      </w:rPr>
                      <m:t>k</m:t>
                    </m:r>
                  </m:sub>
                </m:sSub>
              </m:e>
            </m:nary>
          </m:e>
        </m:d>
        <m:sSub>
          <m:sSubPr>
            <m:ctrlPr>
              <w:rPr>
                <w:rFonts w:ascii="Cambria Math" w:eastAsiaTheme="minorEastAsia" w:hAnsi="Cambria Math" w:cs="Times New Roman"/>
                <w:i/>
                <w:sz w:val="28"/>
                <w:szCs w:val="28"/>
                <w:lang w:val="en-GB"/>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M</m:t>
                </m:r>
              </m:e>
            </m:acc>
          </m:e>
          <m:sub>
            <m:r>
              <w:rPr>
                <w:rFonts w:ascii="Cambria Math" w:eastAsiaTheme="minorEastAsia" w:hAnsi="Cambria Math" w:cs="Times New Roman"/>
                <w:sz w:val="28"/>
                <w:szCs w:val="28"/>
                <w:lang w:val="en-US"/>
              </w:rPr>
              <m:t>n</m:t>
            </m:r>
          </m:sub>
        </m:sSub>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M</m:t>
                </m:r>
              </m:e>
            </m:acc>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 коэффициент, характеризующий изменение суммы осуществленных платежей после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-го финансового периода.</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Коэффициент развития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показывает, во сколько раз сумма убытков, урегулированных в текущем периоде развития, превышает аналогичный п</w:t>
      </w:r>
      <w:proofErr w:type="spellStart"/>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казатель</w:t>
      </w:r>
      <w:proofErr w:type="spellEnd"/>
      <w:r w:rsidRPr="00757775">
        <w:rPr>
          <w:rFonts w:ascii="Times New Roman" w:eastAsiaTheme="minorEastAsia" w:hAnsi="Times New Roman" w:cs="Times New Roman"/>
          <w:sz w:val="28"/>
          <w:szCs w:val="28"/>
        </w:rPr>
        <w:t xml:space="preserve"> в предыдущем периоде оплаты.</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lastRenderedPageBreak/>
        <w:t xml:space="preserve">Этап 2. </w:t>
      </w:r>
      <w:r w:rsidRPr="00757775">
        <w:rPr>
          <w:rFonts w:ascii="Times New Roman" w:hAnsi="Times New Roman" w:cs="Times New Roman"/>
          <w:sz w:val="28"/>
          <w:szCs w:val="28"/>
        </w:rPr>
        <w:t xml:space="preserve">Совокупная стоимость страховых случаев, произошедших в периоде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рассчитывается по формуле:</w:t>
      </w:r>
    </w:p>
    <w:p w:rsidR="00DB7C4D" w:rsidRPr="00757775" w:rsidRDefault="005F2FF8" w:rsidP="00DB7C4D">
      <w:pPr>
        <w:autoSpaceDE w:val="0"/>
        <w:autoSpaceDN w:val="0"/>
        <w:adjustRightInd w:val="0"/>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lang w:val="en-GB"/>
              </w:rPr>
              <m:t>i</m:t>
            </m:r>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i</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M</m:t>
                </m:r>
              </m:e>
            </m:acc>
          </m:e>
          <m:sub>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i</m:t>
            </m:r>
            <m:r>
              <w:rPr>
                <w:rFonts w:ascii="Cambria Math" w:hAnsi="Cambria Math" w:cs="Times New Roman"/>
                <w:sz w:val="28"/>
                <w:szCs w:val="28"/>
              </w:rPr>
              <m:t>+1</m:t>
            </m:r>
          </m:sub>
        </m:sSub>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3. </w:t>
      </w:r>
      <w:r w:rsidRPr="00757775">
        <w:rPr>
          <w:rFonts w:ascii="Times New Roman" w:hAnsi="Times New Roman" w:cs="Times New Roman"/>
          <w:sz w:val="28"/>
          <w:szCs w:val="28"/>
        </w:rPr>
        <w:t xml:space="preserve">Резерв для неурегулированных страховых случаев по каждому периоду наступления убытков оценивается по формуле: </w:t>
      </w:r>
    </w:p>
    <w:p w:rsidR="00DB7C4D" w:rsidRPr="00757775" w:rsidRDefault="005F2FF8" w:rsidP="00DB7C4D">
      <w:pPr>
        <w:autoSpaceDE w:val="0"/>
        <w:autoSpaceDN w:val="0"/>
        <w:adjustRightInd w:val="0"/>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R</m:t>
                </m:r>
              </m:e>
            </m:acc>
          </m:e>
          <m:sub>
            <m:r>
              <w:rPr>
                <w:rFonts w:ascii="Cambria Math" w:hAnsi="Cambria Math" w:cs="Times New Roman"/>
                <w:sz w:val="28"/>
                <w:szCs w:val="28"/>
                <w:lang w:val="en-GB"/>
              </w:rPr>
              <m:t>i</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lang w:val="en-GB"/>
              </w:rPr>
              <m:t>i</m:t>
            </m:r>
            <m:r>
              <w:rPr>
                <w:rFonts w:ascii="Cambria Math" w:hAnsi="Cambria Math" w:cs="Times New Roman"/>
                <w:sz w:val="28"/>
                <w:szCs w:val="28"/>
              </w:rPr>
              <m:t>∞</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i</m:t>
            </m:r>
            <m:r>
              <w:rPr>
                <w:rFonts w:ascii="Cambria Math" w:hAnsi="Cambria Math" w:cs="Times New Roman"/>
                <w:sz w:val="28"/>
                <w:szCs w:val="28"/>
              </w:rPr>
              <m:t>+1</m:t>
            </m:r>
          </m:sub>
        </m:sSub>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4. </w:t>
      </w:r>
      <w:r w:rsidRPr="00757775">
        <w:rPr>
          <w:rFonts w:ascii="Times New Roman" w:hAnsi="Times New Roman" w:cs="Times New Roman"/>
          <w:sz w:val="28"/>
          <w:szCs w:val="28"/>
        </w:rPr>
        <w:t>На последнем шаге путем суммирования оценок резервов, п</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лученных на предыдущем этапе, рассчитывается оценка общего размера РПНУ к концу страхового периода с номером </w:t>
      </w:r>
      <w:r w:rsidRPr="00757775">
        <w:rPr>
          <w:rFonts w:ascii="Times New Roman" w:hAnsi="Times New Roman" w:cs="Times New Roman"/>
          <w:i/>
          <w:sz w:val="28"/>
          <w:szCs w:val="28"/>
          <w:lang w:val="en-GB"/>
        </w:rPr>
        <w:t>n</w:t>
      </w:r>
      <w:r w:rsidRPr="00757775">
        <w:rPr>
          <w:rFonts w:ascii="Times New Roman" w:hAnsi="Times New Roman" w:cs="Times New Roman"/>
          <w:sz w:val="28"/>
          <w:szCs w:val="28"/>
        </w:rPr>
        <w:t>:</w:t>
      </w:r>
    </w:p>
    <w:p w:rsidR="00DB7C4D" w:rsidRPr="00757775" w:rsidRDefault="005F2FF8" w:rsidP="00DB7C4D">
      <w:pPr>
        <w:autoSpaceDE w:val="0"/>
        <w:autoSpaceDN w:val="0"/>
        <w:adjustRightInd w:val="0"/>
        <w:spacing w:after="0" w:line="360" w:lineRule="auto"/>
        <w:jc w:val="center"/>
        <w:rPr>
          <w:rFonts w:ascii="Times New Roman" w:hAnsi="Times New Roman" w:cs="Times New Roman"/>
          <w:sz w:val="28"/>
          <w:szCs w:val="28"/>
        </w:rPr>
      </w:pPr>
      <m:oMath>
        <m:acc>
          <m:accPr>
            <m:ctrlPr>
              <w:rPr>
                <w:rFonts w:ascii="Cambria Math" w:hAnsi="Cambria Math" w:cs="Times New Roman"/>
                <w:i/>
                <w:sz w:val="28"/>
                <w:szCs w:val="28"/>
                <w:lang w:val="en-GB"/>
              </w:rPr>
            </m:ctrlPr>
          </m:accPr>
          <m:e>
            <m:r>
              <w:rPr>
                <w:rFonts w:ascii="Cambria Math" w:hAnsi="Cambria Math" w:cs="Times New Roman"/>
                <w:sz w:val="28"/>
                <w:szCs w:val="28"/>
                <w:lang w:val="en-GB"/>
              </w:rPr>
              <m:t>R</m:t>
            </m:r>
          </m:e>
        </m:acc>
        <m:r>
          <w:rPr>
            <w:rFonts w:ascii="Cambria Math" w:hAnsi="Cambria Math" w:cs="Times New Roman"/>
            <w:sz w:val="28"/>
            <w:szCs w:val="28"/>
          </w:rPr>
          <m:t>=</m:t>
        </m:r>
        <m:nary>
          <m:naryPr>
            <m:chr m:val="∑"/>
            <m:limLoc m:val="subSup"/>
            <m:ctrlPr>
              <w:rPr>
                <w:rFonts w:ascii="Cambria Math" w:hAnsi="Cambria Math" w:cs="Times New Roman"/>
                <w:i/>
                <w:sz w:val="28"/>
                <w:szCs w:val="28"/>
                <w:lang w:val="en-GB"/>
              </w:rPr>
            </m:ctrlPr>
          </m:naryPr>
          <m:sub>
            <m:r>
              <w:rPr>
                <w:rFonts w:ascii="Cambria Math" w:hAnsi="Cambria Math" w:cs="Times New Roman"/>
                <w:sz w:val="28"/>
                <w:szCs w:val="28"/>
                <w:lang w:val="en-GB"/>
              </w:rPr>
              <m:t>i</m:t>
            </m:r>
            <m:r>
              <w:rPr>
                <w:rFonts w:ascii="Cambria Math" w:hAnsi="Cambria Math" w:cs="Times New Roman"/>
                <w:sz w:val="28"/>
                <w:szCs w:val="28"/>
              </w:rPr>
              <m:t>=1</m:t>
            </m:r>
          </m:sub>
          <m:sup>
            <m:r>
              <w:rPr>
                <w:rFonts w:ascii="Cambria Math" w:hAnsi="Cambria Math" w:cs="Times New Roman"/>
                <w:sz w:val="28"/>
                <w:szCs w:val="28"/>
                <w:lang w:val="en-GB"/>
              </w:rPr>
              <m:t>n</m:t>
            </m:r>
          </m:sup>
          <m:e>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R</m:t>
                    </m:r>
                  </m:e>
                </m:acc>
              </m:e>
              <m:sub>
                <m:r>
                  <w:rPr>
                    <w:rFonts w:ascii="Cambria Math" w:hAnsi="Cambria Math" w:cs="Times New Roman"/>
                    <w:sz w:val="28"/>
                    <w:szCs w:val="28"/>
                    <w:lang w:val="en-GB"/>
                  </w:rPr>
                  <m:t>i</m:t>
                </m:r>
              </m:sub>
            </m:sSub>
          </m:e>
        </m:nary>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Метод пошагового восхождения не работает, когда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1n</m:t>
            </m:r>
          </m:sub>
        </m:sSub>
        <m:r>
          <w:rPr>
            <w:rFonts w:ascii="Cambria Math" w:hAnsi="Cambria Math" w:cs="Times New Roman"/>
            <w:sz w:val="28"/>
            <w:szCs w:val="28"/>
          </w:rPr>
          <m:t>=0</m:t>
        </m:r>
      </m:oMath>
      <w:r w:rsidRPr="00757775">
        <w:rPr>
          <w:rFonts w:ascii="Times New Roman" w:eastAsiaTheme="minorEastAsia" w:hAnsi="Times New Roman" w:cs="Times New Roman"/>
          <w:sz w:val="28"/>
          <w:szCs w:val="28"/>
        </w:rPr>
        <w:t>, то есть к</w:t>
      </w:r>
      <w:proofErr w:type="spellStart"/>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гда</w:t>
      </w:r>
      <w:proofErr w:type="spellEnd"/>
      <w:r w:rsidRPr="00757775">
        <w:rPr>
          <w:rFonts w:ascii="Times New Roman" w:eastAsiaTheme="minorEastAsia" w:hAnsi="Times New Roman" w:cs="Times New Roman"/>
          <w:sz w:val="28"/>
          <w:szCs w:val="28"/>
        </w:rPr>
        <w:t xml:space="preserve"> еще не было заявлено ни об одном страховом случае либо ни один стр</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ховой случай не был оплачен. Соответственно, он не может применяться страховыми компаниями, впервые входящими в тот или иной сегмент стр</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хового рынка и не обладающими достоверной статистической информацией об урегулировании претензий за ряд предшествовавших периодов времени.</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Как отмечалось ранее, метод цепной лестницы предполагает, что ра</w:t>
      </w:r>
      <w:r w:rsidRPr="00757775">
        <w:rPr>
          <w:rFonts w:ascii="Times New Roman" w:hAnsi="Times New Roman" w:cs="Times New Roman"/>
          <w:sz w:val="28"/>
          <w:szCs w:val="28"/>
        </w:rPr>
        <w:t>с</w:t>
      </w:r>
      <w:r w:rsidRPr="00757775">
        <w:rPr>
          <w:rFonts w:ascii="Times New Roman" w:hAnsi="Times New Roman" w:cs="Times New Roman"/>
          <w:sz w:val="28"/>
          <w:szCs w:val="28"/>
        </w:rPr>
        <w:t>пределение конечного убытка по периодам урегулирования в среднем один</w:t>
      </w:r>
      <w:r w:rsidRPr="00757775">
        <w:rPr>
          <w:rFonts w:ascii="Times New Roman" w:hAnsi="Times New Roman" w:cs="Times New Roman"/>
          <w:sz w:val="28"/>
          <w:szCs w:val="28"/>
        </w:rPr>
        <w:t>а</w:t>
      </w:r>
      <w:r w:rsidRPr="00757775">
        <w:rPr>
          <w:rFonts w:ascii="Times New Roman" w:hAnsi="Times New Roman" w:cs="Times New Roman"/>
          <w:sz w:val="28"/>
          <w:szCs w:val="28"/>
        </w:rPr>
        <w:t xml:space="preserve">ково для всех периодов зарождения. Однако на практике процессы убытков разных периодов инцидента зачастую заметно различаются. </w:t>
      </w:r>
      <w:proofErr w:type="gramStart"/>
      <w:r w:rsidRPr="00757775">
        <w:rPr>
          <w:rFonts w:ascii="Times New Roman" w:hAnsi="Times New Roman" w:cs="Times New Roman"/>
          <w:sz w:val="28"/>
          <w:szCs w:val="28"/>
        </w:rPr>
        <w:t>Поэтому данный метод может применяться актуарием для оценки РПНУ только в том случае, если в течение анализируемого периода времени отсутствовали внешние (инфляция, изменения в действующем законодательстве и др.) или внутре</w:t>
      </w:r>
      <w:r w:rsidRPr="00757775">
        <w:rPr>
          <w:rFonts w:ascii="Times New Roman" w:hAnsi="Times New Roman" w:cs="Times New Roman"/>
          <w:sz w:val="28"/>
          <w:szCs w:val="28"/>
        </w:rPr>
        <w:t>н</w:t>
      </w:r>
      <w:r w:rsidRPr="00757775">
        <w:rPr>
          <w:rFonts w:ascii="Times New Roman" w:hAnsi="Times New Roman" w:cs="Times New Roman"/>
          <w:sz w:val="28"/>
          <w:szCs w:val="28"/>
        </w:rPr>
        <w:t>ние факторы (изменения процедуры урегулирования страховых случаев, структуры страхового портфеля, лимитов ответственности по договорам п</w:t>
      </w:r>
      <w:r w:rsidRPr="00757775">
        <w:rPr>
          <w:rFonts w:ascii="Times New Roman" w:hAnsi="Times New Roman" w:cs="Times New Roman"/>
          <w:sz w:val="28"/>
          <w:szCs w:val="28"/>
        </w:rPr>
        <w:t>е</w:t>
      </w:r>
      <w:r w:rsidRPr="00757775">
        <w:rPr>
          <w:rFonts w:ascii="Times New Roman" w:hAnsi="Times New Roman" w:cs="Times New Roman"/>
          <w:sz w:val="28"/>
          <w:szCs w:val="28"/>
        </w:rPr>
        <w:t>рестрахования и др.), оказывающие существенное воздействие на распред</w:t>
      </w:r>
      <w:r w:rsidRPr="00757775">
        <w:rPr>
          <w:rFonts w:ascii="Times New Roman" w:hAnsi="Times New Roman" w:cs="Times New Roman"/>
          <w:sz w:val="28"/>
          <w:szCs w:val="28"/>
        </w:rPr>
        <w:t>е</w:t>
      </w:r>
      <w:r w:rsidRPr="00757775">
        <w:rPr>
          <w:rFonts w:ascii="Times New Roman" w:hAnsi="Times New Roman" w:cs="Times New Roman"/>
          <w:sz w:val="28"/>
          <w:szCs w:val="28"/>
        </w:rPr>
        <w:t>ление убытков страховой организации по периодам их оплаты.</w:t>
      </w:r>
      <w:proofErr w:type="gramEnd"/>
      <w:r w:rsidRPr="00757775">
        <w:rPr>
          <w:rFonts w:ascii="Times New Roman" w:hAnsi="Times New Roman" w:cs="Times New Roman"/>
          <w:sz w:val="28"/>
          <w:szCs w:val="28"/>
        </w:rPr>
        <w:t xml:space="preserve"> В противном случае нарушается исходная предпосылка метода о пропорциональности столбцов треугольника развития</w:t>
      </w:r>
      <w:r w:rsidR="003A59AE" w:rsidRPr="003A59AE">
        <w:rPr>
          <w:rFonts w:ascii="Times New Roman" w:hAnsi="Times New Roman" w:cs="Times New Roman"/>
          <w:sz w:val="28"/>
          <w:szCs w:val="28"/>
        </w:rPr>
        <w:t xml:space="preserve"> [36]</w:t>
      </w:r>
      <w:r w:rsidRPr="00757775">
        <w:rPr>
          <w:rFonts w:ascii="Times New Roman"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lastRenderedPageBreak/>
        <w:t>Кроме того, рассмотренный метод чрезвычайно чувствителен к изм</w:t>
      </w:r>
      <w:r w:rsidRPr="00757775">
        <w:rPr>
          <w:rFonts w:ascii="Times New Roman" w:hAnsi="Times New Roman" w:cs="Times New Roman"/>
          <w:sz w:val="28"/>
          <w:szCs w:val="28"/>
        </w:rPr>
        <w:t>е</w:t>
      </w:r>
      <w:r w:rsidRPr="00757775">
        <w:rPr>
          <w:rFonts w:ascii="Times New Roman" w:hAnsi="Times New Roman" w:cs="Times New Roman"/>
          <w:sz w:val="28"/>
          <w:szCs w:val="28"/>
        </w:rPr>
        <w:t>нению даже одного значения в треугольнике развития. Следовательно, пр</w:t>
      </w:r>
      <w:r w:rsidRPr="00757775">
        <w:rPr>
          <w:rFonts w:ascii="Times New Roman" w:hAnsi="Times New Roman" w:cs="Times New Roman"/>
          <w:sz w:val="28"/>
          <w:szCs w:val="28"/>
        </w:rPr>
        <w:t>и</w:t>
      </w:r>
      <w:r w:rsidRPr="00757775">
        <w:rPr>
          <w:rFonts w:ascii="Times New Roman" w:hAnsi="Times New Roman" w:cs="Times New Roman"/>
          <w:sz w:val="28"/>
          <w:szCs w:val="28"/>
        </w:rPr>
        <w:t>сутствие в исходном массиве данных крупного по величине убытка может в значительной степени исказить коэффициенты развития убытков от периода к периоду и, как следствие, завысить</w:t>
      </w:r>
      <w:r w:rsidR="00A33509">
        <w:rPr>
          <w:rFonts w:ascii="Times New Roman" w:hAnsi="Times New Roman" w:cs="Times New Roman"/>
          <w:sz w:val="28"/>
          <w:szCs w:val="28"/>
        </w:rPr>
        <w:t xml:space="preserve"> </w:t>
      </w:r>
      <w:r w:rsidRPr="00757775">
        <w:rPr>
          <w:rFonts w:ascii="Times New Roman" w:hAnsi="Times New Roman" w:cs="Times New Roman"/>
          <w:sz w:val="28"/>
          <w:szCs w:val="28"/>
        </w:rPr>
        <w:t>оценку обязатель</w:t>
      </w:r>
      <w:proofErr w:type="gramStart"/>
      <w:r w:rsidRPr="00757775">
        <w:rPr>
          <w:rFonts w:ascii="Times New Roman" w:hAnsi="Times New Roman" w:cs="Times New Roman"/>
          <w:sz w:val="28"/>
          <w:szCs w:val="28"/>
        </w:rPr>
        <w:t>ств стр</w:t>
      </w:r>
      <w:proofErr w:type="gramEnd"/>
      <w:r w:rsidRPr="00757775">
        <w:rPr>
          <w:rFonts w:ascii="Times New Roman" w:hAnsi="Times New Roman" w:cs="Times New Roman"/>
          <w:sz w:val="28"/>
          <w:szCs w:val="28"/>
        </w:rPr>
        <w:t>аховщика по произошедшим, но неоплаченным убыткам</w:t>
      </w:r>
      <w:r w:rsidR="003A59AE" w:rsidRPr="003A59AE">
        <w:rPr>
          <w:rFonts w:ascii="Times New Roman" w:hAnsi="Times New Roman" w:cs="Times New Roman"/>
          <w:sz w:val="28"/>
          <w:szCs w:val="28"/>
        </w:rPr>
        <w:t xml:space="preserve"> [17]</w:t>
      </w:r>
      <w:r w:rsidRPr="00757775">
        <w:rPr>
          <w:rFonts w:ascii="Times New Roman"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Критики метода цепной лестницы также подчеркивают его статистич</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скую несостоятельность, выражающуюся в игнорировании факта взаимной зависимости (коррелированности) случайных величин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при их последов</w:t>
      </w:r>
      <w:proofErr w:type="spellStart"/>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тельном</w:t>
      </w:r>
      <w:proofErr w:type="spellEnd"/>
      <w:r w:rsidRPr="00757775">
        <w:rPr>
          <w:rFonts w:ascii="Times New Roman" w:eastAsiaTheme="minorEastAsia" w:hAnsi="Times New Roman" w:cs="Times New Roman"/>
          <w:sz w:val="28"/>
          <w:szCs w:val="28"/>
        </w:rPr>
        <w:t xml:space="preserve"> перемножении на первом шаге алгоритма. Однако математическое ожидание произведения случайных величин равняется произведению их м</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тематических ожиданий только тогда, когда они независимы. В вышеуказа</w:t>
      </w:r>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ной зависимости нетрудно убедиться, изменив лишь одно значение в тр</w:t>
      </w:r>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угольнике выбывания. Так, при незначительном увеличении элемента матр</w:t>
      </w:r>
      <w:r w:rsidRPr="00757775">
        <w:rPr>
          <w:rFonts w:ascii="Times New Roman" w:eastAsiaTheme="minorEastAsia" w:hAnsi="Times New Roman" w:cs="Times New Roman"/>
          <w:sz w:val="28"/>
          <w:szCs w:val="28"/>
        </w:rPr>
        <w:t>и</w:t>
      </w:r>
      <w:r w:rsidRPr="00757775">
        <w:rPr>
          <w:rFonts w:ascii="Times New Roman" w:eastAsiaTheme="minorEastAsia" w:hAnsi="Times New Roman" w:cs="Times New Roman"/>
          <w:sz w:val="28"/>
          <w:szCs w:val="28"/>
        </w:rPr>
        <w:t xml:space="preserve">цы совокупных убытков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 xml:space="preserve">32 </m:t>
            </m:r>
          </m:sub>
        </m:sSub>
      </m:oMath>
      <w:r w:rsidRPr="00757775">
        <w:rPr>
          <w:rFonts w:ascii="Times New Roman" w:eastAsiaTheme="minorEastAsia" w:hAnsi="Times New Roman" w:cs="Times New Roman"/>
          <w:sz w:val="28"/>
          <w:szCs w:val="28"/>
        </w:rPr>
        <w:t xml:space="preserve"> коэффициент развития </w:t>
      </w:r>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m</m:t>
                </m:r>
              </m:e>
            </m:acc>
          </m:e>
          <m:sub>
            <m:r>
              <w:rPr>
                <w:rFonts w:ascii="Cambria Math" w:eastAsiaTheme="minorEastAsia" w:hAnsi="Cambria Math" w:cs="Times New Roman"/>
                <w:sz w:val="28"/>
                <w:szCs w:val="28"/>
              </w:rPr>
              <m:t>1</m:t>
            </m:r>
          </m:sub>
        </m:sSub>
      </m:oMath>
      <w:r w:rsidRPr="00757775">
        <w:rPr>
          <w:rFonts w:ascii="Times New Roman" w:eastAsiaTheme="minorEastAsia" w:hAnsi="Times New Roman" w:cs="Times New Roman"/>
          <w:sz w:val="28"/>
          <w:szCs w:val="28"/>
        </w:rPr>
        <w:t xml:space="preserve"> растет, а </w:t>
      </w:r>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m</m:t>
                </m:r>
              </m:e>
            </m:acc>
          </m:e>
          <m:sub>
            <m:r>
              <w:rPr>
                <w:rFonts w:ascii="Cambria Math" w:eastAsiaTheme="minorEastAsia" w:hAnsi="Cambria Math" w:cs="Times New Roman"/>
                <w:sz w:val="28"/>
                <w:szCs w:val="28"/>
              </w:rPr>
              <m:t>2</m:t>
            </m:r>
          </m:sub>
        </m:sSub>
      </m:oMath>
      <w:r w:rsidRPr="00757775">
        <w:rPr>
          <w:rFonts w:ascii="Times New Roman" w:eastAsiaTheme="minorEastAsia" w:hAnsi="Times New Roman" w:cs="Times New Roman"/>
          <w:sz w:val="28"/>
          <w:szCs w:val="28"/>
        </w:rPr>
        <w:t xml:space="preserve"> – сниж</w:t>
      </w:r>
      <w:proofErr w:type="spellStart"/>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ется</w:t>
      </w:r>
      <w:proofErr w:type="spellEnd"/>
      <w:r w:rsidRPr="00757775">
        <w:rPr>
          <w:rFonts w:ascii="Times New Roman" w:eastAsiaTheme="minorEastAsia" w:hAnsi="Times New Roman" w:cs="Times New Roman"/>
          <w:sz w:val="28"/>
          <w:szCs w:val="28"/>
        </w:rPr>
        <w:t xml:space="preserve">, что свидетельствует о наличии отрицательной корреляции между ними.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Продемонстрируем реализацию метода цепной лестницы на исследу</w:t>
      </w:r>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мом массиве данных.</w:t>
      </w:r>
    </w:p>
    <w:p w:rsidR="00DB7C4D"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Рассчитанные коэффициенты развития убытков (</w:t>
      </w:r>
      <w:r w:rsidR="001D2377">
        <w:rPr>
          <w:rFonts w:ascii="Times New Roman" w:eastAsiaTheme="minorEastAsia" w:hAnsi="Times New Roman" w:cs="Times New Roman"/>
          <w:sz w:val="28"/>
          <w:szCs w:val="28"/>
        </w:rPr>
        <w:t xml:space="preserve">табл. </w:t>
      </w:r>
      <w:r w:rsidR="00992D68">
        <w:rPr>
          <w:rFonts w:ascii="Times New Roman" w:eastAsiaTheme="minorEastAsia" w:hAnsi="Times New Roman" w:cs="Times New Roman"/>
          <w:sz w:val="28"/>
          <w:szCs w:val="28"/>
        </w:rPr>
        <w:t>10</w:t>
      </w:r>
      <w:r w:rsidRPr="00757775">
        <w:rPr>
          <w:rFonts w:ascii="Times New Roman" w:eastAsiaTheme="minorEastAsia" w:hAnsi="Times New Roman" w:cs="Times New Roman"/>
          <w:sz w:val="28"/>
          <w:szCs w:val="28"/>
        </w:rPr>
        <w:t>) подтвержд</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ют тот факт, что добровольное медицинское страхование относится к видам страхования с относительно коротким периодом урегулирования претензий. Накопленная сумма выплат по страховым случаям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-го квартала увеличив</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ется во втором квартале развития убытков по сравнению с первым на 42,19%, в третьем квартале темп прироста сокращается до 1,42%, а в четвертом и п</w:t>
      </w:r>
      <w:r w:rsidRPr="00757775">
        <w:rPr>
          <w:rFonts w:ascii="Times New Roman" w:eastAsiaTheme="minorEastAsia" w:hAnsi="Times New Roman" w:cs="Times New Roman"/>
          <w:sz w:val="28"/>
          <w:szCs w:val="28"/>
        </w:rPr>
        <w:t>я</w:t>
      </w:r>
      <w:r w:rsidRPr="00757775">
        <w:rPr>
          <w:rFonts w:ascii="Times New Roman" w:eastAsiaTheme="minorEastAsia" w:hAnsi="Times New Roman" w:cs="Times New Roman"/>
          <w:sz w:val="28"/>
          <w:szCs w:val="28"/>
        </w:rPr>
        <w:t>том – составляет лишь 0,17% и 0,34% соответственно. Таким образом, пода</w:t>
      </w:r>
      <w:r w:rsidRPr="00757775">
        <w:rPr>
          <w:rFonts w:ascii="Times New Roman" w:eastAsiaTheme="minorEastAsia" w:hAnsi="Times New Roman" w:cs="Times New Roman"/>
          <w:sz w:val="28"/>
          <w:szCs w:val="28"/>
        </w:rPr>
        <w:t>в</w:t>
      </w:r>
      <w:r w:rsidRPr="00757775">
        <w:rPr>
          <w:rFonts w:ascii="Times New Roman" w:eastAsiaTheme="minorEastAsia" w:hAnsi="Times New Roman" w:cs="Times New Roman"/>
          <w:sz w:val="28"/>
          <w:szCs w:val="28"/>
        </w:rPr>
        <w:t>ляющее большинство убытков по договорам ДМС урегулируется страховой компанией в течение первых двух кварталов с момента возникновения.</w:t>
      </w:r>
    </w:p>
    <w:p w:rsidR="00DB7C4D" w:rsidRPr="00757775" w:rsidRDefault="00DB7C4D" w:rsidP="00A33509">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В силу того, что убытки по ДМС развиваются, как правило, в течение непродолжительного периода времени, конечная сумма выплат по страховым случаям четвертого квартала 2007 г. </w:t>
      </w: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rPr>
              <m:t>1∞</m:t>
            </m:r>
          </m:sub>
        </m:sSub>
      </m:oMath>
      <w:r w:rsidRPr="00757775">
        <w:rPr>
          <w:rFonts w:ascii="Times New Roman" w:eastAsiaTheme="minorEastAsia" w:hAnsi="Times New Roman" w:cs="Times New Roman"/>
          <w:sz w:val="28"/>
          <w:szCs w:val="28"/>
        </w:rPr>
        <w:t xml:space="preserve"> принимается равной накопленной </w:t>
      </w:r>
      <w:r w:rsidRPr="00757775">
        <w:rPr>
          <w:rFonts w:ascii="Times New Roman" w:eastAsiaTheme="minorEastAsia" w:hAnsi="Times New Roman" w:cs="Times New Roman"/>
          <w:sz w:val="28"/>
          <w:szCs w:val="28"/>
        </w:rPr>
        <w:lastRenderedPageBreak/>
        <w:t>сумме платежей к концу третьего квартала 2012 г.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1,20</m:t>
            </m:r>
          </m:sub>
        </m:sSub>
        <m:r>
          <w:rPr>
            <w:rFonts w:ascii="Cambria Math" w:eastAsiaTheme="minorEastAsia" w:hAnsi="Cambria Math" w:cs="Times New Roman"/>
            <w:sz w:val="28"/>
            <w:szCs w:val="28"/>
          </w:rPr>
          <m:t>=</m:t>
        </m:r>
      </m:oMath>
      <w:r w:rsidRPr="00757775">
        <w:rPr>
          <w:rFonts w:ascii="Times New Roman" w:eastAsiaTheme="minorEastAsia" w:hAnsi="Times New Roman" w:cs="Times New Roman"/>
          <w:sz w:val="28"/>
          <w:szCs w:val="28"/>
        </w:rPr>
        <w:t>1 202 225 996,95 руб.).</w:t>
      </w:r>
      <w:r w:rsidRPr="00757775">
        <w:rPr>
          <w:rFonts w:ascii="Times New Roman" w:hAnsi="Times New Roman" w:cs="Times New Roman"/>
          <w:sz w:val="28"/>
          <w:szCs w:val="28"/>
        </w:rPr>
        <w:t xml:space="preserve"> В промежутке между первым кварталом оплаты убытков и моментом их окончательного урегулирования совокупная стоимость претензий по и</w:t>
      </w:r>
      <w:r w:rsidRPr="00757775">
        <w:rPr>
          <w:rFonts w:ascii="Times New Roman" w:hAnsi="Times New Roman" w:cs="Times New Roman"/>
          <w:sz w:val="28"/>
          <w:szCs w:val="28"/>
        </w:rPr>
        <w:t>н</w:t>
      </w:r>
      <w:r w:rsidRPr="00757775">
        <w:rPr>
          <w:rFonts w:ascii="Times New Roman" w:hAnsi="Times New Roman" w:cs="Times New Roman"/>
          <w:sz w:val="28"/>
          <w:szCs w:val="28"/>
        </w:rPr>
        <w:t xml:space="preserve">цидентам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-го квартала возрастает на 45,11%, для второго квартала развития это изменение составляет 2,06%, для третьего – лишь 0,63%.</w:t>
      </w:r>
    </w:p>
    <w:p w:rsidR="00DB7C4D" w:rsidRPr="00757775" w:rsidRDefault="0071479D" w:rsidP="00992D68">
      <w:pPr>
        <w:spacing w:after="0" w:line="360" w:lineRule="auto"/>
        <w:ind w:firstLine="709"/>
        <w:jc w:val="both"/>
        <w:rPr>
          <w:rFonts w:ascii="Times New Roman" w:eastAsiaTheme="minorEastAsia" w:hAnsi="Times New Roman" w:cs="Times New Roman"/>
          <w:b/>
          <w:sz w:val="28"/>
          <w:szCs w:val="28"/>
        </w:rPr>
      </w:pPr>
      <w:r w:rsidRPr="0071479D">
        <w:rPr>
          <w:rFonts w:ascii="Times New Roman" w:hAnsi="Times New Roman" w:cs="Times New Roman"/>
          <w:sz w:val="28"/>
          <w:szCs w:val="28"/>
        </w:rPr>
        <w:t xml:space="preserve">Табл. </w:t>
      </w:r>
      <w:r w:rsidR="00947C78">
        <w:rPr>
          <w:rFonts w:ascii="Times New Roman" w:hAnsi="Times New Roman" w:cs="Times New Roman"/>
          <w:sz w:val="28"/>
          <w:szCs w:val="28"/>
        </w:rPr>
        <w:t>1</w:t>
      </w:r>
      <w:r w:rsidR="00992D68">
        <w:rPr>
          <w:rFonts w:ascii="Times New Roman" w:hAnsi="Times New Roman" w:cs="Times New Roman"/>
          <w:sz w:val="28"/>
          <w:szCs w:val="28"/>
        </w:rPr>
        <w:t>0</w:t>
      </w:r>
      <w:r w:rsidR="00DB7C4D" w:rsidRPr="00757775">
        <w:rPr>
          <w:rFonts w:ascii="Times New Roman" w:hAnsi="Times New Roman" w:cs="Times New Roman"/>
          <w:i/>
          <w:sz w:val="28"/>
          <w:szCs w:val="28"/>
        </w:rPr>
        <w:t xml:space="preserve"> </w:t>
      </w:r>
      <w:r w:rsidR="00DB7C4D" w:rsidRPr="00757775">
        <w:rPr>
          <w:rFonts w:ascii="Times New Roman" w:hAnsi="Times New Roman" w:cs="Times New Roman"/>
          <w:sz w:val="28"/>
          <w:szCs w:val="28"/>
        </w:rPr>
        <w:t>показывает, что для первых трех кварталов наступления стр</w:t>
      </w:r>
      <w:r w:rsidR="00DB7C4D" w:rsidRPr="00757775">
        <w:rPr>
          <w:rFonts w:ascii="Times New Roman" w:hAnsi="Times New Roman" w:cs="Times New Roman"/>
          <w:sz w:val="28"/>
          <w:szCs w:val="28"/>
        </w:rPr>
        <w:t>а</w:t>
      </w:r>
      <w:r w:rsidR="00DB7C4D" w:rsidRPr="00757775">
        <w:rPr>
          <w:rFonts w:ascii="Times New Roman" w:hAnsi="Times New Roman" w:cs="Times New Roman"/>
          <w:sz w:val="28"/>
          <w:szCs w:val="28"/>
        </w:rPr>
        <w:t>ховых случаев отсутствует необходимость в формировании резервов убытков (</w:t>
      </w: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R</m:t>
                </m:r>
              </m:e>
            </m:acc>
          </m:e>
          <m:sub>
            <m:r>
              <w:rPr>
                <w:rFonts w:ascii="Cambria Math" w:hAnsi="Cambria Math" w:cs="Times New Roman"/>
                <w:sz w:val="28"/>
                <w:szCs w:val="28"/>
                <w:lang w:val="en-GB"/>
              </w:rPr>
              <m:t>i</m:t>
            </m:r>
          </m:sub>
        </m:sSub>
        <m:r>
          <w:rPr>
            <w:rFonts w:ascii="Cambria Math" w:hAnsi="Cambria Math" w:cs="Times New Roman"/>
            <w:sz w:val="28"/>
            <w:szCs w:val="28"/>
          </w:rPr>
          <m:t>=0</m:t>
        </m:r>
      </m:oMath>
      <w:r w:rsidR="00DB7C4D" w:rsidRPr="00757775">
        <w:rPr>
          <w:rFonts w:ascii="Times New Roman" w:eastAsiaTheme="minorEastAsia" w:hAnsi="Times New Roman" w:cs="Times New Roman"/>
          <w:sz w:val="28"/>
          <w:szCs w:val="28"/>
        </w:rPr>
        <w:t>), поскольку оцененная совокупная стоимость страховых случаев для них</w:t>
      </w:r>
      <w:proofErr w:type="gramStart"/>
      <w:r w:rsidR="00DB7C4D" w:rsidRPr="00757775">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lang w:val="en-GB"/>
              </w:rPr>
              <m:t>i</m:t>
            </m:r>
            <m:r>
              <w:rPr>
                <w:rFonts w:ascii="Cambria Math" w:hAnsi="Cambria Math" w:cs="Times New Roman"/>
                <w:sz w:val="28"/>
                <w:szCs w:val="28"/>
              </w:rPr>
              <m:t>∞</m:t>
            </m:r>
          </m:sub>
        </m:sSub>
      </m:oMath>
      <w:r w:rsidR="00DB7C4D" w:rsidRPr="00757775">
        <w:rPr>
          <w:rFonts w:ascii="Times New Roman" w:eastAsiaTheme="minorEastAsia" w:hAnsi="Times New Roman" w:cs="Times New Roman"/>
          <w:sz w:val="28"/>
          <w:szCs w:val="28"/>
        </w:rPr>
        <w:t xml:space="preserve">) </w:t>
      </w:r>
      <w:proofErr w:type="gramEnd"/>
      <w:r w:rsidR="00DB7C4D" w:rsidRPr="00757775">
        <w:rPr>
          <w:rFonts w:ascii="Times New Roman" w:eastAsiaTheme="minorEastAsia" w:hAnsi="Times New Roman" w:cs="Times New Roman"/>
          <w:sz w:val="28"/>
          <w:szCs w:val="28"/>
        </w:rPr>
        <w:t>не отличается от осуществленной на момент расчета резервов вел</w:t>
      </w:r>
      <w:proofErr w:type="spellStart"/>
      <w:r w:rsidR="00DB7C4D" w:rsidRPr="00757775">
        <w:rPr>
          <w:rFonts w:ascii="Times New Roman" w:eastAsiaTheme="minorEastAsia" w:hAnsi="Times New Roman" w:cs="Times New Roman"/>
          <w:sz w:val="28"/>
          <w:szCs w:val="28"/>
        </w:rPr>
        <w:t>и</w:t>
      </w:r>
      <w:r w:rsidR="00DB7C4D" w:rsidRPr="00757775">
        <w:rPr>
          <w:rFonts w:ascii="Times New Roman" w:eastAsiaTheme="minorEastAsia" w:hAnsi="Times New Roman" w:cs="Times New Roman"/>
          <w:sz w:val="28"/>
          <w:szCs w:val="28"/>
        </w:rPr>
        <w:t>чины</w:t>
      </w:r>
      <w:proofErr w:type="spellEnd"/>
      <w:r w:rsidR="00DB7C4D" w:rsidRPr="00757775">
        <w:rPr>
          <w:rFonts w:ascii="Times New Roman" w:eastAsiaTheme="minorEastAsia" w:hAnsi="Times New Roman" w:cs="Times New Roman"/>
          <w:sz w:val="28"/>
          <w:szCs w:val="28"/>
        </w:rPr>
        <w:t xml:space="preserve"> платежей </w:t>
      </w:r>
      <m:oMath>
        <m:sSub>
          <m:sSubPr>
            <m:ctrlPr>
              <w:rPr>
                <w:rFonts w:ascii="Cambria Math" w:hAnsi="Cambria Math" w:cs="Times New Roman"/>
                <w:i/>
                <w:sz w:val="28"/>
                <w:szCs w:val="28"/>
                <w:lang w:val="en-GB"/>
              </w:rPr>
            </m:ctrlPr>
          </m:sSubPr>
          <m:e>
            <m:r>
              <w:rPr>
                <w:rFonts w:ascii="Cambria Math" w:hAnsi="Cambria Math" w:cs="Times New Roman"/>
                <w:sz w:val="28"/>
                <w:szCs w:val="28"/>
              </w:rPr>
              <m:t>(</m:t>
            </m:r>
            <m:r>
              <w:rPr>
                <w:rFonts w:ascii="Cambria Math" w:hAnsi="Cambria Math" w:cs="Times New Roman"/>
                <w:sz w:val="28"/>
                <w:szCs w:val="28"/>
                <w:lang w:val="en-GB"/>
              </w:rPr>
              <m:t>Y</m:t>
            </m:r>
          </m:e>
          <m:sub>
            <m:r>
              <w:rPr>
                <w:rFonts w:ascii="Cambria Math" w:hAnsi="Cambria Math" w:cs="Times New Roman"/>
                <w:sz w:val="28"/>
                <w:szCs w:val="28"/>
                <w:lang w:val="en-GB"/>
              </w:rPr>
              <m:t>i</m:t>
            </m:r>
            <m:r>
              <w:rPr>
                <w:rFonts w:ascii="Cambria Math" w:hAnsi="Cambria Math" w:cs="Times New Roman"/>
                <w:sz w:val="28"/>
                <w:szCs w:val="28"/>
              </w:rPr>
              <m:t>,21-</m:t>
            </m:r>
            <m:r>
              <w:rPr>
                <w:rFonts w:ascii="Cambria Math" w:hAnsi="Cambria Math" w:cs="Times New Roman"/>
                <w:sz w:val="28"/>
                <w:szCs w:val="28"/>
                <w:lang w:val="en-GB"/>
              </w:rPr>
              <m:t>i</m:t>
            </m:r>
          </m:sub>
        </m:sSub>
      </m:oMath>
      <w:r w:rsidR="00DB7C4D" w:rsidRPr="00757775">
        <w:rPr>
          <w:rFonts w:ascii="Times New Roman" w:eastAsiaTheme="minorEastAsia" w:hAnsi="Times New Roman" w:cs="Times New Roman"/>
          <w:sz w:val="28"/>
          <w:szCs w:val="28"/>
        </w:rPr>
        <w:t>). Что пред</w:t>
      </w:r>
      <w:proofErr w:type="spellStart"/>
      <w:r w:rsidR="00DB7C4D" w:rsidRPr="00757775">
        <w:rPr>
          <w:rFonts w:ascii="Times New Roman" w:eastAsiaTheme="minorEastAsia" w:hAnsi="Times New Roman" w:cs="Times New Roman"/>
          <w:sz w:val="28"/>
          <w:szCs w:val="28"/>
        </w:rPr>
        <w:t>сказуемо</w:t>
      </w:r>
      <w:proofErr w:type="spellEnd"/>
      <w:r w:rsidR="00DB7C4D" w:rsidRPr="00757775">
        <w:rPr>
          <w:rFonts w:ascii="Times New Roman" w:eastAsiaTheme="minorEastAsia" w:hAnsi="Times New Roman" w:cs="Times New Roman"/>
          <w:sz w:val="28"/>
          <w:szCs w:val="28"/>
        </w:rPr>
        <w:t>, максимальные денежные суммы должны быть зарезервированы для еще незаявленных убытков в</w:t>
      </w:r>
      <w:r w:rsidR="00964D2C">
        <w:rPr>
          <w:rFonts w:ascii="Times New Roman" w:eastAsiaTheme="minorEastAsia" w:hAnsi="Times New Roman" w:cs="Times New Roman"/>
          <w:sz w:val="28"/>
          <w:szCs w:val="28"/>
        </w:rPr>
        <w:t>торого и третьего кварталов 2012</w:t>
      </w:r>
      <w:r w:rsidR="00DB7C4D" w:rsidRPr="00757775">
        <w:rPr>
          <w:rFonts w:ascii="Times New Roman" w:eastAsiaTheme="minorEastAsia" w:hAnsi="Times New Roman" w:cs="Times New Roman"/>
          <w:sz w:val="28"/>
          <w:szCs w:val="28"/>
        </w:rPr>
        <w:t xml:space="preserve"> г. (6,76% и 89,28% от общей величины РПНУ на о</w:t>
      </w:r>
      <w:r w:rsidR="00DB7C4D" w:rsidRPr="00757775">
        <w:rPr>
          <w:rFonts w:ascii="Times New Roman" w:eastAsiaTheme="minorEastAsia" w:hAnsi="Times New Roman" w:cs="Times New Roman"/>
          <w:sz w:val="28"/>
          <w:szCs w:val="28"/>
        </w:rPr>
        <w:t>т</w:t>
      </w:r>
      <w:r w:rsidR="00DB7C4D" w:rsidRPr="00757775">
        <w:rPr>
          <w:rFonts w:ascii="Times New Roman" w:eastAsiaTheme="minorEastAsia" w:hAnsi="Times New Roman" w:cs="Times New Roman"/>
          <w:sz w:val="28"/>
          <w:szCs w:val="28"/>
        </w:rPr>
        <w:t>четную дату). Общий размер РПНУ к концу третьего квартала 2012 г. с</w:t>
      </w:r>
      <w:r w:rsidR="00DB7C4D" w:rsidRPr="00757775">
        <w:rPr>
          <w:rFonts w:ascii="Times New Roman" w:eastAsiaTheme="minorEastAsia" w:hAnsi="Times New Roman" w:cs="Times New Roman"/>
          <w:sz w:val="28"/>
          <w:szCs w:val="28"/>
        </w:rPr>
        <w:t>о</w:t>
      </w:r>
      <w:r w:rsidR="00DB7C4D" w:rsidRPr="00757775">
        <w:rPr>
          <w:rFonts w:ascii="Times New Roman" w:eastAsiaTheme="minorEastAsia" w:hAnsi="Times New Roman" w:cs="Times New Roman"/>
          <w:sz w:val="28"/>
          <w:szCs w:val="28"/>
        </w:rPr>
        <w:t xml:space="preserve">гласно оценке методом цепной лестницы должен составлять </w:t>
      </w:r>
      <w:r w:rsidR="00DB7C4D" w:rsidRPr="00757775">
        <w:rPr>
          <w:rFonts w:ascii="Times New Roman" w:eastAsiaTheme="minorEastAsia" w:hAnsi="Times New Roman" w:cs="Times New Roman"/>
          <w:b/>
          <w:sz w:val="28"/>
          <w:szCs w:val="28"/>
        </w:rPr>
        <w:t>489 178 014,27</w:t>
      </w:r>
      <w:r w:rsidR="00DB7C4D" w:rsidRPr="00757775">
        <w:rPr>
          <w:rFonts w:ascii="Times New Roman" w:eastAsiaTheme="minorEastAsia" w:hAnsi="Times New Roman" w:cs="Times New Roman"/>
          <w:sz w:val="28"/>
          <w:szCs w:val="28"/>
        </w:rPr>
        <w:t xml:space="preserve"> </w:t>
      </w:r>
      <w:r w:rsidR="00DB7C4D" w:rsidRPr="00757775">
        <w:rPr>
          <w:rFonts w:ascii="Times New Roman" w:eastAsiaTheme="minorEastAsia" w:hAnsi="Times New Roman" w:cs="Times New Roman"/>
          <w:b/>
          <w:sz w:val="28"/>
          <w:szCs w:val="28"/>
        </w:rPr>
        <w:t>руб.</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Неизвестные элементы под главной диагональю треугольника убытков определяются исходя из выражения: </w:t>
      </w:r>
    </w:p>
    <w:p w:rsidR="00864DCC" w:rsidRDefault="005F2FF8" w:rsidP="005A3960">
      <w:pPr>
        <w:spacing w:after="240" w:line="360" w:lineRule="auto"/>
        <w:jc w:val="center"/>
        <w:rPr>
          <w:rFonts w:ascii="Times New Roman" w:eastAsiaTheme="minorEastAsia" w:hAnsi="Times New Roman" w:cs="Times New Roman"/>
          <w:sz w:val="28"/>
          <w:szCs w:val="28"/>
        </w:rPr>
        <w:sectPr w:rsidR="00864DCC" w:rsidSect="00C348B1">
          <w:pgSz w:w="11906" w:h="16838"/>
          <w:pgMar w:top="1134" w:right="567" w:bottom="1134" w:left="1985" w:header="709" w:footer="709" w:gutter="0"/>
          <w:cols w:space="708"/>
          <w:titlePg/>
          <w:docGrid w:linePitch="360"/>
        </w:sect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j</m:t>
            </m:r>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lang w:val="en-GB"/>
              </w:rPr>
            </m:ctrlPr>
          </m:fPr>
          <m:num>
            <m:nary>
              <m:naryPr>
                <m:chr m:val="∑"/>
                <m:limLoc m:val="undOvr"/>
                <m:ctrlPr>
                  <w:rPr>
                    <w:rFonts w:ascii="Cambria Math" w:hAnsi="Cambria Math" w:cs="Times New Roman"/>
                    <w:i/>
                    <w:sz w:val="28"/>
                    <w:szCs w:val="28"/>
                    <w:lang w:val="en-GB"/>
                  </w:rPr>
                </m:ctrlPr>
              </m:naryPr>
              <m:sub>
                <m:r>
                  <w:rPr>
                    <w:rFonts w:ascii="Cambria Math" w:hAnsi="Cambria Math" w:cs="Times New Roman"/>
                    <w:sz w:val="28"/>
                    <w:szCs w:val="28"/>
                    <w:lang w:val="en-GB"/>
                  </w:rPr>
                  <m:t>i</m:t>
                </m:r>
                <m:r>
                  <w:rPr>
                    <w:rFonts w:ascii="Cambria Math" w:hAnsi="Cambria Math" w:cs="Times New Roman"/>
                    <w:sz w:val="28"/>
                    <w:szCs w:val="28"/>
                  </w:rPr>
                  <m:t>=1</m:t>
                </m:r>
              </m:sub>
              <m:sup>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j</m:t>
                </m:r>
              </m:sup>
              <m:e>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j</m:t>
                    </m:r>
                    <m:r>
                      <w:rPr>
                        <w:rFonts w:ascii="Cambria Math" w:hAnsi="Cambria Math" w:cs="Times New Roman"/>
                        <w:sz w:val="28"/>
                        <w:szCs w:val="28"/>
                      </w:rPr>
                      <m:t>+1</m:t>
                    </m:r>
                  </m:sub>
                </m:sSub>
              </m:e>
            </m:nary>
          </m:num>
          <m:den>
            <m:nary>
              <m:naryPr>
                <m:chr m:val="∑"/>
                <m:limLoc m:val="undOvr"/>
                <m:ctrlPr>
                  <w:rPr>
                    <w:rFonts w:ascii="Cambria Math" w:hAnsi="Cambria Math" w:cs="Times New Roman"/>
                    <w:i/>
                    <w:sz w:val="28"/>
                    <w:szCs w:val="28"/>
                    <w:lang w:val="en-GB"/>
                  </w:rPr>
                </m:ctrlPr>
              </m:naryPr>
              <m:sub>
                <m:r>
                  <w:rPr>
                    <w:rFonts w:ascii="Cambria Math" w:hAnsi="Cambria Math" w:cs="Times New Roman"/>
                    <w:sz w:val="28"/>
                    <w:szCs w:val="28"/>
                    <w:lang w:val="en-GB"/>
                  </w:rPr>
                  <m:t>i</m:t>
                </m:r>
                <m:r>
                  <w:rPr>
                    <w:rFonts w:ascii="Cambria Math" w:hAnsi="Cambria Math" w:cs="Times New Roman"/>
                    <w:sz w:val="28"/>
                    <w:szCs w:val="28"/>
                  </w:rPr>
                  <m:t>=1</m:t>
                </m:r>
              </m:sub>
              <m:sup>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j</m:t>
                </m:r>
              </m:sup>
              <m:e>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ij</m:t>
                    </m:r>
                  </m:sub>
                </m:sSub>
              </m:e>
            </m:nary>
          </m:den>
        </m:f>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ij</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m</m:t>
                </m:r>
              </m:e>
            </m:acc>
          </m:e>
          <m:sub>
            <m:r>
              <w:rPr>
                <w:rFonts w:ascii="Cambria Math" w:hAnsi="Cambria Math" w:cs="Times New Roman"/>
                <w:sz w:val="28"/>
                <w:szCs w:val="28"/>
                <w:lang w:val="en-GB"/>
              </w:rPr>
              <m:t>j</m:t>
            </m:r>
          </m:sub>
        </m:sSub>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ij</m:t>
            </m:r>
          </m:sub>
        </m:sSub>
      </m:oMath>
      <w:r w:rsidR="00DB7C4D" w:rsidRPr="00757775">
        <w:rPr>
          <w:rFonts w:ascii="Times New Roman" w:eastAsiaTheme="minorEastAsia" w:hAnsi="Times New Roman" w:cs="Times New Roman"/>
          <w:sz w:val="28"/>
          <w:szCs w:val="28"/>
        </w:rPr>
        <w:t>.</w:t>
      </w:r>
    </w:p>
    <w:p w:rsidR="00FD137F" w:rsidRDefault="00FD137F" w:rsidP="00FA5084">
      <w:pPr>
        <w:pStyle w:val="af3"/>
        <w:keepNext/>
        <w:spacing w:after="0"/>
        <w:jc w:val="right"/>
        <w:rPr>
          <w:rFonts w:ascii="Times New Roman" w:hAnsi="Times New Roman" w:cs="Times New Roman"/>
          <w:b w:val="0"/>
          <w:i/>
          <w:color w:val="auto"/>
          <w:sz w:val="26"/>
          <w:szCs w:val="26"/>
        </w:rPr>
      </w:pPr>
    </w:p>
    <w:p w:rsidR="00FD137F" w:rsidRDefault="00FD137F" w:rsidP="00FA5084">
      <w:pPr>
        <w:pStyle w:val="af3"/>
        <w:keepNext/>
        <w:spacing w:after="0"/>
        <w:jc w:val="right"/>
        <w:rPr>
          <w:rFonts w:ascii="Times New Roman" w:hAnsi="Times New Roman" w:cs="Times New Roman"/>
          <w:b w:val="0"/>
          <w:i/>
          <w:color w:val="auto"/>
          <w:sz w:val="26"/>
          <w:szCs w:val="26"/>
        </w:rPr>
      </w:pPr>
    </w:p>
    <w:p w:rsidR="00FD137F" w:rsidRDefault="00FD137F" w:rsidP="00FA5084">
      <w:pPr>
        <w:pStyle w:val="af3"/>
        <w:keepNext/>
        <w:spacing w:after="0"/>
        <w:jc w:val="right"/>
        <w:rPr>
          <w:rFonts w:ascii="Times New Roman" w:hAnsi="Times New Roman" w:cs="Times New Roman"/>
          <w:b w:val="0"/>
          <w:i/>
          <w:color w:val="auto"/>
          <w:sz w:val="26"/>
          <w:szCs w:val="26"/>
        </w:rPr>
      </w:pPr>
    </w:p>
    <w:p w:rsidR="00FA5084" w:rsidRPr="00FD137F" w:rsidRDefault="00FA5084" w:rsidP="00FA5084">
      <w:pPr>
        <w:pStyle w:val="af3"/>
        <w:keepNext/>
        <w:spacing w:after="0"/>
        <w:jc w:val="right"/>
        <w:rPr>
          <w:rFonts w:ascii="Times New Roman" w:hAnsi="Times New Roman" w:cs="Times New Roman"/>
          <w:b w:val="0"/>
          <w:i/>
          <w:color w:val="auto"/>
          <w:sz w:val="26"/>
          <w:szCs w:val="26"/>
        </w:rPr>
      </w:pPr>
      <w:r w:rsidRPr="00FD137F">
        <w:rPr>
          <w:rFonts w:ascii="Times New Roman" w:hAnsi="Times New Roman" w:cs="Times New Roman"/>
          <w:b w:val="0"/>
          <w:i/>
          <w:color w:val="auto"/>
          <w:sz w:val="26"/>
          <w:szCs w:val="26"/>
        </w:rPr>
        <w:t>Таблица 1</w:t>
      </w:r>
      <w:r w:rsidR="00992D68" w:rsidRPr="00FD137F">
        <w:rPr>
          <w:rFonts w:ascii="Times New Roman" w:hAnsi="Times New Roman" w:cs="Times New Roman"/>
          <w:b w:val="0"/>
          <w:i/>
          <w:color w:val="auto"/>
          <w:sz w:val="26"/>
          <w:szCs w:val="26"/>
        </w:rPr>
        <w:t>0</w:t>
      </w:r>
      <w:r w:rsidRPr="00FD137F">
        <w:rPr>
          <w:rFonts w:ascii="Times New Roman" w:hAnsi="Times New Roman" w:cs="Times New Roman"/>
          <w:b w:val="0"/>
          <w:i/>
          <w:color w:val="auto"/>
          <w:sz w:val="26"/>
          <w:szCs w:val="26"/>
        </w:rPr>
        <w:t xml:space="preserve"> </w:t>
      </w:r>
    </w:p>
    <w:p w:rsidR="00FA5084" w:rsidRPr="00FD137F" w:rsidRDefault="00FA5084" w:rsidP="00FA5084">
      <w:pPr>
        <w:pStyle w:val="af3"/>
        <w:keepNext/>
        <w:spacing w:after="160"/>
        <w:jc w:val="right"/>
        <w:rPr>
          <w:rFonts w:ascii="Times New Roman" w:hAnsi="Times New Roman" w:cs="Times New Roman"/>
          <w:b w:val="0"/>
          <w:i/>
          <w:color w:val="auto"/>
          <w:sz w:val="26"/>
          <w:szCs w:val="26"/>
        </w:rPr>
      </w:pPr>
      <w:r w:rsidRPr="00FD137F">
        <w:rPr>
          <w:rFonts w:ascii="Times New Roman" w:hAnsi="Times New Roman" w:cs="Times New Roman"/>
          <w:b w:val="0"/>
          <w:i/>
          <w:color w:val="auto"/>
          <w:sz w:val="26"/>
          <w:szCs w:val="26"/>
        </w:rPr>
        <w:t>Расчет РПНУ методом цепной лестницы</w:t>
      </w:r>
    </w:p>
    <w:tbl>
      <w:tblPr>
        <w:tblW w:w="15000" w:type="dxa"/>
        <w:tblInd w:w="93" w:type="dxa"/>
        <w:tblLook w:val="04A0"/>
      </w:tblPr>
      <w:tblGrid>
        <w:gridCol w:w="484"/>
        <w:gridCol w:w="1514"/>
        <w:gridCol w:w="471"/>
        <w:gridCol w:w="1140"/>
        <w:gridCol w:w="1140"/>
        <w:gridCol w:w="1140"/>
        <w:gridCol w:w="1140"/>
        <w:gridCol w:w="1140"/>
        <w:gridCol w:w="1140"/>
        <w:gridCol w:w="1140"/>
        <w:gridCol w:w="1140"/>
        <w:gridCol w:w="1140"/>
        <w:gridCol w:w="1140"/>
        <w:gridCol w:w="1140"/>
      </w:tblGrid>
      <w:tr w:rsidR="00FA5084" w:rsidRPr="00324FCD" w:rsidTr="00A027B7">
        <w:trPr>
          <w:trHeight w:val="300"/>
        </w:trPr>
        <w:tc>
          <w:tcPr>
            <w:tcW w:w="24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bCs/>
                <w:lang w:eastAsia="ru-RU"/>
              </w:rPr>
            </w:pPr>
            <w:r w:rsidRPr="00DD0652">
              <w:rPr>
                <w:rFonts w:ascii="Times New Roman" w:eastAsia="Times New Roman" w:hAnsi="Times New Roman" w:cs="Times New Roman"/>
                <w:b/>
                <w:bCs/>
                <w:lang w:eastAsia="ru-RU"/>
              </w:rPr>
              <w:t>Y</w:t>
            </w:r>
            <w:r w:rsidRPr="00DD0652">
              <w:rPr>
                <w:rFonts w:ascii="Times New Roman" w:eastAsia="Times New Roman" w:hAnsi="Times New Roman" w:cs="Times New Roman"/>
                <w:b/>
                <w:bCs/>
                <w:vertAlign w:val="subscript"/>
                <w:lang w:eastAsia="ru-RU"/>
              </w:rPr>
              <w:t xml:space="preserve">ij </w:t>
            </w:r>
            <w:r w:rsidRPr="00DD0652">
              <w:rPr>
                <w:rFonts w:ascii="Times New Roman" w:eastAsia="Times New Roman" w:hAnsi="Times New Roman" w:cs="Times New Roman"/>
                <w:b/>
                <w:bCs/>
                <w:lang w:eastAsia="ru-RU"/>
              </w:rPr>
              <w:t>, руб.</w:t>
            </w:r>
          </w:p>
        </w:tc>
        <w:tc>
          <w:tcPr>
            <w:tcW w:w="12540" w:type="dxa"/>
            <w:gridSpan w:val="11"/>
            <w:tcBorders>
              <w:top w:val="single" w:sz="4" w:space="0" w:color="auto"/>
              <w:left w:val="nil"/>
              <w:bottom w:val="single" w:sz="4" w:space="0" w:color="auto"/>
              <w:right w:val="single" w:sz="4" w:space="0" w:color="auto"/>
            </w:tcBorders>
            <w:shd w:val="clear" w:color="auto" w:fill="auto"/>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FF0000"/>
                <w:lang w:eastAsia="ru-RU"/>
              </w:rPr>
            </w:pPr>
            <w:r w:rsidRPr="00DD0652">
              <w:rPr>
                <w:rFonts w:ascii="Times New Roman" w:eastAsia="Times New Roman" w:hAnsi="Times New Roman" w:cs="Times New Roman"/>
                <w:b/>
                <w:color w:val="FF0000"/>
                <w:lang w:eastAsia="ru-RU"/>
              </w:rPr>
              <w:t xml:space="preserve">Квартал оплаты (развития) убытков (накопленные), </w:t>
            </w:r>
            <w:proofErr w:type="spellStart"/>
            <w:r w:rsidRPr="00DD0652">
              <w:rPr>
                <w:rFonts w:ascii="Times New Roman" w:eastAsia="Times New Roman" w:hAnsi="Times New Roman" w:cs="Times New Roman"/>
                <w:b/>
                <w:color w:val="FF0000"/>
                <w:lang w:eastAsia="ru-RU"/>
              </w:rPr>
              <w:t>j</w:t>
            </w:r>
            <w:proofErr w:type="spellEnd"/>
          </w:p>
        </w:tc>
      </w:tr>
      <w:tr w:rsidR="00FA5084" w:rsidRPr="00324FCD" w:rsidTr="00A027B7">
        <w:trPr>
          <w:trHeight w:val="345"/>
        </w:trPr>
        <w:tc>
          <w:tcPr>
            <w:tcW w:w="2460" w:type="dxa"/>
            <w:gridSpan w:val="3"/>
            <w:vMerge/>
            <w:tcBorders>
              <w:top w:val="single" w:sz="4" w:space="0" w:color="auto"/>
              <w:left w:val="single" w:sz="4" w:space="0" w:color="auto"/>
              <w:bottom w:val="single" w:sz="4" w:space="0" w:color="000000"/>
              <w:right w:val="single" w:sz="4" w:space="0" w:color="000000"/>
            </w:tcBorders>
            <w:vAlign w:val="center"/>
            <w:hideMark/>
          </w:tcPr>
          <w:p w:rsidR="00FA5084" w:rsidRPr="00324FCD" w:rsidRDefault="00FA5084" w:rsidP="00A027B7">
            <w:pPr>
              <w:spacing w:after="0" w:line="240" w:lineRule="auto"/>
              <w:rPr>
                <w:rFonts w:ascii="Times New Roman" w:eastAsia="Times New Roman" w:hAnsi="Times New Roman" w:cs="Times New Roman"/>
                <w:b/>
                <w:bCs/>
                <w:sz w:val="16"/>
                <w:szCs w:val="16"/>
                <w:lang w:eastAsia="ru-RU"/>
              </w:rPr>
            </w:pP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2</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3</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4</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5</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6</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7</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8</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9</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10</w:t>
            </w:r>
          </w:p>
        </w:tc>
        <w:tc>
          <w:tcPr>
            <w:tcW w:w="1140"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11</w:t>
            </w:r>
          </w:p>
        </w:tc>
      </w:tr>
      <w:tr w:rsidR="00FA5084" w:rsidRPr="00324FCD" w:rsidTr="00A027B7">
        <w:trPr>
          <w:trHeight w:val="300"/>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A5084" w:rsidRPr="00DD0652" w:rsidRDefault="00FA5084" w:rsidP="00A027B7">
            <w:pPr>
              <w:spacing w:after="0" w:line="240" w:lineRule="auto"/>
              <w:jc w:val="center"/>
              <w:rPr>
                <w:rFonts w:ascii="Times New Roman" w:eastAsia="Times New Roman" w:hAnsi="Times New Roman" w:cs="Times New Roman"/>
                <w:b/>
                <w:bCs/>
                <w:color w:val="FF0000"/>
                <w:lang w:eastAsia="ru-RU"/>
              </w:rPr>
            </w:pPr>
            <w:r w:rsidRPr="00DD0652">
              <w:rPr>
                <w:rFonts w:ascii="Times New Roman" w:eastAsia="Times New Roman" w:hAnsi="Times New Roman" w:cs="Times New Roman"/>
                <w:b/>
                <w:bCs/>
                <w:color w:val="FF0000"/>
                <w:lang w:eastAsia="ru-RU"/>
              </w:rPr>
              <w:t xml:space="preserve">Квартал наступления убытков, </w:t>
            </w:r>
            <w:proofErr w:type="spellStart"/>
            <w:r w:rsidRPr="00DD0652">
              <w:rPr>
                <w:rFonts w:ascii="Times New Roman" w:eastAsia="Times New Roman" w:hAnsi="Times New Roman" w:cs="Times New Roman"/>
                <w:b/>
                <w:bCs/>
                <w:color w:val="FF0000"/>
                <w:lang w:eastAsia="ru-RU"/>
              </w:rPr>
              <w:t>i</w:t>
            </w:r>
            <w:proofErr w:type="spellEnd"/>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2007</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2008</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2</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2008</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3</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2008</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4</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2008</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2009</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2009</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7</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2009</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8</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2009</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9</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2010</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10</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2010</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11</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2010</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12</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2010</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13</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2011</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14</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2011</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15</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2011</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16</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4 кв. 2011</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17</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1 кв. 2012</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18</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2 кв. 2012</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19</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225"/>
        </w:trPr>
        <w:tc>
          <w:tcPr>
            <w:tcW w:w="484" w:type="dxa"/>
            <w:vMerge/>
            <w:tcBorders>
              <w:top w:val="nil"/>
              <w:left w:val="single" w:sz="4" w:space="0" w:color="auto"/>
              <w:bottom w:val="single" w:sz="4" w:space="0" w:color="auto"/>
              <w:right w:val="single" w:sz="4" w:space="0" w:color="auto"/>
            </w:tcBorders>
            <w:vAlign w:val="center"/>
            <w:hideMark/>
          </w:tcPr>
          <w:p w:rsidR="00FA5084" w:rsidRPr="00324FCD" w:rsidRDefault="00FA5084" w:rsidP="00A027B7">
            <w:pPr>
              <w:spacing w:after="0" w:line="240" w:lineRule="auto"/>
              <w:rPr>
                <w:rFonts w:ascii="Times New Roman" w:eastAsia="Times New Roman" w:hAnsi="Times New Roman" w:cs="Times New Roman"/>
                <w:b/>
                <w:bCs/>
                <w:color w:val="FF0000"/>
                <w:sz w:val="16"/>
                <w:szCs w:val="16"/>
                <w:lang w:eastAsia="ru-RU"/>
              </w:rPr>
            </w:pPr>
          </w:p>
        </w:tc>
        <w:tc>
          <w:tcPr>
            <w:tcW w:w="1514" w:type="dxa"/>
            <w:tcBorders>
              <w:top w:val="nil"/>
              <w:left w:val="nil"/>
              <w:bottom w:val="single" w:sz="4" w:space="0" w:color="auto"/>
              <w:right w:val="single" w:sz="4" w:space="0" w:color="auto"/>
            </w:tcBorders>
            <w:shd w:val="clear" w:color="000000" w:fill="DBEEF3"/>
            <w:noWrap/>
            <w:vAlign w:val="center"/>
            <w:hideMark/>
          </w:tcPr>
          <w:p w:rsidR="00FA5084" w:rsidRPr="00502D9D" w:rsidRDefault="00FA5084" w:rsidP="00A027B7">
            <w:pPr>
              <w:spacing w:after="0" w:line="240" w:lineRule="auto"/>
              <w:jc w:val="center"/>
              <w:rPr>
                <w:rFonts w:ascii="Times New Roman" w:eastAsia="Times New Roman" w:hAnsi="Times New Roman" w:cs="Times New Roman"/>
                <w:color w:val="000000"/>
                <w:sz w:val="21"/>
                <w:szCs w:val="21"/>
                <w:lang w:eastAsia="ru-RU"/>
              </w:rPr>
            </w:pPr>
            <w:r w:rsidRPr="00502D9D">
              <w:rPr>
                <w:rFonts w:ascii="Times New Roman" w:eastAsia="Times New Roman" w:hAnsi="Times New Roman" w:cs="Times New Roman"/>
                <w:color w:val="000000"/>
                <w:sz w:val="21"/>
                <w:szCs w:val="21"/>
                <w:lang w:eastAsia="ru-RU"/>
              </w:rPr>
              <w:t>3 кв. 2012</w:t>
            </w:r>
          </w:p>
        </w:tc>
        <w:tc>
          <w:tcPr>
            <w:tcW w:w="462" w:type="dxa"/>
            <w:tcBorders>
              <w:top w:val="nil"/>
              <w:left w:val="nil"/>
              <w:bottom w:val="single" w:sz="4" w:space="0" w:color="auto"/>
              <w:right w:val="single" w:sz="4" w:space="0" w:color="auto"/>
            </w:tcBorders>
            <w:shd w:val="clear" w:color="000000" w:fill="CCC0DA"/>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color w:val="000000"/>
                <w:lang w:eastAsia="ru-RU"/>
              </w:rPr>
            </w:pPr>
            <w:r w:rsidRPr="00DD0652">
              <w:rPr>
                <w:rFonts w:ascii="Times New Roman" w:eastAsia="Times New Roman" w:hAnsi="Times New Roman" w:cs="Times New Roman"/>
                <w:b/>
                <w:color w:val="000000"/>
                <w:lang w:eastAsia="ru-RU"/>
              </w:rPr>
              <w:t>20</w:t>
            </w:r>
          </w:p>
        </w:tc>
        <w:tc>
          <w:tcPr>
            <w:tcW w:w="1140" w:type="dxa"/>
            <w:tcBorders>
              <w:top w:val="nil"/>
              <w:left w:val="nil"/>
              <w:bottom w:val="single" w:sz="4" w:space="0" w:color="auto"/>
              <w:right w:val="single" w:sz="4" w:space="0" w:color="auto"/>
            </w:tcBorders>
            <w:shd w:val="clear" w:color="auto" w:fill="auto"/>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c>
          <w:tcPr>
            <w:tcW w:w="1140" w:type="dxa"/>
            <w:tcBorders>
              <w:top w:val="nil"/>
              <w:left w:val="nil"/>
              <w:bottom w:val="single" w:sz="4" w:space="0" w:color="auto"/>
              <w:right w:val="single" w:sz="4" w:space="0" w:color="auto"/>
            </w:tcBorders>
            <w:shd w:val="clear" w:color="000000" w:fill="D7E4BC"/>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p>
        </w:tc>
      </w:tr>
      <w:tr w:rsidR="00FA5084" w:rsidRPr="00324FCD" w:rsidTr="00A027B7">
        <w:trPr>
          <w:trHeight w:val="300"/>
        </w:trPr>
        <w:tc>
          <w:tcPr>
            <w:tcW w:w="19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A5084" w:rsidRPr="00324FCD" w:rsidRDefault="00FA5084" w:rsidP="00A027B7">
            <w:pPr>
              <w:spacing w:after="0" w:line="240" w:lineRule="auto"/>
              <w:jc w:val="center"/>
              <w:rPr>
                <w:rFonts w:ascii="Calibri" w:eastAsia="Times New Roman" w:hAnsi="Calibri" w:cs="Times New Roman"/>
                <w:color w:val="000000"/>
                <w:sz w:val="16"/>
                <w:szCs w:val="16"/>
                <w:lang w:eastAsia="ru-RU"/>
              </w:rPr>
            </w:pPr>
            <w:r w:rsidRPr="00324FCD">
              <w:rPr>
                <w:rFonts w:ascii="Calibri" w:eastAsia="Times New Roman" w:hAnsi="Calibri" w:cs="Times New Roman"/>
                <w:color w:val="000000"/>
                <w:sz w:val="16"/>
                <w:szCs w:val="16"/>
                <w:lang w:eastAsia="ru-RU"/>
              </w:rPr>
              <w:t> </w:t>
            </w:r>
          </w:p>
        </w:tc>
        <w:tc>
          <w:tcPr>
            <w:tcW w:w="462" w:type="dxa"/>
            <w:tcBorders>
              <w:top w:val="nil"/>
              <w:left w:val="nil"/>
              <w:bottom w:val="single" w:sz="4" w:space="0" w:color="auto"/>
              <w:right w:val="single" w:sz="4" w:space="0" w:color="auto"/>
            </w:tcBorders>
            <w:shd w:val="clear" w:color="000000" w:fill="E6B9B8"/>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bCs/>
                <w:color w:val="000000"/>
                <w:lang w:eastAsia="ru-RU"/>
              </w:rPr>
            </w:pPr>
            <w:r w:rsidRPr="00DD0652">
              <w:rPr>
                <w:rFonts w:ascii="Times New Roman" w:eastAsia="Times New Roman" w:hAnsi="Times New Roman" w:cs="Times New Roman"/>
                <w:b/>
                <w:bCs/>
                <w:color w:val="000000"/>
                <w:lang w:eastAsia="ru-RU"/>
              </w:rPr>
              <w:t>m</w:t>
            </w:r>
            <w:r w:rsidRPr="00DD0652">
              <w:rPr>
                <w:rFonts w:ascii="Times New Roman" w:eastAsia="Times New Roman" w:hAnsi="Times New Roman" w:cs="Times New Roman"/>
                <w:b/>
                <w:bCs/>
                <w:color w:val="000000"/>
                <w:vertAlign w:val="subscript"/>
                <w:lang w:eastAsia="ru-RU"/>
              </w:rPr>
              <w:t>j</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1,4219</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1,0142</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1,0017</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1,0034</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1,0010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r>
      <w:tr w:rsidR="00FA5084" w:rsidRPr="00324FCD" w:rsidTr="00A027B7">
        <w:trPr>
          <w:trHeight w:val="300"/>
        </w:trPr>
        <w:tc>
          <w:tcPr>
            <w:tcW w:w="1998" w:type="dxa"/>
            <w:gridSpan w:val="2"/>
            <w:vMerge/>
            <w:tcBorders>
              <w:top w:val="single" w:sz="4" w:space="0" w:color="auto"/>
              <w:left w:val="single" w:sz="4" w:space="0" w:color="auto"/>
              <w:bottom w:val="single" w:sz="4" w:space="0" w:color="000000"/>
              <w:right w:val="single" w:sz="4" w:space="0" w:color="000000"/>
            </w:tcBorders>
            <w:vAlign w:val="center"/>
            <w:hideMark/>
          </w:tcPr>
          <w:p w:rsidR="00FA5084" w:rsidRPr="00324FCD" w:rsidRDefault="00FA5084" w:rsidP="00A027B7">
            <w:pPr>
              <w:spacing w:after="0" w:line="240" w:lineRule="auto"/>
              <w:rPr>
                <w:rFonts w:ascii="Calibri" w:eastAsia="Times New Roman" w:hAnsi="Calibri" w:cs="Times New Roman"/>
                <w:color w:val="000000"/>
                <w:sz w:val="16"/>
                <w:szCs w:val="16"/>
                <w:lang w:eastAsia="ru-RU"/>
              </w:rPr>
            </w:pPr>
          </w:p>
        </w:tc>
        <w:tc>
          <w:tcPr>
            <w:tcW w:w="462" w:type="dxa"/>
            <w:tcBorders>
              <w:top w:val="nil"/>
              <w:left w:val="nil"/>
              <w:bottom w:val="single" w:sz="4" w:space="0" w:color="auto"/>
              <w:right w:val="single" w:sz="4" w:space="0" w:color="auto"/>
            </w:tcBorders>
            <w:shd w:val="clear" w:color="000000" w:fill="E6B9B8"/>
            <w:noWrap/>
            <w:vAlign w:val="center"/>
            <w:hideMark/>
          </w:tcPr>
          <w:p w:rsidR="00FA5084" w:rsidRPr="00DD0652" w:rsidRDefault="00FA5084" w:rsidP="00A027B7">
            <w:pPr>
              <w:spacing w:after="0" w:line="240" w:lineRule="auto"/>
              <w:jc w:val="center"/>
              <w:rPr>
                <w:rFonts w:ascii="Times New Roman" w:eastAsia="Times New Roman" w:hAnsi="Times New Roman" w:cs="Times New Roman"/>
                <w:b/>
                <w:bCs/>
                <w:color w:val="000000"/>
                <w:lang w:eastAsia="ru-RU"/>
              </w:rPr>
            </w:pPr>
            <w:r w:rsidRPr="00DD0652">
              <w:rPr>
                <w:rFonts w:ascii="Times New Roman" w:eastAsia="Times New Roman" w:hAnsi="Times New Roman" w:cs="Times New Roman"/>
                <w:b/>
                <w:bCs/>
                <w:color w:val="000000"/>
                <w:lang w:eastAsia="ru-RU"/>
              </w:rPr>
              <w:t>M</w:t>
            </w:r>
            <w:r w:rsidRPr="00DD0652">
              <w:rPr>
                <w:rFonts w:ascii="Times New Roman" w:eastAsia="Times New Roman" w:hAnsi="Times New Roman" w:cs="Times New Roman"/>
                <w:b/>
                <w:bCs/>
                <w:color w:val="000000"/>
                <w:vertAlign w:val="subscript"/>
                <w:lang w:eastAsia="ru-RU"/>
              </w:rPr>
              <w:t>j</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1,4511</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1,0206</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1,0063</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1,0045</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1,0011</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1,0001</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1,0001</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1,0001</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c>
          <w:tcPr>
            <w:tcW w:w="1140" w:type="dxa"/>
            <w:tcBorders>
              <w:top w:val="nil"/>
              <w:left w:val="nil"/>
              <w:bottom w:val="single" w:sz="4" w:space="0" w:color="auto"/>
              <w:right w:val="single" w:sz="4" w:space="0" w:color="auto"/>
            </w:tcBorders>
            <w:shd w:val="clear" w:color="000000" w:fill="E6B9B8"/>
            <w:noWrap/>
            <w:vAlign w:val="center"/>
            <w:hideMark/>
          </w:tcPr>
          <w:p w:rsidR="00FA5084" w:rsidRPr="00324FCD" w:rsidRDefault="00FA5084" w:rsidP="00A027B7">
            <w:pPr>
              <w:keepNext/>
              <w:spacing w:after="0" w:line="240" w:lineRule="auto"/>
              <w:jc w:val="right"/>
              <w:rPr>
                <w:rFonts w:ascii="Times New Roman" w:eastAsia="Times New Roman" w:hAnsi="Times New Roman" w:cs="Times New Roman"/>
                <w:color w:val="000000"/>
                <w:sz w:val="16"/>
                <w:szCs w:val="16"/>
                <w:lang w:eastAsia="ru-RU"/>
              </w:rPr>
            </w:pPr>
            <w:r w:rsidRPr="00324FCD">
              <w:rPr>
                <w:rFonts w:ascii="Times New Roman" w:eastAsia="Times New Roman" w:hAnsi="Times New Roman" w:cs="Times New Roman"/>
                <w:color w:val="000000"/>
                <w:sz w:val="16"/>
                <w:szCs w:val="16"/>
                <w:lang w:eastAsia="ru-RU"/>
              </w:rPr>
              <w:t>1,0000</w:t>
            </w:r>
          </w:p>
        </w:tc>
      </w:tr>
    </w:tbl>
    <w:p w:rsidR="00864DCC" w:rsidRDefault="00864DCC" w:rsidP="005A3960">
      <w:pPr>
        <w:spacing w:after="240" w:line="360" w:lineRule="auto"/>
        <w:jc w:val="center"/>
        <w:rPr>
          <w:rFonts w:ascii="Times New Roman" w:hAnsi="Times New Roman" w:cs="Times New Roman"/>
          <w:sz w:val="28"/>
          <w:szCs w:val="28"/>
        </w:rPr>
      </w:pPr>
    </w:p>
    <w:p w:rsidR="00864DCC" w:rsidRDefault="00864DCC">
      <w:pPr>
        <w:rPr>
          <w:rFonts w:ascii="Times New Roman" w:hAnsi="Times New Roman" w:cs="Times New Roman"/>
          <w:sz w:val="28"/>
          <w:szCs w:val="28"/>
        </w:rPr>
      </w:pPr>
      <w:r>
        <w:rPr>
          <w:rFonts w:ascii="Times New Roman" w:hAnsi="Times New Roman" w:cs="Times New Roman"/>
          <w:sz w:val="28"/>
          <w:szCs w:val="28"/>
        </w:rPr>
        <w:br w:type="page"/>
      </w:r>
    </w:p>
    <w:p w:rsidR="00FD137F" w:rsidRDefault="00FD137F" w:rsidP="00A027B7">
      <w:pPr>
        <w:pStyle w:val="af3"/>
        <w:keepNext/>
        <w:spacing w:after="0"/>
        <w:jc w:val="right"/>
        <w:rPr>
          <w:rFonts w:ascii="Times New Roman" w:hAnsi="Times New Roman" w:cs="Times New Roman"/>
          <w:b w:val="0"/>
          <w:i/>
          <w:color w:val="auto"/>
          <w:sz w:val="25"/>
          <w:szCs w:val="25"/>
        </w:rPr>
      </w:pPr>
    </w:p>
    <w:p w:rsidR="00FD137F" w:rsidRDefault="00FD137F" w:rsidP="00A027B7">
      <w:pPr>
        <w:pStyle w:val="af3"/>
        <w:keepNext/>
        <w:spacing w:after="0"/>
        <w:jc w:val="right"/>
        <w:rPr>
          <w:rFonts w:ascii="Times New Roman" w:hAnsi="Times New Roman" w:cs="Times New Roman"/>
          <w:b w:val="0"/>
          <w:i/>
          <w:color w:val="auto"/>
          <w:sz w:val="25"/>
          <w:szCs w:val="25"/>
        </w:rPr>
      </w:pPr>
    </w:p>
    <w:p w:rsidR="00FD137F" w:rsidRDefault="00FD137F" w:rsidP="00A027B7">
      <w:pPr>
        <w:pStyle w:val="af3"/>
        <w:keepNext/>
        <w:spacing w:after="0"/>
        <w:jc w:val="right"/>
        <w:rPr>
          <w:rFonts w:ascii="Times New Roman" w:hAnsi="Times New Roman" w:cs="Times New Roman"/>
          <w:b w:val="0"/>
          <w:i/>
          <w:color w:val="auto"/>
          <w:sz w:val="25"/>
          <w:szCs w:val="25"/>
        </w:rPr>
      </w:pPr>
    </w:p>
    <w:p w:rsidR="00A027B7" w:rsidRPr="00FD137F" w:rsidRDefault="00604F3E" w:rsidP="00A027B7">
      <w:pPr>
        <w:pStyle w:val="af3"/>
        <w:keepNext/>
        <w:spacing w:after="0"/>
        <w:jc w:val="right"/>
        <w:rPr>
          <w:rFonts w:ascii="Times New Roman" w:hAnsi="Times New Roman" w:cs="Times New Roman"/>
          <w:b w:val="0"/>
          <w:i/>
          <w:color w:val="auto"/>
          <w:sz w:val="26"/>
          <w:szCs w:val="26"/>
        </w:rPr>
      </w:pPr>
      <w:r w:rsidRPr="00FD137F">
        <w:rPr>
          <w:rFonts w:ascii="Times New Roman" w:hAnsi="Times New Roman" w:cs="Times New Roman"/>
          <w:b w:val="0"/>
          <w:i/>
          <w:color w:val="auto"/>
          <w:sz w:val="26"/>
          <w:szCs w:val="26"/>
        </w:rPr>
        <w:t>Таблица</w:t>
      </w:r>
      <w:r w:rsidR="00A027B7" w:rsidRPr="00FD137F">
        <w:rPr>
          <w:rFonts w:ascii="Times New Roman" w:hAnsi="Times New Roman" w:cs="Times New Roman"/>
          <w:b w:val="0"/>
          <w:i/>
          <w:color w:val="auto"/>
          <w:sz w:val="26"/>
          <w:szCs w:val="26"/>
        </w:rPr>
        <w:t xml:space="preserve"> 1</w:t>
      </w:r>
      <w:r w:rsidR="00992D68" w:rsidRPr="00FD137F">
        <w:rPr>
          <w:rFonts w:ascii="Times New Roman" w:hAnsi="Times New Roman" w:cs="Times New Roman"/>
          <w:b w:val="0"/>
          <w:i/>
          <w:color w:val="auto"/>
          <w:sz w:val="26"/>
          <w:szCs w:val="26"/>
        </w:rPr>
        <w:t>0</w:t>
      </w:r>
      <w:r w:rsidR="00A027B7" w:rsidRPr="00FD137F">
        <w:rPr>
          <w:rFonts w:ascii="Times New Roman" w:hAnsi="Times New Roman" w:cs="Times New Roman"/>
          <w:b w:val="0"/>
          <w:i/>
          <w:color w:val="auto"/>
          <w:sz w:val="26"/>
          <w:szCs w:val="26"/>
        </w:rPr>
        <w:t xml:space="preserve"> </w:t>
      </w:r>
    </w:p>
    <w:p w:rsidR="00A027B7" w:rsidRPr="00FD137F" w:rsidRDefault="00A027B7" w:rsidP="00A027B7">
      <w:pPr>
        <w:spacing w:after="160" w:line="240" w:lineRule="auto"/>
        <w:jc w:val="right"/>
        <w:rPr>
          <w:sz w:val="26"/>
          <w:szCs w:val="26"/>
        </w:rPr>
      </w:pPr>
      <w:r w:rsidRPr="00FD137F">
        <w:rPr>
          <w:rFonts w:ascii="Times New Roman" w:hAnsi="Times New Roman" w:cs="Times New Roman"/>
          <w:i/>
          <w:sz w:val="26"/>
          <w:szCs w:val="26"/>
        </w:rPr>
        <w:t>Расчет РПНУ методом цепной лестницы (Продолжение)</w:t>
      </w:r>
    </w:p>
    <w:tbl>
      <w:tblPr>
        <w:tblW w:w="14800" w:type="dxa"/>
        <w:tblInd w:w="93" w:type="dxa"/>
        <w:tblLook w:val="04A0"/>
      </w:tblPr>
      <w:tblGrid>
        <w:gridCol w:w="624"/>
        <w:gridCol w:w="596"/>
        <w:gridCol w:w="1248"/>
        <w:gridCol w:w="1248"/>
        <w:gridCol w:w="1248"/>
        <w:gridCol w:w="1248"/>
        <w:gridCol w:w="1248"/>
        <w:gridCol w:w="1248"/>
        <w:gridCol w:w="1248"/>
        <w:gridCol w:w="1248"/>
        <w:gridCol w:w="1248"/>
        <w:gridCol w:w="1248"/>
        <w:gridCol w:w="1100"/>
      </w:tblGrid>
      <w:tr w:rsidR="00A027B7" w:rsidRPr="00464FF4" w:rsidTr="00A027B7">
        <w:trPr>
          <w:trHeight w:val="300"/>
        </w:trPr>
        <w:tc>
          <w:tcPr>
            <w:tcW w:w="12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bCs/>
                <w:sz w:val="16"/>
                <w:szCs w:val="16"/>
                <w:lang w:eastAsia="ru-RU"/>
              </w:rPr>
            </w:pPr>
            <w:r w:rsidRPr="00DD0652">
              <w:rPr>
                <w:rFonts w:ascii="Times New Roman" w:eastAsia="Times New Roman" w:hAnsi="Times New Roman" w:cs="Times New Roman"/>
                <w:b/>
                <w:bCs/>
                <w:lang w:eastAsia="ru-RU"/>
              </w:rPr>
              <w:t>Y</w:t>
            </w:r>
            <w:r w:rsidRPr="00DD0652">
              <w:rPr>
                <w:rFonts w:ascii="Times New Roman" w:eastAsia="Times New Roman" w:hAnsi="Times New Roman" w:cs="Times New Roman"/>
                <w:b/>
                <w:bCs/>
                <w:vertAlign w:val="subscript"/>
                <w:lang w:eastAsia="ru-RU"/>
              </w:rPr>
              <w:t xml:space="preserve">ij </w:t>
            </w:r>
            <w:r w:rsidRPr="00DD0652">
              <w:rPr>
                <w:rFonts w:ascii="Times New Roman" w:eastAsia="Times New Roman" w:hAnsi="Times New Roman" w:cs="Times New Roman"/>
                <w:b/>
                <w:bCs/>
                <w:lang w:eastAsia="ru-RU"/>
              </w:rPr>
              <w:t>, руб.</w:t>
            </w: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027B7" w:rsidRPr="00464FF4" w:rsidRDefault="00A027B7" w:rsidP="00A027B7">
            <w:pPr>
              <w:spacing w:after="0" w:line="240" w:lineRule="auto"/>
              <w:jc w:val="center"/>
              <w:rPr>
                <w:rFonts w:ascii="Times New Roman" w:eastAsia="Times New Roman" w:hAnsi="Times New Roman" w:cs="Times New Roman"/>
                <w:color w:val="FF0000"/>
                <w:sz w:val="16"/>
                <w:szCs w:val="16"/>
                <w:lang w:eastAsia="ru-RU"/>
              </w:rPr>
            </w:pPr>
            <w:r w:rsidRPr="00464FF4">
              <w:rPr>
                <w:rFonts w:ascii="Times New Roman" w:eastAsia="Times New Roman" w:hAnsi="Times New Roman" w:cs="Times New Roman"/>
                <w:b/>
                <w:color w:val="FF0000"/>
                <w:lang w:eastAsia="ru-RU"/>
              </w:rPr>
              <w:t xml:space="preserve">Квартал оплаты (развития) убытков (накопленные), </w:t>
            </w:r>
            <w:proofErr w:type="spellStart"/>
            <w:r w:rsidRPr="00464FF4">
              <w:rPr>
                <w:rFonts w:ascii="Times New Roman" w:eastAsia="Times New Roman" w:hAnsi="Times New Roman" w:cs="Times New Roman"/>
                <w:b/>
                <w:color w:val="FF0000"/>
                <w:lang w:eastAsia="ru-RU"/>
              </w:rPr>
              <w:t>j</w:t>
            </w:r>
            <w:proofErr w:type="spellEnd"/>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CD5B4"/>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bCs/>
                <w:color w:val="000000"/>
                <w:sz w:val="16"/>
                <w:szCs w:val="16"/>
                <w:lang w:eastAsia="ru-RU"/>
              </w:rPr>
            </w:pPr>
            <w:r w:rsidRPr="00464FF4">
              <w:rPr>
                <w:rFonts w:ascii="Times New Roman" w:eastAsia="Times New Roman" w:hAnsi="Times New Roman" w:cs="Times New Roman"/>
                <w:b/>
                <w:color w:val="000000"/>
                <w:lang w:eastAsia="ru-RU"/>
              </w:rPr>
              <w:t>R</w:t>
            </w:r>
            <w:r w:rsidRPr="00502D9D">
              <w:rPr>
                <w:rFonts w:ascii="Times New Roman" w:eastAsia="Times New Roman" w:hAnsi="Times New Roman" w:cs="Times New Roman"/>
                <w:b/>
                <w:color w:val="000000"/>
                <w:vertAlign w:val="subscript"/>
                <w:lang w:eastAsia="ru-RU"/>
              </w:rPr>
              <w:t>i</w:t>
            </w:r>
          </w:p>
        </w:tc>
      </w:tr>
      <w:tr w:rsidR="00A027B7" w:rsidRPr="00464FF4" w:rsidTr="00A027B7">
        <w:trPr>
          <w:trHeight w:val="345"/>
        </w:trPr>
        <w:tc>
          <w:tcPr>
            <w:tcW w:w="1220" w:type="dxa"/>
            <w:gridSpan w:val="2"/>
            <w:vMerge/>
            <w:tcBorders>
              <w:top w:val="single" w:sz="4" w:space="0" w:color="auto"/>
              <w:left w:val="single" w:sz="4" w:space="0" w:color="auto"/>
              <w:bottom w:val="single" w:sz="4" w:space="0" w:color="000000"/>
              <w:right w:val="single" w:sz="4" w:space="0" w:color="000000"/>
            </w:tcBorders>
            <w:vAlign w:val="center"/>
            <w:hideMark/>
          </w:tcPr>
          <w:p w:rsidR="00A027B7" w:rsidRPr="00464FF4" w:rsidRDefault="00A027B7" w:rsidP="00A027B7">
            <w:pPr>
              <w:spacing w:after="0" w:line="240" w:lineRule="auto"/>
              <w:rPr>
                <w:rFonts w:ascii="Times New Roman" w:eastAsia="Times New Roman" w:hAnsi="Times New Roman" w:cs="Times New Roman"/>
                <w:b/>
                <w:bCs/>
                <w:sz w:val="16"/>
                <w:szCs w:val="16"/>
                <w:lang w:eastAsia="ru-RU"/>
              </w:rPr>
            </w:pP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12</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13</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14</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15</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16</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17</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18</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19</w:t>
            </w:r>
          </w:p>
        </w:tc>
        <w:tc>
          <w:tcPr>
            <w:tcW w:w="1248"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20</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val="en-GB" w:eastAsia="ru-RU"/>
              </w:rPr>
              <w:t>Y</w:t>
            </w:r>
            <w:proofErr w:type="spellStart"/>
            <w:r w:rsidRPr="00502D9D">
              <w:rPr>
                <w:rFonts w:ascii="Times New Roman" w:eastAsia="Times New Roman" w:hAnsi="Times New Roman" w:cs="Times New Roman"/>
                <w:b/>
                <w:color w:val="000000"/>
                <w:vertAlign w:val="subscript"/>
                <w:lang w:eastAsia="ru-RU"/>
              </w:rPr>
              <w:t>i</w:t>
            </w:r>
            <w:proofErr w:type="spellEnd"/>
            <w:r w:rsidRPr="00502D9D">
              <w:rPr>
                <w:rFonts w:ascii="Times New Roman" w:eastAsia="Times New Roman" w:hAnsi="Times New Roman" w:cs="Times New Roman"/>
                <w:b/>
                <w:color w:val="000000"/>
                <w:vertAlign w:val="subscript"/>
                <w:lang w:eastAsia="ru-RU"/>
              </w:rPr>
              <w:t>∞</w:t>
            </w: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000000"/>
                <w:sz w:val="16"/>
                <w:szCs w:val="16"/>
                <w:lang w:eastAsia="ru-RU"/>
              </w:rPr>
            </w:pPr>
          </w:p>
        </w:tc>
      </w:tr>
      <w:tr w:rsidR="00A027B7" w:rsidRPr="00464FF4" w:rsidTr="00A027B7">
        <w:trPr>
          <w:trHeight w:val="300"/>
        </w:trPr>
        <w:tc>
          <w:tcPr>
            <w:tcW w:w="62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027B7" w:rsidRPr="00464FF4" w:rsidRDefault="00A027B7" w:rsidP="00A027B7">
            <w:pPr>
              <w:spacing w:after="0" w:line="240" w:lineRule="auto"/>
              <w:jc w:val="center"/>
              <w:rPr>
                <w:rFonts w:ascii="Times New Roman" w:eastAsia="Times New Roman" w:hAnsi="Times New Roman" w:cs="Times New Roman"/>
                <w:b/>
                <w:bCs/>
                <w:color w:val="FF0000"/>
                <w:sz w:val="16"/>
                <w:szCs w:val="16"/>
                <w:lang w:eastAsia="ru-RU"/>
              </w:rPr>
            </w:pPr>
            <w:r w:rsidRPr="00464FF4">
              <w:rPr>
                <w:rFonts w:ascii="Times New Roman" w:eastAsia="Times New Roman" w:hAnsi="Times New Roman" w:cs="Times New Roman"/>
                <w:b/>
                <w:color w:val="FF0000"/>
                <w:lang w:eastAsia="ru-RU"/>
              </w:rPr>
              <w:t xml:space="preserve">Квартал наступления убытков, </w:t>
            </w:r>
            <w:proofErr w:type="spellStart"/>
            <w:r w:rsidRPr="00464FF4">
              <w:rPr>
                <w:rFonts w:ascii="Times New Roman" w:eastAsia="Times New Roman" w:hAnsi="Times New Roman" w:cs="Times New Roman"/>
                <w:b/>
                <w:color w:val="FF0000"/>
                <w:lang w:eastAsia="ru-RU"/>
              </w:rPr>
              <w:t>i</w:t>
            </w:r>
            <w:proofErr w:type="spellEnd"/>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2</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3</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4</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5</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6</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7</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8</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9</w:t>
            </w:r>
          </w:p>
        </w:tc>
        <w:tc>
          <w:tcPr>
            <w:tcW w:w="1248" w:type="dxa"/>
            <w:tcBorders>
              <w:top w:val="nil"/>
              <w:left w:val="nil"/>
              <w:bottom w:val="single" w:sz="4" w:space="0" w:color="auto"/>
              <w:right w:val="single" w:sz="4" w:space="0" w:color="auto"/>
            </w:tcBorders>
            <w:shd w:val="clear" w:color="auto" w:fill="auto"/>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10</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11</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12</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13</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14</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15</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16</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17</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18</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19</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225"/>
        </w:trPr>
        <w:tc>
          <w:tcPr>
            <w:tcW w:w="624" w:type="dxa"/>
            <w:vMerge/>
            <w:tcBorders>
              <w:top w:val="nil"/>
              <w:left w:val="single" w:sz="4" w:space="0" w:color="auto"/>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FF0000"/>
                <w:sz w:val="16"/>
                <w:szCs w:val="16"/>
                <w:lang w:eastAsia="ru-RU"/>
              </w:rPr>
            </w:pPr>
          </w:p>
        </w:tc>
        <w:tc>
          <w:tcPr>
            <w:tcW w:w="596" w:type="dxa"/>
            <w:tcBorders>
              <w:top w:val="nil"/>
              <w:left w:val="nil"/>
              <w:bottom w:val="single" w:sz="4" w:space="0" w:color="auto"/>
              <w:right w:val="single" w:sz="4" w:space="0" w:color="auto"/>
            </w:tcBorders>
            <w:shd w:val="clear" w:color="000000" w:fill="CCC0DA"/>
            <w:noWrap/>
            <w:vAlign w:val="center"/>
            <w:hideMark/>
          </w:tcPr>
          <w:p w:rsidR="00A027B7" w:rsidRPr="00464FF4" w:rsidRDefault="00A027B7" w:rsidP="00A027B7">
            <w:pPr>
              <w:spacing w:after="0" w:line="240" w:lineRule="auto"/>
              <w:jc w:val="center"/>
              <w:rPr>
                <w:rFonts w:ascii="Times New Roman" w:eastAsia="Times New Roman" w:hAnsi="Times New Roman" w:cs="Times New Roman"/>
                <w:b/>
                <w:color w:val="000000"/>
                <w:lang w:eastAsia="ru-RU"/>
              </w:rPr>
            </w:pPr>
            <w:r w:rsidRPr="00464FF4">
              <w:rPr>
                <w:rFonts w:ascii="Times New Roman" w:eastAsia="Times New Roman" w:hAnsi="Times New Roman" w:cs="Times New Roman"/>
                <w:b/>
                <w:color w:val="000000"/>
                <w:lang w:eastAsia="ru-RU"/>
              </w:rPr>
              <w:t>20</w:t>
            </w: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7E4BC"/>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248" w:type="dxa"/>
            <w:tcBorders>
              <w:top w:val="nil"/>
              <w:left w:val="nil"/>
              <w:bottom w:val="single" w:sz="4" w:space="0" w:color="auto"/>
              <w:right w:val="single" w:sz="4" w:space="0" w:color="auto"/>
            </w:tcBorders>
            <w:shd w:val="clear" w:color="000000" w:fill="DBEEF3"/>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shd w:val="clear" w:color="000000" w:fill="FCD5B4"/>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p>
        </w:tc>
      </w:tr>
      <w:tr w:rsidR="00A027B7" w:rsidRPr="00464FF4" w:rsidTr="00A027B7">
        <w:trPr>
          <w:trHeight w:val="300"/>
        </w:trPr>
        <w:tc>
          <w:tcPr>
            <w:tcW w:w="624" w:type="dxa"/>
            <w:vMerge w:val="restart"/>
            <w:tcBorders>
              <w:top w:val="nil"/>
              <w:left w:val="single" w:sz="4" w:space="0" w:color="auto"/>
              <w:bottom w:val="single" w:sz="4" w:space="0" w:color="000000"/>
              <w:right w:val="nil"/>
            </w:tcBorders>
            <w:shd w:val="clear" w:color="auto" w:fill="auto"/>
            <w:noWrap/>
            <w:vAlign w:val="bottom"/>
            <w:hideMark/>
          </w:tcPr>
          <w:p w:rsidR="00A027B7" w:rsidRPr="00464FF4" w:rsidRDefault="00A027B7" w:rsidP="00A027B7">
            <w:pPr>
              <w:spacing w:after="0" w:line="240" w:lineRule="auto"/>
              <w:jc w:val="center"/>
              <w:rPr>
                <w:rFonts w:ascii="Calibri" w:eastAsia="Times New Roman" w:hAnsi="Calibri" w:cs="Times New Roman"/>
                <w:color w:val="000000"/>
                <w:sz w:val="16"/>
                <w:szCs w:val="16"/>
                <w:lang w:eastAsia="ru-RU"/>
              </w:rPr>
            </w:pPr>
            <w:r w:rsidRPr="00464FF4">
              <w:rPr>
                <w:rFonts w:ascii="Calibri" w:eastAsia="Times New Roman" w:hAnsi="Calibri" w:cs="Times New Roman"/>
                <w:color w:val="000000"/>
                <w:sz w:val="16"/>
                <w:szCs w:val="16"/>
                <w:lang w:eastAsia="ru-RU"/>
              </w:rPr>
              <w:t> </w:t>
            </w:r>
          </w:p>
        </w:tc>
        <w:tc>
          <w:tcPr>
            <w:tcW w:w="596" w:type="dxa"/>
            <w:tcBorders>
              <w:top w:val="nil"/>
              <w:left w:val="single" w:sz="4" w:space="0" w:color="auto"/>
              <w:bottom w:val="single" w:sz="4" w:space="0" w:color="auto"/>
              <w:right w:val="single" w:sz="4" w:space="0" w:color="auto"/>
            </w:tcBorders>
            <w:shd w:val="clear" w:color="000000" w:fill="E6B9B8"/>
            <w:noWrap/>
            <w:vAlign w:val="center"/>
            <w:hideMark/>
          </w:tcPr>
          <w:p w:rsidR="00A027B7" w:rsidRPr="00DD0652" w:rsidRDefault="00A027B7" w:rsidP="00A027B7">
            <w:pPr>
              <w:spacing w:after="0" w:line="240" w:lineRule="auto"/>
              <w:jc w:val="center"/>
              <w:rPr>
                <w:rFonts w:ascii="Times New Roman" w:eastAsia="Times New Roman" w:hAnsi="Times New Roman" w:cs="Times New Roman"/>
                <w:b/>
                <w:bCs/>
                <w:color w:val="000000"/>
                <w:lang w:eastAsia="ru-RU"/>
              </w:rPr>
            </w:pPr>
            <w:r w:rsidRPr="00DD0652">
              <w:rPr>
                <w:rFonts w:ascii="Times New Roman" w:eastAsia="Times New Roman" w:hAnsi="Times New Roman" w:cs="Times New Roman"/>
                <w:b/>
                <w:bCs/>
                <w:color w:val="000000"/>
                <w:lang w:eastAsia="ru-RU"/>
              </w:rPr>
              <w:t>m</w:t>
            </w:r>
            <w:r w:rsidRPr="00DD0652">
              <w:rPr>
                <w:rFonts w:ascii="Times New Roman" w:eastAsia="Times New Roman" w:hAnsi="Times New Roman" w:cs="Times New Roman"/>
                <w:b/>
                <w:bCs/>
                <w:color w:val="000000"/>
                <w:vertAlign w:val="subscript"/>
                <w:lang w:eastAsia="ru-RU"/>
              </w:rPr>
              <w:t>j</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Calibri" w:eastAsia="Times New Roman" w:hAnsi="Calibri" w:cs="Times New Roman"/>
                <w:color w:val="000000"/>
                <w:sz w:val="16"/>
                <w:szCs w:val="16"/>
                <w:lang w:eastAsia="ru-RU"/>
              </w:rPr>
            </w:pPr>
            <w:r w:rsidRPr="00464FF4">
              <w:rPr>
                <w:rFonts w:ascii="Calibri" w:eastAsia="Times New Roman" w:hAnsi="Calibri" w:cs="Times New Roman"/>
                <w:color w:val="000000"/>
                <w:sz w:val="16"/>
                <w:szCs w:val="16"/>
                <w:lang w:eastAsia="ru-RU"/>
              </w:rPr>
              <w:t> </w:t>
            </w:r>
          </w:p>
        </w:tc>
        <w:tc>
          <w:tcPr>
            <w:tcW w:w="23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027B7" w:rsidRPr="00502D9D" w:rsidRDefault="00A027B7" w:rsidP="00A027B7">
            <w:pPr>
              <w:spacing w:after="0" w:line="240" w:lineRule="auto"/>
              <w:jc w:val="center"/>
              <w:rPr>
                <w:rFonts w:ascii="Times New Roman" w:eastAsia="Times New Roman" w:hAnsi="Times New Roman" w:cs="Times New Roman"/>
                <w:b/>
                <w:bCs/>
                <w:color w:val="000000"/>
                <w:lang w:eastAsia="ru-RU"/>
              </w:rPr>
            </w:pPr>
            <w:r w:rsidRPr="00502D9D">
              <w:rPr>
                <w:rFonts w:ascii="Times New Roman" w:eastAsia="Times New Roman" w:hAnsi="Times New Roman" w:cs="Times New Roman"/>
                <w:b/>
                <w:bCs/>
                <w:color w:val="000000"/>
                <w:lang w:eastAsia="ru-RU"/>
              </w:rPr>
              <w:t>Общий РПНУ=</w:t>
            </w:r>
            <w:r w:rsidRPr="00502D9D">
              <w:rPr>
                <w:rFonts w:ascii="Times New Roman" w:eastAsia="Times New Roman" w:hAnsi="Times New Roman" w:cs="Times New Roman"/>
                <w:b/>
                <w:bCs/>
                <w:color w:val="000000"/>
                <w:lang w:eastAsia="ru-RU"/>
              </w:rPr>
              <w:br/>
              <w:t>489 178 014,27 руб.</w:t>
            </w:r>
          </w:p>
        </w:tc>
      </w:tr>
      <w:tr w:rsidR="00A027B7" w:rsidRPr="00464FF4" w:rsidTr="00A027B7">
        <w:trPr>
          <w:trHeight w:val="300"/>
        </w:trPr>
        <w:tc>
          <w:tcPr>
            <w:tcW w:w="624" w:type="dxa"/>
            <w:vMerge/>
            <w:tcBorders>
              <w:top w:val="nil"/>
              <w:left w:val="single" w:sz="4" w:space="0" w:color="auto"/>
              <w:bottom w:val="single" w:sz="4" w:space="0" w:color="000000"/>
              <w:right w:val="nil"/>
            </w:tcBorders>
            <w:vAlign w:val="center"/>
            <w:hideMark/>
          </w:tcPr>
          <w:p w:rsidR="00A027B7" w:rsidRPr="00464FF4" w:rsidRDefault="00A027B7" w:rsidP="00A027B7">
            <w:pPr>
              <w:spacing w:after="0" w:line="240" w:lineRule="auto"/>
              <w:rPr>
                <w:rFonts w:ascii="Calibri" w:eastAsia="Times New Roman" w:hAnsi="Calibri" w:cs="Times New Roman"/>
                <w:color w:val="000000"/>
                <w:sz w:val="16"/>
                <w:szCs w:val="16"/>
                <w:lang w:eastAsia="ru-RU"/>
              </w:rPr>
            </w:pPr>
          </w:p>
        </w:tc>
        <w:tc>
          <w:tcPr>
            <w:tcW w:w="596" w:type="dxa"/>
            <w:tcBorders>
              <w:top w:val="nil"/>
              <w:left w:val="single" w:sz="4" w:space="0" w:color="auto"/>
              <w:bottom w:val="single" w:sz="4" w:space="0" w:color="auto"/>
              <w:right w:val="single" w:sz="4" w:space="0" w:color="auto"/>
            </w:tcBorders>
            <w:shd w:val="clear" w:color="000000" w:fill="E6B9B8"/>
            <w:noWrap/>
            <w:vAlign w:val="center"/>
            <w:hideMark/>
          </w:tcPr>
          <w:p w:rsidR="00A027B7" w:rsidRPr="00DD0652" w:rsidRDefault="00A027B7" w:rsidP="00A027B7">
            <w:pPr>
              <w:spacing w:after="0" w:line="240" w:lineRule="auto"/>
              <w:jc w:val="center"/>
              <w:rPr>
                <w:rFonts w:ascii="Times New Roman" w:eastAsia="Times New Roman" w:hAnsi="Times New Roman" w:cs="Times New Roman"/>
                <w:b/>
                <w:bCs/>
                <w:color w:val="000000"/>
                <w:lang w:eastAsia="ru-RU"/>
              </w:rPr>
            </w:pPr>
            <w:r w:rsidRPr="00DD0652">
              <w:rPr>
                <w:rFonts w:ascii="Times New Roman" w:eastAsia="Times New Roman" w:hAnsi="Times New Roman" w:cs="Times New Roman"/>
                <w:b/>
                <w:bCs/>
                <w:color w:val="000000"/>
                <w:lang w:eastAsia="ru-RU"/>
              </w:rPr>
              <w:t>M</w:t>
            </w:r>
            <w:r w:rsidRPr="00DD0652">
              <w:rPr>
                <w:rFonts w:ascii="Times New Roman" w:eastAsia="Times New Roman" w:hAnsi="Times New Roman" w:cs="Times New Roman"/>
                <w:b/>
                <w:bCs/>
                <w:color w:val="000000"/>
                <w:vertAlign w:val="subscript"/>
                <w:lang w:eastAsia="ru-RU"/>
              </w:rPr>
              <w:t>j</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1248" w:type="dxa"/>
            <w:tcBorders>
              <w:top w:val="nil"/>
              <w:left w:val="nil"/>
              <w:bottom w:val="single" w:sz="4" w:space="0" w:color="auto"/>
              <w:right w:val="single" w:sz="4" w:space="0" w:color="auto"/>
            </w:tcBorders>
            <w:shd w:val="clear" w:color="000000" w:fill="E6B9B8"/>
            <w:noWrap/>
            <w:vAlign w:val="center"/>
            <w:hideMark/>
          </w:tcPr>
          <w:p w:rsidR="00A027B7" w:rsidRPr="00464FF4" w:rsidRDefault="00A027B7" w:rsidP="00A027B7">
            <w:pPr>
              <w:spacing w:after="0" w:line="240" w:lineRule="auto"/>
              <w:jc w:val="right"/>
              <w:rPr>
                <w:rFonts w:ascii="Times New Roman" w:eastAsia="Times New Roman" w:hAnsi="Times New Roman" w:cs="Times New Roman"/>
                <w:color w:val="000000"/>
                <w:sz w:val="16"/>
                <w:szCs w:val="16"/>
                <w:lang w:eastAsia="ru-RU"/>
              </w:rPr>
            </w:pPr>
            <w:r w:rsidRPr="00464FF4">
              <w:rPr>
                <w:rFonts w:ascii="Times New Roman" w:eastAsia="Times New Roman" w:hAnsi="Times New Roman" w:cs="Times New Roman"/>
                <w:color w:val="000000"/>
                <w:sz w:val="16"/>
                <w:szCs w:val="16"/>
                <w:lang w:eastAsia="ru-RU"/>
              </w:rPr>
              <w:t>1,0000</w:t>
            </w:r>
          </w:p>
        </w:tc>
        <w:tc>
          <w:tcPr>
            <w:tcW w:w="2348" w:type="dxa"/>
            <w:gridSpan w:val="2"/>
            <w:vMerge/>
            <w:tcBorders>
              <w:top w:val="nil"/>
              <w:left w:val="nil"/>
              <w:bottom w:val="single" w:sz="4" w:space="0" w:color="auto"/>
              <w:right w:val="single" w:sz="4" w:space="0" w:color="auto"/>
            </w:tcBorders>
            <w:vAlign w:val="center"/>
            <w:hideMark/>
          </w:tcPr>
          <w:p w:rsidR="00A027B7" w:rsidRPr="00464FF4" w:rsidRDefault="00A027B7" w:rsidP="00A027B7">
            <w:pPr>
              <w:spacing w:after="0" w:line="240" w:lineRule="auto"/>
              <w:rPr>
                <w:rFonts w:ascii="Times New Roman" w:eastAsia="Times New Roman" w:hAnsi="Times New Roman" w:cs="Times New Roman"/>
                <w:b/>
                <w:bCs/>
                <w:color w:val="000000"/>
                <w:sz w:val="16"/>
                <w:szCs w:val="16"/>
                <w:lang w:eastAsia="ru-RU"/>
              </w:rPr>
            </w:pPr>
          </w:p>
        </w:tc>
      </w:tr>
    </w:tbl>
    <w:p w:rsidR="00A027B7" w:rsidRDefault="00A027B7" w:rsidP="00A027B7"/>
    <w:p w:rsidR="00864DCC" w:rsidRDefault="00864DCC">
      <w:pPr>
        <w:rPr>
          <w:rFonts w:ascii="Times New Roman" w:hAnsi="Times New Roman" w:cs="Times New Roman"/>
          <w:sz w:val="28"/>
          <w:szCs w:val="28"/>
        </w:rPr>
      </w:pPr>
    </w:p>
    <w:p w:rsidR="00864DCC" w:rsidRDefault="00864DCC" w:rsidP="005A3960">
      <w:pPr>
        <w:spacing w:after="240" w:line="360" w:lineRule="auto"/>
        <w:jc w:val="center"/>
        <w:rPr>
          <w:rFonts w:ascii="Times New Roman" w:hAnsi="Times New Roman" w:cs="Times New Roman"/>
          <w:sz w:val="28"/>
          <w:szCs w:val="28"/>
        </w:rPr>
        <w:sectPr w:rsidR="00864DCC" w:rsidSect="00864DCC">
          <w:pgSz w:w="16838" w:h="11906" w:orient="landscape"/>
          <w:pgMar w:top="567" w:right="1134" w:bottom="1985" w:left="1134" w:header="709" w:footer="709" w:gutter="0"/>
          <w:cols w:space="708"/>
          <w:titlePg/>
          <w:docGrid w:linePitch="360"/>
        </w:sectPr>
      </w:pPr>
    </w:p>
    <w:p w:rsidR="006065EB" w:rsidRDefault="00DB7C4D" w:rsidP="00DB7C4D">
      <w:pPr>
        <w:spacing w:before="240"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lastRenderedPageBreak/>
        <w:t xml:space="preserve">§ 2.3. </w:t>
      </w:r>
      <w:r w:rsidR="006065EB">
        <w:rPr>
          <w:rFonts w:ascii="Times New Roman" w:hAnsi="Times New Roman" w:cs="Times New Roman"/>
          <w:b/>
          <w:sz w:val="28"/>
          <w:szCs w:val="28"/>
        </w:rPr>
        <w:t>Применение м</w:t>
      </w:r>
      <w:r w:rsidRPr="00757775">
        <w:rPr>
          <w:rFonts w:ascii="Times New Roman" w:hAnsi="Times New Roman" w:cs="Times New Roman"/>
          <w:b/>
          <w:sz w:val="28"/>
          <w:szCs w:val="28"/>
        </w:rPr>
        <w:t>етод</w:t>
      </w:r>
      <w:r w:rsidR="006065EB">
        <w:rPr>
          <w:rFonts w:ascii="Times New Roman" w:hAnsi="Times New Roman" w:cs="Times New Roman"/>
          <w:b/>
          <w:sz w:val="28"/>
          <w:szCs w:val="28"/>
        </w:rPr>
        <w:t>а</w:t>
      </w:r>
      <w:r w:rsidRPr="00757775">
        <w:rPr>
          <w:rFonts w:ascii="Times New Roman" w:hAnsi="Times New Roman" w:cs="Times New Roman"/>
          <w:b/>
          <w:sz w:val="28"/>
          <w:szCs w:val="28"/>
        </w:rPr>
        <w:t xml:space="preserve"> Борнхуеттера-Фергюсона</w:t>
      </w:r>
      <w:r w:rsidR="006065EB">
        <w:rPr>
          <w:rFonts w:ascii="Times New Roman" w:hAnsi="Times New Roman" w:cs="Times New Roman"/>
          <w:b/>
          <w:sz w:val="28"/>
          <w:szCs w:val="28"/>
        </w:rPr>
        <w:t xml:space="preserve"> для оценки </w:t>
      </w:r>
    </w:p>
    <w:p w:rsidR="00DB7C4D" w:rsidRPr="00757775" w:rsidRDefault="006065EB" w:rsidP="006065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величины резервов убытков</w:t>
      </w:r>
      <w:r w:rsidR="008918AD">
        <w:rPr>
          <w:rFonts w:ascii="Times New Roman" w:hAnsi="Times New Roman" w:cs="Times New Roman"/>
          <w:b/>
          <w:sz w:val="28"/>
          <w:szCs w:val="28"/>
        </w:rPr>
        <w:t xml:space="preserve"> в ДМС</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Данный метод был опубликован в 1972 г. американскими актуариями Р.Л. </w:t>
      </w:r>
      <w:proofErr w:type="spellStart"/>
      <w:r w:rsidRPr="00757775">
        <w:rPr>
          <w:rFonts w:ascii="Times New Roman" w:hAnsi="Times New Roman" w:cs="Times New Roman"/>
          <w:sz w:val="28"/>
          <w:szCs w:val="28"/>
        </w:rPr>
        <w:t>Борнхуеттером</w:t>
      </w:r>
      <w:proofErr w:type="spellEnd"/>
      <w:r w:rsidRPr="00757775">
        <w:rPr>
          <w:rFonts w:ascii="Times New Roman" w:hAnsi="Times New Roman" w:cs="Times New Roman"/>
          <w:sz w:val="28"/>
          <w:szCs w:val="28"/>
        </w:rPr>
        <w:t xml:space="preserve"> и Р.И. </w:t>
      </w:r>
      <w:proofErr w:type="spellStart"/>
      <w:r w:rsidRPr="00757775">
        <w:rPr>
          <w:rFonts w:ascii="Times New Roman" w:hAnsi="Times New Roman" w:cs="Times New Roman"/>
          <w:sz w:val="28"/>
          <w:szCs w:val="28"/>
        </w:rPr>
        <w:t>Фергюсоном</w:t>
      </w:r>
      <w:proofErr w:type="spellEnd"/>
      <w:r w:rsidR="00CB755C" w:rsidRPr="00CB755C">
        <w:rPr>
          <w:rFonts w:ascii="Times New Roman" w:hAnsi="Times New Roman" w:cs="Times New Roman"/>
          <w:sz w:val="28"/>
          <w:szCs w:val="28"/>
        </w:rPr>
        <w:t xml:space="preserve"> [33]</w:t>
      </w:r>
      <w:r w:rsidRPr="00757775">
        <w:rPr>
          <w:rFonts w:ascii="Times New Roman" w:hAnsi="Times New Roman" w:cs="Times New Roman"/>
          <w:sz w:val="28"/>
          <w:szCs w:val="28"/>
        </w:rPr>
        <w:t>. В нем основой для оценки р</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зерва убытков является не величина оплаченных на отчетную дату страховых случаев, а оценка конечного убытка за период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выполненная на основе данных о заработанной в соответствующем периоде страховой пр</w:t>
      </w:r>
      <w:r w:rsidRPr="00757775">
        <w:rPr>
          <w:rFonts w:ascii="Times New Roman" w:hAnsi="Times New Roman" w:cs="Times New Roman"/>
          <w:sz w:val="28"/>
          <w:szCs w:val="28"/>
        </w:rPr>
        <w:t>е</w:t>
      </w:r>
      <w:r w:rsidRPr="00757775">
        <w:rPr>
          <w:rFonts w:ascii="Times New Roman" w:hAnsi="Times New Roman" w:cs="Times New Roman"/>
          <w:sz w:val="28"/>
          <w:szCs w:val="28"/>
        </w:rPr>
        <w:t>мии и среднем значении коэффициента убыточности за наблюдаемый отр</w:t>
      </w:r>
      <w:r w:rsidRPr="00757775">
        <w:rPr>
          <w:rFonts w:ascii="Times New Roman" w:hAnsi="Times New Roman" w:cs="Times New Roman"/>
          <w:sz w:val="28"/>
          <w:szCs w:val="28"/>
        </w:rPr>
        <w:t>е</w:t>
      </w:r>
      <w:r w:rsidRPr="00757775">
        <w:rPr>
          <w:rFonts w:ascii="Times New Roman" w:hAnsi="Times New Roman" w:cs="Times New Roman"/>
          <w:sz w:val="28"/>
          <w:szCs w:val="28"/>
        </w:rPr>
        <w:t>зок времени.</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Согласно Приказу Министерства финансов Российской Федерации от 11 июня 2002 г. №51н метод Борнхуеттера-Фергюсона должен в обязател</w:t>
      </w:r>
      <w:r w:rsidRPr="00757775">
        <w:rPr>
          <w:rFonts w:ascii="Times New Roman" w:hAnsi="Times New Roman" w:cs="Times New Roman"/>
          <w:sz w:val="28"/>
          <w:szCs w:val="28"/>
        </w:rPr>
        <w:t>ь</w:t>
      </w:r>
      <w:r w:rsidRPr="00757775">
        <w:rPr>
          <w:rFonts w:ascii="Times New Roman" w:hAnsi="Times New Roman" w:cs="Times New Roman"/>
          <w:sz w:val="28"/>
          <w:szCs w:val="28"/>
        </w:rPr>
        <w:t>ном порядке использоваться российскими страховыми организациями при определении страховых резервов по страхованию иному, чем страхование жизни</w:t>
      </w:r>
      <w:r w:rsidR="003A59AE" w:rsidRPr="003A59AE">
        <w:rPr>
          <w:rFonts w:ascii="Times New Roman" w:hAnsi="Times New Roman" w:cs="Times New Roman"/>
          <w:sz w:val="28"/>
          <w:szCs w:val="28"/>
        </w:rPr>
        <w:t xml:space="preserve"> [22]</w:t>
      </w:r>
      <w:r w:rsidRPr="00757775">
        <w:rPr>
          <w:rFonts w:ascii="Times New Roman"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Расчет РПНУ методом Борнхуеттера-Фергюсона реализуется согласно следующему алгоритму:</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1. </w:t>
      </w:r>
      <w:r w:rsidRPr="00757775">
        <w:rPr>
          <w:rFonts w:ascii="Times New Roman" w:hAnsi="Times New Roman" w:cs="Times New Roman"/>
          <w:sz w:val="28"/>
          <w:szCs w:val="28"/>
        </w:rPr>
        <w:t>На основе информации, содержащейся в треугольнике разв</w:t>
      </w:r>
      <w:r w:rsidRPr="00757775">
        <w:rPr>
          <w:rFonts w:ascii="Times New Roman" w:hAnsi="Times New Roman" w:cs="Times New Roman"/>
          <w:sz w:val="28"/>
          <w:szCs w:val="28"/>
        </w:rPr>
        <w:t>и</w:t>
      </w:r>
      <w:r w:rsidRPr="00757775">
        <w:rPr>
          <w:rFonts w:ascii="Times New Roman" w:hAnsi="Times New Roman" w:cs="Times New Roman"/>
          <w:sz w:val="28"/>
          <w:szCs w:val="28"/>
        </w:rPr>
        <w:t xml:space="preserve">тия, по каждому периоду оплаты (развития) убытков рассчитывается </w:t>
      </w:r>
      <w:r w:rsidRPr="00757775">
        <w:rPr>
          <w:rFonts w:ascii="Times New Roman" w:hAnsi="Times New Roman" w:cs="Times New Roman"/>
          <w:i/>
          <w:sz w:val="28"/>
          <w:szCs w:val="28"/>
        </w:rPr>
        <w:t>сов</w:t>
      </w:r>
      <w:r w:rsidRPr="00757775">
        <w:rPr>
          <w:rFonts w:ascii="Times New Roman" w:hAnsi="Times New Roman" w:cs="Times New Roman"/>
          <w:i/>
          <w:sz w:val="28"/>
          <w:szCs w:val="28"/>
        </w:rPr>
        <w:t>о</w:t>
      </w:r>
      <w:r w:rsidRPr="00757775">
        <w:rPr>
          <w:rFonts w:ascii="Times New Roman" w:hAnsi="Times New Roman" w:cs="Times New Roman"/>
          <w:i/>
          <w:sz w:val="28"/>
          <w:szCs w:val="28"/>
        </w:rPr>
        <w:t>купная величина убытков</w:t>
      </w:r>
      <w:r w:rsidRPr="00757775">
        <w:rPr>
          <w:rFonts w:ascii="Times New Roman" w:hAnsi="Times New Roman" w:cs="Times New Roman"/>
          <w:sz w:val="28"/>
          <w:szCs w:val="28"/>
        </w:rPr>
        <w:t>, произошедших во все периоды зарождения и о</w:t>
      </w:r>
      <w:r w:rsidRPr="00757775">
        <w:rPr>
          <w:rFonts w:ascii="Times New Roman" w:hAnsi="Times New Roman" w:cs="Times New Roman"/>
          <w:sz w:val="28"/>
          <w:szCs w:val="28"/>
        </w:rPr>
        <w:t>п</w:t>
      </w:r>
      <w:r w:rsidRPr="00757775">
        <w:rPr>
          <w:rFonts w:ascii="Times New Roman" w:hAnsi="Times New Roman" w:cs="Times New Roman"/>
          <w:sz w:val="28"/>
          <w:szCs w:val="28"/>
        </w:rPr>
        <w:t xml:space="preserve">лаченных на конец </w:t>
      </w:r>
      <w:r w:rsidRPr="00757775">
        <w:rPr>
          <w:rFonts w:ascii="Times New Roman" w:hAnsi="Times New Roman" w:cs="Times New Roman"/>
          <w:i/>
          <w:sz w:val="28"/>
          <w:szCs w:val="28"/>
          <w:lang w:val="en-GB"/>
        </w:rPr>
        <w:t>j</w:t>
      </w:r>
      <w:r w:rsidRPr="00757775">
        <w:rPr>
          <w:rFonts w:ascii="Times New Roman" w:hAnsi="Times New Roman" w:cs="Times New Roman"/>
          <w:sz w:val="28"/>
          <w:szCs w:val="28"/>
        </w:rPr>
        <w:t>-го периода:</w:t>
      </w:r>
    </w:p>
    <w:p w:rsidR="00DB7C4D" w:rsidRPr="00757775" w:rsidRDefault="005F2FF8" w:rsidP="00DB7C4D">
      <w:pPr>
        <w:spacing w:after="0"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n-j+1,j</m:t>
            </m:r>
          </m:sub>
        </m:sSub>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n-j+1</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kj</m:t>
                </m:r>
              </m:sub>
            </m:sSub>
          </m:e>
        </m:nary>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2. </w:t>
      </w:r>
      <w:r w:rsidRPr="00757775">
        <w:rPr>
          <w:rFonts w:ascii="Times New Roman" w:hAnsi="Times New Roman" w:cs="Times New Roman"/>
          <w:sz w:val="28"/>
          <w:szCs w:val="28"/>
        </w:rPr>
        <w:t>Затем, по аналогии с методом цепной лестницы,</w:t>
      </w:r>
      <w:r w:rsidRPr="00757775">
        <w:rPr>
          <w:rFonts w:ascii="Times New Roman" w:hAnsi="Times New Roman" w:cs="Times New Roman"/>
          <w:b/>
          <w:sz w:val="28"/>
          <w:szCs w:val="28"/>
        </w:rPr>
        <w:t xml:space="preserve"> </w:t>
      </w:r>
      <w:r w:rsidRPr="00757775">
        <w:rPr>
          <w:rFonts w:ascii="Times New Roman" w:hAnsi="Times New Roman" w:cs="Times New Roman"/>
          <w:sz w:val="28"/>
          <w:szCs w:val="28"/>
        </w:rPr>
        <w:t xml:space="preserve">оцениваются </w:t>
      </w:r>
      <w:r w:rsidRPr="00757775">
        <w:rPr>
          <w:rFonts w:ascii="Times New Roman" w:hAnsi="Times New Roman" w:cs="Times New Roman"/>
          <w:i/>
          <w:sz w:val="28"/>
          <w:szCs w:val="28"/>
        </w:rPr>
        <w:t>коэффициенты развития убытков</w:t>
      </w:r>
      <w:r w:rsidRPr="00757775">
        <w:rPr>
          <w:rFonts w:ascii="Times New Roman" w:hAnsi="Times New Roman" w:cs="Times New Roman"/>
          <w:sz w:val="28"/>
          <w:szCs w:val="28"/>
        </w:rPr>
        <w:t>, характеризующие</w:t>
      </w:r>
      <w:r w:rsidRPr="00757775">
        <w:rPr>
          <w:rFonts w:ascii="Times New Roman" w:eastAsia="Times New Roman" w:hAnsi="Times New Roman" w:cs="Times New Roman"/>
          <w:sz w:val="24"/>
          <w:szCs w:val="24"/>
          <w:lang w:eastAsia="ru-RU"/>
        </w:rPr>
        <w:t xml:space="preserve"> </w:t>
      </w:r>
      <w:r w:rsidRPr="00757775">
        <w:rPr>
          <w:rFonts w:ascii="Times New Roman" w:hAnsi="Times New Roman" w:cs="Times New Roman"/>
          <w:sz w:val="28"/>
          <w:szCs w:val="28"/>
        </w:rPr>
        <w:t>относительное увел</w:t>
      </w:r>
      <w:r w:rsidRPr="00757775">
        <w:rPr>
          <w:rFonts w:ascii="Times New Roman" w:hAnsi="Times New Roman" w:cs="Times New Roman"/>
          <w:sz w:val="28"/>
          <w:szCs w:val="28"/>
        </w:rPr>
        <w:t>и</w:t>
      </w:r>
      <w:r w:rsidRPr="00757775">
        <w:rPr>
          <w:rFonts w:ascii="Times New Roman" w:hAnsi="Times New Roman" w:cs="Times New Roman"/>
          <w:sz w:val="28"/>
          <w:szCs w:val="28"/>
        </w:rPr>
        <w:t>чение совокупной величины оплаченных убытков от текущего периода опл</w:t>
      </w:r>
      <w:r w:rsidRPr="00757775">
        <w:rPr>
          <w:rFonts w:ascii="Times New Roman" w:hAnsi="Times New Roman" w:cs="Times New Roman"/>
          <w:sz w:val="28"/>
          <w:szCs w:val="28"/>
        </w:rPr>
        <w:t>а</w:t>
      </w:r>
      <w:r w:rsidRPr="00757775">
        <w:rPr>
          <w:rFonts w:ascii="Times New Roman" w:hAnsi="Times New Roman" w:cs="Times New Roman"/>
          <w:sz w:val="28"/>
          <w:szCs w:val="28"/>
        </w:rPr>
        <w:t>ты к последующему:</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rPr>
              <m:t>j,j+1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j+1</m:t>
                </m:r>
              </m:sub>
            </m:sSub>
          </m:num>
          <m:den>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n-j+1,j</m:t>
                </m:r>
              </m:sub>
            </m:sSub>
          </m:den>
        </m:f>
      </m:oMath>
      <w:r w:rsidR="00DB7C4D" w:rsidRPr="00757775">
        <w:rPr>
          <w:rFonts w:ascii="Times New Roman" w:eastAsiaTheme="minorEastAsia" w:hAnsi="Times New Roman" w:cs="Times New Roman"/>
          <w:sz w:val="28"/>
          <w:szCs w:val="28"/>
        </w:rPr>
        <w:t xml:space="preserve">,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n-j+1,j</m:t>
            </m:r>
          </m:sub>
        </m:sSub>
        <m:r>
          <w:rPr>
            <w:rFonts w:ascii="Cambria Math" w:eastAsiaTheme="minorEastAsia" w:hAnsi="Cambria Math" w:cs="Times New Roman"/>
            <w:sz w:val="28"/>
            <w:szCs w:val="28"/>
          </w:rPr>
          <m:t>≠0</m:t>
        </m:r>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j=1,…,n-1</m:t>
        </m:r>
      </m:oMath>
      <w:r w:rsidR="00DB7C4D" w:rsidRPr="00757775">
        <w:rPr>
          <w:rFonts w:ascii="Times New Roman" w:eastAsiaTheme="minorEastAsia" w:hAnsi="Times New Roman" w:cs="Times New Roman"/>
          <w:sz w:val="28"/>
          <w:szCs w:val="28"/>
        </w:rPr>
        <w:t>;</w:t>
      </w:r>
    </w:p>
    <w:p w:rsidR="00DB7C4D" w:rsidRPr="00757775" w:rsidRDefault="005F2FF8" w:rsidP="00DB7C4D">
      <w:pPr>
        <w:spacing w:after="0" w:line="360" w:lineRule="auto"/>
        <w:jc w:val="center"/>
        <w:rPr>
          <w:rFonts w:ascii="Times New Roman" w:eastAsiaTheme="minorEastAsia" w:hAnsi="Times New Roman" w:cs="Times New Roman"/>
          <w:i/>
          <w:sz w:val="28"/>
          <w:szCs w:val="28"/>
        </w:rPr>
      </w:pPr>
      <m:oMath>
        <m:sSub>
          <m:sSubPr>
            <m:ctrlPr>
              <w:rPr>
                <w:rFonts w:ascii="Cambria Math" w:hAnsi="Cambria Math" w:cs="Times New Roman"/>
                <w:i/>
                <w:sz w:val="28"/>
                <w:szCs w:val="28"/>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rPr>
              <m:t>j,j+1</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rPr>
              <m:t>j+1,j+2</m:t>
            </m:r>
          </m:sub>
        </m:sSub>
      </m:oMath>
      <w:r w:rsidR="00DB7C4D" w:rsidRPr="00757775">
        <w:rPr>
          <w:rFonts w:ascii="Times New Roman" w:eastAsiaTheme="minorEastAsia" w:hAnsi="Times New Roman" w:cs="Times New Roman"/>
          <w:sz w:val="28"/>
          <w:szCs w:val="28"/>
        </w:rPr>
        <w:t xml:space="preserve">,  если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n-j+1,j</m:t>
            </m:r>
          </m:sub>
        </m:sSub>
        <m:r>
          <w:rPr>
            <w:rFonts w:ascii="Cambria Math" w:eastAsiaTheme="minorEastAsia" w:hAnsi="Cambria Math" w:cs="Times New Roman"/>
            <w:sz w:val="28"/>
            <w:szCs w:val="28"/>
          </w:rPr>
          <m:t>=0</m:t>
        </m:r>
      </m:oMath>
      <w:r w:rsidR="00DB7C4D" w:rsidRPr="00757775">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rPr>
              <m:t>n,n+1</m:t>
            </m:r>
          </m:sub>
        </m:sSub>
        <m:r>
          <w:rPr>
            <w:rFonts w:ascii="Cambria Math" w:hAnsi="Cambria Math" w:cs="Times New Roman"/>
            <w:sz w:val="28"/>
            <w:szCs w:val="28"/>
          </w:rPr>
          <m:t>=1</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b/>
          <w:sz w:val="28"/>
          <w:szCs w:val="28"/>
        </w:rPr>
        <w:lastRenderedPageBreak/>
        <w:t xml:space="preserve">Этап 3. </w:t>
      </w:r>
      <w:r w:rsidRPr="00757775">
        <w:rPr>
          <w:rFonts w:ascii="Times New Roman" w:hAnsi="Times New Roman" w:cs="Times New Roman"/>
          <w:sz w:val="28"/>
          <w:szCs w:val="28"/>
        </w:rPr>
        <w:t xml:space="preserve">После чего производится расчет значений </w:t>
      </w:r>
      <w:r w:rsidRPr="00757775">
        <w:rPr>
          <w:rFonts w:ascii="Times New Roman" w:hAnsi="Times New Roman" w:cs="Times New Roman"/>
          <w:i/>
          <w:sz w:val="28"/>
          <w:szCs w:val="28"/>
        </w:rPr>
        <w:t>факторов развития убытков</w:t>
      </w:r>
      <w:r w:rsidRPr="00757775">
        <w:rPr>
          <w:rFonts w:ascii="Times New Roman" w:hAnsi="Times New Roman" w:cs="Times New Roman"/>
          <w:sz w:val="28"/>
          <w:szCs w:val="28"/>
        </w:rPr>
        <w:t xml:space="preserve">, эквивалентных коэффициентам </w:t>
      </w:r>
      <m:oMath>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lang w:val="en-GB"/>
              </w:rPr>
              <m:t>j</m:t>
            </m:r>
          </m:sub>
        </m:sSub>
      </m:oMath>
      <w:r w:rsidRPr="00757775">
        <w:rPr>
          <w:rFonts w:ascii="Times New Roman" w:eastAsiaTheme="minorEastAsia" w:hAnsi="Times New Roman" w:cs="Times New Roman"/>
          <w:sz w:val="28"/>
          <w:szCs w:val="28"/>
        </w:rPr>
        <w:t xml:space="preserve"> из метода пошагового восхо</w:t>
      </w:r>
      <w:proofErr w:type="spellStart"/>
      <w:r w:rsidRPr="00757775">
        <w:rPr>
          <w:rFonts w:ascii="Times New Roman" w:eastAsiaTheme="minorEastAsia" w:hAnsi="Times New Roman" w:cs="Times New Roman"/>
          <w:sz w:val="28"/>
          <w:szCs w:val="28"/>
        </w:rPr>
        <w:t>ж</w:t>
      </w:r>
      <w:r w:rsidRPr="00757775">
        <w:rPr>
          <w:rFonts w:ascii="Times New Roman" w:eastAsiaTheme="minorEastAsia" w:hAnsi="Times New Roman" w:cs="Times New Roman"/>
          <w:sz w:val="28"/>
          <w:szCs w:val="28"/>
        </w:rPr>
        <w:t>дения</w:t>
      </w:r>
      <w:proofErr w:type="spellEnd"/>
      <w:r w:rsidRPr="00757775">
        <w:rPr>
          <w:rFonts w:ascii="Times New Roman" w:eastAsiaTheme="minorEastAsia" w:hAnsi="Times New Roman" w:cs="Times New Roman"/>
          <w:sz w:val="28"/>
          <w:szCs w:val="28"/>
        </w:rPr>
        <w:t xml:space="preserve">, </w:t>
      </w:r>
      <w:r w:rsidRPr="00757775">
        <w:rPr>
          <w:rFonts w:ascii="Times New Roman" w:hAnsi="Times New Roman" w:cs="Times New Roman"/>
          <w:sz w:val="28"/>
          <w:szCs w:val="28"/>
        </w:rPr>
        <w:t>по следующей формуле:</w:t>
      </w:r>
    </w:p>
    <w:p w:rsidR="00DB7C4D" w:rsidRPr="00757775" w:rsidRDefault="005F2FF8" w:rsidP="00DB7C4D">
      <w:pPr>
        <w:spacing w:after="0" w:line="360" w:lineRule="auto"/>
        <w:jc w:val="center"/>
        <w:rPr>
          <w:rFonts w:ascii="Times New Roman"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H</m:t>
                </m:r>
              </m:e>
            </m:acc>
          </m:e>
          <m:sub>
            <m:r>
              <w:rPr>
                <w:rFonts w:ascii="Cambria Math" w:hAnsi="Cambria Math" w:cs="Times New Roman"/>
                <w:sz w:val="28"/>
                <w:szCs w:val="28"/>
                <w:lang w:val="en-GB"/>
              </w:rPr>
              <m:t>j</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lang w:val="en-GB"/>
              </w:rPr>
              <m:t>j</m:t>
            </m:r>
            <m:r>
              <w:rPr>
                <w:rFonts w:ascii="Cambria Math" w:hAnsi="Cambria Math" w:cs="Times New Roman"/>
                <w:sz w:val="28"/>
                <w:szCs w:val="28"/>
              </w:rPr>
              <m:t>,</m:t>
            </m:r>
            <m:r>
              <w:rPr>
                <w:rFonts w:ascii="Cambria Math" w:hAnsi="Cambria Math" w:cs="Times New Roman"/>
                <w:sz w:val="28"/>
                <w:szCs w:val="28"/>
                <w:lang w:val="en-GB"/>
              </w:rPr>
              <m:t>j</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lang w:val="en-GB"/>
              </w:rPr>
              <m:t>j</m:t>
            </m:r>
            <m:r>
              <w:rPr>
                <w:rFonts w:ascii="Cambria Math" w:hAnsi="Cambria Math" w:cs="Times New Roman"/>
                <w:sz w:val="28"/>
                <w:szCs w:val="28"/>
              </w:rPr>
              <m:t>+1,</m:t>
            </m:r>
            <m:r>
              <w:rPr>
                <w:rFonts w:ascii="Cambria Math" w:hAnsi="Cambria Math" w:cs="Times New Roman"/>
                <w:sz w:val="28"/>
                <w:szCs w:val="28"/>
                <w:lang w:val="en-GB"/>
              </w:rPr>
              <m:t>j</m:t>
            </m:r>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n</m:t>
            </m:r>
            <m:r>
              <w:rPr>
                <w:rFonts w:ascii="Cambria Math" w:hAnsi="Cambria Math" w:cs="Times New Roman"/>
                <w:sz w:val="28"/>
                <w:szCs w:val="28"/>
              </w:rPr>
              <m:t>+1</m:t>
            </m:r>
          </m:sub>
        </m:sSub>
        <m:r>
          <w:rPr>
            <w:rFonts w:ascii="Cambria Math" w:hAnsi="Cambria Math" w:cs="Times New Roman"/>
            <w:sz w:val="28"/>
            <w:szCs w:val="28"/>
          </w:rPr>
          <m:t>=</m:t>
        </m:r>
        <m:nary>
          <m:naryPr>
            <m:chr m:val="∏"/>
            <m:limLoc m:val="subSup"/>
            <m:ctrlPr>
              <w:rPr>
                <w:rFonts w:ascii="Cambria Math" w:hAnsi="Cambria Math" w:cs="Times New Roman"/>
                <w:i/>
                <w:sz w:val="28"/>
                <w:szCs w:val="28"/>
                <w:lang w:val="en-GB"/>
              </w:rPr>
            </m:ctrlPr>
          </m:naryPr>
          <m:sub>
            <m:r>
              <w:rPr>
                <w:rFonts w:ascii="Cambria Math" w:hAnsi="Cambria Math" w:cs="Times New Roman"/>
                <w:sz w:val="28"/>
                <w:szCs w:val="28"/>
                <w:lang w:val="en-GB"/>
              </w:rPr>
              <m:t>k</m:t>
            </m:r>
            <m:r>
              <w:rPr>
                <w:rFonts w:ascii="Cambria Math" w:hAnsi="Cambria Math" w:cs="Times New Roman"/>
                <w:sz w:val="28"/>
                <w:szCs w:val="28"/>
              </w:rPr>
              <m:t>=</m:t>
            </m:r>
            <m:r>
              <w:rPr>
                <w:rFonts w:ascii="Cambria Math" w:hAnsi="Cambria Math" w:cs="Times New Roman"/>
                <w:sz w:val="28"/>
                <w:szCs w:val="28"/>
                <w:lang w:val="en-GB"/>
              </w:rPr>
              <m:t>j</m:t>
            </m:r>
          </m:sub>
          <m:sup>
            <m:r>
              <w:rPr>
                <w:rFonts w:ascii="Cambria Math" w:hAnsi="Cambria Math" w:cs="Times New Roman"/>
                <w:sz w:val="28"/>
                <w:szCs w:val="28"/>
                <w:lang w:val="en-GB"/>
              </w:rPr>
              <m:t>n</m:t>
            </m:r>
          </m:sup>
          <m:e>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lang w:val="en-GB"/>
                  </w:rPr>
                  <m:t>k</m:t>
                </m:r>
                <m:r>
                  <w:rPr>
                    <w:rFonts w:ascii="Cambria Math" w:hAnsi="Cambria Math" w:cs="Times New Roman"/>
                    <w:sz w:val="28"/>
                    <w:szCs w:val="28"/>
                  </w:rPr>
                  <m:t>,</m:t>
                </m:r>
                <m:r>
                  <w:rPr>
                    <w:rFonts w:ascii="Cambria Math" w:hAnsi="Cambria Math" w:cs="Times New Roman"/>
                    <w:sz w:val="28"/>
                    <w:szCs w:val="28"/>
                    <w:lang w:val="en-GB"/>
                  </w:rPr>
                  <m:t>k</m:t>
                </m:r>
                <m:r>
                  <w:rPr>
                    <w:rFonts w:ascii="Cambria Math" w:hAnsi="Cambria Math" w:cs="Times New Roman"/>
                    <w:sz w:val="28"/>
                    <w:szCs w:val="28"/>
                  </w:rPr>
                  <m:t>+1</m:t>
                </m:r>
              </m:sub>
            </m:sSub>
          </m:e>
        </m:nary>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Фактор развития убытков соответствует коэффициенту роста суммы платежей по произошедшим в периоде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i/>
          <w:sz w:val="28"/>
          <w:szCs w:val="28"/>
        </w:rPr>
        <w:t xml:space="preserve"> </w:t>
      </w:r>
      <w:r w:rsidRPr="00757775">
        <w:rPr>
          <w:rFonts w:ascii="Times New Roman" w:hAnsi="Times New Roman" w:cs="Times New Roman"/>
          <w:sz w:val="28"/>
          <w:szCs w:val="28"/>
        </w:rPr>
        <w:t xml:space="preserve">страховым случаям к концу </w:t>
      </w:r>
      <w:r w:rsidRPr="00757775">
        <w:rPr>
          <w:rFonts w:ascii="Times New Roman" w:hAnsi="Times New Roman" w:cs="Times New Roman"/>
          <w:i/>
          <w:sz w:val="28"/>
          <w:szCs w:val="28"/>
        </w:rPr>
        <w:t>n</w:t>
      </w:r>
      <w:r w:rsidRPr="00757775">
        <w:rPr>
          <w:rFonts w:ascii="Times New Roman" w:hAnsi="Times New Roman" w:cs="Times New Roman"/>
          <w:sz w:val="28"/>
          <w:szCs w:val="28"/>
        </w:rPr>
        <w:t xml:space="preserve">-го периода оплаты убытков по сравнению с ее размером на конец </w:t>
      </w:r>
      <w:r w:rsidRPr="00757775">
        <w:rPr>
          <w:rFonts w:ascii="Times New Roman" w:hAnsi="Times New Roman" w:cs="Times New Roman"/>
          <w:i/>
          <w:sz w:val="28"/>
          <w:szCs w:val="28"/>
          <w:lang w:val="en-GB"/>
        </w:rPr>
        <w:t>j</w:t>
      </w:r>
      <w:r w:rsidRPr="00757775">
        <w:rPr>
          <w:rFonts w:ascii="Times New Roman" w:hAnsi="Times New Roman" w:cs="Times New Roman"/>
          <w:sz w:val="28"/>
          <w:szCs w:val="28"/>
        </w:rPr>
        <w:t>-го отчетного периода.</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4. </w:t>
      </w:r>
      <w:r w:rsidRPr="00757775">
        <w:rPr>
          <w:rFonts w:ascii="Times New Roman" w:hAnsi="Times New Roman" w:cs="Times New Roman"/>
          <w:sz w:val="28"/>
          <w:szCs w:val="28"/>
        </w:rPr>
        <w:t xml:space="preserve">Определяются </w:t>
      </w:r>
      <w:r w:rsidRPr="00757775">
        <w:rPr>
          <w:rFonts w:ascii="Times New Roman" w:hAnsi="Times New Roman" w:cs="Times New Roman"/>
          <w:i/>
          <w:sz w:val="28"/>
          <w:szCs w:val="28"/>
        </w:rPr>
        <w:t>факторы запаздывания</w:t>
      </w:r>
      <w:r w:rsidRPr="00757775">
        <w:rPr>
          <w:rFonts w:ascii="Times New Roman" w:hAnsi="Times New Roman" w:cs="Times New Roman"/>
          <w:sz w:val="28"/>
          <w:szCs w:val="28"/>
        </w:rPr>
        <w:t xml:space="preserve">, показывающие, какая часть суммарных убытков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xml:space="preserve">-го периода урегулируется на конец </w:t>
      </w:r>
      <w:r w:rsidRPr="00757775">
        <w:rPr>
          <w:rFonts w:ascii="Times New Roman" w:hAnsi="Times New Roman" w:cs="Times New Roman"/>
          <w:i/>
          <w:sz w:val="28"/>
          <w:szCs w:val="28"/>
          <w:lang w:val="en-GB"/>
        </w:rPr>
        <w:t>j</w:t>
      </w:r>
      <w:r w:rsidRPr="00757775">
        <w:rPr>
          <w:rFonts w:ascii="Times New Roman" w:hAnsi="Times New Roman" w:cs="Times New Roman"/>
          <w:sz w:val="28"/>
          <w:szCs w:val="28"/>
        </w:rPr>
        <w:t>-го периода развития:</w:t>
      </w:r>
    </w:p>
    <w:p w:rsidR="00DB7C4D" w:rsidRPr="00757775" w:rsidRDefault="005F2FF8" w:rsidP="00DB7C4D">
      <w:pPr>
        <w:spacing w:after="0"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lang w:val="en-GB"/>
                  </w:rPr>
                  <m:t>L</m:t>
                </m:r>
              </m:e>
            </m:acc>
          </m:e>
          <m:sub>
            <m:r>
              <w:rPr>
                <w:rFonts w:ascii="Cambria Math" w:hAnsi="Cambria Math" w:cs="Times New Roman"/>
                <w:sz w:val="28"/>
                <w:szCs w:val="28"/>
              </w:rPr>
              <m:t>j</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H</m:t>
                    </m:r>
                  </m:e>
                </m:acc>
              </m:e>
              <m:sub>
                <m:r>
                  <w:rPr>
                    <w:rFonts w:ascii="Cambria Math" w:hAnsi="Cambria Math" w:cs="Times New Roman"/>
                    <w:sz w:val="28"/>
                    <w:szCs w:val="28"/>
                  </w:rPr>
                  <m:t>j</m:t>
                </m:r>
              </m:sub>
            </m:sSub>
          </m:den>
        </m:f>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Таким образом, факторы развития убытков (или факторы запаздыв</w:t>
      </w:r>
      <w:r w:rsidRPr="00757775">
        <w:rPr>
          <w:rFonts w:ascii="Times New Roman" w:hAnsi="Times New Roman" w:cs="Times New Roman"/>
          <w:sz w:val="28"/>
          <w:szCs w:val="28"/>
        </w:rPr>
        <w:t>а</w:t>
      </w:r>
      <w:r w:rsidRPr="00757775">
        <w:rPr>
          <w:rFonts w:ascii="Times New Roman" w:hAnsi="Times New Roman" w:cs="Times New Roman"/>
          <w:sz w:val="28"/>
          <w:szCs w:val="28"/>
        </w:rPr>
        <w:t>ния) позволяют рассчитать накопленную величину будущих выплат по стр</w:t>
      </w:r>
      <w:r w:rsidRPr="00757775">
        <w:rPr>
          <w:rFonts w:ascii="Times New Roman" w:hAnsi="Times New Roman" w:cs="Times New Roman"/>
          <w:sz w:val="28"/>
          <w:szCs w:val="28"/>
        </w:rPr>
        <w:t>а</w:t>
      </w:r>
      <w:r w:rsidRPr="00757775">
        <w:rPr>
          <w:rFonts w:ascii="Times New Roman" w:hAnsi="Times New Roman" w:cs="Times New Roman"/>
          <w:sz w:val="28"/>
          <w:szCs w:val="28"/>
        </w:rPr>
        <w:t xml:space="preserve">ховым случаям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-го периода:</w:t>
      </w:r>
    </w:p>
    <w:p w:rsidR="00DB7C4D" w:rsidRPr="00757775" w:rsidRDefault="005F2FF8" w:rsidP="00DB7C4D">
      <w:pPr>
        <w:spacing w:after="0" w:line="360" w:lineRule="auto"/>
        <w:jc w:val="center"/>
        <w:rPr>
          <w:rFonts w:ascii="Times New Roman" w:hAnsi="Times New Roman" w:cs="Times New Roman"/>
          <w:i/>
          <w:sz w:val="28"/>
          <w:szCs w:val="28"/>
          <w:lang w:val="en-GB"/>
        </w:rPr>
      </w:pPr>
      <m:oMathPara>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lang w:val="en-GB"/>
                    </w:rPr>
                    <m:t>Y</m:t>
                  </m:r>
                </m:e>
              </m:acc>
            </m:e>
            <m:sub>
              <m:r>
                <w:rPr>
                  <w:rFonts w:ascii="Cambria Math" w:hAnsi="Cambria Math" w:cs="Times New Roman"/>
                  <w:sz w:val="28"/>
                  <w:szCs w:val="28"/>
                </w:rPr>
                <m:t>i</m:t>
              </m:r>
              <m:r>
                <w:rPr>
                  <w:rFonts w:ascii="Cambria Math" w:hAnsi="Cambria Math" w:cs="Times New Roman"/>
                  <w:sz w:val="28"/>
                  <w:szCs w:val="28"/>
                  <w:lang w:val="en-GB"/>
                </w:rPr>
                <m:t>,</m:t>
              </m:r>
              <m:r>
                <w:rPr>
                  <w:rFonts w:ascii="Cambria Math" w:hAnsi="Cambria Math" w:cs="Times New Roman"/>
                  <w:sz w:val="28"/>
                  <w:szCs w:val="28"/>
                </w:rPr>
                <m:t>n</m:t>
              </m:r>
            </m:sub>
          </m:sSub>
          <m:r>
            <w:rPr>
              <w:rFonts w:ascii="Cambria Math" w:hAnsi="Cambria Math" w:cs="Times New Roman"/>
              <w:sz w:val="28"/>
              <w:szCs w:val="28"/>
              <w:lang w:val="en-GB"/>
            </w:rPr>
            <m:t>=</m:t>
          </m:r>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m:t>
              </m:r>
              <m:r>
                <w:rPr>
                  <w:rFonts w:ascii="Cambria Math" w:hAnsi="Cambria Math" w:cs="Times New Roman"/>
                  <w:sz w:val="28"/>
                  <w:szCs w:val="28"/>
                  <w:lang w:val="en-GB"/>
                </w:rPr>
                <m:t>,</m:t>
              </m:r>
              <m:r>
                <w:rPr>
                  <w:rFonts w:ascii="Cambria Math" w:hAnsi="Cambria Math" w:cs="Times New Roman"/>
                  <w:sz w:val="28"/>
                  <w:szCs w:val="28"/>
                </w:rPr>
                <m:t>n</m:t>
              </m:r>
              <m:r>
                <w:rPr>
                  <w:rFonts w:ascii="Cambria Math" w:hAnsi="Cambria Math" w:cs="Times New Roman"/>
                  <w:sz w:val="28"/>
                  <w:szCs w:val="28"/>
                  <w:lang w:val="en-GB"/>
                </w:rPr>
                <m:t>-</m:t>
              </m:r>
              <m:r>
                <w:rPr>
                  <w:rFonts w:ascii="Cambria Math" w:hAnsi="Cambria Math" w:cs="Times New Roman"/>
                  <w:sz w:val="28"/>
                  <w:szCs w:val="28"/>
                </w:rPr>
                <m:t>i</m:t>
              </m:r>
              <m:r>
                <w:rPr>
                  <w:rFonts w:ascii="Cambria Math" w:hAnsi="Cambria Math" w:cs="Times New Roman"/>
                  <w:sz w:val="28"/>
                  <w:szCs w:val="28"/>
                  <w:lang w:val="en-GB"/>
                </w:rPr>
                <m:t>+1</m:t>
              </m:r>
            </m:sub>
          </m:sSub>
          <m:r>
            <w:rPr>
              <w:rFonts w:ascii="Cambria Math" w:hAnsi="Cambria Math" w:cs="Times New Roman"/>
              <w:sz w:val="28"/>
              <w:szCs w:val="28"/>
              <w:lang w:val="en-GB"/>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H</m:t>
                  </m:r>
                </m:e>
              </m:acc>
            </m:e>
            <m:sub>
              <m:r>
                <w:rPr>
                  <w:rFonts w:ascii="Cambria Math" w:hAnsi="Cambria Math" w:cs="Times New Roman"/>
                  <w:sz w:val="28"/>
                  <w:szCs w:val="28"/>
                </w:rPr>
                <m:t>n-i+1</m:t>
              </m:r>
            </m:sub>
          </m:sSub>
          <m:r>
            <w:rPr>
              <w:rFonts w:ascii="Cambria Math" w:hAnsi="Cambria Math" w:cs="Times New Roman"/>
              <w:sz w:val="28"/>
              <w:szCs w:val="28"/>
              <w:lang w:val="en-GB"/>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r>
                    <w:rPr>
                      <w:rFonts w:ascii="Cambria Math" w:hAnsi="Cambria Math" w:cs="Times New Roman"/>
                      <w:sz w:val="28"/>
                      <w:szCs w:val="28"/>
                      <w:lang w:val="en-GB"/>
                    </w:rPr>
                    <m:t>,</m:t>
                  </m:r>
                  <m:r>
                    <w:rPr>
                      <w:rFonts w:ascii="Cambria Math" w:hAnsi="Cambria Math" w:cs="Times New Roman"/>
                      <w:sz w:val="28"/>
                      <w:szCs w:val="28"/>
                    </w:rPr>
                    <m:t>n</m:t>
                  </m:r>
                  <m:r>
                    <w:rPr>
                      <w:rFonts w:ascii="Cambria Math" w:hAnsi="Cambria Math" w:cs="Times New Roman"/>
                      <w:sz w:val="28"/>
                      <w:szCs w:val="28"/>
                      <w:lang w:val="en-GB"/>
                    </w:rPr>
                    <m:t>-</m:t>
                  </m:r>
                  <m:r>
                    <w:rPr>
                      <w:rFonts w:ascii="Cambria Math" w:hAnsi="Cambria Math" w:cs="Times New Roman"/>
                      <w:sz w:val="28"/>
                      <w:szCs w:val="28"/>
                    </w:rPr>
                    <m:t>i</m:t>
                  </m:r>
                  <m:r>
                    <w:rPr>
                      <w:rFonts w:ascii="Cambria Math" w:hAnsi="Cambria Math" w:cs="Times New Roman"/>
                      <w:sz w:val="28"/>
                      <w:szCs w:val="28"/>
                      <w:lang w:val="en-GB"/>
                    </w:rPr>
                    <m:t>+1</m:t>
                  </m:r>
                </m:sub>
              </m:sSub>
            </m:num>
            <m:den>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L</m:t>
                      </m:r>
                    </m:e>
                  </m:acc>
                </m:e>
                <m:sub>
                  <m:r>
                    <w:rPr>
                      <w:rFonts w:ascii="Cambria Math" w:hAnsi="Cambria Math" w:cs="Times New Roman"/>
                      <w:sz w:val="28"/>
                      <w:szCs w:val="28"/>
                    </w:rPr>
                    <m:t>i</m:t>
                  </m:r>
                  <m:r>
                    <w:rPr>
                      <w:rFonts w:ascii="Cambria Math" w:hAnsi="Cambria Math" w:cs="Times New Roman"/>
                      <w:sz w:val="28"/>
                      <w:szCs w:val="28"/>
                      <w:lang w:val="en-GB"/>
                    </w:rPr>
                    <m:t>,</m:t>
                  </m:r>
                  <m:r>
                    <w:rPr>
                      <w:rFonts w:ascii="Cambria Math" w:hAnsi="Cambria Math" w:cs="Times New Roman"/>
                      <w:sz w:val="28"/>
                      <w:szCs w:val="28"/>
                    </w:rPr>
                    <m:t>n</m:t>
                  </m:r>
                  <m:r>
                    <w:rPr>
                      <w:rFonts w:ascii="Cambria Math" w:hAnsi="Cambria Math" w:cs="Times New Roman"/>
                      <w:sz w:val="28"/>
                      <w:szCs w:val="28"/>
                      <w:lang w:val="en-GB"/>
                    </w:rPr>
                    <m:t>-</m:t>
                  </m:r>
                  <m:r>
                    <w:rPr>
                      <w:rFonts w:ascii="Cambria Math" w:hAnsi="Cambria Math" w:cs="Times New Roman"/>
                      <w:sz w:val="28"/>
                      <w:szCs w:val="28"/>
                    </w:rPr>
                    <m:t>i</m:t>
                  </m:r>
                  <m:r>
                    <w:rPr>
                      <w:rFonts w:ascii="Cambria Math" w:hAnsi="Cambria Math" w:cs="Times New Roman"/>
                      <w:sz w:val="28"/>
                      <w:szCs w:val="28"/>
                      <w:lang w:val="en-GB"/>
                    </w:rPr>
                    <m:t>+1</m:t>
                  </m:r>
                </m:sub>
              </m:sSub>
            </m:den>
          </m:f>
        </m:oMath>
      </m:oMathPara>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Этап 5.</w:t>
      </w:r>
      <w:r w:rsidRPr="00757775">
        <w:rPr>
          <w:rFonts w:ascii="Times New Roman" w:hAnsi="Times New Roman" w:cs="Times New Roman"/>
          <w:sz w:val="28"/>
          <w:szCs w:val="28"/>
        </w:rPr>
        <w:t xml:space="preserve"> Для каждого периода наступления убытков вычисляются </w:t>
      </w:r>
      <w:r w:rsidRPr="00757775">
        <w:rPr>
          <w:rFonts w:ascii="Times New Roman" w:hAnsi="Times New Roman" w:cs="Times New Roman"/>
          <w:i/>
          <w:sz w:val="28"/>
          <w:szCs w:val="28"/>
        </w:rPr>
        <w:t>к</w:t>
      </w:r>
      <w:r w:rsidRPr="00757775">
        <w:rPr>
          <w:rFonts w:ascii="Times New Roman" w:hAnsi="Times New Roman" w:cs="Times New Roman"/>
          <w:i/>
          <w:sz w:val="28"/>
          <w:szCs w:val="28"/>
        </w:rPr>
        <w:t>о</w:t>
      </w:r>
      <w:r w:rsidRPr="00757775">
        <w:rPr>
          <w:rFonts w:ascii="Times New Roman" w:hAnsi="Times New Roman" w:cs="Times New Roman"/>
          <w:i/>
          <w:sz w:val="28"/>
          <w:szCs w:val="28"/>
        </w:rPr>
        <w:t>эффициенты оплаченных убытков</w:t>
      </w:r>
      <w:r w:rsidRPr="00757775">
        <w:rPr>
          <w:rFonts w:ascii="Times New Roman" w:hAnsi="Times New Roman" w:cs="Times New Roman"/>
          <w:sz w:val="28"/>
          <w:szCs w:val="28"/>
        </w:rPr>
        <w:t>,</w:t>
      </w:r>
      <w:r w:rsidRPr="00757775">
        <w:rPr>
          <w:rFonts w:ascii="Times New Roman" w:hAnsi="Times New Roman" w:cs="Times New Roman"/>
          <w:i/>
          <w:sz w:val="28"/>
          <w:szCs w:val="28"/>
        </w:rPr>
        <w:t xml:space="preserve"> </w:t>
      </w:r>
      <w:r w:rsidRPr="00757775">
        <w:rPr>
          <w:rFonts w:ascii="Times New Roman" w:hAnsi="Times New Roman" w:cs="Times New Roman"/>
          <w:sz w:val="28"/>
          <w:szCs w:val="28"/>
        </w:rPr>
        <w:t>равные отношению совокупной стоим</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сти страховых случаев, произошедших в периоде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к величине з</w:t>
      </w:r>
      <w:r w:rsidRPr="00757775">
        <w:rPr>
          <w:rFonts w:ascii="Times New Roman" w:hAnsi="Times New Roman" w:cs="Times New Roman"/>
          <w:sz w:val="28"/>
          <w:szCs w:val="28"/>
        </w:rPr>
        <w:t>а</w:t>
      </w:r>
      <w:r w:rsidRPr="00757775">
        <w:rPr>
          <w:rFonts w:ascii="Times New Roman" w:hAnsi="Times New Roman" w:cs="Times New Roman"/>
          <w:sz w:val="28"/>
          <w:szCs w:val="28"/>
        </w:rPr>
        <w:t>работанной страховой премии за соответствующий период:</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U</m:t>
                </m:r>
              </m:e>
            </m:acc>
          </m:e>
          <m:sub>
            <m:r>
              <w:rPr>
                <w:rFonts w:ascii="Cambria Math" w:hAnsi="Cambria Math" w:cs="Times New Roman"/>
                <w:sz w:val="28"/>
                <w:szCs w:val="28"/>
                <w:lang w:val="en-GB"/>
              </w:rPr>
              <m:t>i</m:t>
            </m:r>
          </m:sub>
        </m:sSub>
        <m:r>
          <w:rPr>
            <w:rFonts w:ascii="Cambria Math" w:hAnsi="Cambria Math" w:cs="Times New Roman"/>
            <w:sz w:val="28"/>
            <w:szCs w:val="28"/>
          </w:rPr>
          <m:t>=</m:t>
        </m:r>
        <m:f>
          <m:fPr>
            <m:ctrlPr>
              <w:rPr>
                <w:rFonts w:ascii="Cambria Math" w:hAnsi="Cambria Math" w:cs="Times New Roman"/>
                <w:i/>
                <w:sz w:val="28"/>
                <w:szCs w:val="28"/>
                <w:lang w:val="en-GB"/>
              </w:rPr>
            </m:ctrlPr>
          </m:fPr>
          <m:num>
            <m:sSub>
              <m:sSubPr>
                <m:ctrlPr>
                  <w:rPr>
                    <w:rFonts w:ascii="Cambria Math" w:hAnsi="Cambria Math" w:cs="Times New Roman"/>
                    <w:i/>
                    <w:sz w:val="28"/>
                    <w:szCs w:val="28"/>
                    <w:lang w:val="en-GB"/>
                  </w:rPr>
                </m:ctrlPr>
              </m:sSubPr>
              <m:e>
                <m:r>
                  <w:rPr>
                    <w:rFonts w:ascii="Cambria Math" w:hAnsi="Cambria Math" w:cs="Times New Roman"/>
                    <w:sz w:val="28"/>
                    <w:szCs w:val="28"/>
                    <w:lang w:val="en-GB"/>
                  </w:rPr>
                  <m:t>y</m:t>
                </m:r>
              </m:e>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i</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H</m:t>
                    </m:r>
                  </m:e>
                </m:acc>
              </m:e>
              <m:sub>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i</m:t>
                </m:r>
                <m:r>
                  <w:rPr>
                    <w:rFonts w:ascii="Cambria Math" w:hAnsi="Cambria Math" w:cs="Times New Roman"/>
                    <w:sz w:val="28"/>
                    <w:szCs w:val="28"/>
                  </w:rPr>
                  <m:t>+1</m:t>
                </m:r>
              </m:sub>
            </m:sSub>
          </m:num>
          <m:den>
            <m:sSub>
              <m:sSubPr>
                <m:ctrlPr>
                  <w:rPr>
                    <w:rFonts w:ascii="Cambria Math" w:hAnsi="Cambria Math" w:cs="Times New Roman"/>
                    <w:i/>
                    <w:sz w:val="28"/>
                    <w:szCs w:val="28"/>
                    <w:lang w:val="en-GB"/>
                  </w:rPr>
                </m:ctrlPr>
              </m:sSubPr>
              <m:e>
                <m:r>
                  <w:rPr>
                    <w:rFonts w:ascii="Cambria Math" w:hAnsi="Cambria Math" w:cs="Times New Roman"/>
                    <w:sz w:val="28"/>
                    <w:szCs w:val="28"/>
                  </w:rPr>
                  <m:t>ЗП</m:t>
                </m:r>
              </m:e>
              <m:sub>
                <m:r>
                  <w:rPr>
                    <w:rFonts w:ascii="Cambria Math" w:hAnsi="Cambria Math" w:cs="Times New Roman"/>
                    <w:sz w:val="28"/>
                    <w:szCs w:val="28"/>
                    <w:lang w:val="en-US"/>
                  </w:rPr>
                  <m:t>i</m:t>
                </m:r>
              </m:sub>
            </m:sSub>
          </m:den>
        </m:f>
        <m:r>
          <w:rPr>
            <w:rFonts w:ascii="Cambria Math" w:hAnsi="Cambria Math" w:cs="Times New Roman"/>
            <w:sz w:val="28"/>
            <w:szCs w:val="28"/>
          </w:rPr>
          <m:t>=</m:t>
        </m:r>
        <m:f>
          <m:fPr>
            <m:ctrlPr>
              <w:rPr>
                <w:rFonts w:ascii="Cambria Math" w:hAnsi="Cambria Math" w:cs="Times New Roman"/>
                <w:i/>
                <w:sz w:val="28"/>
                <w:szCs w:val="28"/>
                <w:lang w:val="en-GB"/>
              </w:rPr>
            </m:ctrlPr>
          </m:fPr>
          <m:num>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lang w:val="en-GB"/>
                  </w:rPr>
                  <m:t>i</m:t>
                </m:r>
                <m:r>
                  <w:rPr>
                    <w:rFonts w:ascii="Cambria Math" w:hAnsi="Cambria Math" w:cs="Times New Roman"/>
                    <w:sz w:val="28"/>
                    <w:szCs w:val="28"/>
                  </w:rPr>
                  <m:t>,n</m:t>
                </m:r>
              </m:sub>
            </m:sSub>
          </m:num>
          <m:den>
            <m:sSub>
              <m:sSubPr>
                <m:ctrlPr>
                  <w:rPr>
                    <w:rFonts w:ascii="Cambria Math" w:hAnsi="Cambria Math" w:cs="Times New Roman"/>
                    <w:i/>
                    <w:sz w:val="28"/>
                    <w:szCs w:val="28"/>
                    <w:lang w:val="en-GB"/>
                  </w:rPr>
                </m:ctrlPr>
              </m:sSubPr>
              <m:e>
                <m:r>
                  <w:rPr>
                    <w:rFonts w:ascii="Cambria Math" w:hAnsi="Cambria Math" w:cs="Times New Roman"/>
                    <w:sz w:val="28"/>
                    <w:szCs w:val="28"/>
                  </w:rPr>
                  <m:t>ЗП</m:t>
                </m:r>
              </m:e>
              <m:sub>
                <m:r>
                  <w:rPr>
                    <w:rFonts w:ascii="Cambria Math" w:hAnsi="Cambria Math" w:cs="Times New Roman"/>
                    <w:sz w:val="28"/>
                    <w:szCs w:val="28"/>
                    <w:lang w:val="en-US"/>
                  </w:rPr>
                  <m:t>i</m:t>
                </m:r>
              </m:sub>
            </m:sSub>
          </m:den>
        </m:f>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both"/>
        <w:rPr>
          <w:rFonts w:ascii="Times New Roman"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ЗП</m:t>
            </m:r>
          </m:e>
          <m:sub>
            <m:r>
              <w:rPr>
                <w:rFonts w:ascii="Cambria Math" w:eastAsiaTheme="minorEastAsia" w:hAnsi="Cambria Math" w:cs="Times New Roman"/>
                <w:sz w:val="28"/>
                <w:szCs w:val="28"/>
              </w:rPr>
              <m:t>i</m:t>
            </m:r>
          </m:sub>
        </m:sSub>
      </m:oMath>
      <w:r w:rsidRPr="00757775">
        <w:rPr>
          <w:rFonts w:ascii="Times New Roman" w:eastAsiaTheme="minorEastAsia" w:hAnsi="Times New Roman" w:cs="Times New Roman"/>
          <w:sz w:val="28"/>
          <w:szCs w:val="28"/>
        </w:rPr>
        <w:t xml:space="preserve"> – заработанная страховая премия за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w:t>
      </w:r>
      <w:proofErr w:type="spellStart"/>
      <w:r w:rsidRPr="00757775">
        <w:rPr>
          <w:rFonts w:ascii="Times New Roman" w:hAnsi="Times New Roman" w:cs="Times New Roman"/>
          <w:sz w:val="28"/>
          <w:szCs w:val="28"/>
        </w:rPr>
        <w:t>ый</w:t>
      </w:r>
      <w:proofErr w:type="spellEnd"/>
      <w:r w:rsidRPr="00757775">
        <w:rPr>
          <w:rFonts w:ascii="Times New Roman" w:hAnsi="Times New Roman" w:cs="Times New Roman"/>
          <w:sz w:val="28"/>
          <w:szCs w:val="28"/>
        </w:rPr>
        <w:t xml:space="preserve"> период наступления убы</w:t>
      </w:r>
      <w:r w:rsidRPr="00757775">
        <w:rPr>
          <w:rFonts w:ascii="Times New Roman" w:hAnsi="Times New Roman" w:cs="Times New Roman"/>
          <w:sz w:val="28"/>
          <w:szCs w:val="28"/>
        </w:rPr>
        <w:t>т</w:t>
      </w:r>
      <w:r w:rsidRPr="00757775">
        <w:rPr>
          <w:rFonts w:ascii="Times New Roman" w:hAnsi="Times New Roman" w:cs="Times New Roman"/>
          <w:sz w:val="28"/>
          <w:szCs w:val="28"/>
        </w:rPr>
        <w:t>ков.</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Этап 6.</w:t>
      </w:r>
      <w:r w:rsidRPr="00757775">
        <w:rPr>
          <w:rFonts w:ascii="Times New Roman" w:hAnsi="Times New Roman" w:cs="Times New Roman"/>
          <w:sz w:val="28"/>
          <w:szCs w:val="28"/>
        </w:rPr>
        <w:t xml:space="preserve"> Затем оценивается </w:t>
      </w:r>
      <w:r w:rsidRPr="00757775">
        <w:rPr>
          <w:rFonts w:ascii="Times New Roman" w:hAnsi="Times New Roman" w:cs="Times New Roman"/>
          <w:i/>
          <w:sz w:val="28"/>
          <w:szCs w:val="28"/>
        </w:rPr>
        <w:t>ожидаемый коэффициент произошедших убытков</w:t>
      </w:r>
      <w:r w:rsidRPr="00757775">
        <w:rPr>
          <w:rFonts w:ascii="Times New Roman" w:hAnsi="Times New Roman" w:cs="Times New Roman"/>
          <w:sz w:val="28"/>
          <w:szCs w:val="28"/>
        </w:rPr>
        <w:t xml:space="preserve"> по формуле средней арифметической коэффициентов оплаченных убытков, найденных на предыдущем шаге:</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Para>
        <m:oMath>
          <m:acc>
            <m:accPr>
              <m:chr m:val="̅"/>
              <m:ctrlPr>
                <w:rPr>
                  <w:rFonts w:ascii="Cambria Math" w:hAnsi="Cambria Math" w:cs="Times New Roman"/>
                  <w:i/>
                  <w:sz w:val="28"/>
                  <w:szCs w:val="28"/>
                  <w:lang w:val="en-GB"/>
                </w:rPr>
              </m:ctrlPr>
            </m:accPr>
            <m:e>
              <m:r>
                <w:rPr>
                  <w:rFonts w:ascii="Cambria Math" w:hAnsi="Cambria Math" w:cs="Times New Roman"/>
                  <w:sz w:val="28"/>
                  <w:szCs w:val="28"/>
                  <w:lang w:val="en-GB"/>
                </w:rPr>
                <m:t>U</m:t>
              </m:r>
            </m:e>
          </m:acc>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1</m:t>
              </m:r>
            </m:num>
            <m:den>
              <m:r>
                <w:rPr>
                  <w:rFonts w:ascii="Cambria Math" w:hAnsi="Cambria Math" w:cs="Times New Roman"/>
                  <w:sz w:val="28"/>
                  <w:szCs w:val="28"/>
                  <w:lang w:val="en-GB"/>
                </w:rPr>
                <m:t>n</m:t>
              </m:r>
            </m:den>
          </m:f>
          <m:d>
            <m:dPr>
              <m:ctrlPr>
                <w:rPr>
                  <w:rFonts w:ascii="Cambria Math" w:hAnsi="Cambria Math" w:cs="Times New Roman"/>
                  <w:i/>
                  <w:sz w:val="28"/>
                  <w:szCs w:val="28"/>
                  <w:lang w:val="en-GB"/>
                </w:rPr>
              </m:ctrlPr>
            </m:dPr>
            <m:e>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U</m:t>
                      </m:r>
                    </m:e>
                  </m:acc>
                </m:e>
                <m:sub>
                  <m:r>
                    <w:rPr>
                      <w:rFonts w:ascii="Cambria Math" w:hAnsi="Cambria Math" w:cs="Times New Roman"/>
                      <w:sz w:val="28"/>
                      <w:szCs w:val="28"/>
                      <w:lang w:val="en-GB"/>
                    </w:rPr>
                    <m:t>1</m:t>
                  </m:r>
                </m:sub>
              </m:sSub>
              <m:r>
                <w:rPr>
                  <w:rFonts w:ascii="Cambria Math" w:hAnsi="Cambria Math" w:cs="Times New Roman"/>
                  <w:sz w:val="28"/>
                  <w:szCs w:val="28"/>
                  <w:lang w:val="en-GB"/>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U</m:t>
                      </m:r>
                    </m:e>
                  </m:acc>
                </m:e>
                <m:sub>
                  <m:r>
                    <w:rPr>
                      <w:rFonts w:ascii="Cambria Math" w:hAnsi="Cambria Math" w:cs="Times New Roman"/>
                      <w:sz w:val="28"/>
                      <w:szCs w:val="28"/>
                      <w:lang w:val="en-GB"/>
                    </w:rPr>
                    <m:t>2</m:t>
                  </m:r>
                </m:sub>
              </m:sSub>
              <m:r>
                <w:rPr>
                  <w:rFonts w:ascii="Cambria Math" w:hAnsi="Cambria Math" w:cs="Times New Roman"/>
                  <w:sz w:val="28"/>
                  <w:szCs w:val="28"/>
                  <w:lang w:val="en-GB"/>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U</m:t>
                      </m:r>
                    </m:e>
                  </m:acc>
                </m:e>
                <m:sub>
                  <m:r>
                    <w:rPr>
                      <w:rFonts w:ascii="Cambria Math" w:hAnsi="Cambria Math" w:cs="Times New Roman"/>
                      <w:sz w:val="28"/>
                      <w:szCs w:val="28"/>
                      <w:lang w:val="en-GB"/>
                    </w:rPr>
                    <m:t>n</m:t>
                  </m:r>
                </m:sub>
              </m:sSub>
            </m:e>
          </m:d>
          <m:r>
            <w:rPr>
              <w:rFonts w:ascii="Cambria Math" w:hAnsi="Cambria Math" w:cs="Times New Roman"/>
              <w:sz w:val="28"/>
              <w:szCs w:val="28"/>
              <w:lang w:val="en-GB"/>
            </w:rPr>
            <m:t>=</m:t>
          </m:r>
          <m:f>
            <m:fPr>
              <m:ctrlPr>
                <w:rPr>
                  <w:rFonts w:ascii="Cambria Math" w:hAnsi="Cambria Math" w:cs="Times New Roman"/>
                  <w:i/>
                  <w:sz w:val="28"/>
                  <w:szCs w:val="28"/>
                  <w:lang w:val="en-GB"/>
                </w:rPr>
              </m:ctrlPr>
            </m:fPr>
            <m:num>
              <m:r>
                <w:rPr>
                  <w:rFonts w:ascii="Cambria Math" w:hAnsi="Cambria Math" w:cs="Times New Roman"/>
                  <w:sz w:val="28"/>
                  <w:szCs w:val="28"/>
                  <w:lang w:val="en-GB"/>
                </w:rPr>
                <m:t>1</m:t>
              </m:r>
            </m:num>
            <m:den>
              <m:r>
                <w:rPr>
                  <w:rFonts w:ascii="Cambria Math" w:hAnsi="Cambria Math" w:cs="Times New Roman"/>
                  <w:sz w:val="28"/>
                  <w:szCs w:val="28"/>
                  <w:lang w:val="en-GB"/>
                </w:rPr>
                <m:t>n</m:t>
              </m:r>
            </m:den>
          </m:f>
          <m:nary>
            <m:naryPr>
              <m:chr m:val="∑"/>
              <m:limLoc m:val="subSup"/>
              <m:ctrlPr>
                <w:rPr>
                  <w:rFonts w:ascii="Cambria Math" w:hAnsi="Cambria Math" w:cs="Times New Roman"/>
                  <w:i/>
                  <w:sz w:val="28"/>
                  <w:szCs w:val="28"/>
                  <w:lang w:val="en-GB"/>
                </w:rPr>
              </m:ctrlPr>
            </m:naryPr>
            <m:sub>
              <m:r>
                <w:rPr>
                  <w:rFonts w:ascii="Cambria Math" w:hAnsi="Cambria Math" w:cs="Times New Roman"/>
                  <w:sz w:val="28"/>
                  <w:szCs w:val="28"/>
                  <w:lang w:val="en-GB"/>
                </w:rPr>
                <m:t>i=1</m:t>
              </m:r>
            </m:sub>
            <m:sup>
              <m:r>
                <w:rPr>
                  <w:rFonts w:ascii="Cambria Math" w:hAnsi="Cambria Math" w:cs="Times New Roman"/>
                  <w:sz w:val="28"/>
                  <w:szCs w:val="28"/>
                  <w:lang w:val="en-GB"/>
                </w:rPr>
                <m:t>n</m:t>
              </m:r>
            </m:sup>
            <m:e>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U</m:t>
                      </m:r>
                    </m:e>
                  </m:acc>
                </m:e>
                <m:sub>
                  <m:r>
                    <w:rPr>
                      <w:rFonts w:ascii="Cambria Math" w:hAnsi="Cambria Math" w:cs="Times New Roman"/>
                      <w:sz w:val="28"/>
                      <w:szCs w:val="28"/>
                      <w:lang w:val="en-GB"/>
                    </w:rPr>
                    <m:t>i</m:t>
                  </m:r>
                </m:sub>
              </m:sSub>
            </m:e>
          </m:nary>
        </m:oMath>
      </m:oMathPara>
    </w:p>
    <w:p w:rsidR="00DB7C4D" w:rsidRPr="00757775" w:rsidRDefault="005F2FF8" w:rsidP="00DB7C4D">
      <w:pPr>
        <w:spacing w:after="0" w:line="360" w:lineRule="auto"/>
        <w:ind w:firstLine="709"/>
        <w:jc w:val="both"/>
        <w:rPr>
          <w:rFonts w:ascii="Times New Roman" w:eastAsiaTheme="minorEastAsia"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lang w:val="en-GB"/>
              </w:rPr>
              <m:t>U</m:t>
            </m:r>
          </m:e>
        </m:acc>
      </m:oMath>
      <w:r w:rsidR="00DB7C4D" w:rsidRPr="00757775">
        <w:rPr>
          <w:rFonts w:ascii="Times New Roman" w:eastAsiaTheme="minorEastAsia" w:hAnsi="Times New Roman" w:cs="Times New Roman"/>
          <w:sz w:val="28"/>
          <w:szCs w:val="28"/>
        </w:rPr>
        <w:t xml:space="preserve"> рассматривается как показатель ожидаемой (прогнозной) убыточн</w:t>
      </w:r>
      <w:r w:rsidR="00DB7C4D" w:rsidRPr="00757775">
        <w:rPr>
          <w:rFonts w:ascii="Times New Roman" w:eastAsiaTheme="minorEastAsia" w:hAnsi="Times New Roman" w:cs="Times New Roman"/>
          <w:sz w:val="28"/>
          <w:szCs w:val="28"/>
        </w:rPr>
        <w:t>о</w:t>
      </w:r>
      <w:r w:rsidR="00DB7C4D" w:rsidRPr="00757775">
        <w:rPr>
          <w:rFonts w:ascii="Times New Roman" w:eastAsiaTheme="minorEastAsia" w:hAnsi="Times New Roman" w:cs="Times New Roman"/>
          <w:sz w:val="28"/>
          <w:szCs w:val="28"/>
        </w:rPr>
        <w:t xml:space="preserve">сти на отчетную дату по всем страховым случаям, произошедшим за </w:t>
      </w:r>
      <w:r w:rsidR="00DB7C4D" w:rsidRPr="00757775">
        <w:rPr>
          <w:rFonts w:ascii="Times New Roman" w:eastAsiaTheme="minorEastAsia" w:hAnsi="Times New Roman" w:cs="Times New Roman"/>
          <w:i/>
          <w:sz w:val="28"/>
          <w:szCs w:val="28"/>
          <w:lang w:val="en-GB"/>
        </w:rPr>
        <w:t>n</w:t>
      </w:r>
      <w:r w:rsidR="00DB7C4D" w:rsidRPr="00757775">
        <w:rPr>
          <w:rFonts w:ascii="Times New Roman" w:eastAsiaTheme="minorEastAsia" w:hAnsi="Times New Roman" w:cs="Times New Roman"/>
          <w:sz w:val="28"/>
          <w:szCs w:val="28"/>
        </w:rPr>
        <w:t xml:space="preserve"> п</w:t>
      </w:r>
      <w:r w:rsidR="00DB7C4D" w:rsidRPr="00757775">
        <w:rPr>
          <w:rFonts w:ascii="Times New Roman" w:eastAsiaTheme="minorEastAsia" w:hAnsi="Times New Roman" w:cs="Times New Roman"/>
          <w:sz w:val="28"/>
          <w:szCs w:val="28"/>
        </w:rPr>
        <w:t>е</w:t>
      </w:r>
      <w:r w:rsidR="00DB7C4D" w:rsidRPr="00757775">
        <w:rPr>
          <w:rFonts w:ascii="Times New Roman" w:eastAsiaTheme="minorEastAsia" w:hAnsi="Times New Roman" w:cs="Times New Roman"/>
          <w:sz w:val="28"/>
          <w:szCs w:val="28"/>
        </w:rPr>
        <w:t>риодов зарождения.</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eastAsiaTheme="minorEastAsia" w:hAnsi="Times New Roman" w:cs="Times New Roman"/>
          <w:b/>
          <w:sz w:val="28"/>
          <w:szCs w:val="28"/>
        </w:rPr>
        <w:t>Этап 7.</w:t>
      </w:r>
      <w:r w:rsidRPr="00757775">
        <w:rPr>
          <w:rFonts w:ascii="Times New Roman" w:eastAsiaTheme="minorEastAsia" w:hAnsi="Times New Roman" w:cs="Times New Roman"/>
          <w:sz w:val="28"/>
          <w:szCs w:val="28"/>
        </w:rPr>
        <w:t xml:space="preserve"> С помощью </w:t>
      </w:r>
      <m:oMath>
        <m:acc>
          <m:accPr>
            <m:chr m:val="̅"/>
            <m:ctrlPr>
              <w:rPr>
                <w:rFonts w:ascii="Cambria Math" w:hAnsi="Cambria Math" w:cs="Times New Roman"/>
                <w:i/>
                <w:sz w:val="28"/>
                <w:szCs w:val="28"/>
              </w:rPr>
            </m:ctrlPr>
          </m:accPr>
          <m:e>
            <m:r>
              <w:rPr>
                <w:rFonts w:ascii="Cambria Math" w:hAnsi="Cambria Math" w:cs="Times New Roman"/>
                <w:sz w:val="28"/>
                <w:szCs w:val="28"/>
                <w:lang w:val="en-GB"/>
              </w:rPr>
              <m:t>U</m:t>
            </m:r>
          </m:e>
        </m:acc>
      </m:oMath>
      <w:r w:rsidRPr="00757775">
        <w:rPr>
          <w:rFonts w:ascii="Times New Roman" w:eastAsiaTheme="minorEastAsia" w:hAnsi="Times New Roman" w:cs="Times New Roman"/>
          <w:sz w:val="28"/>
          <w:szCs w:val="28"/>
        </w:rPr>
        <w:t xml:space="preserve"> для каждого из </w:t>
      </w:r>
      <w:r w:rsidRPr="00757775">
        <w:rPr>
          <w:rFonts w:ascii="Times New Roman" w:eastAsiaTheme="minorEastAsia" w:hAnsi="Times New Roman" w:cs="Times New Roman"/>
          <w:i/>
          <w:sz w:val="28"/>
          <w:szCs w:val="28"/>
          <w:lang w:val="en-GB"/>
        </w:rPr>
        <w:t>n</w:t>
      </w:r>
      <w:r w:rsidRPr="00757775">
        <w:rPr>
          <w:rFonts w:ascii="Times New Roman" w:eastAsiaTheme="minorEastAsia" w:hAnsi="Times New Roman" w:cs="Times New Roman"/>
          <w:sz w:val="28"/>
          <w:szCs w:val="28"/>
        </w:rPr>
        <w:t xml:space="preserve"> периодов наступления страх</w:t>
      </w:r>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вых случаев определяется</w:t>
      </w:r>
      <w:r w:rsidRPr="00757775">
        <w:rPr>
          <w:rFonts w:ascii="Times New Roman" w:eastAsiaTheme="minorEastAsia" w:hAnsi="Times New Roman" w:cs="Times New Roman"/>
          <w:i/>
          <w:sz w:val="28"/>
          <w:szCs w:val="28"/>
        </w:rPr>
        <w:t xml:space="preserve"> ожидаемая величина произошедших </w:t>
      </w:r>
      <w:r w:rsidRPr="00757775">
        <w:rPr>
          <w:rFonts w:ascii="Times New Roman" w:eastAsiaTheme="minorEastAsia" w:hAnsi="Times New Roman" w:cs="Times New Roman"/>
          <w:sz w:val="28"/>
          <w:szCs w:val="28"/>
        </w:rPr>
        <w:t xml:space="preserve">(оплаченных и неоплаченных) </w:t>
      </w:r>
      <w:r w:rsidRPr="00757775">
        <w:rPr>
          <w:rFonts w:ascii="Times New Roman" w:eastAsiaTheme="minorEastAsia" w:hAnsi="Times New Roman" w:cs="Times New Roman"/>
          <w:i/>
          <w:sz w:val="28"/>
          <w:szCs w:val="28"/>
        </w:rPr>
        <w:t>убытков</w:t>
      </w:r>
      <w:r w:rsidRPr="00757775">
        <w:rPr>
          <w:rFonts w:ascii="Times New Roman" w:eastAsiaTheme="minorEastAsia" w:hAnsi="Times New Roman" w:cs="Times New Roman"/>
          <w:sz w:val="28"/>
          <w:szCs w:val="28"/>
        </w:rPr>
        <w:t>:</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V</m:t>
                </m:r>
              </m:e>
            </m:acc>
          </m:e>
          <m:sub>
            <m:r>
              <w:rPr>
                <w:rFonts w:ascii="Cambria Math" w:hAnsi="Cambria Math" w:cs="Times New Roman"/>
                <w:sz w:val="28"/>
                <w:szCs w:val="28"/>
                <w:lang w:val="en-GB"/>
              </w:rPr>
              <m:t>i</m:t>
            </m:r>
          </m:sub>
        </m:sSub>
        <m:r>
          <w:rPr>
            <w:rFonts w:ascii="Cambria Math" w:hAnsi="Cambria Math" w:cs="Times New Roman"/>
            <w:sz w:val="28"/>
            <w:szCs w:val="28"/>
          </w:rPr>
          <m:t>=</m:t>
        </m:r>
        <m:acc>
          <m:accPr>
            <m:chr m:val="̅"/>
            <m:ctrlPr>
              <w:rPr>
                <w:rFonts w:ascii="Cambria Math" w:hAnsi="Cambria Math" w:cs="Times New Roman"/>
                <w:i/>
                <w:sz w:val="28"/>
                <w:szCs w:val="28"/>
                <w:lang w:val="en-GB"/>
              </w:rPr>
            </m:ctrlPr>
          </m:accPr>
          <m:e>
            <m:r>
              <w:rPr>
                <w:rFonts w:ascii="Cambria Math" w:hAnsi="Cambria Math" w:cs="Times New Roman"/>
                <w:sz w:val="28"/>
                <w:szCs w:val="28"/>
                <w:lang w:val="en-GB"/>
              </w:rPr>
              <m:t>U</m:t>
            </m:r>
          </m:e>
        </m:acc>
        <m:r>
          <w:rPr>
            <w:rFonts w:ascii="Cambria Math" w:hAnsi="Cambria Math" w:cs="Times New Roman"/>
            <w:sz w:val="28"/>
            <w:szCs w:val="28"/>
          </w:rPr>
          <m:t>∙</m:t>
        </m:r>
        <m:sSub>
          <m:sSubPr>
            <m:ctrlPr>
              <w:rPr>
                <w:rFonts w:ascii="Cambria Math" w:hAnsi="Cambria Math" w:cs="Times New Roman"/>
                <w:i/>
                <w:sz w:val="28"/>
                <w:szCs w:val="28"/>
                <w:lang w:val="en-GB"/>
              </w:rPr>
            </m:ctrlPr>
          </m:sSubPr>
          <m:e>
            <m:r>
              <w:rPr>
                <w:rFonts w:ascii="Cambria Math" w:hAnsi="Cambria Math" w:cs="Times New Roman"/>
                <w:sz w:val="28"/>
                <w:szCs w:val="28"/>
              </w:rPr>
              <m:t>ЗП</m:t>
            </m:r>
          </m:e>
          <m:sub>
            <m:r>
              <w:rPr>
                <w:rFonts w:ascii="Cambria Math" w:hAnsi="Cambria Math" w:cs="Times New Roman"/>
                <w:sz w:val="28"/>
                <w:szCs w:val="28"/>
                <w:lang w:val="en-US"/>
              </w:rPr>
              <m:t>i</m:t>
            </m:r>
          </m:sub>
        </m:sSub>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eastAsiaTheme="minorEastAsia" w:hAnsi="Times New Roman" w:cs="Times New Roman"/>
          <w:b/>
          <w:sz w:val="28"/>
          <w:szCs w:val="28"/>
        </w:rPr>
        <w:t xml:space="preserve">Этап 8. </w:t>
      </w:r>
      <w:r w:rsidRPr="00757775">
        <w:rPr>
          <w:rFonts w:ascii="Times New Roman" w:eastAsiaTheme="minorEastAsia" w:hAnsi="Times New Roman" w:cs="Times New Roman"/>
          <w:sz w:val="28"/>
          <w:szCs w:val="28"/>
        </w:rPr>
        <w:t xml:space="preserve">Далее по каждому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ому</w:t>
      </w:r>
      <w:proofErr w:type="spellEnd"/>
      <w:r w:rsidRPr="00757775">
        <w:rPr>
          <w:rFonts w:ascii="Times New Roman" w:eastAsiaTheme="minorEastAsia" w:hAnsi="Times New Roman" w:cs="Times New Roman"/>
          <w:sz w:val="28"/>
          <w:szCs w:val="28"/>
        </w:rPr>
        <w:t xml:space="preserve"> периоду инцидента рассчитывается </w:t>
      </w:r>
      <w:r w:rsidRPr="00757775">
        <w:rPr>
          <w:rFonts w:ascii="Times New Roman" w:eastAsiaTheme="minorEastAsia" w:hAnsi="Times New Roman" w:cs="Times New Roman"/>
          <w:i/>
          <w:sz w:val="28"/>
          <w:szCs w:val="28"/>
        </w:rPr>
        <w:t>суммарная величина произошедших, но неоплаченных на отчетную дату убытков</w:t>
      </w:r>
      <w:r w:rsidRPr="00757775">
        <w:rPr>
          <w:rFonts w:ascii="Times New Roman" w:eastAsiaTheme="minorEastAsia" w:hAnsi="Times New Roman" w:cs="Times New Roman"/>
          <w:sz w:val="28"/>
          <w:szCs w:val="28"/>
        </w:rPr>
        <w:t>:</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R</m:t>
                </m:r>
              </m:e>
            </m:acc>
          </m:e>
          <m:sub>
            <m:r>
              <w:rPr>
                <w:rFonts w:ascii="Cambria Math" w:hAnsi="Cambria Math" w:cs="Times New Roman"/>
                <w:sz w:val="28"/>
                <w:szCs w:val="28"/>
                <w:lang w:val="en-GB"/>
              </w:rPr>
              <m:t>i</m:t>
            </m:r>
          </m:sub>
        </m:sSub>
        <m:r>
          <w:rPr>
            <w:rFonts w:ascii="Cambria Math" w:hAnsi="Cambria Math" w:cs="Times New Roman"/>
            <w:sz w:val="28"/>
            <w:szCs w:val="28"/>
          </w:rPr>
          <m:t>=</m:t>
        </m:r>
        <m:d>
          <m:dPr>
            <m:ctrlPr>
              <w:rPr>
                <w:rFonts w:ascii="Cambria Math" w:hAnsi="Cambria Math" w:cs="Times New Roman"/>
                <w:i/>
                <w:sz w:val="28"/>
                <w:szCs w:val="28"/>
                <w:lang w:val="en-GB"/>
              </w:rPr>
            </m:ctrlPr>
          </m:dPr>
          <m:e>
            <m:r>
              <w:rPr>
                <w:rFonts w:ascii="Cambria Math" w:hAnsi="Cambria Math" w:cs="Times New Roman"/>
                <w:sz w:val="28"/>
                <w:szCs w:val="28"/>
              </w:rPr>
              <m:t>1-</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L</m:t>
                    </m:r>
                  </m:e>
                </m:acc>
              </m:e>
              <m:sub>
                <m:r>
                  <w:rPr>
                    <w:rFonts w:ascii="Cambria Math" w:hAnsi="Cambria Math" w:cs="Times New Roman"/>
                    <w:sz w:val="28"/>
                    <w:szCs w:val="28"/>
                    <w:lang w:val="en-GB"/>
                  </w:rPr>
                  <m:t>n</m:t>
                </m:r>
                <m:r>
                  <w:rPr>
                    <w:rFonts w:ascii="Cambria Math" w:hAnsi="Cambria Math" w:cs="Times New Roman"/>
                    <w:sz w:val="28"/>
                    <w:szCs w:val="28"/>
                  </w:rPr>
                  <m:t>-</m:t>
                </m:r>
                <m:r>
                  <w:rPr>
                    <w:rFonts w:ascii="Cambria Math" w:hAnsi="Cambria Math" w:cs="Times New Roman"/>
                    <w:sz w:val="28"/>
                    <w:szCs w:val="28"/>
                    <w:lang w:val="en-GB"/>
                  </w:rPr>
                  <m:t>i</m:t>
                </m:r>
                <m:r>
                  <w:rPr>
                    <w:rFonts w:ascii="Cambria Math" w:hAnsi="Cambria Math" w:cs="Times New Roman"/>
                    <w:sz w:val="28"/>
                    <w:szCs w:val="28"/>
                  </w:rPr>
                  <m:t>+1</m:t>
                </m:r>
              </m:sub>
            </m:sSub>
          </m:e>
        </m:d>
        <m:r>
          <w:rPr>
            <w:rFonts w:ascii="Cambria Math" w:hAnsi="Cambria Math" w:cs="Times New Roman"/>
            <w:sz w:val="28"/>
            <w:szCs w:val="28"/>
          </w:rPr>
          <m:t>∙</m:t>
        </m:r>
        <m:sSub>
          <m:sSubPr>
            <m:ctrlPr>
              <w:rPr>
                <w:rFonts w:ascii="Cambria Math" w:hAnsi="Cambria Math" w:cs="Times New Roman"/>
                <w:i/>
                <w:sz w:val="28"/>
                <w:szCs w:val="28"/>
                <w:lang w:val="en-GB"/>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V</m:t>
                </m:r>
              </m:e>
            </m:acc>
          </m:e>
          <m:sub>
            <m:r>
              <w:rPr>
                <w:rFonts w:ascii="Cambria Math" w:hAnsi="Cambria Math" w:cs="Times New Roman"/>
                <w:sz w:val="28"/>
                <w:szCs w:val="28"/>
                <w:lang w:val="en-US"/>
              </w:rPr>
              <m:t>i</m:t>
            </m:r>
          </m:sub>
        </m:sSub>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b/>
          <w:sz w:val="28"/>
          <w:szCs w:val="28"/>
        </w:rPr>
      </w:pPr>
      <w:r w:rsidRPr="00757775">
        <w:rPr>
          <w:rFonts w:ascii="Times New Roman" w:eastAsiaTheme="minorEastAsia" w:hAnsi="Times New Roman" w:cs="Times New Roman"/>
          <w:b/>
          <w:sz w:val="28"/>
          <w:szCs w:val="28"/>
        </w:rPr>
        <w:t xml:space="preserve">Этап 9. </w:t>
      </w:r>
      <w:r w:rsidRPr="00757775">
        <w:rPr>
          <w:rFonts w:ascii="Times New Roman" w:eastAsiaTheme="minorEastAsia" w:hAnsi="Times New Roman" w:cs="Times New Roman"/>
          <w:sz w:val="28"/>
          <w:szCs w:val="28"/>
        </w:rPr>
        <w:t xml:space="preserve">Поскольку в состав произошедших, но неоплаченных убытков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R</m:t>
            </m:r>
          </m:e>
          <m:sub>
            <m:r>
              <w:rPr>
                <w:rFonts w:ascii="Cambria Math" w:eastAsiaTheme="minorEastAsia" w:hAnsi="Cambria Math" w:cs="Times New Roman"/>
                <w:sz w:val="28"/>
                <w:szCs w:val="28"/>
              </w:rPr>
              <m:t>i</m:t>
            </m:r>
          </m:sub>
        </m:sSub>
      </m:oMath>
      <w:r w:rsidRPr="00757775">
        <w:rPr>
          <w:rFonts w:ascii="Times New Roman" w:eastAsiaTheme="minorEastAsia" w:hAnsi="Times New Roman" w:cs="Times New Roman"/>
          <w:sz w:val="28"/>
          <w:szCs w:val="28"/>
        </w:rPr>
        <w:t xml:space="preserve"> помимо произошедших, но незаявленных убытков </w:t>
      </w:r>
      <m:oMath>
        <m:sSub>
          <m:sSubPr>
            <m:ctrlPr>
              <w:rPr>
                <w:rFonts w:ascii="Cambria Math" w:hAnsi="Cambria Math" w:cs="Times New Roman"/>
                <w:i/>
                <w:sz w:val="28"/>
                <w:szCs w:val="28"/>
                <w:lang w:val="en-GB"/>
              </w:rPr>
            </m:ctrlPr>
          </m:sSubPr>
          <m:e>
            <w:proofErr w:type="gramStart"/>
            <m:r>
              <w:rPr>
                <w:rFonts w:ascii="Cambria Math" w:hAnsi="Cambria Math" w:cs="Times New Roman"/>
                <w:sz w:val="28"/>
                <w:szCs w:val="28"/>
              </w:rPr>
              <m:t>ПНУ</m:t>
            </m:r>
            <w:proofErr w:type="gramEnd"/>
          </m:e>
          <m:sub>
            <m:r>
              <w:rPr>
                <w:rFonts w:ascii="Cambria Math" w:hAnsi="Cambria Math" w:cs="Times New Roman"/>
                <w:sz w:val="28"/>
                <w:szCs w:val="28"/>
                <w:lang w:val="en-GB"/>
              </w:rPr>
              <m:t>i</m:t>
            </m:r>
          </m:sub>
        </m:sSub>
      </m:oMath>
      <w:r w:rsidRPr="00757775">
        <w:rPr>
          <w:rFonts w:ascii="Times New Roman" w:eastAsiaTheme="minorEastAsia" w:hAnsi="Times New Roman" w:cs="Times New Roman"/>
          <w:sz w:val="28"/>
          <w:szCs w:val="28"/>
        </w:rPr>
        <w:t xml:space="preserve"> включаются та</w:t>
      </w:r>
      <w:proofErr w:type="spellStart"/>
      <w:r w:rsidRPr="00757775">
        <w:rPr>
          <w:rFonts w:ascii="Times New Roman" w:eastAsiaTheme="minorEastAsia" w:hAnsi="Times New Roman" w:cs="Times New Roman"/>
          <w:sz w:val="28"/>
          <w:szCs w:val="28"/>
        </w:rPr>
        <w:t>к</w:t>
      </w:r>
      <w:r w:rsidRPr="00757775">
        <w:rPr>
          <w:rFonts w:ascii="Times New Roman" w:eastAsiaTheme="minorEastAsia" w:hAnsi="Times New Roman" w:cs="Times New Roman"/>
          <w:sz w:val="28"/>
          <w:szCs w:val="28"/>
        </w:rPr>
        <w:t>же</w:t>
      </w:r>
      <w:proofErr w:type="spellEnd"/>
      <w:r w:rsidRPr="00757775">
        <w:rPr>
          <w:rFonts w:ascii="Times New Roman" w:eastAsiaTheme="minorEastAsia" w:hAnsi="Times New Roman" w:cs="Times New Roman"/>
          <w:sz w:val="28"/>
          <w:szCs w:val="28"/>
        </w:rPr>
        <w:t xml:space="preserve"> заявленные, но неурегулированные убытки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ЗНУ</m:t>
            </m:r>
          </m:e>
          <m:sub>
            <m:r>
              <w:rPr>
                <w:rFonts w:ascii="Cambria Math" w:eastAsiaTheme="minorEastAsia" w:hAnsi="Cambria Math" w:cs="Times New Roman"/>
                <w:sz w:val="28"/>
                <w:szCs w:val="28"/>
              </w:rPr>
              <m:t>i</m:t>
            </m:r>
          </m:sub>
        </m:sSub>
      </m:oMath>
      <w:r w:rsidRPr="00757775">
        <w:rPr>
          <w:rFonts w:ascii="Times New Roman" w:eastAsiaTheme="minorEastAsia" w:hAnsi="Times New Roman" w:cs="Times New Roman"/>
          <w:sz w:val="28"/>
          <w:szCs w:val="28"/>
        </w:rPr>
        <w:t>, то для корректной оце</w:t>
      </w:r>
      <w:proofErr w:type="spellStart"/>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ки</w:t>
      </w:r>
      <w:proofErr w:type="spellEnd"/>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i/>
          <w:sz w:val="28"/>
          <w:szCs w:val="28"/>
        </w:rPr>
        <w:t>размера произошедших, но незаявленных на отчетную дату убытков</w:t>
      </w:r>
      <w:r w:rsidRPr="00757775">
        <w:rPr>
          <w:rFonts w:ascii="Times New Roman" w:eastAsiaTheme="minorEastAsia" w:hAnsi="Times New Roman" w:cs="Times New Roman"/>
          <w:sz w:val="28"/>
          <w:szCs w:val="28"/>
        </w:rPr>
        <w:t xml:space="preserve"> по страховым случаям, наступившим в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 величину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ЗНУ</m:t>
            </m:r>
          </m:e>
          <m:sub>
            <m:r>
              <w:rPr>
                <w:rFonts w:ascii="Cambria Math" w:eastAsiaTheme="minorEastAsia" w:hAnsi="Cambria Math" w:cs="Times New Roman"/>
                <w:sz w:val="28"/>
                <w:szCs w:val="28"/>
              </w:rPr>
              <m:t>i</m:t>
            </m:r>
          </m:sub>
        </m:sSub>
      </m:oMath>
      <w:r w:rsidRPr="00757775">
        <w:rPr>
          <w:rFonts w:ascii="Times New Roman" w:eastAsiaTheme="minorEastAsia" w:hAnsi="Times New Roman" w:cs="Times New Roman"/>
          <w:sz w:val="28"/>
          <w:szCs w:val="28"/>
        </w:rPr>
        <w:t xml:space="preserve"> необход</w:t>
      </w:r>
      <w:proofErr w:type="spellStart"/>
      <w:r w:rsidRPr="00757775">
        <w:rPr>
          <w:rFonts w:ascii="Times New Roman" w:eastAsiaTheme="minorEastAsia" w:hAnsi="Times New Roman" w:cs="Times New Roman"/>
          <w:sz w:val="28"/>
          <w:szCs w:val="28"/>
        </w:rPr>
        <w:t>и</w:t>
      </w:r>
      <w:r w:rsidRPr="00757775">
        <w:rPr>
          <w:rFonts w:ascii="Times New Roman" w:eastAsiaTheme="minorEastAsia" w:hAnsi="Times New Roman" w:cs="Times New Roman"/>
          <w:sz w:val="28"/>
          <w:szCs w:val="28"/>
        </w:rPr>
        <w:t>мо</w:t>
      </w:r>
      <w:proofErr w:type="spellEnd"/>
      <w:r w:rsidRPr="00757775">
        <w:rPr>
          <w:rFonts w:ascii="Times New Roman" w:eastAsiaTheme="minorEastAsia" w:hAnsi="Times New Roman" w:cs="Times New Roman"/>
          <w:sz w:val="28"/>
          <w:szCs w:val="28"/>
        </w:rPr>
        <w:t xml:space="preserve"> вычесть из общей суммы произошедших, но неоплаченных убытков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R</m:t>
            </m:r>
          </m:e>
          <m:sub>
            <m:r>
              <w:rPr>
                <w:rFonts w:ascii="Cambria Math" w:eastAsiaTheme="minorEastAsia" w:hAnsi="Cambria Math" w:cs="Times New Roman"/>
                <w:sz w:val="28"/>
                <w:szCs w:val="28"/>
              </w:rPr>
              <m:t>i</m:t>
            </m:r>
          </m:sub>
        </m:sSub>
      </m:oMath>
      <w:r w:rsidRPr="00757775">
        <w:rPr>
          <w:rFonts w:ascii="Times New Roman" w:eastAsiaTheme="minorEastAsia" w:hAnsi="Times New Roman" w:cs="Times New Roman"/>
          <w:sz w:val="28"/>
          <w:szCs w:val="28"/>
        </w:rPr>
        <w:t>:</w:t>
      </w:r>
    </w:p>
    <w:p w:rsidR="00DB7C4D" w:rsidRPr="00757775" w:rsidRDefault="005F2FF8" w:rsidP="00DB7C4D">
      <w:pPr>
        <w:spacing w:after="0" w:line="360" w:lineRule="auto"/>
        <w:jc w:val="center"/>
        <w:rPr>
          <w:rFonts w:ascii="Times New Roman" w:hAnsi="Times New Roman" w:cs="Times New Roman"/>
          <w:i/>
          <w:sz w:val="28"/>
          <w:szCs w:val="28"/>
        </w:rPr>
      </w:pPr>
      <m:oMath>
        <m:sSub>
          <m:sSubPr>
            <m:ctrlPr>
              <w:rPr>
                <w:rFonts w:ascii="Cambria Math" w:hAnsi="Cambria Math" w:cs="Times New Roman"/>
                <w:i/>
                <w:sz w:val="28"/>
                <w:szCs w:val="28"/>
                <w:lang w:val="en-GB"/>
              </w:rPr>
            </m:ctrlPr>
          </m:sSubPr>
          <m:e>
            <m:r>
              <w:rPr>
                <w:rFonts w:ascii="Cambria Math" w:hAnsi="Cambria Math" w:cs="Times New Roman"/>
                <w:sz w:val="28"/>
                <w:szCs w:val="28"/>
              </w:rPr>
              <m:t>ПНУ</m:t>
            </m:r>
          </m:e>
          <m:sub>
            <m:r>
              <w:rPr>
                <w:rFonts w:ascii="Cambria Math" w:hAnsi="Cambria Math" w:cs="Times New Roman"/>
                <w:sz w:val="28"/>
                <w:szCs w:val="28"/>
                <w:lang w:val="en-GB"/>
              </w:rPr>
              <m:t>i</m:t>
            </m:r>
          </m:sub>
        </m:sSub>
        <m:r>
          <w:rPr>
            <w:rFonts w:ascii="Cambria Math" w:hAnsi="Cambria Math" w:cs="Times New Roman"/>
            <w:sz w:val="28"/>
            <w:szCs w:val="28"/>
          </w:rPr>
          <m:t>=</m:t>
        </m:r>
        <m:r>
          <w:rPr>
            <w:rFonts w:ascii="Cambria Math" w:hAnsi="Cambria Math" w:cs="Times New Roman"/>
            <w:sz w:val="28"/>
            <w:szCs w:val="28"/>
            <w:lang w:val="en-US"/>
          </w:rPr>
          <m:t>max</m:t>
        </m:r>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fr-FR"/>
                  </w:rPr>
                </m:ctrlPr>
              </m:sSubPr>
              <m:e>
                <m:acc>
                  <m:accPr>
                    <m:ctrlPr>
                      <w:rPr>
                        <w:rFonts w:ascii="Cambria Math" w:hAnsi="Cambria Math" w:cs="Times New Roman"/>
                        <w:i/>
                        <w:sz w:val="28"/>
                        <w:szCs w:val="28"/>
                        <w:lang w:val="en-US"/>
                      </w:rPr>
                    </m:ctrlPr>
                  </m:accPr>
                  <m:e>
                    <m:r>
                      <w:rPr>
                        <w:rFonts w:ascii="Cambria Math" w:hAnsi="Cambria Math" w:cs="Times New Roman"/>
                        <w:sz w:val="28"/>
                        <w:szCs w:val="28"/>
                        <w:lang w:val="en-US"/>
                      </w:rPr>
                      <m:t>R</m:t>
                    </m:r>
                  </m:e>
                </m:acc>
              </m:e>
              <m:sub>
                <m:r>
                  <w:rPr>
                    <w:rFonts w:ascii="Cambria Math" w:hAnsi="Cambria Math" w:cs="Times New Roman"/>
                    <w:sz w:val="28"/>
                    <w:szCs w:val="28"/>
                    <w:lang w:val="fr-FR"/>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ЗНУ</m:t>
                </m:r>
              </m:e>
              <m:sub>
                <m:r>
                  <w:rPr>
                    <w:rFonts w:ascii="Cambria Math" w:hAnsi="Cambria Math" w:cs="Times New Roman"/>
                    <w:sz w:val="28"/>
                    <w:szCs w:val="28"/>
                    <w:lang w:val="en-US"/>
                  </w:rPr>
                  <m:t>i</m:t>
                </m:r>
              </m:sub>
            </m:sSub>
            <m:r>
              <w:rPr>
                <w:rFonts w:ascii="Cambria Math" w:hAnsi="Cambria Math" w:cs="Times New Roman"/>
                <w:sz w:val="28"/>
                <w:szCs w:val="28"/>
              </w:rPr>
              <m:t>;0</m:t>
            </m:r>
          </m:e>
        </m:d>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i=1,…,n</m:t>
        </m:r>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 xml:space="preserve">В том случае, если указанная разность в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w:t>
      </w:r>
      <w:r w:rsidRPr="00757775">
        <w:rPr>
          <w:rFonts w:ascii="Times New Roman" w:hAnsi="Times New Roman" w:cs="Times New Roman"/>
          <w:sz w:val="28"/>
          <w:szCs w:val="28"/>
        </w:rPr>
        <w:t xml:space="preserve"> наступления убытков отрицательна, то величина </w:t>
      </w:r>
      <m:oMath>
        <m:sSub>
          <m:sSubPr>
            <m:ctrlPr>
              <w:rPr>
                <w:rFonts w:ascii="Cambria Math" w:hAnsi="Cambria Math" w:cs="Times New Roman"/>
                <w:i/>
                <w:sz w:val="28"/>
                <w:szCs w:val="28"/>
                <w:lang w:val="en-GB"/>
              </w:rPr>
            </m:ctrlPr>
          </m:sSubPr>
          <m:e>
            <w:proofErr w:type="gramStart"/>
            <m:r>
              <w:rPr>
                <w:rFonts w:ascii="Cambria Math" w:hAnsi="Cambria Math" w:cs="Times New Roman"/>
                <w:sz w:val="28"/>
                <w:szCs w:val="28"/>
              </w:rPr>
              <m:t>ПНУ</m:t>
            </m:r>
          </m:e>
          <m:sub>
            <m:r>
              <w:rPr>
                <w:rFonts w:ascii="Cambria Math" w:hAnsi="Cambria Math" w:cs="Times New Roman"/>
                <w:sz w:val="28"/>
                <w:szCs w:val="28"/>
                <w:lang w:val="en-GB"/>
              </w:rPr>
              <m:t>i</m:t>
            </m:r>
          </m:sub>
        </m:sSub>
      </m:oMath>
      <w:r w:rsidRPr="00757775">
        <w:rPr>
          <w:rFonts w:ascii="Times New Roman" w:eastAsiaTheme="minorEastAsia" w:hAnsi="Times New Roman" w:cs="Times New Roman"/>
          <w:sz w:val="28"/>
          <w:szCs w:val="28"/>
        </w:rPr>
        <w:t xml:space="preserve"> для соответствующего периода считается</w:t>
      </w:r>
      <w:proofErr w:type="gramEnd"/>
      <w:r w:rsidRPr="00757775">
        <w:rPr>
          <w:rFonts w:ascii="Times New Roman" w:eastAsiaTheme="minorEastAsia" w:hAnsi="Times New Roman" w:cs="Times New Roman"/>
          <w:sz w:val="28"/>
          <w:szCs w:val="28"/>
        </w:rPr>
        <w:t xml:space="preserve"> равной нулю.</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b/>
          <w:sz w:val="28"/>
          <w:szCs w:val="28"/>
        </w:rPr>
        <w:t>Этап 10.</w:t>
      </w:r>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i/>
          <w:sz w:val="28"/>
          <w:szCs w:val="28"/>
        </w:rPr>
        <w:t>Суммарная величина произошедших, но незаявленных убы</w:t>
      </w:r>
      <w:r w:rsidRPr="00757775">
        <w:rPr>
          <w:rFonts w:ascii="Times New Roman" w:eastAsiaTheme="minorEastAsia" w:hAnsi="Times New Roman" w:cs="Times New Roman"/>
          <w:i/>
          <w:sz w:val="28"/>
          <w:szCs w:val="28"/>
        </w:rPr>
        <w:t>т</w:t>
      </w:r>
      <w:r w:rsidRPr="00757775">
        <w:rPr>
          <w:rFonts w:ascii="Times New Roman" w:eastAsiaTheme="minorEastAsia" w:hAnsi="Times New Roman" w:cs="Times New Roman"/>
          <w:i/>
          <w:sz w:val="28"/>
          <w:szCs w:val="28"/>
        </w:rPr>
        <w:t>ков</w:t>
      </w:r>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i/>
          <w:sz w:val="28"/>
          <w:szCs w:val="28"/>
        </w:rPr>
        <w:t>по всем рассматриваемым периодам</w:t>
      </w:r>
      <w:r w:rsidRPr="00757775">
        <w:rPr>
          <w:rFonts w:ascii="Times New Roman" w:eastAsiaTheme="minorEastAsia" w:hAnsi="Times New Roman" w:cs="Times New Roman"/>
          <w:sz w:val="28"/>
          <w:szCs w:val="28"/>
        </w:rPr>
        <w:t xml:space="preserve"> наступления страховых случаев </w:t>
      </w:r>
      <w:r w:rsidRPr="00757775">
        <w:rPr>
          <w:rFonts w:ascii="Times New Roman" w:hAnsi="Times New Roman" w:cs="Times New Roman"/>
          <w:sz w:val="28"/>
          <w:szCs w:val="28"/>
        </w:rPr>
        <w:t xml:space="preserve">к концу страхового периода с номером </w:t>
      </w:r>
      <w:r w:rsidRPr="00757775">
        <w:rPr>
          <w:rFonts w:ascii="Times New Roman" w:hAnsi="Times New Roman" w:cs="Times New Roman"/>
          <w:i/>
          <w:sz w:val="28"/>
          <w:szCs w:val="28"/>
          <w:lang w:val="en-GB"/>
        </w:rPr>
        <w:t>n</w:t>
      </w:r>
      <w:r w:rsidRPr="00757775">
        <w:rPr>
          <w:rFonts w:ascii="Times New Roman" w:eastAsiaTheme="minorEastAsia" w:hAnsi="Times New Roman" w:cs="Times New Roman"/>
          <w:sz w:val="28"/>
          <w:szCs w:val="28"/>
        </w:rPr>
        <w:t xml:space="preserve"> вычисляется по формуле:</w:t>
      </w:r>
    </w:p>
    <w:p w:rsidR="00DB7C4D" w:rsidRPr="00757775" w:rsidRDefault="00DB7C4D" w:rsidP="00DB7C4D">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ПНУ=</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ПНУ</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ПНУ</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ПНУ</m:t>
              </m:r>
            </m:e>
            <m:sub>
              <m:r>
                <w:rPr>
                  <w:rFonts w:ascii="Cambria Math" w:hAnsi="Cambria Math" w:cs="Times New Roman"/>
                  <w:sz w:val="28"/>
                  <w:szCs w:val="28"/>
                  <w:lang w:val="en-GB"/>
                </w:rPr>
                <m:t>n</m:t>
              </m:r>
            </m:sub>
          </m:sSub>
          <m:r>
            <w:rPr>
              <w:rFonts w:ascii="Cambria Math" w:hAnsi="Cambria Math" w:cs="Times New Roman"/>
              <w:sz w:val="28"/>
              <w:szCs w:val="28"/>
              <w:lang w:val="en-US"/>
            </w:rPr>
            <m:t>=</m:t>
          </m:r>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rPr>
                    <m:t>ПНУ</m:t>
                  </m:r>
                </m:e>
                <m:sub>
                  <m:r>
                    <w:rPr>
                      <w:rFonts w:ascii="Cambria Math" w:hAnsi="Cambria Math" w:cs="Times New Roman"/>
                      <w:sz w:val="28"/>
                      <w:szCs w:val="28"/>
                      <w:lang w:val="en-US"/>
                    </w:rPr>
                    <m:t>i</m:t>
                  </m:r>
                </m:sub>
              </m:sSub>
            </m:e>
          </m:nary>
        </m:oMath>
      </m:oMathPara>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eastAsiaTheme="minorEastAsia" w:hAnsi="Times New Roman" w:cs="Times New Roman"/>
          <w:b/>
          <w:sz w:val="28"/>
          <w:szCs w:val="28"/>
        </w:rPr>
        <w:t xml:space="preserve">Этап 11. </w:t>
      </w:r>
      <w:r w:rsidRPr="00757775">
        <w:rPr>
          <w:rFonts w:ascii="Times New Roman" w:eastAsiaTheme="minorEastAsia" w:hAnsi="Times New Roman" w:cs="Times New Roman"/>
          <w:sz w:val="28"/>
          <w:szCs w:val="28"/>
        </w:rPr>
        <w:t xml:space="preserve">На заключительном этапе алгоритма расчета РПНУ методом Борнхуеттера-Фергюсона полученная на предыдущем шаге величина </w:t>
      </w:r>
      <w:proofErr w:type="gramStart"/>
      <w:r w:rsidRPr="00757775">
        <w:rPr>
          <w:rFonts w:ascii="Times New Roman" w:eastAsiaTheme="minorEastAsia" w:hAnsi="Times New Roman" w:cs="Times New Roman"/>
          <w:sz w:val="28"/>
          <w:szCs w:val="28"/>
        </w:rPr>
        <w:t>ПНУ</w:t>
      </w:r>
      <w:proofErr w:type="gramEnd"/>
      <w:r w:rsidRPr="00757775">
        <w:rPr>
          <w:rFonts w:ascii="Times New Roman" w:eastAsiaTheme="minorEastAsia" w:hAnsi="Times New Roman" w:cs="Times New Roman"/>
          <w:sz w:val="28"/>
          <w:szCs w:val="28"/>
        </w:rPr>
        <w:t xml:space="preserve"> корректируется на коэффициент 1,03, отражающий расходы страховой орг</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низации по урегулированию убытков:</w:t>
      </w:r>
    </w:p>
    <w:p w:rsidR="00DB7C4D" w:rsidRPr="00757775" w:rsidRDefault="00DB7C4D" w:rsidP="00DB7C4D">
      <w:pPr>
        <w:spacing w:after="0" w:line="360" w:lineRule="auto"/>
        <w:jc w:val="center"/>
        <w:rPr>
          <w:rFonts w:ascii="Times New Roman" w:eastAsiaTheme="minorEastAsia" w:hAnsi="Times New Roman" w:cs="Times New Roman"/>
          <w:sz w:val="28"/>
          <w:szCs w:val="28"/>
        </w:rPr>
      </w:pPr>
      <m:oMath>
        <m:r>
          <w:rPr>
            <w:rFonts w:ascii="Cambria Math" w:hAnsi="Cambria Math" w:cs="Times New Roman"/>
            <w:sz w:val="28"/>
            <w:szCs w:val="28"/>
          </w:rPr>
          <w:lastRenderedPageBreak/>
          <m:t>РПНУ=1,03∙ПНУ</m:t>
        </m:r>
      </m:oMath>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Согласно Правилам формирования страховых резервов по страхованию иному, чем страхование жизни для расчета РПНУ по договорам учетных групп 1-11 необходимы данные об оплаченных убытках не менее чем за 12 периодов наступления страховых случаев (периодов оплаты), предшеству</w:t>
      </w:r>
      <w:r w:rsidRPr="00757775">
        <w:rPr>
          <w:rFonts w:ascii="Times New Roman" w:eastAsiaTheme="minorEastAsia" w:hAnsi="Times New Roman" w:cs="Times New Roman"/>
          <w:sz w:val="28"/>
          <w:szCs w:val="28"/>
        </w:rPr>
        <w:t>ю</w:t>
      </w:r>
      <w:r w:rsidRPr="00757775">
        <w:rPr>
          <w:rFonts w:ascii="Times New Roman" w:eastAsiaTheme="minorEastAsia" w:hAnsi="Times New Roman" w:cs="Times New Roman"/>
          <w:sz w:val="28"/>
          <w:szCs w:val="28"/>
        </w:rPr>
        <w:t>щих отчетной дате, по договорам учетных групп 12-19 – не менее чем за 20 соответствующих периодов. Если страховщик не обладает требуемым объ</w:t>
      </w:r>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мом исторических данных об убытках, то, в случае, если ожидаемый коэ</w:t>
      </w:r>
      <w:r w:rsidRPr="00757775">
        <w:rPr>
          <w:rFonts w:ascii="Times New Roman" w:eastAsiaTheme="minorEastAsia" w:hAnsi="Times New Roman" w:cs="Times New Roman"/>
          <w:sz w:val="28"/>
          <w:szCs w:val="28"/>
        </w:rPr>
        <w:t>ф</w:t>
      </w:r>
      <w:r w:rsidRPr="00757775">
        <w:rPr>
          <w:rFonts w:ascii="Times New Roman" w:eastAsiaTheme="minorEastAsia" w:hAnsi="Times New Roman" w:cs="Times New Roman"/>
          <w:sz w:val="28"/>
          <w:szCs w:val="28"/>
        </w:rPr>
        <w:t>фициент произошедших убытков оказывается меньше единицы, то в целях расчета он принимается равным 1 и формула для оценки РПНУ трансформ</w:t>
      </w:r>
      <w:r w:rsidRPr="00757775">
        <w:rPr>
          <w:rFonts w:ascii="Times New Roman" w:eastAsiaTheme="minorEastAsia" w:hAnsi="Times New Roman" w:cs="Times New Roman"/>
          <w:sz w:val="28"/>
          <w:szCs w:val="28"/>
        </w:rPr>
        <w:t>и</w:t>
      </w:r>
      <w:r w:rsidRPr="00757775">
        <w:rPr>
          <w:rFonts w:ascii="Times New Roman" w:eastAsiaTheme="minorEastAsia" w:hAnsi="Times New Roman" w:cs="Times New Roman"/>
          <w:sz w:val="28"/>
          <w:szCs w:val="28"/>
        </w:rPr>
        <w:t>руется следующим образом</w:t>
      </w:r>
      <w:r w:rsidR="003A59AE" w:rsidRPr="003A59AE">
        <w:rPr>
          <w:rFonts w:ascii="Times New Roman" w:eastAsiaTheme="minorEastAsia" w:hAnsi="Times New Roman" w:cs="Times New Roman"/>
          <w:sz w:val="28"/>
          <w:szCs w:val="28"/>
        </w:rPr>
        <w:t xml:space="preserve"> [22]</w:t>
      </w:r>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center"/>
        <w:rPr>
          <w:rFonts w:ascii="Times New Roman" w:eastAsiaTheme="minorEastAsia" w:hAnsi="Times New Roman" w:cs="Times New Roman"/>
          <w:sz w:val="28"/>
          <w:szCs w:val="28"/>
        </w:rPr>
      </w:pPr>
      <m:oMath>
        <m:r>
          <w:rPr>
            <w:rFonts w:ascii="Cambria Math" w:hAnsi="Cambria Math" w:cs="Times New Roman"/>
            <w:sz w:val="28"/>
            <w:szCs w:val="28"/>
          </w:rPr>
          <m:t>РПНУ=</m:t>
        </m:r>
        <m:r>
          <w:rPr>
            <w:rFonts w:ascii="Cambria Math" w:hAnsi="Cambria Math" w:cs="Times New Roman"/>
            <w:sz w:val="28"/>
            <w:szCs w:val="28"/>
            <w:lang w:val="en-US"/>
          </w:rPr>
          <m:t>max</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1,03∙ПНУ;0,1∙</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k=n-3</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ЗП</m:t>
                    </m:r>
                  </m:e>
                  <m:sub>
                    <m:r>
                      <w:rPr>
                        <w:rFonts w:ascii="Cambria Math" w:hAnsi="Cambria Math" w:cs="Times New Roman"/>
                        <w:sz w:val="28"/>
                        <w:szCs w:val="28"/>
                        <w:lang w:val="en-GB"/>
                      </w:rPr>
                      <m:t>k</m:t>
                    </m:r>
                  </m:sub>
                </m:sSub>
              </m:e>
            </m:nary>
          </m:e>
        </m:d>
      </m:oMath>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w:t>
      </w:r>
      <m:oMath>
        <m:nary>
          <m:naryPr>
            <m:chr m:val="∑"/>
            <m:limLoc m:val="subSup"/>
            <m:ctrlPr>
              <w:rPr>
                <w:rFonts w:ascii="Cambria Math" w:hAnsi="Cambria Math" w:cs="Times New Roman"/>
                <w:i/>
                <w:sz w:val="28"/>
                <w:szCs w:val="28"/>
              </w:rPr>
            </m:ctrlPr>
          </m:naryPr>
          <m:sub>
            <m:r>
              <w:rPr>
                <w:rFonts w:ascii="Cambria Math" w:hAnsi="Cambria Math" w:cs="Times New Roman"/>
                <w:sz w:val="28"/>
                <w:szCs w:val="28"/>
              </w:rPr>
              <m:t>k=n-3</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ЗП</m:t>
                </m:r>
              </m:e>
              <m:sub>
                <m:r>
                  <w:rPr>
                    <w:rFonts w:ascii="Cambria Math" w:hAnsi="Cambria Math" w:cs="Times New Roman"/>
                    <w:sz w:val="28"/>
                    <w:szCs w:val="28"/>
                    <w:lang w:val="en-GB"/>
                  </w:rPr>
                  <m:t>k</m:t>
                </m:r>
              </m:sub>
            </m:sSub>
          </m:e>
        </m:nary>
      </m:oMath>
      <w:r w:rsidRPr="00757775">
        <w:rPr>
          <w:rFonts w:ascii="Times New Roman" w:eastAsiaTheme="minorEastAsia" w:hAnsi="Times New Roman" w:cs="Times New Roman"/>
          <w:sz w:val="28"/>
          <w:szCs w:val="28"/>
        </w:rPr>
        <w:t xml:space="preserve"> – суммарная величина страховой премии, зарабо</w:t>
      </w:r>
      <w:proofErr w:type="spellStart"/>
      <w:r w:rsidRPr="00757775">
        <w:rPr>
          <w:rFonts w:ascii="Times New Roman" w:eastAsiaTheme="minorEastAsia" w:hAnsi="Times New Roman" w:cs="Times New Roman"/>
          <w:sz w:val="28"/>
          <w:szCs w:val="28"/>
        </w:rPr>
        <w:t>танной</w:t>
      </w:r>
      <w:proofErr w:type="spellEnd"/>
      <w:r w:rsidRPr="00757775">
        <w:rPr>
          <w:rFonts w:ascii="Times New Roman" w:eastAsiaTheme="minorEastAsia" w:hAnsi="Times New Roman" w:cs="Times New Roman"/>
          <w:sz w:val="28"/>
          <w:szCs w:val="28"/>
        </w:rPr>
        <w:t xml:space="preserve"> стр</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ховщиком </w:t>
      </w:r>
      <w:proofErr w:type="gramStart"/>
      <w:r w:rsidRPr="00757775">
        <w:rPr>
          <w:rFonts w:ascii="Times New Roman" w:eastAsiaTheme="minorEastAsia" w:hAnsi="Times New Roman" w:cs="Times New Roman"/>
          <w:sz w:val="28"/>
          <w:szCs w:val="28"/>
        </w:rPr>
        <w:t>за</w:t>
      </w:r>
      <w:proofErr w:type="gramEnd"/>
      <w:r w:rsidRPr="00757775">
        <w:rPr>
          <w:rFonts w:ascii="Times New Roman" w:eastAsiaTheme="minorEastAsia" w:hAnsi="Times New Roman" w:cs="Times New Roman"/>
          <w:sz w:val="28"/>
          <w:szCs w:val="28"/>
        </w:rPr>
        <w:t xml:space="preserve"> последние 4 квартала, предшествующие отчетной дате.</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proofErr w:type="gramStart"/>
      <w:r w:rsidRPr="00757775">
        <w:rPr>
          <w:rFonts w:ascii="Times New Roman" w:hAnsi="Times New Roman" w:cs="Times New Roman"/>
          <w:sz w:val="28"/>
          <w:szCs w:val="28"/>
        </w:rPr>
        <w:t xml:space="preserve">Преимущество метода </w:t>
      </w:r>
      <w:r w:rsidRPr="00757775">
        <w:rPr>
          <w:rFonts w:ascii="Times New Roman" w:eastAsiaTheme="minorEastAsia" w:hAnsi="Times New Roman" w:cs="Times New Roman"/>
          <w:sz w:val="28"/>
          <w:szCs w:val="28"/>
        </w:rPr>
        <w:t>Борнхуеттера-Фергюсона</w:t>
      </w:r>
      <w:r w:rsidRPr="00757775">
        <w:rPr>
          <w:rFonts w:ascii="Times New Roman" w:hAnsi="Times New Roman" w:cs="Times New Roman"/>
          <w:sz w:val="28"/>
          <w:szCs w:val="28"/>
        </w:rPr>
        <w:t xml:space="preserve"> состоит в том, что к</w:t>
      </w:r>
      <w:r w:rsidRPr="00757775">
        <w:rPr>
          <w:rFonts w:ascii="Times New Roman" w:hAnsi="Times New Roman" w:cs="Times New Roman"/>
          <w:sz w:val="28"/>
          <w:szCs w:val="28"/>
        </w:rPr>
        <w:t>о</w:t>
      </w:r>
      <w:r w:rsidRPr="00757775">
        <w:rPr>
          <w:rFonts w:ascii="Times New Roman" w:hAnsi="Times New Roman" w:cs="Times New Roman"/>
          <w:sz w:val="28"/>
          <w:szCs w:val="28"/>
        </w:rPr>
        <w:t>лебания размеров платежей в треугольнике выбывания не приводят к знач</w:t>
      </w:r>
      <w:r w:rsidRPr="00757775">
        <w:rPr>
          <w:rFonts w:ascii="Times New Roman" w:hAnsi="Times New Roman" w:cs="Times New Roman"/>
          <w:sz w:val="28"/>
          <w:szCs w:val="28"/>
        </w:rPr>
        <w:t>и</w:t>
      </w:r>
      <w:r w:rsidRPr="00757775">
        <w:rPr>
          <w:rFonts w:ascii="Times New Roman" w:hAnsi="Times New Roman" w:cs="Times New Roman"/>
          <w:sz w:val="28"/>
          <w:szCs w:val="28"/>
        </w:rPr>
        <w:t>тельным искажениям прогнозных значений страховых резервов, что достиг</w:t>
      </w:r>
      <w:r w:rsidRPr="00757775">
        <w:rPr>
          <w:rFonts w:ascii="Times New Roman" w:hAnsi="Times New Roman" w:cs="Times New Roman"/>
          <w:sz w:val="28"/>
          <w:szCs w:val="28"/>
        </w:rPr>
        <w:t>а</w:t>
      </w:r>
      <w:r w:rsidRPr="00757775">
        <w:rPr>
          <w:rFonts w:ascii="Times New Roman" w:hAnsi="Times New Roman" w:cs="Times New Roman"/>
          <w:sz w:val="28"/>
          <w:szCs w:val="28"/>
        </w:rPr>
        <w:t xml:space="preserve">ется за счет того, что при расчете данным методом игнорируется информация о произведенных на отчетную дату выплатах по страховым случаям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-го п</w:t>
      </w:r>
      <w:r w:rsidRPr="00757775">
        <w:rPr>
          <w:rFonts w:ascii="Times New Roman" w:hAnsi="Times New Roman" w:cs="Times New Roman"/>
          <w:sz w:val="28"/>
          <w:szCs w:val="28"/>
        </w:rPr>
        <w:t>е</w:t>
      </w:r>
      <w:r w:rsidRPr="00757775">
        <w:rPr>
          <w:rFonts w:ascii="Times New Roman" w:hAnsi="Times New Roman" w:cs="Times New Roman"/>
          <w:sz w:val="28"/>
          <w:szCs w:val="28"/>
        </w:rPr>
        <w:t>риода в пользу предположений о будущей величине суммарных выплат.</w:t>
      </w:r>
      <w:proofErr w:type="gramEnd"/>
      <w:r w:rsidRPr="00757775">
        <w:rPr>
          <w:rFonts w:ascii="Times New Roman" w:hAnsi="Times New Roman" w:cs="Times New Roman"/>
          <w:sz w:val="28"/>
          <w:szCs w:val="28"/>
        </w:rPr>
        <w:t xml:space="preserve"> О</w:t>
      </w:r>
      <w:r w:rsidRPr="00757775">
        <w:rPr>
          <w:rFonts w:ascii="Times New Roman" w:hAnsi="Times New Roman" w:cs="Times New Roman"/>
          <w:sz w:val="28"/>
          <w:szCs w:val="28"/>
        </w:rPr>
        <w:t>д</w:t>
      </w:r>
      <w:r w:rsidRPr="00757775">
        <w:rPr>
          <w:rFonts w:ascii="Times New Roman" w:hAnsi="Times New Roman" w:cs="Times New Roman"/>
          <w:sz w:val="28"/>
          <w:szCs w:val="28"/>
        </w:rPr>
        <w:t xml:space="preserve">нако полное недоверие к наблюдаемым данным кажется крайностью. При практическом применении метода </w:t>
      </w:r>
      <w:r w:rsidRPr="00757775">
        <w:rPr>
          <w:rFonts w:ascii="Times New Roman" w:eastAsiaTheme="minorEastAsia" w:hAnsi="Times New Roman" w:cs="Times New Roman"/>
          <w:sz w:val="28"/>
          <w:szCs w:val="28"/>
        </w:rPr>
        <w:t>Борнхуеттера-Фергюсона может возни</w:t>
      </w:r>
      <w:r w:rsidRPr="00757775">
        <w:rPr>
          <w:rFonts w:ascii="Times New Roman" w:eastAsiaTheme="minorEastAsia" w:hAnsi="Times New Roman" w:cs="Times New Roman"/>
          <w:sz w:val="28"/>
          <w:szCs w:val="28"/>
        </w:rPr>
        <w:t>к</w:t>
      </w:r>
      <w:r w:rsidRPr="00757775">
        <w:rPr>
          <w:rFonts w:ascii="Times New Roman" w:eastAsiaTheme="minorEastAsia" w:hAnsi="Times New Roman" w:cs="Times New Roman"/>
          <w:sz w:val="28"/>
          <w:szCs w:val="28"/>
        </w:rPr>
        <w:t>нуть ситуация, когда фактически оплаченная в первом периоде сумма убы</w:t>
      </w:r>
      <w:r w:rsidRPr="00757775">
        <w:rPr>
          <w:rFonts w:ascii="Times New Roman" w:eastAsiaTheme="minorEastAsia" w:hAnsi="Times New Roman" w:cs="Times New Roman"/>
          <w:sz w:val="28"/>
          <w:szCs w:val="28"/>
        </w:rPr>
        <w:t>т</w:t>
      </w:r>
      <w:r w:rsidRPr="00757775">
        <w:rPr>
          <w:rFonts w:ascii="Times New Roman" w:eastAsiaTheme="minorEastAsia" w:hAnsi="Times New Roman" w:cs="Times New Roman"/>
          <w:sz w:val="28"/>
          <w:szCs w:val="28"/>
        </w:rPr>
        <w:t xml:space="preserve">ков превысит ожидаемую (прогнозную) величину совокупного убытка по страховым случаям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xml:space="preserve">-го периода </w:t>
      </w:r>
      <w:r w:rsidRPr="00757775">
        <w:rPr>
          <w:rFonts w:ascii="Times New Roman" w:eastAsiaTheme="minorEastAsia" w:hAnsi="Times New Roman" w:cs="Times New Roman"/>
          <w:sz w:val="28"/>
          <w:szCs w:val="28"/>
        </w:rPr>
        <w:t>после их окончательного урегулирования.</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Актуарии часто используют метод Борнхуеттера-Фергюсона для расч</w:t>
      </w:r>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та резервов по видам страхования «с длинным хвостом» (например, страх</w:t>
      </w:r>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 xml:space="preserve">вание гражданской ответственности), особенно для наиболее близких по времени периодов зарождения. Применение же метода цепной лестницы в данном случае может привести к неустойчивым и ненадежным оценкам </w:t>
      </w:r>
      <w:r w:rsidRPr="00757775">
        <w:rPr>
          <w:rFonts w:ascii="Times New Roman" w:eastAsiaTheme="minorEastAsia" w:hAnsi="Times New Roman" w:cs="Times New Roman"/>
          <w:sz w:val="28"/>
          <w:szCs w:val="28"/>
        </w:rPr>
        <w:lastRenderedPageBreak/>
        <w:t>окончательного размера претензий для недавних периодов инцидента. Буд</w:t>
      </w:r>
      <w:r w:rsidRPr="00757775">
        <w:rPr>
          <w:rFonts w:ascii="Times New Roman" w:eastAsiaTheme="minorEastAsia" w:hAnsi="Times New Roman" w:cs="Times New Roman"/>
          <w:sz w:val="28"/>
          <w:szCs w:val="28"/>
        </w:rPr>
        <w:t>у</w:t>
      </w:r>
      <w:r w:rsidRPr="00757775">
        <w:rPr>
          <w:rFonts w:ascii="Times New Roman" w:eastAsiaTheme="minorEastAsia" w:hAnsi="Times New Roman" w:cs="Times New Roman"/>
          <w:sz w:val="28"/>
          <w:szCs w:val="28"/>
        </w:rPr>
        <w:t>чи очень чувствительными к величинам в нижнем левом углу треугольника развития, они соразмерно увеличиваются в том случае, если в последнем п</w:t>
      </w:r>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риоде зарождения заявлен или оплачен крупный убыток, нехарактерный для обычной структуры развития платежей</w:t>
      </w:r>
      <w:r w:rsidR="003A59AE" w:rsidRPr="003A59AE">
        <w:rPr>
          <w:rFonts w:ascii="Times New Roman" w:eastAsiaTheme="minorEastAsia" w:hAnsi="Times New Roman" w:cs="Times New Roman"/>
          <w:sz w:val="28"/>
          <w:szCs w:val="28"/>
        </w:rPr>
        <w:t xml:space="preserve"> [36]</w:t>
      </w:r>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Для демонстрации расчета РПНУ методом Борнхуеттера-Фергюсона обратимся к имеющемуся треугольнику развития</w:t>
      </w:r>
      <w:r w:rsidR="003A59AE" w:rsidRPr="003A59AE">
        <w:rPr>
          <w:rFonts w:ascii="Times New Roman" w:eastAsiaTheme="minorEastAsia" w:hAnsi="Times New Roman" w:cs="Times New Roman"/>
          <w:sz w:val="28"/>
          <w:szCs w:val="28"/>
        </w:rPr>
        <w:t xml:space="preserve"> </w:t>
      </w:r>
      <w:r w:rsidR="003A59AE">
        <w:rPr>
          <w:rFonts w:ascii="Times New Roman" w:eastAsiaTheme="minorEastAsia" w:hAnsi="Times New Roman" w:cs="Times New Roman"/>
          <w:sz w:val="28"/>
          <w:szCs w:val="28"/>
        </w:rPr>
        <w:t>(прил. 1)</w:t>
      </w:r>
      <w:r w:rsidRPr="00757775">
        <w:rPr>
          <w:rFonts w:ascii="Times New Roman" w:eastAsiaTheme="minorEastAsia" w:hAnsi="Times New Roman" w:cs="Times New Roman"/>
          <w:sz w:val="28"/>
          <w:szCs w:val="28"/>
        </w:rPr>
        <w:t>.</w:t>
      </w:r>
    </w:p>
    <w:p w:rsidR="00DB7C4D" w:rsidRPr="00FD137F" w:rsidRDefault="00DB7C4D" w:rsidP="006065EB">
      <w:pPr>
        <w:spacing w:after="0" w:line="360" w:lineRule="auto"/>
        <w:jc w:val="right"/>
        <w:rPr>
          <w:rFonts w:ascii="Times New Roman" w:hAnsi="Times New Roman" w:cs="Times New Roman"/>
          <w:i/>
          <w:sz w:val="26"/>
          <w:szCs w:val="26"/>
        </w:rPr>
      </w:pPr>
      <w:r w:rsidRPr="00FD137F">
        <w:rPr>
          <w:rFonts w:ascii="Times New Roman" w:hAnsi="Times New Roman" w:cs="Times New Roman"/>
          <w:i/>
          <w:sz w:val="26"/>
          <w:szCs w:val="26"/>
        </w:rPr>
        <w:t>Таблица 1</w:t>
      </w:r>
      <w:r w:rsidR="00992D68" w:rsidRPr="00FD137F">
        <w:rPr>
          <w:rFonts w:ascii="Times New Roman" w:hAnsi="Times New Roman" w:cs="Times New Roman"/>
          <w:i/>
          <w:sz w:val="26"/>
          <w:szCs w:val="26"/>
        </w:rPr>
        <w:t>1</w:t>
      </w:r>
    </w:p>
    <w:p w:rsidR="00DB7C4D" w:rsidRPr="00FD137F" w:rsidRDefault="00DB7C4D" w:rsidP="006065EB">
      <w:pPr>
        <w:spacing w:after="0" w:line="360" w:lineRule="auto"/>
        <w:jc w:val="center"/>
        <w:rPr>
          <w:rFonts w:ascii="Times New Roman" w:eastAsiaTheme="minorEastAsia" w:hAnsi="Times New Roman" w:cs="Times New Roman"/>
          <w:sz w:val="26"/>
          <w:szCs w:val="26"/>
        </w:rPr>
      </w:pPr>
      <w:r w:rsidRPr="00FD137F">
        <w:rPr>
          <w:rFonts w:ascii="Times New Roman" w:hAnsi="Times New Roman" w:cs="Times New Roman"/>
          <w:i/>
          <w:sz w:val="26"/>
          <w:szCs w:val="26"/>
        </w:rPr>
        <w:t>Факторы запаздывания</w:t>
      </w:r>
      <w:r w:rsidR="003A59AE">
        <w:rPr>
          <w:rFonts w:ascii="Times New Roman" w:hAnsi="Times New Roman" w:cs="Times New Roman"/>
          <w:i/>
          <w:sz w:val="26"/>
          <w:szCs w:val="26"/>
        </w:rPr>
        <w:t xml:space="preserve"> по методу Борнхуеттера-</w:t>
      </w:r>
      <w:r w:rsidR="004B7653">
        <w:rPr>
          <w:rFonts w:ascii="Times New Roman" w:hAnsi="Times New Roman" w:cs="Times New Roman"/>
          <w:i/>
          <w:sz w:val="26"/>
          <w:szCs w:val="26"/>
        </w:rPr>
        <w:t>Фергюсона</w:t>
      </w:r>
    </w:p>
    <w:tbl>
      <w:tblPr>
        <w:tblW w:w="10133" w:type="dxa"/>
        <w:jc w:val="right"/>
        <w:tblInd w:w="671" w:type="dxa"/>
        <w:tblLook w:val="04A0"/>
      </w:tblPr>
      <w:tblGrid>
        <w:gridCol w:w="493"/>
        <w:gridCol w:w="964"/>
        <w:gridCol w:w="964"/>
        <w:gridCol w:w="964"/>
        <w:gridCol w:w="964"/>
        <w:gridCol w:w="964"/>
        <w:gridCol w:w="964"/>
        <w:gridCol w:w="964"/>
        <w:gridCol w:w="964"/>
        <w:gridCol w:w="964"/>
        <w:gridCol w:w="964"/>
      </w:tblGrid>
      <w:tr w:rsidR="00DB7C4D" w:rsidRPr="00757775" w:rsidTr="00D71C74">
        <w:trPr>
          <w:trHeight w:val="345"/>
          <w:jc w:val="right"/>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 </w:t>
            </w:r>
          </w:p>
        </w:tc>
        <w:tc>
          <w:tcPr>
            <w:tcW w:w="9640" w:type="dxa"/>
            <w:gridSpan w:val="10"/>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r w:rsidRPr="00757775">
              <w:rPr>
                <w:rFonts w:ascii="Times New Roman" w:eastAsia="Times New Roman" w:hAnsi="Times New Roman" w:cs="Times New Roman"/>
                <w:b/>
                <w:bCs/>
                <w:color w:val="000000"/>
                <w:sz w:val="24"/>
                <w:szCs w:val="24"/>
                <w:lang w:eastAsia="ru-RU"/>
              </w:rPr>
              <w:t xml:space="preserve">Квартал оплаты (развития) убытков, </w:t>
            </w:r>
            <w:proofErr w:type="spellStart"/>
            <w:r w:rsidRPr="00757775">
              <w:rPr>
                <w:rFonts w:ascii="Times New Roman" w:eastAsia="Times New Roman" w:hAnsi="Times New Roman" w:cs="Times New Roman"/>
                <w:b/>
                <w:bCs/>
                <w:color w:val="000000"/>
                <w:sz w:val="24"/>
                <w:szCs w:val="24"/>
                <w:lang w:eastAsia="ru-RU"/>
              </w:rPr>
              <w:t>j</w:t>
            </w:r>
            <w:proofErr w:type="spellEnd"/>
          </w:p>
        </w:tc>
      </w:tr>
      <w:tr w:rsidR="00DB7C4D" w:rsidRPr="00757775" w:rsidTr="00D71C74">
        <w:trPr>
          <w:trHeight w:val="345"/>
          <w:jc w:val="right"/>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color w:val="000000"/>
                <w:sz w:val="23"/>
                <w:szCs w:val="23"/>
                <w:lang w:eastAsia="ru-RU"/>
              </w:rPr>
            </w:pP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1</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2</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3</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4</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5</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6</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7</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8</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9</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color w:val="000000"/>
                <w:sz w:val="23"/>
                <w:szCs w:val="23"/>
                <w:lang w:eastAsia="ru-RU"/>
              </w:rPr>
            </w:pPr>
            <w:r w:rsidRPr="00757775">
              <w:rPr>
                <w:rFonts w:ascii="Times New Roman" w:eastAsia="Times New Roman" w:hAnsi="Times New Roman" w:cs="Times New Roman"/>
                <w:b/>
                <w:color w:val="000000"/>
                <w:sz w:val="23"/>
                <w:szCs w:val="23"/>
                <w:lang w:eastAsia="ru-RU"/>
              </w:rPr>
              <w:t>10</w:t>
            </w:r>
          </w:p>
        </w:tc>
      </w:tr>
      <w:tr w:rsidR="00DB7C4D" w:rsidRPr="00757775" w:rsidTr="00D71C74">
        <w:trPr>
          <w:trHeight w:val="345"/>
          <w:jc w:val="right"/>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57775">
              <w:rPr>
                <w:rFonts w:ascii="Times New Roman" w:eastAsia="Times New Roman" w:hAnsi="Times New Roman" w:cs="Times New Roman"/>
                <w:b/>
                <w:bCs/>
                <w:color w:val="000000"/>
                <w:sz w:val="24"/>
                <w:szCs w:val="24"/>
                <w:lang w:eastAsia="ru-RU"/>
              </w:rPr>
              <w:t>L</w:t>
            </w:r>
            <w:r w:rsidRPr="00757775">
              <w:rPr>
                <w:rFonts w:ascii="Times New Roman" w:eastAsia="Times New Roman" w:hAnsi="Times New Roman" w:cs="Times New Roman"/>
                <w:b/>
                <w:bCs/>
                <w:color w:val="000000"/>
                <w:sz w:val="24"/>
                <w:szCs w:val="24"/>
                <w:vertAlign w:val="subscript"/>
                <w:lang w:eastAsia="ru-RU"/>
              </w:rPr>
              <w:t>j</w:t>
            </w:r>
            <w:proofErr w:type="spellEnd"/>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0,68912</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0,97984</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0,99379</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0,99550</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0,99889</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0,99988</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0,99991</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0,99993</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0,99995</w:t>
            </w:r>
          </w:p>
        </w:tc>
        <w:tc>
          <w:tcPr>
            <w:tcW w:w="96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0,99997</w:t>
            </w:r>
          </w:p>
        </w:tc>
      </w:tr>
    </w:tbl>
    <w:p w:rsidR="003269D3" w:rsidRPr="00757775" w:rsidRDefault="00DB7C4D" w:rsidP="006065EB">
      <w:pPr>
        <w:spacing w:before="240"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Значения факторов запаздывания, представленные в </w:t>
      </w:r>
      <w:r w:rsidR="006065EB" w:rsidRPr="006065EB">
        <w:rPr>
          <w:rFonts w:ascii="Times New Roman" w:hAnsi="Times New Roman" w:cs="Times New Roman"/>
          <w:sz w:val="28"/>
          <w:szCs w:val="28"/>
        </w:rPr>
        <w:t>табл. 1</w:t>
      </w:r>
      <w:r w:rsidR="00947C78">
        <w:rPr>
          <w:rFonts w:ascii="Times New Roman" w:hAnsi="Times New Roman" w:cs="Times New Roman"/>
          <w:sz w:val="28"/>
          <w:szCs w:val="28"/>
        </w:rPr>
        <w:t>1</w:t>
      </w:r>
      <w:r w:rsidRPr="00757775">
        <w:rPr>
          <w:rFonts w:ascii="Times New Roman" w:hAnsi="Times New Roman" w:cs="Times New Roman"/>
          <w:sz w:val="28"/>
          <w:szCs w:val="28"/>
        </w:rPr>
        <w:t>, свид</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тельствуют о том, что 68,91% совокупной стоимости страховых случаев за квартал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xml:space="preserve"> оплачивается непосредственно в том же квартале, к ко</w:t>
      </w:r>
      <w:r w:rsidRPr="00757775">
        <w:rPr>
          <w:rFonts w:ascii="Times New Roman" w:hAnsi="Times New Roman" w:cs="Times New Roman"/>
          <w:sz w:val="28"/>
          <w:szCs w:val="28"/>
        </w:rPr>
        <w:t>н</w:t>
      </w:r>
      <w:r w:rsidRPr="00757775">
        <w:rPr>
          <w:rFonts w:ascii="Times New Roman" w:hAnsi="Times New Roman" w:cs="Times New Roman"/>
          <w:sz w:val="28"/>
          <w:szCs w:val="28"/>
        </w:rPr>
        <w:t>цу следующего за ним квартала урегулируется еще 29,07% конечного убы</w:t>
      </w:r>
      <w:r w:rsidRPr="00757775">
        <w:rPr>
          <w:rFonts w:ascii="Times New Roman" w:hAnsi="Times New Roman" w:cs="Times New Roman"/>
          <w:sz w:val="28"/>
          <w:szCs w:val="28"/>
        </w:rPr>
        <w:t>т</w:t>
      </w:r>
      <w:r w:rsidRPr="00757775">
        <w:rPr>
          <w:rFonts w:ascii="Times New Roman" w:hAnsi="Times New Roman" w:cs="Times New Roman"/>
          <w:sz w:val="28"/>
          <w:szCs w:val="28"/>
        </w:rPr>
        <w:t xml:space="preserve">ка, а концу третьего квартала оплаты – еще 1,40%. </w:t>
      </w:r>
    </w:p>
    <w:p w:rsidR="003269D3" w:rsidRDefault="00DB7C4D" w:rsidP="003269D3">
      <w:pPr>
        <w:spacing w:before="120" w:after="0" w:line="360" w:lineRule="auto"/>
        <w:jc w:val="center"/>
        <w:rPr>
          <w:rFonts w:ascii="Times New Roman" w:hAnsi="Times New Roman" w:cs="Times New Roman"/>
          <w:i/>
          <w:sz w:val="25"/>
          <w:szCs w:val="25"/>
        </w:rPr>
      </w:pPr>
      <w:r w:rsidRPr="00757775">
        <w:rPr>
          <w:rFonts w:ascii="Times New Roman" w:hAnsi="Times New Roman" w:cs="Times New Roman"/>
          <w:noProof/>
          <w:sz w:val="28"/>
          <w:szCs w:val="28"/>
          <w:lang w:eastAsia="ru-RU"/>
        </w:rPr>
        <w:drawing>
          <wp:inline distT="0" distB="0" distL="0" distR="0">
            <wp:extent cx="4572000" cy="2924175"/>
            <wp:effectExtent l="19050" t="0" r="19050" b="0"/>
            <wp:docPr id="4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137F" w:rsidRDefault="00DB7C4D" w:rsidP="003269D3">
      <w:pPr>
        <w:spacing w:before="120" w:after="0" w:line="360" w:lineRule="auto"/>
        <w:jc w:val="center"/>
        <w:rPr>
          <w:rFonts w:ascii="Times New Roman" w:hAnsi="Times New Roman" w:cs="Times New Roman"/>
          <w:i/>
          <w:sz w:val="26"/>
          <w:szCs w:val="26"/>
        </w:rPr>
      </w:pPr>
      <w:r w:rsidRPr="00FD137F">
        <w:rPr>
          <w:rFonts w:ascii="Times New Roman" w:hAnsi="Times New Roman" w:cs="Times New Roman"/>
          <w:i/>
          <w:sz w:val="26"/>
          <w:szCs w:val="26"/>
        </w:rPr>
        <w:t xml:space="preserve">Рис. </w:t>
      </w:r>
      <w:r w:rsidR="002F57F4" w:rsidRPr="00FD137F">
        <w:rPr>
          <w:rFonts w:ascii="Times New Roman" w:hAnsi="Times New Roman" w:cs="Times New Roman"/>
          <w:i/>
          <w:sz w:val="26"/>
          <w:szCs w:val="26"/>
        </w:rPr>
        <w:t>1</w:t>
      </w:r>
      <w:r w:rsidR="00947C78" w:rsidRPr="00FD137F">
        <w:rPr>
          <w:rFonts w:ascii="Times New Roman" w:hAnsi="Times New Roman" w:cs="Times New Roman"/>
          <w:i/>
          <w:sz w:val="26"/>
          <w:szCs w:val="26"/>
        </w:rPr>
        <w:t>2</w:t>
      </w:r>
      <w:r w:rsidRPr="00FD137F">
        <w:rPr>
          <w:rFonts w:ascii="Times New Roman" w:hAnsi="Times New Roman" w:cs="Times New Roman"/>
          <w:i/>
          <w:sz w:val="26"/>
          <w:szCs w:val="26"/>
        </w:rPr>
        <w:t xml:space="preserve">. Суммарные выплаты и заработанная страховая премия по всем </w:t>
      </w:r>
    </w:p>
    <w:p w:rsidR="00DB7C4D" w:rsidRPr="00FD137F" w:rsidRDefault="00DB7C4D" w:rsidP="00FD137F">
      <w:pPr>
        <w:spacing w:after="0" w:line="360" w:lineRule="auto"/>
        <w:jc w:val="center"/>
        <w:rPr>
          <w:rFonts w:ascii="Times New Roman" w:hAnsi="Times New Roman" w:cs="Times New Roman"/>
          <w:i/>
          <w:sz w:val="26"/>
          <w:szCs w:val="26"/>
        </w:rPr>
      </w:pPr>
      <w:r w:rsidRPr="00FD137F">
        <w:rPr>
          <w:rFonts w:ascii="Times New Roman" w:hAnsi="Times New Roman" w:cs="Times New Roman"/>
          <w:i/>
          <w:sz w:val="26"/>
          <w:szCs w:val="26"/>
        </w:rPr>
        <w:t>кварталам наступления страховых случаев</w:t>
      </w:r>
      <w:r w:rsidR="004B7653">
        <w:rPr>
          <w:rFonts w:ascii="Times New Roman" w:hAnsi="Times New Roman" w:cs="Times New Roman"/>
          <w:i/>
          <w:sz w:val="26"/>
          <w:szCs w:val="26"/>
        </w:rPr>
        <w:t xml:space="preserve"> (4 кв. 2007 г. – 3 кв. 2012 г.)</w:t>
      </w:r>
    </w:p>
    <w:p w:rsidR="00992D68" w:rsidRDefault="00992D68" w:rsidP="00992D68">
      <w:pPr>
        <w:spacing w:before="240"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lastRenderedPageBreak/>
        <w:t>Таким образом, лишь 0,62% претензий остаются неоплаченными по итогам трех первых кварталов развития убытков.</w:t>
      </w:r>
    </w:p>
    <w:p w:rsidR="00DB7C4D" w:rsidRDefault="00DB7C4D" w:rsidP="008918A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Как видно </w:t>
      </w:r>
      <w:proofErr w:type="gramStart"/>
      <w:r w:rsidRPr="00757775">
        <w:rPr>
          <w:rFonts w:ascii="Times New Roman" w:hAnsi="Times New Roman" w:cs="Times New Roman"/>
          <w:sz w:val="28"/>
          <w:szCs w:val="28"/>
        </w:rPr>
        <w:t>из</w:t>
      </w:r>
      <w:proofErr w:type="gramEnd"/>
      <w:r w:rsidRPr="00757775">
        <w:rPr>
          <w:rFonts w:ascii="Times New Roman" w:hAnsi="Times New Roman" w:cs="Times New Roman"/>
          <w:i/>
          <w:sz w:val="28"/>
          <w:szCs w:val="28"/>
        </w:rPr>
        <w:t xml:space="preserve"> </w:t>
      </w:r>
      <w:proofErr w:type="gramStart"/>
      <w:r w:rsidR="006065EB" w:rsidRPr="006065EB">
        <w:rPr>
          <w:rFonts w:ascii="Times New Roman" w:hAnsi="Times New Roman" w:cs="Times New Roman"/>
          <w:sz w:val="28"/>
          <w:szCs w:val="28"/>
        </w:rPr>
        <w:t>рис</w:t>
      </w:r>
      <w:proofErr w:type="gramEnd"/>
      <w:r w:rsidR="006065EB" w:rsidRPr="006065EB">
        <w:rPr>
          <w:rFonts w:ascii="Times New Roman" w:hAnsi="Times New Roman" w:cs="Times New Roman"/>
          <w:sz w:val="28"/>
          <w:szCs w:val="28"/>
        </w:rPr>
        <w:t>. 1</w:t>
      </w:r>
      <w:r w:rsidR="00947C78">
        <w:rPr>
          <w:rFonts w:ascii="Times New Roman" w:hAnsi="Times New Roman" w:cs="Times New Roman"/>
          <w:sz w:val="28"/>
          <w:szCs w:val="28"/>
        </w:rPr>
        <w:t>2</w:t>
      </w:r>
      <w:r w:rsidRPr="00757775">
        <w:rPr>
          <w:rFonts w:ascii="Times New Roman" w:hAnsi="Times New Roman" w:cs="Times New Roman"/>
          <w:sz w:val="28"/>
          <w:szCs w:val="28"/>
        </w:rPr>
        <w:t>,</w:t>
      </w:r>
      <w:r w:rsidRPr="00757775">
        <w:rPr>
          <w:rFonts w:ascii="Times New Roman" w:hAnsi="Times New Roman" w:cs="Times New Roman"/>
          <w:i/>
          <w:sz w:val="28"/>
          <w:szCs w:val="28"/>
        </w:rPr>
        <w:t xml:space="preserve"> </w:t>
      </w:r>
      <w:r w:rsidRPr="00757775">
        <w:rPr>
          <w:rFonts w:ascii="Times New Roman" w:hAnsi="Times New Roman" w:cs="Times New Roman"/>
          <w:sz w:val="28"/>
          <w:szCs w:val="28"/>
        </w:rPr>
        <w:t>величина страховой премии, заработанной ко</w:t>
      </w:r>
      <w:r w:rsidRPr="00757775">
        <w:rPr>
          <w:rFonts w:ascii="Times New Roman" w:hAnsi="Times New Roman" w:cs="Times New Roman"/>
          <w:sz w:val="28"/>
          <w:szCs w:val="28"/>
        </w:rPr>
        <w:t>м</w:t>
      </w:r>
      <w:r w:rsidRPr="00757775">
        <w:rPr>
          <w:rFonts w:ascii="Times New Roman" w:hAnsi="Times New Roman" w:cs="Times New Roman"/>
          <w:sz w:val="28"/>
          <w:szCs w:val="28"/>
        </w:rPr>
        <w:t xml:space="preserve">панией в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w:t>
      </w:r>
      <w:proofErr w:type="spellStart"/>
      <w:r w:rsidRPr="00757775">
        <w:rPr>
          <w:rFonts w:ascii="Times New Roman" w:hAnsi="Times New Roman" w:cs="Times New Roman"/>
          <w:sz w:val="28"/>
          <w:szCs w:val="28"/>
        </w:rPr>
        <w:t>ом</w:t>
      </w:r>
      <w:proofErr w:type="spellEnd"/>
      <w:r w:rsidRPr="00757775">
        <w:rPr>
          <w:rFonts w:ascii="Times New Roman" w:hAnsi="Times New Roman" w:cs="Times New Roman"/>
          <w:sz w:val="28"/>
          <w:szCs w:val="28"/>
        </w:rPr>
        <w:t xml:space="preserve"> квартале наступления убытков, неизменно превышает сов</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купную стоимость страховых случаев за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w:t>
      </w:r>
      <w:proofErr w:type="spellStart"/>
      <w:r w:rsidRPr="00757775">
        <w:rPr>
          <w:rFonts w:ascii="Times New Roman" w:hAnsi="Times New Roman" w:cs="Times New Roman"/>
          <w:sz w:val="28"/>
          <w:szCs w:val="28"/>
        </w:rPr>
        <w:t>ый</w:t>
      </w:r>
      <w:proofErr w:type="spellEnd"/>
      <w:r w:rsidRPr="00757775">
        <w:rPr>
          <w:rFonts w:ascii="Times New Roman" w:hAnsi="Times New Roman" w:cs="Times New Roman"/>
          <w:sz w:val="28"/>
          <w:szCs w:val="28"/>
        </w:rPr>
        <w:t xml:space="preserve"> квартал. Однако в некоторых кварталах это расхождение невелико, что находит отражение в высоких зн</w:t>
      </w:r>
      <w:r w:rsidRPr="00757775">
        <w:rPr>
          <w:rFonts w:ascii="Times New Roman" w:hAnsi="Times New Roman" w:cs="Times New Roman"/>
          <w:sz w:val="28"/>
          <w:szCs w:val="28"/>
        </w:rPr>
        <w:t>а</w:t>
      </w:r>
      <w:r w:rsidRPr="00757775">
        <w:rPr>
          <w:rFonts w:ascii="Times New Roman" w:hAnsi="Times New Roman" w:cs="Times New Roman"/>
          <w:sz w:val="28"/>
          <w:szCs w:val="28"/>
        </w:rPr>
        <w:t>чениях коэффициента оплаченных убытков (</w:t>
      </w:r>
      <w:r w:rsidR="008918AD" w:rsidRPr="008918AD">
        <w:rPr>
          <w:rFonts w:ascii="Times New Roman" w:hAnsi="Times New Roman" w:cs="Times New Roman"/>
          <w:sz w:val="28"/>
          <w:szCs w:val="28"/>
        </w:rPr>
        <w:t>табл. 1</w:t>
      </w:r>
      <w:r w:rsidR="00947C78">
        <w:rPr>
          <w:rFonts w:ascii="Times New Roman" w:hAnsi="Times New Roman" w:cs="Times New Roman"/>
          <w:sz w:val="28"/>
          <w:szCs w:val="28"/>
        </w:rPr>
        <w:t>2</w:t>
      </w:r>
      <w:r w:rsidRPr="00757775">
        <w:rPr>
          <w:rFonts w:ascii="Times New Roman" w:hAnsi="Times New Roman" w:cs="Times New Roman"/>
          <w:sz w:val="28"/>
          <w:szCs w:val="28"/>
        </w:rPr>
        <w:t>), в других же – довол</w:t>
      </w:r>
      <w:r w:rsidRPr="00757775">
        <w:rPr>
          <w:rFonts w:ascii="Times New Roman" w:hAnsi="Times New Roman" w:cs="Times New Roman"/>
          <w:sz w:val="28"/>
          <w:szCs w:val="28"/>
        </w:rPr>
        <w:t>ь</w:t>
      </w:r>
      <w:r w:rsidRPr="00757775">
        <w:rPr>
          <w:rFonts w:ascii="Times New Roman" w:hAnsi="Times New Roman" w:cs="Times New Roman"/>
          <w:sz w:val="28"/>
          <w:szCs w:val="28"/>
        </w:rPr>
        <w:t>но существенно. Так, например, в четвертом квартале 2009 г. указанные п</w:t>
      </w:r>
      <w:r w:rsidRPr="00757775">
        <w:rPr>
          <w:rFonts w:ascii="Times New Roman" w:hAnsi="Times New Roman" w:cs="Times New Roman"/>
          <w:sz w:val="28"/>
          <w:szCs w:val="28"/>
        </w:rPr>
        <w:t>о</w:t>
      </w:r>
      <w:r w:rsidRPr="00757775">
        <w:rPr>
          <w:rFonts w:ascii="Times New Roman" w:hAnsi="Times New Roman" w:cs="Times New Roman"/>
          <w:sz w:val="28"/>
          <w:szCs w:val="28"/>
        </w:rPr>
        <w:t>казатели максимально сближаются – суммарные выплаты составляют 99,73% от величины заработанной премии, тогда как в третьем квартале 2012 г. оц</w:t>
      </w:r>
      <w:r w:rsidRPr="00757775">
        <w:rPr>
          <w:rFonts w:ascii="Times New Roman" w:hAnsi="Times New Roman" w:cs="Times New Roman"/>
          <w:sz w:val="28"/>
          <w:szCs w:val="28"/>
        </w:rPr>
        <w:t>е</w:t>
      </w:r>
      <w:r w:rsidRPr="00757775">
        <w:rPr>
          <w:rFonts w:ascii="Times New Roman" w:hAnsi="Times New Roman" w:cs="Times New Roman"/>
          <w:sz w:val="28"/>
          <w:szCs w:val="28"/>
        </w:rPr>
        <w:t>ненная величина будущих выплат на 22,93% ниже размера заработанной страховой премии.</w:t>
      </w:r>
    </w:p>
    <w:p w:rsidR="00DB7C4D" w:rsidRPr="00FD137F" w:rsidRDefault="00DB7C4D" w:rsidP="008918AD">
      <w:pPr>
        <w:spacing w:after="0" w:line="360" w:lineRule="auto"/>
        <w:jc w:val="right"/>
        <w:rPr>
          <w:rFonts w:ascii="Times New Roman" w:hAnsi="Times New Roman" w:cs="Times New Roman"/>
          <w:i/>
          <w:sz w:val="26"/>
          <w:szCs w:val="26"/>
        </w:rPr>
      </w:pPr>
      <w:r w:rsidRPr="00FD137F">
        <w:rPr>
          <w:rFonts w:ascii="Times New Roman" w:hAnsi="Times New Roman" w:cs="Times New Roman"/>
          <w:i/>
          <w:sz w:val="26"/>
          <w:szCs w:val="26"/>
        </w:rPr>
        <w:t>Таблица 1</w:t>
      </w:r>
      <w:r w:rsidR="00947C78" w:rsidRPr="00FD137F">
        <w:rPr>
          <w:rFonts w:ascii="Times New Roman" w:hAnsi="Times New Roman" w:cs="Times New Roman"/>
          <w:i/>
          <w:sz w:val="26"/>
          <w:szCs w:val="26"/>
        </w:rPr>
        <w:t>2</w:t>
      </w:r>
    </w:p>
    <w:p w:rsidR="00DB7C4D" w:rsidRPr="00FD137F" w:rsidRDefault="00DB7C4D" w:rsidP="008918AD">
      <w:pPr>
        <w:spacing w:after="0" w:line="360" w:lineRule="auto"/>
        <w:jc w:val="center"/>
        <w:rPr>
          <w:rFonts w:ascii="Times New Roman" w:eastAsiaTheme="minorEastAsia" w:hAnsi="Times New Roman" w:cs="Times New Roman"/>
          <w:sz w:val="26"/>
          <w:szCs w:val="26"/>
        </w:rPr>
      </w:pPr>
      <w:r w:rsidRPr="00FD137F">
        <w:rPr>
          <w:rFonts w:ascii="Times New Roman" w:hAnsi="Times New Roman" w:cs="Times New Roman"/>
          <w:i/>
          <w:sz w:val="26"/>
          <w:szCs w:val="26"/>
        </w:rPr>
        <w:t>Коэффициенты оплаченных убытков</w:t>
      </w:r>
      <w:r w:rsidR="004B7653" w:rsidRPr="004B7653">
        <w:rPr>
          <w:rFonts w:ascii="Times New Roman" w:hAnsi="Times New Roman" w:cs="Times New Roman"/>
          <w:i/>
          <w:sz w:val="26"/>
          <w:szCs w:val="26"/>
        </w:rPr>
        <w:t xml:space="preserve"> </w:t>
      </w:r>
      <w:r w:rsidR="004B7653">
        <w:rPr>
          <w:rFonts w:ascii="Times New Roman" w:hAnsi="Times New Roman" w:cs="Times New Roman"/>
          <w:i/>
          <w:sz w:val="26"/>
          <w:szCs w:val="26"/>
        </w:rPr>
        <w:t>согласно методу Борнхуеттера-Фергюсона</w:t>
      </w:r>
    </w:p>
    <w:tbl>
      <w:tblPr>
        <w:tblW w:w="8667" w:type="dxa"/>
        <w:jc w:val="center"/>
        <w:tblInd w:w="422" w:type="dxa"/>
        <w:tblLook w:val="04A0"/>
      </w:tblPr>
      <w:tblGrid>
        <w:gridCol w:w="641"/>
        <w:gridCol w:w="758"/>
        <w:gridCol w:w="758"/>
        <w:gridCol w:w="734"/>
        <w:gridCol w:w="776"/>
        <w:gridCol w:w="776"/>
        <w:gridCol w:w="839"/>
        <w:gridCol w:w="850"/>
        <w:gridCol w:w="851"/>
        <w:gridCol w:w="850"/>
        <w:gridCol w:w="834"/>
      </w:tblGrid>
      <w:tr w:rsidR="00DB7C4D" w:rsidRPr="00757775" w:rsidTr="00777D23">
        <w:trPr>
          <w:trHeight w:val="315"/>
          <w:jc w:val="center"/>
        </w:trPr>
        <w:tc>
          <w:tcPr>
            <w:tcW w:w="6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 </w:t>
            </w:r>
          </w:p>
        </w:tc>
        <w:tc>
          <w:tcPr>
            <w:tcW w:w="802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r w:rsidRPr="00757775">
              <w:rPr>
                <w:rFonts w:ascii="Times New Roman" w:eastAsia="Times New Roman" w:hAnsi="Times New Roman" w:cs="Times New Roman"/>
                <w:b/>
                <w:bCs/>
                <w:color w:val="000000"/>
                <w:sz w:val="24"/>
                <w:szCs w:val="24"/>
                <w:lang w:eastAsia="ru-RU"/>
              </w:rPr>
              <w:t xml:space="preserve">Квартал наступления убытков, </w:t>
            </w:r>
            <w:proofErr w:type="spellStart"/>
            <w:r w:rsidRPr="00757775">
              <w:rPr>
                <w:rFonts w:ascii="Times New Roman" w:eastAsia="Times New Roman" w:hAnsi="Times New Roman" w:cs="Times New Roman"/>
                <w:b/>
                <w:bCs/>
                <w:color w:val="000000"/>
                <w:sz w:val="24"/>
                <w:szCs w:val="24"/>
                <w:lang w:eastAsia="ru-RU"/>
              </w:rPr>
              <w:t>i</w:t>
            </w:r>
            <w:proofErr w:type="spellEnd"/>
          </w:p>
        </w:tc>
      </w:tr>
      <w:tr w:rsidR="00777D23" w:rsidRPr="00757775" w:rsidTr="00777D23">
        <w:trPr>
          <w:trHeight w:val="300"/>
          <w:jc w:val="center"/>
        </w:trPr>
        <w:tc>
          <w:tcPr>
            <w:tcW w:w="641"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color w:val="000000"/>
                <w:sz w:val="23"/>
                <w:szCs w:val="23"/>
                <w:lang w:eastAsia="ru-RU"/>
              </w:rPr>
            </w:pPr>
          </w:p>
        </w:tc>
        <w:tc>
          <w:tcPr>
            <w:tcW w:w="758"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w:t>
            </w:r>
          </w:p>
        </w:tc>
        <w:tc>
          <w:tcPr>
            <w:tcW w:w="758"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w:t>
            </w:r>
          </w:p>
        </w:tc>
        <w:tc>
          <w:tcPr>
            <w:tcW w:w="734"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w:t>
            </w:r>
          </w:p>
        </w:tc>
        <w:tc>
          <w:tcPr>
            <w:tcW w:w="776"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w:t>
            </w:r>
          </w:p>
        </w:tc>
        <w:tc>
          <w:tcPr>
            <w:tcW w:w="776"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5</w:t>
            </w:r>
          </w:p>
        </w:tc>
        <w:tc>
          <w:tcPr>
            <w:tcW w:w="83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w:t>
            </w:r>
          </w:p>
        </w:tc>
        <w:tc>
          <w:tcPr>
            <w:tcW w:w="85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w:t>
            </w:r>
          </w:p>
        </w:tc>
        <w:tc>
          <w:tcPr>
            <w:tcW w:w="851"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w:t>
            </w:r>
          </w:p>
        </w:tc>
        <w:tc>
          <w:tcPr>
            <w:tcW w:w="85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w:t>
            </w:r>
          </w:p>
        </w:tc>
        <w:tc>
          <w:tcPr>
            <w:tcW w:w="834"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w:t>
            </w:r>
          </w:p>
        </w:tc>
      </w:tr>
      <w:tr w:rsidR="00DB7C4D" w:rsidRPr="00757775" w:rsidTr="00777D23">
        <w:trPr>
          <w:trHeight w:val="345"/>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57775">
              <w:rPr>
                <w:rFonts w:ascii="Times New Roman" w:eastAsia="Times New Roman" w:hAnsi="Times New Roman" w:cs="Times New Roman"/>
                <w:b/>
                <w:bCs/>
                <w:color w:val="000000"/>
                <w:sz w:val="23"/>
                <w:szCs w:val="23"/>
                <w:lang w:eastAsia="ru-RU"/>
              </w:rPr>
              <w:t>U</w:t>
            </w:r>
            <w:r w:rsidRPr="00757775">
              <w:rPr>
                <w:rFonts w:ascii="Times New Roman" w:eastAsia="Times New Roman" w:hAnsi="Times New Roman" w:cs="Times New Roman"/>
                <w:b/>
                <w:bCs/>
                <w:color w:val="000000"/>
                <w:sz w:val="23"/>
                <w:szCs w:val="23"/>
                <w:vertAlign w:val="subscript"/>
                <w:lang w:eastAsia="ru-RU"/>
              </w:rPr>
              <w:t>i</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0,975</w:t>
            </w:r>
          </w:p>
        </w:tc>
        <w:tc>
          <w:tcPr>
            <w:tcW w:w="758"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0,889</w:t>
            </w:r>
          </w:p>
        </w:tc>
        <w:tc>
          <w:tcPr>
            <w:tcW w:w="73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0,920</w:t>
            </w:r>
          </w:p>
        </w:tc>
        <w:tc>
          <w:tcPr>
            <w:tcW w:w="77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0,893</w:t>
            </w:r>
          </w:p>
        </w:tc>
        <w:tc>
          <w:tcPr>
            <w:tcW w:w="77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0,919</w:t>
            </w:r>
          </w:p>
        </w:tc>
        <w:tc>
          <w:tcPr>
            <w:tcW w:w="83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0,933</w:t>
            </w:r>
          </w:p>
        </w:tc>
        <w:tc>
          <w:tcPr>
            <w:tcW w:w="85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0,952</w:t>
            </w:r>
          </w:p>
        </w:tc>
        <w:tc>
          <w:tcPr>
            <w:tcW w:w="85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0,903</w:t>
            </w:r>
          </w:p>
        </w:tc>
        <w:tc>
          <w:tcPr>
            <w:tcW w:w="85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0,997</w:t>
            </w:r>
          </w:p>
        </w:tc>
        <w:tc>
          <w:tcPr>
            <w:tcW w:w="83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0,974</w:t>
            </w:r>
          </w:p>
        </w:tc>
      </w:tr>
      <w:tr w:rsidR="00777D23" w:rsidRPr="00757775" w:rsidTr="00777D23">
        <w:trPr>
          <w:trHeight w:val="300"/>
          <w:jc w:val="center"/>
        </w:trPr>
        <w:tc>
          <w:tcPr>
            <w:tcW w:w="641" w:type="dxa"/>
            <w:tcBorders>
              <w:top w:val="nil"/>
              <w:left w:val="single" w:sz="4" w:space="0" w:color="auto"/>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p>
        </w:tc>
        <w:tc>
          <w:tcPr>
            <w:tcW w:w="758"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11</w:t>
            </w:r>
          </w:p>
        </w:tc>
        <w:tc>
          <w:tcPr>
            <w:tcW w:w="758"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w:t>
            </w:r>
          </w:p>
        </w:tc>
        <w:tc>
          <w:tcPr>
            <w:tcW w:w="734"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13</w:t>
            </w:r>
          </w:p>
        </w:tc>
        <w:tc>
          <w:tcPr>
            <w:tcW w:w="776"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w:t>
            </w:r>
          </w:p>
        </w:tc>
        <w:tc>
          <w:tcPr>
            <w:tcW w:w="776"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15</w:t>
            </w:r>
          </w:p>
        </w:tc>
        <w:tc>
          <w:tcPr>
            <w:tcW w:w="83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16</w:t>
            </w:r>
          </w:p>
        </w:tc>
        <w:tc>
          <w:tcPr>
            <w:tcW w:w="85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17</w:t>
            </w:r>
          </w:p>
        </w:tc>
        <w:tc>
          <w:tcPr>
            <w:tcW w:w="851"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18</w:t>
            </w:r>
          </w:p>
        </w:tc>
        <w:tc>
          <w:tcPr>
            <w:tcW w:w="85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19</w:t>
            </w:r>
          </w:p>
        </w:tc>
        <w:tc>
          <w:tcPr>
            <w:tcW w:w="834"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w:t>
            </w:r>
          </w:p>
        </w:tc>
      </w:tr>
      <w:tr w:rsidR="00DB7C4D" w:rsidRPr="00757775" w:rsidTr="00777D23">
        <w:trPr>
          <w:trHeight w:val="345"/>
          <w:jc w:val="center"/>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57775">
              <w:rPr>
                <w:rFonts w:ascii="Times New Roman" w:eastAsia="Times New Roman" w:hAnsi="Times New Roman" w:cs="Times New Roman"/>
                <w:b/>
                <w:bCs/>
                <w:color w:val="000000"/>
                <w:sz w:val="23"/>
                <w:szCs w:val="23"/>
                <w:lang w:eastAsia="ru-RU"/>
              </w:rPr>
              <w:t>U</w:t>
            </w:r>
            <w:r w:rsidRPr="00757775">
              <w:rPr>
                <w:rFonts w:ascii="Times New Roman" w:eastAsia="Times New Roman" w:hAnsi="Times New Roman" w:cs="Times New Roman"/>
                <w:b/>
                <w:bCs/>
                <w:color w:val="000000"/>
                <w:sz w:val="23"/>
                <w:szCs w:val="23"/>
                <w:vertAlign w:val="subscript"/>
                <w:lang w:eastAsia="ru-RU"/>
              </w:rPr>
              <w:t>i</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0,890</w:t>
            </w:r>
          </w:p>
        </w:tc>
        <w:tc>
          <w:tcPr>
            <w:tcW w:w="758"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0,853</w:t>
            </w:r>
          </w:p>
        </w:tc>
        <w:tc>
          <w:tcPr>
            <w:tcW w:w="73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0,880</w:t>
            </w:r>
          </w:p>
        </w:tc>
        <w:tc>
          <w:tcPr>
            <w:tcW w:w="77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0,959</w:t>
            </w:r>
          </w:p>
        </w:tc>
        <w:tc>
          <w:tcPr>
            <w:tcW w:w="77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0,888</w:t>
            </w:r>
          </w:p>
        </w:tc>
        <w:tc>
          <w:tcPr>
            <w:tcW w:w="83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0,895</w:t>
            </w:r>
          </w:p>
        </w:tc>
        <w:tc>
          <w:tcPr>
            <w:tcW w:w="85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0,920</w:t>
            </w:r>
          </w:p>
        </w:tc>
        <w:tc>
          <w:tcPr>
            <w:tcW w:w="85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0,928</w:t>
            </w:r>
          </w:p>
        </w:tc>
        <w:tc>
          <w:tcPr>
            <w:tcW w:w="85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0,920</w:t>
            </w:r>
          </w:p>
        </w:tc>
        <w:tc>
          <w:tcPr>
            <w:tcW w:w="83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0,771</w:t>
            </w:r>
          </w:p>
        </w:tc>
      </w:tr>
    </w:tbl>
    <w:p w:rsidR="00DB7C4D" w:rsidRPr="00757775" w:rsidRDefault="00DB7C4D" w:rsidP="00FD3A17">
      <w:pPr>
        <w:spacing w:before="240"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Ожидаемый коэффициент произошедших убытков, необходимый для оценки ожидаемой величины произошедших убытков по каждому кварталу инцидента, для данной страховой компании составляет 91,30%. Коррект</w:t>
      </w:r>
      <w:r w:rsidRPr="00757775">
        <w:rPr>
          <w:rFonts w:ascii="Times New Roman" w:hAnsi="Times New Roman" w:cs="Times New Roman"/>
          <w:sz w:val="28"/>
          <w:szCs w:val="28"/>
        </w:rPr>
        <w:t>и</w:t>
      </w:r>
      <w:r w:rsidRPr="00757775">
        <w:rPr>
          <w:rFonts w:ascii="Times New Roman" w:hAnsi="Times New Roman" w:cs="Times New Roman"/>
          <w:sz w:val="28"/>
          <w:szCs w:val="28"/>
        </w:rPr>
        <w:t xml:space="preserve">ровка прогнозной величины конечного убытка по страховым случаям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xml:space="preserve">-го </w:t>
      </w:r>
      <w:proofErr w:type="gramStart"/>
      <w:r w:rsidRPr="00757775">
        <w:rPr>
          <w:rFonts w:ascii="Times New Roman" w:hAnsi="Times New Roman" w:cs="Times New Roman"/>
          <w:sz w:val="28"/>
          <w:szCs w:val="28"/>
        </w:rPr>
        <w:t>квартала</w:t>
      </w:r>
      <w:proofErr w:type="gramEnd"/>
      <w:r w:rsidRPr="00757775">
        <w:rPr>
          <w:rFonts w:ascii="Times New Roman" w:hAnsi="Times New Roman" w:cs="Times New Roman"/>
          <w:sz w:val="28"/>
          <w:szCs w:val="28"/>
        </w:rPr>
        <w:t xml:space="preserve"> на сумму осуществленных на отчетную дату платежей позволяет получить суммарную величину произошедших, но неоплаченных к текущему моменту времени убытков. Однако у рассматриваемой страховой организ</w:t>
      </w:r>
      <w:r w:rsidRPr="00757775">
        <w:rPr>
          <w:rFonts w:ascii="Times New Roman" w:hAnsi="Times New Roman" w:cs="Times New Roman"/>
          <w:sz w:val="28"/>
          <w:szCs w:val="28"/>
        </w:rPr>
        <w:t>а</w:t>
      </w:r>
      <w:r w:rsidRPr="00757775">
        <w:rPr>
          <w:rFonts w:ascii="Times New Roman" w:hAnsi="Times New Roman" w:cs="Times New Roman"/>
          <w:sz w:val="28"/>
          <w:szCs w:val="28"/>
        </w:rPr>
        <w:t>ции на дату формирования страховых резервов осталась непогашенной з</w:t>
      </w:r>
      <w:r w:rsidRPr="00757775">
        <w:rPr>
          <w:rFonts w:ascii="Times New Roman" w:hAnsi="Times New Roman" w:cs="Times New Roman"/>
          <w:sz w:val="28"/>
          <w:szCs w:val="28"/>
        </w:rPr>
        <w:t>а</w:t>
      </w:r>
      <w:r w:rsidRPr="00757775">
        <w:rPr>
          <w:rFonts w:ascii="Times New Roman" w:hAnsi="Times New Roman" w:cs="Times New Roman"/>
          <w:sz w:val="28"/>
          <w:szCs w:val="28"/>
        </w:rPr>
        <w:t>долженность по заявленным, но неурегулированным убыткам за три предш</w:t>
      </w:r>
      <w:r w:rsidRPr="00757775">
        <w:rPr>
          <w:rFonts w:ascii="Times New Roman" w:hAnsi="Times New Roman" w:cs="Times New Roman"/>
          <w:sz w:val="28"/>
          <w:szCs w:val="28"/>
        </w:rPr>
        <w:t>е</w:t>
      </w:r>
      <w:r w:rsidRPr="00757775">
        <w:rPr>
          <w:rFonts w:ascii="Times New Roman" w:hAnsi="Times New Roman" w:cs="Times New Roman"/>
          <w:sz w:val="28"/>
          <w:szCs w:val="28"/>
        </w:rPr>
        <w:t>ствующих квартала, которая также должна быть элиминирована в процессе вычисления размера произошедших, но незаявленных убытков (</w:t>
      </w:r>
      <w:r w:rsidR="008918AD" w:rsidRPr="008918AD">
        <w:rPr>
          <w:rFonts w:ascii="Times New Roman" w:hAnsi="Times New Roman" w:cs="Times New Roman"/>
          <w:sz w:val="28"/>
          <w:szCs w:val="28"/>
        </w:rPr>
        <w:t>табл. 1</w:t>
      </w:r>
      <w:r w:rsidR="00947C78">
        <w:rPr>
          <w:rFonts w:ascii="Times New Roman" w:hAnsi="Times New Roman" w:cs="Times New Roman"/>
          <w:sz w:val="28"/>
          <w:szCs w:val="28"/>
        </w:rPr>
        <w:t>3</w:t>
      </w:r>
      <w:r w:rsidRPr="00757775">
        <w:rPr>
          <w:rFonts w:ascii="Times New Roman" w:hAnsi="Times New Roman" w:cs="Times New Roman"/>
          <w:sz w:val="28"/>
          <w:szCs w:val="28"/>
        </w:rPr>
        <w:t xml:space="preserve">). </w:t>
      </w:r>
    </w:p>
    <w:p w:rsidR="00992D68" w:rsidRDefault="00992D68" w:rsidP="008918AD">
      <w:pPr>
        <w:spacing w:after="0" w:line="360" w:lineRule="auto"/>
        <w:jc w:val="right"/>
        <w:rPr>
          <w:rFonts w:ascii="Times New Roman" w:hAnsi="Times New Roman" w:cs="Times New Roman"/>
          <w:i/>
          <w:sz w:val="25"/>
          <w:szCs w:val="25"/>
        </w:rPr>
      </w:pPr>
    </w:p>
    <w:p w:rsidR="00DB7C4D" w:rsidRPr="00FD137F" w:rsidRDefault="00DB7C4D" w:rsidP="008918AD">
      <w:pPr>
        <w:spacing w:after="0" w:line="360" w:lineRule="auto"/>
        <w:jc w:val="right"/>
        <w:rPr>
          <w:rFonts w:ascii="Times New Roman" w:hAnsi="Times New Roman" w:cs="Times New Roman"/>
          <w:i/>
          <w:sz w:val="26"/>
          <w:szCs w:val="26"/>
        </w:rPr>
      </w:pPr>
      <w:r w:rsidRPr="00FD137F">
        <w:rPr>
          <w:rFonts w:ascii="Times New Roman" w:hAnsi="Times New Roman" w:cs="Times New Roman"/>
          <w:i/>
          <w:sz w:val="26"/>
          <w:szCs w:val="26"/>
        </w:rPr>
        <w:lastRenderedPageBreak/>
        <w:t>Таблица 1</w:t>
      </w:r>
      <w:r w:rsidR="00947C78" w:rsidRPr="00FD137F">
        <w:rPr>
          <w:rFonts w:ascii="Times New Roman" w:hAnsi="Times New Roman" w:cs="Times New Roman"/>
          <w:i/>
          <w:sz w:val="26"/>
          <w:szCs w:val="26"/>
        </w:rPr>
        <w:t>3</w:t>
      </w:r>
    </w:p>
    <w:p w:rsidR="00DB7C4D" w:rsidRPr="00FD137F" w:rsidRDefault="00DB7C4D" w:rsidP="008918AD">
      <w:pPr>
        <w:spacing w:after="0" w:line="360" w:lineRule="auto"/>
        <w:jc w:val="center"/>
        <w:rPr>
          <w:rFonts w:ascii="Times New Roman" w:hAnsi="Times New Roman" w:cs="Times New Roman"/>
          <w:i/>
          <w:sz w:val="26"/>
          <w:szCs w:val="26"/>
        </w:rPr>
      </w:pPr>
      <w:r w:rsidRPr="00FD137F">
        <w:rPr>
          <w:rFonts w:ascii="Times New Roman" w:hAnsi="Times New Roman" w:cs="Times New Roman"/>
          <w:i/>
          <w:sz w:val="26"/>
          <w:szCs w:val="26"/>
        </w:rPr>
        <w:t xml:space="preserve">Величины </w:t>
      </w:r>
      <w:proofErr w:type="gramStart"/>
      <w:r w:rsidRPr="00FD137F">
        <w:rPr>
          <w:rFonts w:ascii="Times New Roman" w:hAnsi="Times New Roman" w:cs="Times New Roman"/>
          <w:i/>
          <w:sz w:val="26"/>
          <w:szCs w:val="26"/>
        </w:rPr>
        <w:t>произошедших</w:t>
      </w:r>
      <w:proofErr w:type="gramEnd"/>
      <w:r w:rsidRPr="00FD137F">
        <w:rPr>
          <w:rFonts w:ascii="Times New Roman" w:hAnsi="Times New Roman" w:cs="Times New Roman"/>
          <w:i/>
          <w:sz w:val="26"/>
          <w:szCs w:val="26"/>
        </w:rPr>
        <w:t>, но незаявленных на отчетную дату</w:t>
      </w:r>
    </w:p>
    <w:p w:rsidR="004B7653" w:rsidRDefault="00DB7C4D" w:rsidP="008918AD">
      <w:pPr>
        <w:spacing w:after="0" w:line="360" w:lineRule="auto"/>
        <w:jc w:val="center"/>
        <w:rPr>
          <w:rFonts w:ascii="Times New Roman" w:hAnsi="Times New Roman" w:cs="Times New Roman"/>
          <w:i/>
          <w:sz w:val="26"/>
          <w:szCs w:val="26"/>
        </w:rPr>
      </w:pPr>
      <w:r w:rsidRPr="00FD137F">
        <w:rPr>
          <w:rFonts w:ascii="Times New Roman" w:hAnsi="Times New Roman" w:cs="Times New Roman"/>
          <w:i/>
          <w:sz w:val="26"/>
          <w:szCs w:val="26"/>
        </w:rPr>
        <w:t xml:space="preserve">убытков для каждого </w:t>
      </w:r>
      <w:proofErr w:type="spellStart"/>
      <w:r w:rsidRPr="00FD137F">
        <w:rPr>
          <w:rFonts w:ascii="Times New Roman" w:hAnsi="Times New Roman" w:cs="Times New Roman"/>
          <w:i/>
          <w:sz w:val="26"/>
          <w:szCs w:val="26"/>
          <w:lang w:val="en-GB"/>
        </w:rPr>
        <w:t>i</w:t>
      </w:r>
      <w:proofErr w:type="spellEnd"/>
      <w:r w:rsidRPr="00FD137F">
        <w:rPr>
          <w:rFonts w:ascii="Times New Roman" w:hAnsi="Times New Roman" w:cs="Times New Roman"/>
          <w:i/>
          <w:sz w:val="26"/>
          <w:szCs w:val="26"/>
        </w:rPr>
        <w:t>-го квартала инцидента</w:t>
      </w:r>
      <w:r w:rsidR="004B7653" w:rsidRPr="004B7653">
        <w:rPr>
          <w:rFonts w:ascii="Times New Roman" w:hAnsi="Times New Roman" w:cs="Times New Roman"/>
          <w:i/>
          <w:sz w:val="26"/>
          <w:szCs w:val="26"/>
        </w:rPr>
        <w:t xml:space="preserve"> </w:t>
      </w:r>
    </w:p>
    <w:p w:rsidR="00DB7C4D" w:rsidRPr="00FD137F" w:rsidRDefault="004B7653" w:rsidP="008918AD">
      <w:pPr>
        <w:spacing w:after="0" w:line="360" w:lineRule="auto"/>
        <w:jc w:val="center"/>
        <w:rPr>
          <w:rFonts w:ascii="Times New Roman" w:eastAsiaTheme="minorEastAsia" w:hAnsi="Times New Roman" w:cs="Times New Roman"/>
          <w:sz w:val="26"/>
          <w:szCs w:val="26"/>
        </w:rPr>
      </w:pPr>
      <w:r>
        <w:rPr>
          <w:rFonts w:ascii="Times New Roman" w:hAnsi="Times New Roman" w:cs="Times New Roman"/>
          <w:i/>
          <w:sz w:val="26"/>
          <w:szCs w:val="26"/>
        </w:rPr>
        <w:t>по методу Борнхуеттера-Фергюсона</w:t>
      </w:r>
    </w:p>
    <w:tbl>
      <w:tblPr>
        <w:tblW w:w="9641" w:type="dxa"/>
        <w:jc w:val="right"/>
        <w:tblInd w:w="103" w:type="dxa"/>
        <w:tblLook w:val="04A0"/>
      </w:tblPr>
      <w:tblGrid>
        <w:gridCol w:w="960"/>
        <w:gridCol w:w="1011"/>
        <w:gridCol w:w="1240"/>
        <w:gridCol w:w="1240"/>
        <w:gridCol w:w="1240"/>
        <w:gridCol w:w="1393"/>
        <w:gridCol w:w="1546"/>
        <w:gridCol w:w="1011"/>
      </w:tblGrid>
      <w:tr w:rsidR="00DB7C4D" w:rsidRPr="00757775" w:rsidTr="00D71C74">
        <w:trPr>
          <w:trHeight w:val="315"/>
          <w:jc w:val="right"/>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r w:rsidRPr="00757775">
              <w:rPr>
                <w:rFonts w:ascii="Times New Roman" w:eastAsia="Times New Roman" w:hAnsi="Times New Roman" w:cs="Times New Roman"/>
                <w:color w:val="000000"/>
                <w:lang w:eastAsia="ru-RU"/>
              </w:rPr>
              <w:t>(руб.)</w:t>
            </w:r>
          </w:p>
        </w:tc>
        <w:tc>
          <w:tcPr>
            <w:tcW w:w="86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r w:rsidRPr="00757775">
              <w:rPr>
                <w:rFonts w:ascii="Times New Roman" w:eastAsia="Times New Roman" w:hAnsi="Times New Roman" w:cs="Times New Roman"/>
                <w:b/>
                <w:bCs/>
                <w:color w:val="000000"/>
                <w:sz w:val="24"/>
                <w:szCs w:val="24"/>
                <w:lang w:eastAsia="ru-RU"/>
              </w:rPr>
              <w:t xml:space="preserve">Квартал наступления убытков, </w:t>
            </w:r>
            <w:proofErr w:type="spellStart"/>
            <w:r w:rsidRPr="00757775">
              <w:rPr>
                <w:rFonts w:ascii="Times New Roman" w:eastAsia="Times New Roman" w:hAnsi="Times New Roman" w:cs="Times New Roman"/>
                <w:b/>
                <w:bCs/>
                <w:color w:val="000000"/>
                <w:sz w:val="24"/>
                <w:szCs w:val="24"/>
                <w:lang w:eastAsia="ru-RU"/>
              </w:rPr>
              <w:t>i</w:t>
            </w:r>
            <w:proofErr w:type="spellEnd"/>
          </w:p>
        </w:tc>
      </w:tr>
      <w:tr w:rsidR="00DB7C4D" w:rsidRPr="00757775" w:rsidTr="00D71C74">
        <w:trPr>
          <w:trHeight w:val="300"/>
          <w:jc w:val="right"/>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5</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w:t>
            </w:r>
          </w:p>
        </w:tc>
      </w:tr>
      <w:tr w:rsidR="00DB7C4D" w:rsidRPr="00757775"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57775">
              <w:rPr>
                <w:rFonts w:ascii="Times New Roman" w:eastAsia="Times New Roman" w:hAnsi="Times New Roman" w:cs="Times New Roman"/>
                <w:b/>
                <w:bCs/>
                <w:color w:val="000000"/>
                <w:sz w:val="23"/>
                <w:szCs w:val="23"/>
                <w:lang w:eastAsia="ru-RU"/>
              </w:rPr>
              <w:t>ПНУ</w:t>
            </w:r>
            <w:proofErr w:type="gramStart"/>
            <w:r w:rsidRPr="00757775">
              <w:rPr>
                <w:rFonts w:ascii="Times New Roman" w:eastAsia="Times New Roman" w:hAnsi="Times New Roman" w:cs="Times New Roman"/>
                <w:b/>
                <w:bCs/>
                <w:color w:val="000000"/>
                <w:sz w:val="23"/>
                <w:szCs w:val="23"/>
                <w:vertAlign w:val="subscript"/>
                <w:lang w:eastAsia="ru-RU"/>
              </w:rPr>
              <w:t>i</w:t>
            </w:r>
            <w:proofErr w:type="spellEnd"/>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25 378</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27 320</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29 783</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29 811</w:t>
            </w:r>
          </w:p>
        </w:tc>
      </w:tr>
      <w:tr w:rsidR="00DB7C4D" w:rsidRPr="00757775" w:rsidTr="00D71C74">
        <w:trPr>
          <w:trHeight w:val="300"/>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11</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13</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w:t>
            </w:r>
          </w:p>
        </w:tc>
      </w:tr>
      <w:tr w:rsidR="00DB7C4D" w:rsidRPr="00757775"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57775">
              <w:rPr>
                <w:rFonts w:ascii="Times New Roman" w:eastAsia="Times New Roman" w:hAnsi="Times New Roman" w:cs="Times New Roman"/>
                <w:b/>
                <w:bCs/>
                <w:color w:val="000000"/>
                <w:sz w:val="23"/>
                <w:szCs w:val="23"/>
                <w:lang w:eastAsia="ru-RU"/>
              </w:rPr>
              <w:t>ПНУ</w:t>
            </w:r>
            <w:proofErr w:type="gramStart"/>
            <w:r w:rsidRPr="00757775">
              <w:rPr>
                <w:rFonts w:ascii="Times New Roman" w:eastAsia="Times New Roman" w:hAnsi="Times New Roman" w:cs="Times New Roman"/>
                <w:b/>
                <w:bCs/>
                <w:color w:val="000000"/>
                <w:sz w:val="23"/>
                <w:szCs w:val="23"/>
                <w:vertAlign w:val="subscript"/>
                <w:lang w:eastAsia="ru-RU"/>
              </w:rPr>
              <w:t>i</w:t>
            </w:r>
            <w:proofErr w:type="spellEnd"/>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29 793</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30 127</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30 229</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49 468</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65 451</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79 487</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127 025</w:t>
            </w:r>
          </w:p>
        </w:tc>
      </w:tr>
      <w:tr w:rsidR="00DB7C4D" w:rsidRPr="00757775" w:rsidTr="00D71C74">
        <w:trPr>
          <w:trHeight w:val="345"/>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15</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16</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17</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18</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19</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r>
      <w:tr w:rsidR="00DB7C4D" w:rsidRPr="00757775"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proofErr w:type="spellStart"/>
            <w:r w:rsidRPr="00757775">
              <w:rPr>
                <w:rFonts w:ascii="Times New Roman" w:eastAsia="Times New Roman" w:hAnsi="Times New Roman" w:cs="Times New Roman"/>
                <w:b/>
                <w:bCs/>
                <w:color w:val="000000"/>
                <w:sz w:val="23"/>
                <w:szCs w:val="23"/>
                <w:lang w:eastAsia="ru-RU"/>
              </w:rPr>
              <w:t>ПНУ</w:t>
            </w:r>
            <w:proofErr w:type="gramStart"/>
            <w:r w:rsidRPr="00757775">
              <w:rPr>
                <w:rFonts w:ascii="Times New Roman" w:eastAsia="Times New Roman" w:hAnsi="Times New Roman" w:cs="Times New Roman"/>
                <w:b/>
                <w:bCs/>
                <w:color w:val="000000"/>
                <w:sz w:val="23"/>
                <w:szCs w:val="23"/>
                <w:vertAlign w:val="subscript"/>
                <w:lang w:eastAsia="ru-RU"/>
              </w:rPr>
              <w:t>i</w:t>
            </w:r>
            <w:proofErr w:type="spellEnd"/>
            <w:proofErr w:type="gramEnd"/>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186 460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1 705 179</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6 870 441</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9 744 762</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17 033 951</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376 547 302</w:t>
            </w:r>
          </w:p>
        </w:tc>
        <w:tc>
          <w:tcPr>
            <w:tcW w:w="1011" w:type="dxa"/>
            <w:vMerge/>
            <w:tcBorders>
              <w:top w:val="nil"/>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color w:val="000000"/>
                <w:sz w:val="23"/>
                <w:szCs w:val="23"/>
                <w:lang w:eastAsia="ru-RU"/>
              </w:rPr>
            </w:pPr>
          </w:p>
        </w:tc>
      </w:tr>
    </w:tbl>
    <w:p w:rsidR="00DB7C4D" w:rsidRPr="00757775" w:rsidRDefault="00DB7C4D" w:rsidP="00FC612C">
      <w:pPr>
        <w:spacing w:before="200" w:after="24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Посредством суммирования рассчитанных показателей и корректиро</w:t>
      </w:r>
      <w:r w:rsidRPr="00757775">
        <w:rPr>
          <w:rFonts w:ascii="Times New Roman" w:hAnsi="Times New Roman" w:cs="Times New Roman"/>
          <w:sz w:val="28"/>
          <w:szCs w:val="28"/>
        </w:rPr>
        <w:t>в</w:t>
      </w:r>
      <w:r w:rsidRPr="00757775">
        <w:rPr>
          <w:rFonts w:ascii="Times New Roman" w:hAnsi="Times New Roman" w:cs="Times New Roman"/>
          <w:sz w:val="28"/>
          <w:szCs w:val="28"/>
        </w:rPr>
        <w:t xml:space="preserve">ки полученной суммы на величину расходов по урегулированию убытков в размере 3% находим величину резерва произошедших, но незаявленных убытков по методу Борнхуеттера-Фергюсона, равную </w:t>
      </w:r>
      <w:r w:rsidRPr="00757775">
        <w:rPr>
          <w:rFonts w:ascii="Times New Roman" w:hAnsi="Times New Roman" w:cs="Times New Roman"/>
          <w:b/>
          <w:sz w:val="28"/>
          <w:szCs w:val="28"/>
        </w:rPr>
        <w:t>424 990 326,90 руб.</w:t>
      </w:r>
    </w:p>
    <w:p w:rsidR="00DB7C4D" w:rsidRPr="00757775" w:rsidRDefault="00DB7C4D" w:rsidP="005A3960">
      <w:pPr>
        <w:spacing w:before="240"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t xml:space="preserve">§ 2.4. </w:t>
      </w:r>
      <w:r w:rsidR="008918AD">
        <w:rPr>
          <w:rFonts w:ascii="Times New Roman" w:hAnsi="Times New Roman" w:cs="Times New Roman"/>
          <w:b/>
          <w:sz w:val="28"/>
          <w:szCs w:val="28"/>
        </w:rPr>
        <w:t xml:space="preserve">Определение </w:t>
      </w:r>
      <w:r w:rsidR="00C23B8C">
        <w:rPr>
          <w:rFonts w:ascii="Times New Roman" w:hAnsi="Times New Roman" w:cs="Times New Roman"/>
          <w:b/>
          <w:sz w:val="28"/>
          <w:szCs w:val="28"/>
        </w:rPr>
        <w:t>величины</w:t>
      </w:r>
      <w:r w:rsidR="008918AD">
        <w:rPr>
          <w:rFonts w:ascii="Times New Roman" w:hAnsi="Times New Roman" w:cs="Times New Roman"/>
          <w:b/>
          <w:sz w:val="28"/>
          <w:szCs w:val="28"/>
        </w:rPr>
        <w:t xml:space="preserve"> резерва произошедших, но незаявленных убытков посредством мультипликативного метода</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В основе мультипликативного метода расчета страховых резервов л</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жит предположение о независимости случайных величин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oMath>
      <w:r w:rsidRPr="00757775">
        <w:rPr>
          <w:rFonts w:ascii="Times New Roman" w:eastAsiaTheme="minorEastAsia" w:hAnsi="Times New Roman" w:cs="Times New Roman"/>
          <w:sz w:val="28"/>
          <w:szCs w:val="28"/>
        </w:rPr>
        <w:t xml:space="preserve"> – суммарных выплат в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 развития по убыткам, произошедшим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периоде. Величина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oMath>
      <w:r w:rsidRPr="00757775">
        <w:rPr>
          <w:rFonts w:ascii="Times New Roman" w:eastAsiaTheme="minorEastAsia" w:hAnsi="Times New Roman" w:cs="Times New Roman"/>
          <w:sz w:val="28"/>
          <w:szCs w:val="28"/>
        </w:rPr>
        <w:t xml:space="preserve"> может быть представлена в виде</w:t>
      </w:r>
      <w:proofErr w:type="gramStart"/>
      <w:r w:rsidRPr="00757775">
        <w:rPr>
          <w:rFonts w:ascii="Times New Roman" w:eastAsiaTheme="minorEastAsia" w:hAnsi="Times New Roman" w:cs="Times New Roman"/>
          <w:sz w:val="28"/>
          <w:szCs w:val="28"/>
        </w:rPr>
        <w:t>:</w:t>
      </w:r>
      <w:proofErr w:type="gramEnd"/>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DB7C4D" w:rsidRPr="00757775">
        <w:rPr>
          <w:rFonts w:ascii="Times New Roman" w:eastAsiaTheme="minorEastAsia" w:hAnsi="Times New Roman" w:cs="Times New Roman"/>
          <w:sz w:val="28"/>
          <w:szCs w:val="28"/>
        </w:rPr>
        <w:t>,</w:t>
      </w:r>
    </w:p>
    <w:p w:rsidR="00DB7C4D" w:rsidRPr="00757775" w:rsidRDefault="00DB7C4D" w:rsidP="00DB7C4D">
      <w:pPr>
        <w:tabs>
          <w:tab w:val="left" w:pos="1665"/>
        </w:tabs>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 общая стоимость страховых случаев, наступивших в периоде с ном</w:t>
      </w:r>
      <w:proofErr w:type="spellStart"/>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ром</w:t>
      </w:r>
      <w:proofErr w:type="spellEnd"/>
      <w:r w:rsidRPr="00757775">
        <w:rPr>
          <w:rFonts w:ascii="Times New Roman" w:eastAsiaTheme="minorEastAsia" w:hAnsi="Times New Roman" w:cs="Times New Roman"/>
          <w:sz w:val="28"/>
          <w:szCs w:val="28"/>
        </w:rPr>
        <w:t xml:space="preserve">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
    <w:p w:rsidR="00DB7C4D" w:rsidRPr="00757775" w:rsidRDefault="005F2FF8" w:rsidP="00DB7C4D">
      <w:pPr>
        <w:tabs>
          <w:tab w:val="left" w:pos="1665"/>
        </w:tabs>
        <w:spacing w:after="0" w:line="360" w:lineRule="auto"/>
        <w:ind w:firstLine="454"/>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oMath>
      <w:r w:rsidR="00DB7C4D" w:rsidRPr="00757775">
        <w:rPr>
          <w:rFonts w:ascii="Times New Roman" w:eastAsiaTheme="minorEastAsia" w:hAnsi="Times New Roman" w:cs="Times New Roman"/>
          <w:sz w:val="28"/>
          <w:szCs w:val="28"/>
        </w:rPr>
        <w:t xml:space="preserve"> – доля суммы </w:t>
      </w:r>
      <m:oMath>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oMath>
      <w:r w:rsidR="00DB7C4D" w:rsidRPr="00757775">
        <w:rPr>
          <w:rFonts w:ascii="Times New Roman" w:eastAsiaTheme="minorEastAsia" w:hAnsi="Times New Roman" w:cs="Times New Roman"/>
          <w:sz w:val="28"/>
          <w:szCs w:val="28"/>
        </w:rPr>
        <w:t>, выплаченная в течение финансового периода с ном</w:t>
      </w:r>
      <w:proofErr w:type="spellStart"/>
      <w:r w:rsidR="00DB7C4D" w:rsidRPr="00757775">
        <w:rPr>
          <w:rFonts w:ascii="Times New Roman" w:eastAsiaTheme="minorEastAsia" w:hAnsi="Times New Roman" w:cs="Times New Roman"/>
          <w:sz w:val="28"/>
          <w:szCs w:val="28"/>
        </w:rPr>
        <w:t>е</w:t>
      </w:r>
      <w:r w:rsidR="00DB7C4D" w:rsidRPr="00757775">
        <w:rPr>
          <w:rFonts w:ascii="Times New Roman" w:eastAsiaTheme="minorEastAsia" w:hAnsi="Times New Roman" w:cs="Times New Roman"/>
          <w:sz w:val="28"/>
          <w:szCs w:val="28"/>
        </w:rPr>
        <w:t>ром</w:t>
      </w:r>
      <w:proofErr w:type="spellEnd"/>
      <w:r w:rsidR="00DB7C4D" w:rsidRPr="00757775">
        <w:rPr>
          <w:rFonts w:ascii="Times New Roman" w:eastAsiaTheme="minorEastAsia" w:hAnsi="Times New Roman" w:cs="Times New Roman"/>
          <w:sz w:val="28"/>
          <w:szCs w:val="28"/>
        </w:rPr>
        <w:t xml:space="preserve"> </w:t>
      </w:r>
      <w:r w:rsidR="00DB7C4D" w:rsidRPr="00757775">
        <w:rPr>
          <w:rFonts w:ascii="Times New Roman" w:eastAsiaTheme="minorEastAsia" w:hAnsi="Times New Roman" w:cs="Times New Roman"/>
          <w:i/>
          <w:sz w:val="28"/>
          <w:szCs w:val="28"/>
          <w:lang w:val="en-GB"/>
        </w:rPr>
        <w:t>j</w:t>
      </w:r>
      <w:r w:rsidR="00DB7C4D" w:rsidRPr="00757775">
        <w:rPr>
          <w:rFonts w:ascii="Times New Roman" w:eastAsiaTheme="minorEastAsia" w:hAnsi="Times New Roman" w:cs="Times New Roman"/>
          <w:sz w:val="28"/>
          <w:szCs w:val="28"/>
        </w:rPr>
        <w:t>, причем</w:t>
      </w:r>
      <w:r w:rsidR="00DB7C4D" w:rsidRPr="00757775">
        <w:rPr>
          <w:rFonts w:ascii="Times New Roman" w:eastAsiaTheme="minorEastAsia" w:hAnsi="Times New Roman" w:cs="Times New Roman"/>
          <w:i/>
          <w:sz w:val="28"/>
          <w:szCs w:val="28"/>
        </w:rPr>
        <w:t xml:space="preserve"> </w:t>
      </w:r>
      <w:r w:rsidR="00DB7C4D" w:rsidRPr="00757775">
        <w:rPr>
          <w:rFonts w:ascii="Times New Roman" w:eastAsiaTheme="minorEastAsia" w:hAnsi="Times New Roman" w:cs="Times New Roman"/>
          <w:sz w:val="28"/>
          <w:szCs w:val="28"/>
        </w:rPr>
        <w:t xml:space="preserve">распределение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;j=1,…,n</m:t>
            </m:r>
          </m:e>
        </m:d>
      </m:oMath>
      <w:r w:rsidR="00DB7C4D" w:rsidRPr="00757775">
        <w:rPr>
          <w:rFonts w:ascii="Times New Roman" w:eastAsiaTheme="minorEastAsia" w:hAnsi="Times New Roman" w:cs="Times New Roman"/>
          <w:sz w:val="28"/>
          <w:szCs w:val="28"/>
        </w:rPr>
        <w:t xml:space="preserve"> платежей по </w:t>
      </w:r>
      <w:r w:rsidR="00DB7C4D" w:rsidRPr="00757775">
        <w:rPr>
          <w:rFonts w:ascii="Times New Roman" w:eastAsiaTheme="minorEastAsia" w:hAnsi="Times New Roman" w:cs="Times New Roman"/>
          <w:i/>
          <w:sz w:val="28"/>
          <w:szCs w:val="28"/>
          <w:lang w:val="en-GB"/>
        </w:rPr>
        <w:t>n</w:t>
      </w:r>
      <w:r w:rsidR="00DB7C4D" w:rsidRPr="00757775">
        <w:rPr>
          <w:rFonts w:ascii="Times New Roman" w:eastAsiaTheme="minorEastAsia" w:hAnsi="Times New Roman" w:cs="Times New Roman"/>
          <w:sz w:val="28"/>
          <w:szCs w:val="28"/>
        </w:rPr>
        <w:t xml:space="preserve"> периодам разв</w:t>
      </w:r>
      <w:r w:rsidR="00DB7C4D" w:rsidRPr="00757775">
        <w:rPr>
          <w:rFonts w:ascii="Times New Roman" w:eastAsiaTheme="minorEastAsia" w:hAnsi="Times New Roman" w:cs="Times New Roman"/>
          <w:sz w:val="28"/>
          <w:szCs w:val="28"/>
        </w:rPr>
        <w:t>и</w:t>
      </w:r>
      <w:r w:rsidR="00DB7C4D" w:rsidRPr="00757775">
        <w:rPr>
          <w:rFonts w:ascii="Times New Roman" w:eastAsiaTheme="minorEastAsia" w:hAnsi="Times New Roman" w:cs="Times New Roman"/>
          <w:sz w:val="28"/>
          <w:szCs w:val="28"/>
        </w:rPr>
        <w:t>тия убытков предполагается неизменным для всех периодов наступления страховых случаев.</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Оценивание неизвестных параметров модели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w:t>
      </w:r>
      <w:r w:rsidRPr="00757775">
        <w:rPr>
          <w:rFonts w:ascii="Times New Roman" w:hAnsi="Times New Roman" w:cs="Times New Roman"/>
          <w:sz w:val="28"/>
          <w:szCs w:val="28"/>
        </w:rPr>
        <w:t>производится с помощью метода наименьших квадратов, состоящего в минимизации фун</w:t>
      </w:r>
      <w:r w:rsidRPr="00757775">
        <w:rPr>
          <w:rFonts w:ascii="Times New Roman" w:hAnsi="Times New Roman" w:cs="Times New Roman"/>
          <w:sz w:val="28"/>
          <w:szCs w:val="28"/>
        </w:rPr>
        <w:t>к</w:t>
      </w:r>
      <w:r w:rsidRPr="00757775">
        <w:rPr>
          <w:rFonts w:ascii="Times New Roman" w:hAnsi="Times New Roman" w:cs="Times New Roman"/>
          <w:sz w:val="28"/>
          <w:szCs w:val="28"/>
        </w:rPr>
        <w:t>ционала:</w:t>
      </w:r>
    </w:p>
    <w:p w:rsidR="00DB7C4D" w:rsidRPr="00757775" w:rsidRDefault="00DB7C4D" w:rsidP="00DB7C4D">
      <w:pPr>
        <w:spacing w:after="0" w:line="360" w:lineRule="auto"/>
        <w:jc w:val="center"/>
        <w:rPr>
          <w:rFonts w:ascii="Times New Roman" w:hAnsi="Times New Roman" w:cs="Times New Roman"/>
          <w:i/>
          <w:sz w:val="28"/>
          <w:szCs w:val="28"/>
        </w:rPr>
      </w:pPr>
      <m:oMath>
        <m:r>
          <w:rPr>
            <w:rFonts w:ascii="Cambria Math" w:eastAsiaTheme="minorEastAsia" w:hAnsi="Cambria Math" w:cs="Times New Roman"/>
            <w:sz w:val="28"/>
            <w:szCs w:val="28"/>
            <w:lang w:val="en-GB"/>
          </w:rPr>
          <w:lastRenderedPageBreak/>
          <m:t>F</m:t>
        </m:r>
        <m:r>
          <w:rPr>
            <w:rFonts w:ascii="Cambria Math" w:eastAsiaTheme="minorEastAsia"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lang w:val="en-GB"/>
              </w:rPr>
              <m:t>i</m:t>
            </m:r>
            <m:r>
              <w:rPr>
                <w:rFonts w:ascii="Cambria Math" w:hAnsi="Cambria Math" w:cs="Times New Roman"/>
                <w:sz w:val="28"/>
                <w:szCs w:val="28"/>
              </w:rPr>
              <m:t>,</m:t>
            </m:r>
            <m:r>
              <w:rPr>
                <w:rFonts w:ascii="Cambria Math" w:hAnsi="Cambria Math" w:cs="Times New Roman"/>
                <w:sz w:val="28"/>
                <w:szCs w:val="28"/>
                <w:lang w:val="en-GB"/>
              </w:rPr>
              <m:t>j</m:t>
            </m:r>
          </m:sub>
          <m:sup/>
          <m:e>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ij</m:t>
                </m:r>
              </m:sub>
            </m:sSub>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e>
                </m:d>
              </m:e>
              <m:sup>
                <m:r>
                  <w:rPr>
                    <w:rFonts w:ascii="Cambria Math" w:hAnsi="Cambria Math" w:cs="Times New Roman"/>
                    <w:sz w:val="28"/>
                    <w:szCs w:val="28"/>
                  </w:rPr>
                  <m:t>2</m:t>
                </m:r>
              </m:sup>
            </m:sSup>
            <m:r>
              <w:rPr>
                <w:rFonts w:ascii="Cambria Math" w:hAnsi="Cambria Math" w:cs="Times New Roman"/>
                <w:sz w:val="28"/>
                <w:szCs w:val="28"/>
              </w:rPr>
              <m:t>→min</m:t>
            </m:r>
          </m:e>
        </m:nary>
      </m:oMath>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i=1,…,n</m:t>
        </m:r>
      </m:oMath>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j=1,…,n</m:t>
        </m:r>
      </m:oMath>
      <w:r w:rsidRPr="00757775">
        <w:rPr>
          <w:rFonts w:ascii="Times New Roman" w:eastAsiaTheme="minorEastAsia" w:hAnsi="Times New Roman" w:cs="Times New Roman"/>
          <w:sz w:val="28"/>
          <w:szCs w:val="28"/>
        </w:rPr>
        <w:t>,</w:t>
      </w:r>
    </w:p>
    <w:p w:rsidR="00DB7C4D" w:rsidRPr="00757775" w:rsidRDefault="00DB7C4D" w:rsidP="00DB7C4D">
      <w:pPr>
        <w:tabs>
          <w:tab w:val="left" w:pos="1665"/>
        </w:tabs>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ij</m:t>
            </m:r>
          </m:sub>
        </m:sSub>
      </m:oMath>
      <w:r w:rsidRPr="00757775">
        <w:rPr>
          <w:rFonts w:ascii="Times New Roman" w:eastAsiaTheme="minorEastAsia" w:hAnsi="Times New Roman" w:cs="Times New Roman"/>
          <w:sz w:val="28"/>
          <w:szCs w:val="28"/>
        </w:rPr>
        <w:t xml:space="preserve"> – произвольные веса; по умолчанию они все равны единице, но их значения могут и различаться в зависимости от оцененной актуар</w:t>
      </w:r>
      <w:proofErr w:type="spellStart"/>
      <w:r w:rsidRPr="00757775">
        <w:rPr>
          <w:rFonts w:ascii="Times New Roman" w:eastAsiaTheme="minorEastAsia" w:hAnsi="Times New Roman" w:cs="Times New Roman"/>
          <w:sz w:val="28"/>
          <w:szCs w:val="28"/>
        </w:rPr>
        <w:t>ием</w:t>
      </w:r>
      <w:proofErr w:type="spellEnd"/>
      <w:r w:rsidRPr="00757775">
        <w:rPr>
          <w:rFonts w:ascii="Times New Roman" w:eastAsiaTheme="minorEastAsia" w:hAnsi="Times New Roman" w:cs="Times New Roman"/>
          <w:sz w:val="28"/>
          <w:szCs w:val="28"/>
        </w:rPr>
        <w:t xml:space="preserve"> степени важности, «свежести», надежности и т.д. имеющихся данных</w:t>
      </w:r>
      <w:r w:rsidR="00C32FD5" w:rsidRPr="00C32FD5">
        <w:rPr>
          <w:rFonts w:ascii="Times New Roman" w:eastAsiaTheme="minorEastAsia" w:hAnsi="Times New Roman" w:cs="Times New Roman"/>
          <w:sz w:val="28"/>
          <w:szCs w:val="28"/>
        </w:rPr>
        <w:t xml:space="preserve"> [17]</w:t>
      </w:r>
      <w:r w:rsidRPr="00757775">
        <w:rPr>
          <w:rFonts w:ascii="Times New Roman" w:eastAsiaTheme="minorEastAsia" w:hAnsi="Times New Roman" w:cs="Times New Roman"/>
          <w:sz w:val="28"/>
          <w:szCs w:val="28"/>
        </w:rPr>
        <w:t xml:space="preserve">.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Ниже представлена процедура расчета РПНУ мультипликативным м</w:t>
      </w:r>
      <w:r w:rsidRPr="00757775">
        <w:rPr>
          <w:rFonts w:ascii="Times New Roman" w:hAnsi="Times New Roman" w:cs="Times New Roman"/>
          <w:sz w:val="28"/>
          <w:szCs w:val="28"/>
        </w:rPr>
        <w:t>е</w:t>
      </w:r>
      <w:r w:rsidRPr="00757775">
        <w:rPr>
          <w:rFonts w:ascii="Times New Roman" w:hAnsi="Times New Roman" w:cs="Times New Roman"/>
          <w:sz w:val="28"/>
          <w:szCs w:val="28"/>
        </w:rPr>
        <w:t>тодом:</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1. </w:t>
      </w:r>
      <w:r w:rsidRPr="00757775">
        <w:rPr>
          <w:rFonts w:ascii="Times New Roman" w:hAnsi="Times New Roman" w:cs="Times New Roman"/>
          <w:sz w:val="28"/>
          <w:szCs w:val="28"/>
        </w:rPr>
        <w:t xml:space="preserve">Приравнивание к нулю частных производных первого порядка по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w:t>
      </w:r>
      <w:r w:rsidRPr="00757775">
        <w:rPr>
          <w:rFonts w:ascii="Times New Roman" w:hAnsi="Times New Roman" w:cs="Times New Roman"/>
          <w:sz w:val="28"/>
          <w:szCs w:val="28"/>
        </w:rPr>
        <w:t>позволяет получить следующую систему:</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m:t>
                </m:r>
              </m:sub>
              <m:sup/>
              <m:e>
                <m:sSub>
                  <m:sSubPr>
                    <m:ctrlPr>
                      <w:rPr>
                        <w:rFonts w:ascii="Cambria Math" w:eastAsiaTheme="minorEastAsia" w:hAnsi="Cambria Math" w:cs="Times New Roman"/>
                        <w:i/>
                        <w:sz w:val="28"/>
                        <w:szCs w:val="28"/>
                      </w:rPr>
                    </m:ctrlPr>
                  </m:sSub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ij</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e>
            </m:nary>
          </m:num>
          <m:den>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ij</m:t>
                    </m:r>
                  </m:sub>
                </m:sSub>
              </m:e>
            </m:nary>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up>
                <m:r>
                  <w:rPr>
                    <w:rFonts w:ascii="Cambria Math" w:eastAsiaTheme="minorEastAsia" w:hAnsi="Cambria Math" w:cs="Times New Roman"/>
                    <w:sz w:val="28"/>
                    <w:szCs w:val="28"/>
                  </w:rPr>
                  <m:t>2</m:t>
                </m:r>
              </m:sup>
            </m:sSubSup>
          </m:den>
        </m:f>
      </m:oMath>
      <w:r w:rsidR="00DB7C4D" w:rsidRPr="0075777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ij</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nary>
          </m:num>
          <m:den>
            <m:nary>
              <m:naryPr>
                <m:chr m:val="∑"/>
                <m:limLoc m:val="undOvr"/>
                <m:supHide m:val="on"/>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ω</m:t>
                    </m:r>
                  </m:e>
                  <m:sub>
                    <m:r>
                      <w:rPr>
                        <w:rFonts w:ascii="Cambria Math" w:eastAsiaTheme="minorEastAsia" w:hAnsi="Cambria Math" w:cs="Times New Roman"/>
                        <w:sz w:val="28"/>
                        <w:szCs w:val="28"/>
                      </w:rPr>
                      <m:t>ij</m:t>
                    </m:r>
                  </m:sub>
                </m:sSub>
              </m:e>
            </m:nary>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2</m:t>
                </m:r>
              </m:sup>
            </m:sSubSup>
          </m:den>
        </m:f>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both"/>
        <w:rPr>
          <w:rFonts w:ascii="Times New Roman" w:eastAsiaTheme="minorEastAsia" w:hAnsi="Times New Roman" w:cs="Times New Roman"/>
          <w:sz w:val="28"/>
          <w:szCs w:val="28"/>
        </w:rPr>
      </w:pPr>
      <w:proofErr w:type="gramStart"/>
      <w:r w:rsidRPr="00757775">
        <w:rPr>
          <w:rFonts w:ascii="Times New Roman" w:eastAsiaTheme="minorEastAsia" w:hAnsi="Times New Roman" w:cs="Times New Roman"/>
          <w:sz w:val="28"/>
          <w:szCs w:val="28"/>
        </w:rPr>
        <w:t>которая</w:t>
      </w:r>
      <w:proofErr w:type="gramEnd"/>
      <w:r w:rsidRPr="00757775">
        <w:rPr>
          <w:rFonts w:ascii="Times New Roman" w:eastAsiaTheme="minorEastAsia" w:hAnsi="Times New Roman" w:cs="Times New Roman"/>
          <w:sz w:val="28"/>
          <w:szCs w:val="28"/>
        </w:rPr>
        <w:t xml:space="preserve"> решается методом последовательного приближения после выбора начальных значений вектора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p</m:t>
            </m:r>
          </m:e>
        </m:acc>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m>
              <m:mPr>
                <m:mcs>
                  <m:mc>
                    <m:mcPr>
                      <m:count m:val="4"/>
                      <m:mcJc m:val="center"/>
                    </m:mcPr>
                  </m:mc>
                </m:mcs>
                <m:ctrlPr>
                  <w:rPr>
                    <w:rFonts w:ascii="Cambria Math" w:eastAsiaTheme="minorEastAsia" w:hAnsi="Cambria Math" w:cs="Times New Roman"/>
                    <w:i/>
                    <w:sz w:val="28"/>
                    <w:szCs w:val="28"/>
                  </w:rPr>
                </m:ctrlPr>
              </m:mPr>
              <m:m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1</m:t>
                      </m:r>
                    </m:sub>
                  </m:sSub>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2</m:t>
                      </m:r>
                    </m:sub>
                  </m:sSub>
                </m:e>
                <m:e>
                  <m:r>
                    <w:rPr>
                      <w:rFonts w:ascii="Cambria Math" w:eastAsiaTheme="minorEastAsia" w:hAnsi="Cambria Math" w:cs="Times New Roman"/>
                      <w:sz w:val="28"/>
                      <w:szCs w:val="28"/>
                    </w:rPr>
                    <m:t>⋯</m:t>
                  </m:r>
                  <m:ctrlPr>
                    <w:rPr>
                      <w:rFonts w:ascii="Cambria Math" w:eastAsia="Cambria Math" w:hAnsi="Cambria Math" w:cs="Cambria Math"/>
                      <w:i/>
                      <w:sz w:val="28"/>
                      <w:szCs w:val="28"/>
                    </w:rPr>
                  </m:ctrlPr>
                </m:e>
                <m:e>
                  <m:sSub>
                    <m:sSubPr>
                      <m:ctrlPr>
                        <w:rPr>
                          <w:rFonts w:ascii="Cambria Math" w:eastAsia="Cambria Math" w:hAnsi="Cambria Math" w:cs="Cambria Math"/>
                          <w:i/>
                          <w:sz w:val="28"/>
                          <w:szCs w:val="28"/>
                        </w:rPr>
                      </m:ctrlPr>
                    </m:sSubPr>
                    <m:e>
                      <m:r>
                        <w:rPr>
                          <w:rFonts w:ascii="Cambria Math" w:eastAsia="Cambria Math" w:hAnsi="Cambria Math" w:cs="Cambria Math"/>
                          <w:sz w:val="28"/>
                          <w:szCs w:val="28"/>
                        </w:rPr>
                        <m:t>p</m:t>
                      </m:r>
                    </m:e>
                    <m:sub>
                      <m:r>
                        <w:rPr>
                          <w:rFonts w:ascii="Cambria Math" w:eastAsia="Cambria Math" w:hAnsi="Cambria Math" w:cs="Cambria Math"/>
                          <w:sz w:val="28"/>
                          <w:szCs w:val="28"/>
                        </w:rPr>
                        <m:t>n</m:t>
                      </m:r>
                    </m:sub>
                  </m:sSub>
                </m:e>
              </m:mr>
            </m:m>
          </m:e>
        </m:d>
      </m:oMath>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b/>
          <w:sz w:val="28"/>
          <w:szCs w:val="28"/>
        </w:rPr>
        <w:t xml:space="preserve">Этап 2. </w:t>
      </w:r>
      <w:r w:rsidRPr="00757775">
        <w:rPr>
          <w:rFonts w:ascii="Times New Roman" w:eastAsiaTheme="minorEastAsia" w:hAnsi="Times New Roman" w:cs="Times New Roman"/>
          <w:sz w:val="28"/>
          <w:szCs w:val="28"/>
        </w:rPr>
        <w:t>Недостающие элементы треугольника убытков, расположе</w:t>
      </w:r>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 xml:space="preserve">ные под главной диагональю, оцениваются исходя из итеративно найденных </w:t>
      </w:r>
      <w:proofErr w:type="gramStart"/>
      <w:r w:rsidRPr="00757775">
        <w:rPr>
          <w:rFonts w:ascii="Times New Roman" w:eastAsiaTheme="minorEastAsia" w:hAnsi="Times New Roman" w:cs="Times New Roman"/>
          <w:sz w:val="28"/>
          <w:szCs w:val="28"/>
        </w:rPr>
        <w:t>на</w:t>
      </w:r>
      <w:proofErr w:type="gramEnd"/>
      <w:r w:rsidRPr="00757775">
        <w:rPr>
          <w:rFonts w:ascii="Times New Roman" w:eastAsiaTheme="minorEastAsia" w:hAnsi="Times New Roman" w:cs="Times New Roman"/>
          <w:sz w:val="28"/>
          <w:szCs w:val="28"/>
        </w:rPr>
        <w:t xml:space="preserve"> </w:t>
      </w:r>
      <w:proofErr w:type="gramStart"/>
      <w:r w:rsidRPr="00757775">
        <w:rPr>
          <w:rFonts w:ascii="Times New Roman" w:eastAsiaTheme="minorEastAsia" w:hAnsi="Times New Roman" w:cs="Times New Roman"/>
          <w:sz w:val="28"/>
          <w:szCs w:val="28"/>
        </w:rPr>
        <w:t>предыдущем</w:t>
      </w:r>
      <w:proofErr w:type="gramEnd"/>
      <w:r w:rsidRPr="00757775">
        <w:rPr>
          <w:rFonts w:ascii="Times New Roman" w:eastAsiaTheme="minorEastAsia" w:hAnsi="Times New Roman" w:cs="Times New Roman"/>
          <w:sz w:val="28"/>
          <w:szCs w:val="28"/>
        </w:rPr>
        <w:t xml:space="preserve"> шаге векторов параметров модели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p</m:t>
            </m:r>
          </m:e>
        </m:acc>
      </m:oMath>
      <w:r w:rsidRPr="00757775">
        <w:rPr>
          <w:rFonts w:ascii="Times New Roman" w:eastAsiaTheme="minorEastAsia" w:hAnsi="Times New Roman" w:cs="Times New Roman"/>
          <w:sz w:val="28"/>
          <w:szCs w:val="28"/>
        </w:rPr>
        <w:t xml:space="preserve"> и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x</m:t>
            </m:r>
          </m:e>
        </m:acc>
      </m:oMath>
      <w:r w:rsidRPr="00757775">
        <w:rPr>
          <w:rFonts w:ascii="Times New Roman" w:eastAsiaTheme="minorEastAsia" w:hAnsi="Times New Roman" w:cs="Times New Roman"/>
          <w:sz w:val="28"/>
          <w:szCs w:val="28"/>
        </w:rPr>
        <w:t>:</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acc>
              <m:accPr>
                <m:ctrlPr>
                  <w:rPr>
                    <w:rFonts w:ascii="Cambria Math" w:hAnsi="Cambria Math" w:cs="Times New Roman"/>
                    <w:i/>
                    <w:sz w:val="28"/>
                    <w:szCs w:val="28"/>
                    <w:lang w:val="en-GB"/>
                  </w:rPr>
                </m:ctrlPr>
              </m:accPr>
              <m:e>
                <m:r>
                  <w:rPr>
                    <w:rFonts w:ascii="Cambria Math" w:hAnsi="Cambria Math" w:cs="Times New Roman"/>
                    <w:sz w:val="28"/>
                    <w:szCs w:val="28"/>
                    <w:lang w:val="en-GB"/>
                  </w:rPr>
                  <m:t>y</m:t>
                </m:r>
              </m:e>
            </m:acc>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b/>
          <w:sz w:val="28"/>
          <w:szCs w:val="28"/>
        </w:rPr>
        <w:t xml:space="preserve">Этап 3. </w:t>
      </w:r>
      <w:r w:rsidRPr="00757775">
        <w:rPr>
          <w:rFonts w:ascii="Times New Roman" w:hAnsi="Times New Roman" w:cs="Times New Roman"/>
          <w:sz w:val="28"/>
          <w:szCs w:val="28"/>
        </w:rPr>
        <w:t xml:space="preserve">Резерв для неурегулированных страховых случаев по каждому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w:t>
      </w:r>
      <w:proofErr w:type="spellStart"/>
      <w:r w:rsidRPr="00757775">
        <w:rPr>
          <w:rFonts w:ascii="Times New Roman" w:hAnsi="Times New Roman" w:cs="Times New Roman"/>
          <w:sz w:val="28"/>
          <w:szCs w:val="28"/>
        </w:rPr>
        <w:t>ому</w:t>
      </w:r>
      <w:proofErr w:type="spellEnd"/>
      <w:r w:rsidRPr="00757775">
        <w:rPr>
          <w:rFonts w:ascii="Times New Roman" w:hAnsi="Times New Roman" w:cs="Times New Roman"/>
          <w:sz w:val="28"/>
          <w:szCs w:val="28"/>
        </w:rPr>
        <w:t xml:space="preserve"> периоду зарождения определяется по формуле:</w:t>
      </w:r>
    </w:p>
    <w:p w:rsidR="00DB7C4D" w:rsidRPr="00757775" w:rsidRDefault="005F2FF8" w:rsidP="00DB7C4D">
      <w:pPr>
        <w:spacing w:after="0" w:line="360" w:lineRule="auto"/>
        <w:jc w:val="both"/>
        <w:rPr>
          <w:rFonts w:ascii="Times New Roman" w:eastAsiaTheme="minorEastAsia" w:hAnsi="Times New Roman" w:cs="Times New Roman"/>
          <w:i/>
          <w:sz w:val="28"/>
          <w:szCs w:val="28"/>
          <w:lang w:val="en-GB"/>
        </w:rPr>
      </w:pPr>
      <m:oMathPara>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R</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j=n-i+2</m:t>
              </m:r>
            </m:sub>
            <m:sup>
              <m:r>
                <w:rPr>
                  <w:rFonts w:ascii="Cambria Math" w:eastAsiaTheme="minorEastAsia" w:hAnsi="Cambria Math" w:cs="Times New Roman"/>
                  <w:sz w:val="28"/>
                  <w:szCs w:val="28"/>
                </w:rPr>
                <m:t>n+1</m:t>
              </m:r>
            </m:sup>
            <m:e>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ij</m:t>
                  </m:r>
                </m:sub>
              </m:sSub>
            </m:e>
          </m:nary>
        </m:oMath>
      </m:oMathPara>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b/>
          <w:sz w:val="28"/>
          <w:szCs w:val="28"/>
        </w:rPr>
        <w:t xml:space="preserve">Этап 4. </w:t>
      </w:r>
      <w:r w:rsidRPr="00757775">
        <w:rPr>
          <w:rFonts w:ascii="Times New Roman" w:hAnsi="Times New Roman" w:cs="Times New Roman"/>
          <w:sz w:val="28"/>
          <w:szCs w:val="28"/>
        </w:rPr>
        <w:t>Как и прежде, общий размер РПНУ к концу страхового пери</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да с номером </w:t>
      </w:r>
      <w:r w:rsidRPr="00757775">
        <w:rPr>
          <w:rFonts w:ascii="Times New Roman" w:hAnsi="Times New Roman" w:cs="Times New Roman"/>
          <w:i/>
          <w:sz w:val="28"/>
          <w:szCs w:val="28"/>
          <w:lang w:val="en-GB"/>
        </w:rPr>
        <w:t>n</w:t>
      </w:r>
      <w:r w:rsidRPr="00757775">
        <w:rPr>
          <w:rFonts w:ascii="Times New Roman" w:eastAsiaTheme="minorEastAsia" w:hAnsi="Times New Roman" w:cs="Times New Roman"/>
          <w:sz w:val="28"/>
          <w:szCs w:val="28"/>
        </w:rPr>
        <w:t xml:space="preserve"> вычисляется путем суммирования резервов неурегулирова</w:t>
      </w:r>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ных убытков по всем периодам происшествий:</w:t>
      </w:r>
    </w:p>
    <w:p w:rsidR="00DB7C4D" w:rsidRPr="00757775" w:rsidRDefault="00DB7C4D" w:rsidP="00DB7C4D">
      <w:pPr>
        <w:spacing w:after="0" w:line="360" w:lineRule="auto"/>
        <w:jc w:val="center"/>
        <w:rPr>
          <w:rFonts w:ascii="Times New Roman" w:eastAsiaTheme="minorEastAsia" w:hAnsi="Times New Roman" w:cs="Times New Roman"/>
          <w:i/>
          <w:sz w:val="28"/>
          <w:szCs w:val="28"/>
        </w:rPr>
      </w:pPr>
      <m:oMath>
        <m:r>
          <w:rPr>
            <w:rFonts w:ascii="Cambria Math" w:eastAsiaTheme="minorEastAsia" w:hAnsi="Cambria Math" w:cs="Times New Roman"/>
            <w:sz w:val="28"/>
            <w:szCs w:val="28"/>
            <w:lang w:val="en-US"/>
          </w:rPr>
          <m:t>R</m:t>
        </m:r>
        <m:r>
          <w:rPr>
            <w:rFonts w:ascii="Cambria Math" w:eastAsiaTheme="minorEastAsia" w:hAnsi="Cambria Math" w:cs="Times New Roman"/>
            <w:sz w:val="28"/>
            <w:szCs w:val="28"/>
          </w:rPr>
          <m:t>=</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R</m:t>
                    </m:r>
                  </m:e>
                </m:acc>
              </m:e>
              <m:sub>
                <m:r>
                  <w:rPr>
                    <w:rFonts w:ascii="Cambria Math" w:eastAsiaTheme="minorEastAsia" w:hAnsi="Cambria Math" w:cs="Times New Roman"/>
                    <w:sz w:val="28"/>
                    <w:szCs w:val="28"/>
                  </w:rPr>
                  <m:t>i</m:t>
                </m:r>
              </m:sub>
            </m:sSub>
          </m:e>
        </m:nary>
      </m:oMath>
      <w:r w:rsidRPr="00757775">
        <w:rPr>
          <w:rFonts w:ascii="Times New Roman" w:eastAsiaTheme="minorEastAsia" w:hAnsi="Times New Roman" w:cs="Times New Roman"/>
          <w:i/>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Достоинством мультипликативного метода является то, что для ко</w:t>
      </w:r>
      <w:r w:rsidRPr="00757775">
        <w:rPr>
          <w:rFonts w:ascii="Times New Roman" w:hAnsi="Times New Roman" w:cs="Times New Roman"/>
          <w:sz w:val="28"/>
          <w:szCs w:val="28"/>
        </w:rPr>
        <w:t>р</w:t>
      </w:r>
      <w:r w:rsidRPr="00757775">
        <w:rPr>
          <w:rFonts w:ascii="Times New Roman" w:hAnsi="Times New Roman" w:cs="Times New Roman"/>
          <w:sz w:val="28"/>
          <w:szCs w:val="28"/>
        </w:rPr>
        <w:t>ректной оценки величины страховых резервов не обязательно располагать всей информацией, содержащейся в треугольнике развития. Так, если в о</w:t>
      </w:r>
      <w:r w:rsidRPr="00757775">
        <w:rPr>
          <w:rFonts w:ascii="Times New Roman" w:hAnsi="Times New Roman" w:cs="Times New Roman"/>
          <w:sz w:val="28"/>
          <w:szCs w:val="28"/>
        </w:rPr>
        <w:t>д</w:t>
      </w:r>
      <w:r w:rsidRPr="00757775">
        <w:rPr>
          <w:rFonts w:ascii="Times New Roman" w:hAnsi="Times New Roman" w:cs="Times New Roman"/>
          <w:sz w:val="28"/>
          <w:szCs w:val="28"/>
        </w:rPr>
        <w:t>ном из участвующих в расчете календарных периодов политика урегулир</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вания убытков, проводимая страховой компанией, претерпела существенные </w:t>
      </w:r>
      <w:r w:rsidRPr="00757775">
        <w:rPr>
          <w:rFonts w:ascii="Times New Roman" w:hAnsi="Times New Roman" w:cs="Times New Roman"/>
          <w:sz w:val="28"/>
          <w:szCs w:val="28"/>
        </w:rPr>
        <w:lastRenderedPageBreak/>
        <w:t>изменения, то можно исключить из рассмотрения предыдущие диагонали треугольника без нанесения ущерба точности оценивания РПНУ.</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Модель метода цепной лестницы записывается в виде:</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j</m:t>
            </m:r>
          </m:sub>
        </m:sSub>
      </m:oMath>
      <w:r w:rsidR="00DB7C4D" w:rsidRPr="0075777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lang w:val="en-GB"/>
              </w:rPr>
              <m:t>j</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GB"/>
              </w:rPr>
            </m:ctrlPr>
          </m:dPr>
          <m:e>
            <m:nary>
              <m:naryPr>
                <m:chr m:val="∏"/>
                <m:limLoc m:val="undOvr"/>
                <m:ctrlPr>
                  <w:rPr>
                    <w:rFonts w:ascii="Cambria Math" w:eastAsiaTheme="minorEastAsia" w:hAnsi="Cambria Math" w:cs="Times New Roman"/>
                    <w:i/>
                    <w:sz w:val="28"/>
                    <w:szCs w:val="28"/>
                    <w:lang w:val="en-GB"/>
                  </w:rPr>
                </m:ctrlPr>
              </m:naryPr>
              <m:sub>
                <m:r>
                  <w:rPr>
                    <w:rFonts w:ascii="Cambria Math" w:eastAsiaTheme="minorEastAsia" w:hAnsi="Cambria Math" w:cs="Times New Roman"/>
                    <w:sz w:val="28"/>
                    <w:szCs w:val="28"/>
                    <w:lang w:val="en-GB"/>
                  </w:rPr>
                  <m:t>k</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j</m:t>
                </m:r>
              </m:sub>
              <m:sup>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-1</m:t>
                </m:r>
              </m:sup>
              <m:e>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lang w:val="en-GB"/>
                      </w:rPr>
                      <m:t>k</m:t>
                    </m:r>
                  </m:sub>
                </m:sSub>
              </m:e>
            </m:nary>
          </m:e>
        </m:d>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lang w:val="en-US"/>
              </w:rPr>
              <m:t>n</m:t>
            </m:r>
          </m:sub>
        </m:sSub>
      </m:oMath>
      <w:r w:rsidR="00DB7C4D"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jc w:val="center"/>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откуда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j</m:t>
                </m:r>
              </m:sub>
            </m:sSub>
          </m:den>
        </m:f>
      </m:oMath>
      <w:r w:rsidRPr="00757775">
        <w:rPr>
          <w:rFonts w:ascii="Times New Roman" w:eastAsiaTheme="minorEastAsia" w:hAnsi="Times New Roman" w:cs="Times New Roman"/>
          <w:sz w:val="28"/>
          <w:szCs w:val="28"/>
        </w:rPr>
        <w:t xml:space="preserve">, </w:t>
      </w:r>
    </w:p>
    <w:p w:rsidR="00DB7C4D" w:rsidRPr="00757775" w:rsidRDefault="00DB7C4D" w:rsidP="00DB7C4D">
      <w:pPr>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величина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rPr>
                  <m:t>j</m:t>
                </m:r>
              </m:sub>
            </m:sSub>
          </m:den>
        </m:f>
      </m:oMath>
      <w:r w:rsidRPr="00757775">
        <w:rPr>
          <w:rFonts w:ascii="Times New Roman" w:eastAsiaTheme="minorEastAsia" w:hAnsi="Times New Roman" w:cs="Times New Roman"/>
          <w:sz w:val="28"/>
          <w:szCs w:val="28"/>
        </w:rPr>
        <w:t xml:space="preserve"> – фактор запаздывания из метода Борнхуеттера-Фергюсона – доля конечного убытка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 xml:space="preserve">-го периода зарождения, выплаченная по истечении первых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 xml:space="preserve"> периодов развития.</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Мультипликативная модель с постоянной инфляцией записывается в виде:</w:t>
      </w:r>
    </w:p>
    <w:p w:rsidR="00DB7C4D" w:rsidRPr="00757775" w:rsidRDefault="005F2FF8" w:rsidP="00DB7C4D">
      <w:pPr>
        <w:spacing w:after="0" w:line="36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ij</m:t>
            </m:r>
          </m:sub>
        </m:sSub>
        <m:r>
          <w:rPr>
            <w:rFonts w:ascii="Cambria Math" w:eastAsiaTheme="minorEastAsia" w:hAnsi="Cambria Math" w:cs="Times New Roman"/>
            <w:sz w:val="28"/>
            <w:szCs w:val="28"/>
          </w:rPr>
          <m:t>=</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j</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ik</m:t>
                </m:r>
              </m:sub>
            </m:sSub>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j</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k</m:t>
                    </m:r>
                  </m:sub>
                </m:sSub>
              </m:e>
            </m:nary>
          </m:e>
        </m:d>
      </m:oMath>
      <w:r w:rsidR="00DB7C4D" w:rsidRPr="00757775">
        <w:rPr>
          <w:rFonts w:ascii="Times New Roman" w:eastAsiaTheme="minorEastAsia" w:hAnsi="Times New Roman" w:cs="Times New Roman"/>
          <w:sz w:val="28"/>
          <w:szCs w:val="28"/>
        </w:rPr>
        <w:t>,</w:t>
      </w:r>
    </w:p>
    <w:p w:rsidR="00DB7C4D" w:rsidRPr="00757775" w:rsidRDefault="00DB7C4D" w:rsidP="00DB7C4D">
      <w:pPr>
        <w:tabs>
          <w:tab w:val="left" w:pos="1665"/>
        </w:tabs>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 общая стоимость страховых случаев, наступивших в периоде с ном</w:t>
      </w:r>
      <w:proofErr w:type="spellStart"/>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ром</w:t>
      </w:r>
      <w:proofErr w:type="spellEnd"/>
      <w:r w:rsidRPr="00757775">
        <w:rPr>
          <w:rFonts w:ascii="Times New Roman" w:eastAsiaTheme="minorEastAsia" w:hAnsi="Times New Roman" w:cs="Times New Roman"/>
          <w:sz w:val="28"/>
          <w:szCs w:val="28"/>
        </w:rPr>
        <w:t xml:space="preserve">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 xml:space="preserve">; </w:t>
      </w:r>
      <m:oMath>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j</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k</m:t>
                </m:r>
              </m:sub>
            </m:sSub>
          </m:e>
        </m:nary>
      </m:oMath>
      <w:r w:rsidRPr="00757775">
        <w:rPr>
          <w:rFonts w:ascii="Times New Roman" w:eastAsiaTheme="minorEastAsia" w:hAnsi="Times New Roman" w:cs="Times New Roman"/>
          <w:sz w:val="28"/>
          <w:szCs w:val="28"/>
        </w:rPr>
        <w:t xml:space="preserve"> – ее доля, выплаченная за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 xml:space="preserve"> периодов развития. Пусть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M</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d>
              <m:dPr>
                <m:ctrlPr>
                  <w:rPr>
                    <w:rFonts w:ascii="Cambria Math" w:eastAsiaTheme="minorEastAsia" w:hAnsi="Cambria Math" w:cs="Times New Roman"/>
                    <w:i/>
                    <w:sz w:val="28"/>
                    <w:szCs w:val="28"/>
                  </w:rPr>
                </m:ctrlPr>
              </m:dPr>
              <m:e>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j</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k</m:t>
                        </m:r>
                      </m:sub>
                    </m:sSub>
                  </m:e>
                </m:nary>
              </m:e>
            </m:d>
          </m:den>
        </m:f>
      </m:oMath>
      <w:r w:rsidRPr="00757775">
        <w:rPr>
          <w:rFonts w:ascii="Times New Roman" w:eastAsiaTheme="minorEastAsia" w:hAnsi="Times New Roman" w:cs="Times New Roman"/>
          <w:sz w:val="28"/>
          <w:szCs w:val="28"/>
        </w:rPr>
        <w:t>, тогда мы можем записать</w:t>
      </w:r>
      <w:proofErr w:type="gramStart"/>
      <w:r w:rsidRPr="00757775">
        <w:rPr>
          <w:rFonts w:ascii="Times New Roman" w:eastAsiaTheme="minorEastAsia" w:hAnsi="Times New Roman" w:cs="Times New Roman"/>
          <w:sz w:val="28"/>
          <w:szCs w:val="28"/>
        </w:rPr>
        <w:t>:</w:t>
      </w:r>
      <w:proofErr w:type="gramEnd"/>
    </w:p>
    <w:p w:rsidR="00DB7C4D" w:rsidRPr="00757775" w:rsidRDefault="005F2FF8" w:rsidP="00DB7C4D">
      <w:pPr>
        <w:tabs>
          <w:tab w:val="left" w:pos="1665"/>
        </w:tabs>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j</m:t>
                </m:r>
              </m:sub>
            </m:sSub>
          </m:den>
        </m:f>
      </m:oMath>
      <w:r w:rsidR="00DB7C4D" w:rsidRPr="00757775">
        <w:rPr>
          <w:rFonts w:ascii="Times New Roman" w:eastAsiaTheme="minorEastAsia" w:hAnsi="Times New Roman" w:cs="Times New Roman"/>
          <w:sz w:val="28"/>
          <w:szCs w:val="28"/>
        </w:rPr>
        <w:t>,</w:t>
      </w:r>
    </w:p>
    <w:p w:rsidR="00DB7C4D" w:rsidRPr="00757775" w:rsidRDefault="00DB7C4D" w:rsidP="00DB7C4D">
      <w:pPr>
        <w:tabs>
          <w:tab w:val="left" w:pos="1665"/>
        </w:tabs>
        <w:spacing w:after="0" w:line="360" w:lineRule="auto"/>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что свидетельствует о сходстве указанных методов расчета РПНУ.</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Проиллюстрируем алгоритм мультипликативного метода с помощью анализируемого массива данных об оплаченных на отчетную дату убытках страховой компании</w:t>
      </w:r>
      <w:r w:rsidR="00FC612C">
        <w:rPr>
          <w:rFonts w:ascii="Times New Roman" w:hAnsi="Times New Roman" w:cs="Times New Roman"/>
          <w:sz w:val="28"/>
          <w:szCs w:val="28"/>
        </w:rPr>
        <w:t xml:space="preserve"> (прил. 2)</w:t>
      </w:r>
      <w:r w:rsidRPr="00757775">
        <w:rPr>
          <w:rFonts w:ascii="Times New Roman" w:hAnsi="Times New Roman" w:cs="Times New Roman"/>
          <w:sz w:val="28"/>
          <w:szCs w:val="28"/>
        </w:rPr>
        <w:t xml:space="preserve">.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proofErr w:type="gramStart"/>
      <w:r w:rsidRPr="00757775">
        <w:rPr>
          <w:rFonts w:ascii="Times New Roman" w:hAnsi="Times New Roman" w:cs="Times New Roman"/>
          <w:sz w:val="28"/>
          <w:szCs w:val="28"/>
        </w:rPr>
        <w:t>Трансформируем исходный треугольник развития из кумулятивной формы в обычную, где в ячейках матрицы расположены не аккумулирова</w:t>
      </w:r>
      <w:r w:rsidRPr="00757775">
        <w:rPr>
          <w:rFonts w:ascii="Times New Roman" w:hAnsi="Times New Roman" w:cs="Times New Roman"/>
          <w:sz w:val="28"/>
          <w:szCs w:val="28"/>
        </w:rPr>
        <w:t>н</w:t>
      </w:r>
      <w:r w:rsidRPr="00757775">
        <w:rPr>
          <w:rFonts w:ascii="Times New Roman" w:hAnsi="Times New Roman" w:cs="Times New Roman"/>
          <w:sz w:val="28"/>
          <w:szCs w:val="28"/>
        </w:rPr>
        <w:t xml:space="preserve">ные уровни убытков, а приращения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i,j-1</m:t>
            </m:r>
          </m:sub>
        </m:sSub>
      </m:oMath>
      <w:r w:rsidRPr="00757775">
        <w:rPr>
          <w:rFonts w:ascii="Times New Roman" w:eastAsiaTheme="minorEastAsia" w:hAnsi="Times New Roman" w:cs="Times New Roman"/>
          <w:sz w:val="28"/>
          <w:szCs w:val="28"/>
        </w:rPr>
        <w:t xml:space="preserve"> (причем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i0</m:t>
            </m:r>
          </m:sub>
        </m:sSub>
        <m:r>
          <w:rPr>
            <w:rFonts w:ascii="Cambria Math" w:eastAsiaTheme="minorEastAsia" w:hAnsi="Cambria Math" w:cs="Times New Roman"/>
            <w:sz w:val="28"/>
            <w:szCs w:val="28"/>
          </w:rPr>
          <m:t>=0)</m:t>
        </m:r>
      </m:oMath>
      <w:r w:rsidRPr="00757775">
        <w:rPr>
          <w:rFonts w:ascii="Times New Roman" w:eastAsiaTheme="minorEastAsia" w:hAnsi="Times New Roman" w:cs="Times New Roman"/>
          <w:sz w:val="28"/>
          <w:szCs w:val="28"/>
        </w:rPr>
        <w:t>, пре</w:t>
      </w:r>
      <w:proofErr w:type="spellStart"/>
      <w:r>
        <w:rPr>
          <w:rFonts w:ascii="Times New Roman" w:eastAsiaTheme="minorEastAsia" w:hAnsi="Times New Roman" w:cs="Times New Roman"/>
          <w:sz w:val="28"/>
          <w:szCs w:val="28"/>
        </w:rPr>
        <w:t>д</w:t>
      </w:r>
      <w:r w:rsidRPr="00757775">
        <w:rPr>
          <w:rFonts w:ascii="Times New Roman" w:eastAsiaTheme="minorEastAsia" w:hAnsi="Times New Roman" w:cs="Times New Roman"/>
          <w:sz w:val="28"/>
          <w:szCs w:val="28"/>
        </w:rPr>
        <w:t>ставляющие</w:t>
      </w:r>
      <w:proofErr w:type="spellEnd"/>
      <w:r w:rsidRPr="00757775">
        <w:rPr>
          <w:rFonts w:ascii="Times New Roman" w:eastAsiaTheme="minorEastAsia" w:hAnsi="Times New Roman" w:cs="Times New Roman"/>
          <w:sz w:val="28"/>
          <w:szCs w:val="28"/>
        </w:rPr>
        <w:t xml:space="preserve"> собой суммарные выплаты в </w:t>
      </w:r>
      <w:r w:rsidRPr="00757775">
        <w:rPr>
          <w:rFonts w:ascii="Times New Roman" w:eastAsiaTheme="minorEastAsia" w:hAnsi="Times New Roman" w:cs="Times New Roman"/>
          <w:i/>
          <w:sz w:val="28"/>
          <w:szCs w:val="28"/>
          <w:lang w:val="en-GB"/>
        </w:rPr>
        <w:t>j</w:t>
      </w:r>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квартале развития по страх</w:t>
      </w:r>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 xml:space="preserve">вым случаям, произошедшим в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w:t>
      </w:r>
      <w:proofErr w:type="spellStart"/>
      <w:r w:rsidRPr="00757775">
        <w:rPr>
          <w:rFonts w:ascii="Times New Roman" w:eastAsiaTheme="minorEastAsia" w:hAnsi="Times New Roman" w:cs="Times New Roman"/>
          <w:sz w:val="28"/>
          <w:szCs w:val="28"/>
        </w:rPr>
        <w:t>ом</w:t>
      </w:r>
      <w:proofErr w:type="spellEnd"/>
      <w:r w:rsidRPr="00757775">
        <w:rPr>
          <w:rFonts w:ascii="Times New Roman" w:eastAsiaTheme="minorEastAsia" w:hAnsi="Times New Roman" w:cs="Times New Roman"/>
          <w:sz w:val="28"/>
          <w:szCs w:val="28"/>
        </w:rPr>
        <w:t xml:space="preserve"> квартале инцидента.</w:t>
      </w:r>
      <w:proofErr w:type="gramEnd"/>
      <w:r w:rsidRPr="00757775">
        <w:rPr>
          <w:rFonts w:ascii="Times New Roman" w:eastAsiaTheme="minorEastAsia" w:hAnsi="Times New Roman" w:cs="Times New Roman"/>
          <w:sz w:val="28"/>
          <w:szCs w:val="28"/>
        </w:rPr>
        <w:t xml:space="preserve"> Кроме того, будем исходить из предположения, что все возможные убытки по страховым случ</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ям первого периода (четвертого квартала 2007 г.) уже урегулированы на дату формирования РПНУ, т.е. </w:t>
      </w:r>
      <m:oMath>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y</m:t>
                </m:r>
              </m:e>
            </m:acc>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=0</m:t>
        </m:r>
      </m:oMath>
      <w:r w:rsidRPr="00757775">
        <w:rPr>
          <w:rFonts w:ascii="Times New Roman" w:eastAsiaTheme="minorEastAsia" w:hAnsi="Times New Roman" w:cs="Times New Roman"/>
          <w:sz w:val="28"/>
          <w:szCs w:val="28"/>
        </w:rPr>
        <w:t xml:space="preserve">. Выберем в качестве начальных значений </w:t>
      </w:r>
      <m:oMath>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up>
                <m:r>
                  <w:rPr>
                    <w:rFonts w:ascii="Cambria Math" w:eastAsiaTheme="minorEastAsia" w:hAnsi="Cambria Math" w:cs="Times New Roman"/>
                    <w:sz w:val="28"/>
                    <w:szCs w:val="28"/>
                  </w:rPr>
                  <m:t>0</m:t>
                </m:r>
              </m:sup>
            </m:sSubSup>
            <m:r>
              <w:rPr>
                <w:rFonts w:ascii="Cambria Math" w:eastAsiaTheme="minorEastAsia" w:hAnsi="Cambria Math" w:cs="Times New Roman"/>
                <w:sz w:val="28"/>
                <w:szCs w:val="28"/>
              </w:rPr>
              <m:t>;j=1,…,21</m:t>
            </m:r>
          </m:e>
        </m:d>
      </m:oMath>
      <w:r w:rsidRPr="00757775">
        <w:rPr>
          <w:rFonts w:ascii="Times New Roman" w:eastAsiaTheme="minorEastAsia" w:hAnsi="Times New Roman" w:cs="Times New Roman"/>
          <w:sz w:val="28"/>
          <w:szCs w:val="28"/>
        </w:rPr>
        <w:t xml:space="preserve"> доли конечного убытка четвертого квартала 2007 г., выпл</w:t>
      </w:r>
      <w:proofErr w:type="spellStart"/>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ченные</w:t>
      </w:r>
      <w:proofErr w:type="spellEnd"/>
      <w:r w:rsidRPr="00757775">
        <w:rPr>
          <w:rFonts w:ascii="Times New Roman" w:eastAsiaTheme="minorEastAsia" w:hAnsi="Times New Roman" w:cs="Times New Roman"/>
          <w:sz w:val="28"/>
          <w:szCs w:val="28"/>
        </w:rPr>
        <w:t xml:space="preserve"> в течение последовательности финансовых кварталов (</w:t>
      </w:r>
      <w:r w:rsidR="008918AD" w:rsidRPr="008918AD">
        <w:rPr>
          <w:rFonts w:ascii="Times New Roman" w:eastAsiaTheme="minorEastAsia" w:hAnsi="Times New Roman" w:cs="Times New Roman"/>
          <w:sz w:val="28"/>
          <w:szCs w:val="28"/>
        </w:rPr>
        <w:t>табл. 1</w:t>
      </w:r>
      <w:r w:rsidR="00947C78">
        <w:rPr>
          <w:rFonts w:ascii="Times New Roman" w:eastAsiaTheme="minorEastAsia" w:hAnsi="Times New Roman" w:cs="Times New Roman"/>
          <w:sz w:val="28"/>
          <w:szCs w:val="28"/>
        </w:rPr>
        <w:t>4</w:t>
      </w:r>
      <w:r w:rsidRPr="008918AD">
        <w:rPr>
          <w:rFonts w:ascii="Times New Roman" w:eastAsiaTheme="minorEastAsia" w:hAnsi="Times New Roman" w:cs="Times New Roman"/>
          <w:sz w:val="28"/>
          <w:szCs w:val="28"/>
        </w:rPr>
        <w:t>).</w:t>
      </w:r>
    </w:p>
    <w:p w:rsidR="00DB7C4D" w:rsidRPr="00FD137F" w:rsidRDefault="00DB7C4D" w:rsidP="008918AD">
      <w:pPr>
        <w:spacing w:after="0" w:line="360" w:lineRule="auto"/>
        <w:jc w:val="right"/>
        <w:rPr>
          <w:rFonts w:ascii="Times New Roman" w:hAnsi="Times New Roman" w:cs="Times New Roman"/>
          <w:i/>
          <w:sz w:val="26"/>
          <w:szCs w:val="26"/>
        </w:rPr>
      </w:pPr>
      <w:r w:rsidRPr="00FD137F">
        <w:rPr>
          <w:rFonts w:ascii="Times New Roman" w:hAnsi="Times New Roman" w:cs="Times New Roman"/>
          <w:i/>
          <w:sz w:val="26"/>
          <w:szCs w:val="26"/>
        </w:rPr>
        <w:t>Таблица 1</w:t>
      </w:r>
      <w:r w:rsidR="00947C78" w:rsidRPr="00FD137F">
        <w:rPr>
          <w:rFonts w:ascii="Times New Roman" w:hAnsi="Times New Roman" w:cs="Times New Roman"/>
          <w:i/>
          <w:sz w:val="26"/>
          <w:szCs w:val="26"/>
        </w:rPr>
        <w:t>4</w:t>
      </w:r>
    </w:p>
    <w:p w:rsidR="00DB7C4D" w:rsidRPr="00FD137F" w:rsidRDefault="00DB7C4D" w:rsidP="008918AD">
      <w:pPr>
        <w:spacing w:after="0" w:line="360" w:lineRule="auto"/>
        <w:jc w:val="center"/>
        <w:rPr>
          <w:rFonts w:ascii="Times New Roman" w:eastAsiaTheme="minorEastAsia" w:hAnsi="Times New Roman" w:cs="Times New Roman"/>
          <w:sz w:val="26"/>
          <w:szCs w:val="26"/>
        </w:rPr>
      </w:pPr>
      <w:r w:rsidRPr="00FD137F">
        <w:rPr>
          <w:rFonts w:ascii="Times New Roman" w:hAnsi="Times New Roman" w:cs="Times New Roman"/>
          <w:i/>
          <w:sz w:val="26"/>
          <w:szCs w:val="26"/>
        </w:rPr>
        <w:t xml:space="preserve">Начальные значения </w:t>
      </w:r>
      <m:oMath>
        <m:sSubSup>
          <m:sSubSupPr>
            <m:ctrlPr>
              <w:rPr>
                <w:rFonts w:ascii="Cambria Math" w:hAnsi="Cambria Math" w:cs="Times New Roman"/>
                <w:i/>
                <w:sz w:val="26"/>
                <w:szCs w:val="26"/>
              </w:rPr>
            </m:ctrlPr>
          </m:sSubSupPr>
          <m:e>
            <m:r>
              <w:rPr>
                <w:rFonts w:ascii="Cambria Math" w:hAnsi="Cambria Math" w:cs="Times New Roman"/>
                <w:sz w:val="26"/>
                <w:szCs w:val="26"/>
                <w:lang w:val="en-GB"/>
              </w:rPr>
              <m:t>p</m:t>
            </m:r>
          </m:e>
          <m:sub>
            <m:r>
              <w:rPr>
                <w:rFonts w:ascii="Cambria Math" w:hAnsi="Cambria Math" w:cs="Times New Roman"/>
                <w:sz w:val="26"/>
                <w:szCs w:val="26"/>
              </w:rPr>
              <m:t>j</m:t>
            </m:r>
          </m:sub>
          <m:sup>
            <m:r>
              <w:rPr>
                <w:rFonts w:ascii="Cambria Math" w:hAnsi="Cambria Math" w:cs="Times New Roman"/>
                <w:sz w:val="26"/>
                <w:szCs w:val="26"/>
              </w:rPr>
              <m:t>0</m:t>
            </m:r>
          </m:sup>
        </m:sSubSup>
      </m:oMath>
      <w:r w:rsidR="00FC612C">
        <w:rPr>
          <w:rFonts w:ascii="Times New Roman" w:eastAsiaTheme="minorEastAsia" w:hAnsi="Times New Roman" w:cs="Times New Roman"/>
          <w:i/>
          <w:sz w:val="26"/>
          <w:szCs w:val="26"/>
        </w:rPr>
        <w:t xml:space="preserve"> для мультипликативного метода</w:t>
      </w:r>
    </w:p>
    <w:tbl>
      <w:tblPr>
        <w:tblW w:w="9644" w:type="dxa"/>
        <w:jc w:val="right"/>
        <w:tblInd w:w="103" w:type="dxa"/>
        <w:tblLook w:val="04A0"/>
      </w:tblPr>
      <w:tblGrid>
        <w:gridCol w:w="960"/>
        <w:gridCol w:w="1083"/>
        <w:gridCol w:w="1083"/>
        <w:gridCol w:w="1083"/>
        <w:gridCol w:w="1083"/>
        <w:gridCol w:w="1083"/>
        <w:gridCol w:w="1083"/>
        <w:gridCol w:w="1083"/>
        <w:gridCol w:w="1103"/>
      </w:tblGrid>
      <w:tr w:rsidR="00DB7C4D" w:rsidRPr="00757775" w:rsidTr="0012647D">
        <w:trPr>
          <w:trHeight w:val="300"/>
          <w:jc w:val="right"/>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r w:rsidRPr="00757775">
              <w:rPr>
                <w:rFonts w:ascii="Calibri" w:eastAsia="Times New Roman" w:hAnsi="Calibri" w:cs="Times New Roman"/>
                <w:color w:val="000000"/>
                <w:lang w:eastAsia="ru-RU"/>
              </w:rPr>
              <w:t> </w:t>
            </w:r>
          </w:p>
        </w:tc>
        <w:tc>
          <w:tcPr>
            <w:tcW w:w="8684" w:type="dxa"/>
            <w:gridSpan w:val="8"/>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xml:space="preserve">Квартал оплаты (развития) убытков, </w:t>
            </w:r>
            <w:proofErr w:type="spellStart"/>
            <w:r w:rsidRPr="00757775">
              <w:rPr>
                <w:rFonts w:ascii="Times New Roman" w:eastAsia="Times New Roman" w:hAnsi="Times New Roman" w:cs="Times New Roman"/>
                <w:b/>
                <w:bCs/>
                <w:color w:val="000000"/>
                <w:sz w:val="23"/>
                <w:szCs w:val="23"/>
                <w:lang w:eastAsia="ru-RU"/>
              </w:rPr>
              <w:t>j</w:t>
            </w:r>
            <w:proofErr w:type="spellEnd"/>
          </w:p>
        </w:tc>
      </w:tr>
      <w:tr w:rsidR="00DB7C4D" w:rsidRPr="00757775" w:rsidTr="0012647D">
        <w:trPr>
          <w:trHeight w:val="300"/>
          <w:jc w:val="right"/>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rPr>
                <w:rFonts w:ascii="Calibri" w:eastAsia="Times New Roman" w:hAnsi="Calibri" w:cs="Times New Roman"/>
                <w:color w:val="000000"/>
                <w:lang w:eastAsia="ru-RU"/>
              </w:rPr>
            </w:pP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5</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w:t>
            </w:r>
          </w:p>
        </w:tc>
        <w:tc>
          <w:tcPr>
            <w:tcW w:w="110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w:t>
            </w:r>
          </w:p>
        </w:tc>
      </w:tr>
      <w:tr w:rsidR="00DB7C4D" w:rsidRPr="00757775" w:rsidTr="0012647D">
        <w:trPr>
          <w:trHeight w:val="360"/>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r w:rsidRPr="00757775">
              <w:rPr>
                <w:rFonts w:ascii="Times New Roman" w:eastAsia="Times New Roman" w:hAnsi="Times New Roman" w:cs="Times New Roman"/>
                <w:b/>
                <w:bCs/>
                <w:color w:val="000000"/>
                <w:sz w:val="24"/>
                <w:szCs w:val="24"/>
                <w:lang w:eastAsia="ru-RU"/>
              </w:rPr>
              <w:t>p</w:t>
            </w:r>
            <w:r w:rsidRPr="00757775">
              <w:rPr>
                <w:rFonts w:ascii="Times New Roman" w:eastAsia="Times New Roman" w:hAnsi="Times New Roman" w:cs="Times New Roman"/>
                <w:b/>
                <w:bCs/>
                <w:color w:val="000000"/>
                <w:sz w:val="24"/>
                <w:szCs w:val="24"/>
                <w:vertAlign w:val="subscript"/>
                <w:lang w:eastAsia="ru-RU"/>
              </w:rPr>
              <w:t>j</w:t>
            </w:r>
            <w:r w:rsidRPr="00757775">
              <w:rPr>
                <w:rFonts w:ascii="Times New Roman" w:eastAsia="Times New Roman" w:hAnsi="Times New Roman" w:cs="Times New Roman"/>
                <w:b/>
                <w:bCs/>
                <w:color w:val="000000"/>
                <w:sz w:val="24"/>
                <w:szCs w:val="24"/>
                <w:vertAlign w:val="superscript"/>
                <w:lang w:eastAsia="ru-RU"/>
              </w:rPr>
              <w:t>0</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0,87276</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0,10858</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0,01653</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0,00147</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0,00015</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0,00019</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0,00003</w:t>
            </w:r>
          </w:p>
        </w:tc>
        <w:tc>
          <w:tcPr>
            <w:tcW w:w="110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r>
      <w:tr w:rsidR="00DB7C4D" w:rsidRPr="00757775" w:rsidTr="0012647D">
        <w:trPr>
          <w:trHeight w:val="300"/>
          <w:jc w:val="right"/>
        </w:trPr>
        <w:tc>
          <w:tcPr>
            <w:tcW w:w="960" w:type="dxa"/>
            <w:tcBorders>
              <w:top w:val="nil"/>
              <w:left w:val="single" w:sz="4" w:space="0" w:color="auto"/>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11</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w:t>
            </w:r>
          </w:p>
        </w:tc>
        <w:tc>
          <w:tcPr>
            <w:tcW w:w="108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 (21)</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p>
        </w:tc>
      </w:tr>
      <w:tr w:rsidR="00DB7C4D" w:rsidRPr="00757775" w:rsidTr="0012647D">
        <w:trPr>
          <w:trHeight w:val="360"/>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4"/>
                <w:szCs w:val="24"/>
                <w:lang w:eastAsia="ru-RU"/>
              </w:rPr>
              <w:t>p</w:t>
            </w:r>
            <w:r w:rsidRPr="00757775">
              <w:rPr>
                <w:rFonts w:ascii="Times New Roman" w:eastAsia="Times New Roman" w:hAnsi="Times New Roman" w:cs="Times New Roman"/>
                <w:b/>
                <w:bCs/>
                <w:color w:val="000000"/>
                <w:sz w:val="24"/>
                <w:szCs w:val="24"/>
                <w:vertAlign w:val="subscript"/>
                <w:lang w:eastAsia="ru-RU"/>
              </w:rPr>
              <w:t>j</w:t>
            </w:r>
            <w:r w:rsidRPr="00757775">
              <w:rPr>
                <w:rFonts w:ascii="Times New Roman" w:eastAsia="Times New Roman" w:hAnsi="Times New Roman" w:cs="Times New Roman"/>
                <w:b/>
                <w:bCs/>
                <w:color w:val="000000"/>
                <w:sz w:val="24"/>
                <w:szCs w:val="24"/>
                <w:vertAlign w:val="superscript"/>
                <w:lang w:eastAsia="ru-RU"/>
              </w:rPr>
              <w:t>0</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0,00021</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0,00001</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0,00007</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12647D">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08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103" w:type="dxa"/>
            <w:vMerge/>
            <w:tcBorders>
              <w:top w:val="nil"/>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Calibri" w:eastAsia="Times New Roman" w:hAnsi="Calibri" w:cs="Times New Roman"/>
                <w:color w:val="000000"/>
                <w:lang w:eastAsia="ru-RU"/>
              </w:rPr>
            </w:pPr>
          </w:p>
        </w:tc>
      </w:tr>
    </w:tbl>
    <w:p w:rsidR="00DB7C4D" w:rsidRDefault="00DB7C4D" w:rsidP="008918AD">
      <w:pPr>
        <w:spacing w:before="240"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 xml:space="preserve">На основании принятых отправных значений </w:t>
      </w:r>
      <m:oMath>
        <m:sSubSup>
          <m:sSubSupPr>
            <m:ctrlPr>
              <w:rPr>
                <w:rFonts w:ascii="Cambria Math" w:hAnsi="Cambria Math" w:cs="Times New Roman"/>
                <w:i/>
                <w:sz w:val="28"/>
                <w:szCs w:val="28"/>
              </w:rPr>
            </m:ctrlPr>
          </m:sSubSupPr>
          <m:e>
            <m:r>
              <w:rPr>
                <w:rFonts w:ascii="Cambria Math" w:hAnsi="Cambria Math" w:cs="Times New Roman"/>
                <w:sz w:val="28"/>
                <w:szCs w:val="28"/>
                <w:lang w:val="en-GB"/>
              </w:rPr>
              <m:t>p</m:t>
            </m:r>
          </m:e>
          <m:sub>
            <m:r>
              <w:rPr>
                <w:rFonts w:ascii="Cambria Math" w:hAnsi="Cambria Math" w:cs="Times New Roman"/>
                <w:sz w:val="28"/>
                <w:szCs w:val="28"/>
              </w:rPr>
              <m:t>j</m:t>
            </m:r>
          </m:sub>
          <m:sup>
            <m:r>
              <w:rPr>
                <w:rFonts w:ascii="Cambria Math" w:hAnsi="Cambria Math" w:cs="Times New Roman"/>
                <w:sz w:val="28"/>
                <w:szCs w:val="28"/>
              </w:rPr>
              <m:t>0</m:t>
            </m:r>
          </m:sup>
        </m:sSubSup>
      </m:oMath>
      <w:r w:rsidRPr="00757775">
        <w:rPr>
          <w:rFonts w:ascii="Times New Roman" w:eastAsiaTheme="minorEastAsia" w:hAnsi="Times New Roman" w:cs="Times New Roman"/>
          <w:sz w:val="28"/>
          <w:szCs w:val="28"/>
        </w:rPr>
        <w:t xml:space="preserve"> </w:t>
      </w:r>
      <w:r w:rsidRPr="00757775">
        <w:rPr>
          <w:rFonts w:ascii="Times New Roman" w:hAnsi="Times New Roman" w:cs="Times New Roman"/>
          <w:sz w:val="28"/>
          <w:szCs w:val="28"/>
        </w:rPr>
        <w:t>рассчитываются зн</w:t>
      </w:r>
      <w:r w:rsidRPr="00757775">
        <w:rPr>
          <w:rFonts w:ascii="Times New Roman" w:hAnsi="Times New Roman" w:cs="Times New Roman"/>
          <w:sz w:val="28"/>
          <w:szCs w:val="28"/>
        </w:rPr>
        <w:t>а</w:t>
      </w:r>
      <w:r w:rsidRPr="00757775">
        <w:rPr>
          <w:rFonts w:ascii="Times New Roman" w:hAnsi="Times New Roman" w:cs="Times New Roman"/>
          <w:sz w:val="28"/>
          <w:szCs w:val="28"/>
        </w:rPr>
        <w:t xml:space="preserve">чения </w:t>
      </w:r>
      <m:oMath>
        <m:sSubSup>
          <m:sSubSupPr>
            <m:ctrlPr>
              <w:rPr>
                <w:rFonts w:ascii="Cambria Math" w:hAnsi="Cambria Math" w:cs="Times New Roman"/>
                <w:i/>
                <w:sz w:val="28"/>
                <w:szCs w:val="28"/>
              </w:rPr>
            </m:ctrlPr>
          </m:sSubSupPr>
          <m:e>
            <m:r>
              <w:rPr>
                <w:rFonts w:ascii="Cambria Math" w:hAnsi="Cambria Math" w:cs="Times New Roman"/>
                <w:sz w:val="28"/>
                <w:szCs w:val="28"/>
                <w:lang w:val="en-GB"/>
              </w:rPr>
              <m:t>x</m:t>
            </m:r>
          </m:e>
          <m:sub>
            <m:r>
              <w:rPr>
                <w:rFonts w:ascii="Cambria Math" w:hAnsi="Cambria Math" w:cs="Times New Roman"/>
                <w:sz w:val="28"/>
                <w:szCs w:val="28"/>
              </w:rPr>
              <m:t>j</m:t>
            </m:r>
          </m:sub>
          <m:sup>
            <m:r>
              <w:rPr>
                <w:rFonts w:ascii="Cambria Math" w:hAnsi="Cambria Math" w:cs="Times New Roman"/>
                <w:sz w:val="28"/>
                <w:szCs w:val="28"/>
              </w:rPr>
              <m:t>1</m:t>
            </m:r>
          </m:sup>
        </m:sSubSup>
      </m:oMath>
      <w:r w:rsidRPr="00757775">
        <w:rPr>
          <w:rFonts w:ascii="Times New Roman" w:eastAsiaTheme="minorEastAsia"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GB"/>
              </w:rPr>
              <m:t>p</m:t>
            </m:r>
          </m:e>
          <m:sub>
            <m:r>
              <w:rPr>
                <w:rFonts w:ascii="Cambria Math" w:hAnsi="Cambria Math" w:cs="Times New Roman"/>
                <w:sz w:val="28"/>
                <w:szCs w:val="28"/>
              </w:rPr>
              <m:t>j</m:t>
            </m:r>
          </m:sub>
          <m:sup>
            <m:r>
              <w:rPr>
                <w:rFonts w:ascii="Cambria Math" w:hAnsi="Cambria Math" w:cs="Times New Roman"/>
                <w:sz w:val="28"/>
                <w:szCs w:val="28"/>
              </w:rPr>
              <m:t>1</m:t>
            </m:r>
          </m:sup>
        </m:sSubSup>
      </m:oMath>
      <w:r w:rsidRPr="00757775">
        <w:rPr>
          <w:rFonts w:ascii="Times New Roman" w:eastAsiaTheme="minorEastAsia" w:hAnsi="Times New Roman" w:cs="Times New Roman"/>
          <w:sz w:val="28"/>
          <w:szCs w:val="28"/>
        </w:rPr>
        <w:t>, после чего цикл повторяется требуемое количество раз. В н</w:t>
      </w:r>
      <w:proofErr w:type="spellStart"/>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шем</w:t>
      </w:r>
      <w:proofErr w:type="spellEnd"/>
      <w:r w:rsidRPr="00757775">
        <w:rPr>
          <w:rFonts w:ascii="Times New Roman" w:eastAsiaTheme="minorEastAsia" w:hAnsi="Times New Roman" w:cs="Times New Roman"/>
          <w:sz w:val="28"/>
          <w:szCs w:val="28"/>
        </w:rPr>
        <w:t xml:space="preserve"> случае после всего лишь восьми итераций первые шесть цифр после з</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пятой в выражении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оказываются известн</w:t>
      </w:r>
      <w:proofErr w:type="spellStart"/>
      <w:r w:rsidRPr="00757775">
        <w:rPr>
          <w:rFonts w:ascii="Times New Roman" w:eastAsiaTheme="minorEastAsia" w:hAnsi="Times New Roman" w:cs="Times New Roman"/>
          <w:sz w:val="28"/>
          <w:szCs w:val="28"/>
        </w:rPr>
        <w:t>ыми</w:t>
      </w:r>
      <w:proofErr w:type="spellEnd"/>
      <w:r w:rsidRPr="00757775">
        <w:rPr>
          <w:rFonts w:ascii="Times New Roman" w:eastAsiaTheme="minorEastAsia" w:hAnsi="Times New Roman" w:cs="Times New Roman"/>
          <w:sz w:val="28"/>
          <w:szCs w:val="28"/>
        </w:rPr>
        <w:t xml:space="preserve"> (</w:t>
      </w:r>
      <w:r w:rsidR="008918AD" w:rsidRPr="008918AD">
        <w:rPr>
          <w:rFonts w:ascii="Times New Roman" w:eastAsiaTheme="minorEastAsia" w:hAnsi="Times New Roman" w:cs="Times New Roman"/>
          <w:sz w:val="28"/>
          <w:szCs w:val="28"/>
        </w:rPr>
        <w:t>табл. 1</w:t>
      </w:r>
      <w:r w:rsidR="00947C78">
        <w:rPr>
          <w:rFonts w:ascii="Times New Roman" w:eastAsiaTheme="minorEastAsia" w:hAnsi="Times New Roman" w:cs="Times New Roman"/>
          <w:sz w:val="28"/>
          <w:szCs w:val="28"/>
        </w:rPr>
        <w:t>5)</w:t>
      </w:r>
      <w:r w:rsidRPr="00757775">
        <w:rPr>
          <w:rFonts w:ascii="Times New Roman" w:eastAsiaTheme="minorEastAsia" w:hAnsi="Times New Roman" w:cs="Times New Roman"/>
          <w:sz w:val="28"/>
          <w:szCs w:val="28"/>
        </w:rPr>
        <w:t xml:space="preserve">. </w:t>
      </w:r>
    </w:p>
    <w:p w:rsidR="00DB7C4D" w:rsidRPr="00BB7A25" w:rsidRDefault="00DB7C4D" w:rsidP="008918AD">
      <w:pPr>
        <w:spacing w:after="0" w:line="360" w:lineRule="auto"/>
        <w:jc w:val="right"/>
        <w:rPr>
          <w:rFonts w:ascii="Times New Roman" w:hAnsi="Times New Roman" w:cs="Times New Roman"/>
          <w:i/>
          <w:sz w:val="26"/>
          <w:szCs w:val="26"/>
        </w:rPr>
      </w:pPr>
      <w:r w:rsidRPr="00BB7A25">
        <w:rPr>
          <w:rFonts w:ascii="Times New Roman" w:hAnsi="Times New Roman" w:cs="Times New Roman"/>
          <w:i/>
          <w:sz w:val="26"/>
          <w:szCs w:val="26"/>
        </w:rPr>
        <w:t>Таблица 1</w:t>
      </w:r>
      <w:r w:rsidR="00947C78" w:rsidRPr="00BB7A25">
        <w:rPr>
          <w:rFonts w:ascii="Times New Roman" w:hAnsi="Times New Roman" w:cs="Times New Roman"/>
          <w:i/>
          <w:sz w:val="26"/>
          <w:szCs w:val="26"/>
        </w:rPr>
        <w:t>5</w:t>
      </w:r>
    </w:p>
    <w:p w:rsidR="00DB7C4D" w:rsidRPr="00BB7A25" w:rsidRDefault="00DB7C4D" w:rsidP="008918AD">
      <w:pPr>
        <w:spacing w:after="0" w:line="360" w:lineRule="auto"/>
        <w:jc w:val="center"/>
        <w:rPr>
          <w:rFonts w:ascii="Times New Roman" w:eastAsiaTheme="minorEastAsia" w:hAnsi="Times New Roman" w:cs="Times New Roman"/>
          <w:sz w:val="26"/>
          <w:szCs w:val="26"/>
        </w:rPr>
      </w:pPr>
      <w:r w:rsidRPr="00BB7A25">
        <w:rPr>
          <w:rFonts w:ascii="Times New Roman" w:hAnsi="Times New Roman" w:cs="Times New Roman"/>
          <w:i/>
          <w:sz w:val="26"/>
          <w:szCs w:val="26"/>
        </w:rPr>
        <w:t>Искомые значения</w:t>
      </w:r>
      <w:r w:rsidRPr="00BB7A25">
        <w:rPr>
          <w:rFonts w:ascii="Times New Roman" w:eastAsiaTheme="minorEastAsia" w:hAnsi="Times New Roman" w:cs="Times New Roman"/>
          <w:i/>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lang w:val="en-GB"/>
              </w:rPr>
              <m:t>p</m:t>
            </m:r>
          </m:e>
          <m:sub>
            <m:r>
              <w:rPr>
                <w:rFonts w:ascii="Cambria Math" w:hAnsi="Cambria Math" w:cs="Times New Roman"/>
                <w:sz w:val="26"/>
                <w:szCs w:val="26"/>
              </w:rPr>
              <m:t>j</m:t>
            </m:r>
          </m:sub>
        </m:sSub>
      </m:oMath>
      <w:r w:rsidRPr="00BB7A25">
        <w:rPr>
          <w:rFonts w:ascii="Times New Roman" w:eastAsiaTheme="minorEastAsia" w:hAnsi="Times New Roman" w:cs="Times New Roman"/>
          <w:i/>
          <w:sz w:val="26"/>
          <w:szCs w:val="26"/>
        </w:rPr>
        <w:t xml:space="preserve"> после процедуры последовательного приближения</w:t>
      </w:r>
    </w:p>
    <w:tbl>
      <w:tblPr>
        <w:tblW w:w="10313" w:type="dxa"/>
        <w:jc w:val="right"/>
        <w:tblInd w:w="319" w:type="dxa"/>
        <w:tblLook w:val="04A0"/>
      </w:tblPr>
      <w:tblGrid>
        <w:gridCol w:w="481"/>
        <w:gridCol w:w="1079"/>
        <w:gridCol w:w="1133"/>
        <w:gridCol w:w="1079"/>
        <w:gridCol w:w="1079"/>
        <w:gridCol w:w="1079"/>
        <w:gridCol w:w="1091"/>
        <w:gridCol w:w="1134"/>
        <w:gridCol w:w="1079"/>
        <w:gridCol w:w="1079"/>
      </w:tblGrid>
      <w:tr w:rsidR="00DB7C4D" w:rsidRPr="00757775" w:rsidTr="00BB7A25">
        <w:trPr>
          <w:trHeight w:val="300"/>
          <w:jc w:val="right"/>
        </w:trPr>
        <w:tc>
          <w:tcPr>
            <w:tcW w:w="4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r w:rsidRPr="00757775">
              <w:rPr>
                <w:rFonts w:ascii="Calibri" w:eastAsia="Times New Roman" w:hAnsi="Calibri" w:cs="Times New Roman"/>
                <w:color w:val="000000"/>
                <w:lang w:eastAsia="ru-RU"/>
              </w:rPr>
              <w:t> </w:t>
            </w:r>
          </w:p>
        </w:tc>
        <w:tc>
          <w:tcPr>
            <w:tcW w:w="9832" w:type="dxa"/>
            <w:gridSpan w:val="9"/>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xml:space="preserve">Квартал оплаты (развития) убытков, </w:t>
            </w:r>
            <w:proofErr w:type="spellStart"/>
            <w:r w:rsidRPr="00757775">
              <w:rPr>
                <w:rFonts w:ascii="Times New Roman" w:eastAsia="Times New Roman" w:hAnsi="Times New Roman" w:cs="Times New Roman"/>
                <w:b/>
                <w:bCs/>
                <w:color w:val="000000"/>
                <w:sz w:val="23"/>
                <w:szCs w:val="23"/>
                <w:lang w:eastAsia="ru-RU"/>
              </w:rPr>
              <w:t>j</w:t>
            </w:r>
            <w:proofErr w:type="spellEnd"/>
          </w:p>
        </w:tc>
      </w:tr>
      <w:tr w:rsidR="001025D9" w:rsidRPr="00757775" w:rsidTr="00BB7A25">
        <w:trPr>
          <w:trHeight w:val="300"/>
          <w:jc w:val="right"/>
        </w:trPr>
        <w:tc>
          <w:tcPr>
            <w:tcW w:w="481"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rPr>
                <w:rFonts w:ascii="Calibri" w:eastAsia="Times New Roman" w:hAnsi="Calibri" w:cs="Times New Roman"/>
                <w:color w:val="000000"/>
                <w:lang w:eastAsia="ru-RU"/>
              </w:rPr>
            </w:pP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w:t>
            </w:r>
          </w:p>
        </w:tc>
        <w:tc>
          <w:tcPr>
            <w:tcW w:w="113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5</w:t>
            </w:r>
          </w:p>
        </w:tc>
        <w:tc>
          <w:tcPr>
            <w:tcW w:w="1091"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w:t>
            </w:r>
          </w:p>
        </w:tc>
        <w:tc>
          <w:tcPr>
            <w:tcW w:w="1134"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w:t>
            </w:r>
          </w:p>
        </w:tc>
      </w:tr>
      <w:tr w:rsidR="001025D9" w:rsidRPr="00757775" w:rsidTr="00BB7A25">
        <w:trPr>
          <w:trHeight w:val="360"/>
          <w:jc w:val="right"/>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p</w:t>
            </w:r>
            <w:r w:rsidRPr="00757775">
              <w:rPr>
                <w:rFonts w:ascii="Times New Roman" w:eastAsia="Times New Roman" w:hAnsi="Times New Roman" w:cs="Times New Roman"/>
                <w:b/>
                <w:bCs/>
                <w:color w:val="000000"/>
                <w:sz w:val="23"/>
                <w:szCs w:val="23"/>
                <w:vertAlign w:val="subscript"/>
                <w:lang w:eastAsia="ru-RU"/>
              </w:rPr>
              <w:t>j</w:t>
            </w:r>
            <w:r w:rsidRPr="00757775">
              <w:rPr>
                <w:rFonts w:ascii="Times New Roman" w:eastAsia="Times New Roman" w:hAnsi="Times New Roman" w:cs="Times New Roman"/>
                <w:b/>
                <w:bCs/>
                <w:color w:val="000000"/>
                <w:sz w:val="23"/>
                <w:szCs w:val="23"/>
                <w:vertAlign w:val="superscript"/>
                <w:lang w:eastAsia="ru-RU"/>
              </w:rPr>
              <w:t>8</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0,844843</w:t>
            </w:r>
          </w:p>
        </w:tc>
        <w:tc>
          <w:tcPr>
            <w:tcW w:w="113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0,309579</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0,015944</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0,001944</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0,003488</w:t>
            </w:r>
          </w:p>
        </w:tc>
        <w:tc>
          <w:tcPr>
            <w:tcW w:w="109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0,001207</w:t>
            </w:r>
          </w:p>
        </w:tc>
        <w:tc>
          <w:tcPr>
            <w:tcW w:w="113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0,000036</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0,000030</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0,000026</w:t>
            </w:r>
          </w:p>
        </w:tc>
      </w:tr>
      <w:tr w:rsidR="001025D9" w:rsidRPr="00757775" w:rsidTr="00BB7A25">
        <w:trPr>
          <w:trHeight w:val="300"/>
          <w:jc w:val="right"/>
        </w:trPr>
        <w:tc>
          <w:tcPr>
            <w:tcW w:w="481" w:type="dxa"/>
            <w:tcBorders>
              <w:top w:val="nil"/>
              <w:left w:val="single" w:sz="4" w:space="0" w:color="auto"/>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w:t>
            </w:r>
          </w:p>
        </w:tc>
        <w:tc>
          <w:tcPr>
            <w:tcW w:w="1133"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11</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17</w:t>
            </w:r>
          </w:p>
        </w:tc>
        <w:tc>
          <w:tcPr>
            <w:tcW w:w="1091"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18</w:t>
            </w:r>
          </w:p>
        </w:tc>
        <w:tc>
          <w:tcPr>
            <w:tcW w:w="1134"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19</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 (21)</w:t>
            </w:r>
          </w:p>
        </w:tc>
      </w:tr>
      <w:tr w:rsidR="001025D9" w:rsidRPr="00757775" w:rsidTr="00BB7A25">
        <w:trPr>
          <w:trHeight w:val="360"/>
          <w:jc w:val="right"/>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p</w:t>
            </w:r>
            <w:r w:rsidRPr="00757775">
              <w:rPr>
                <w:rFonts w:ascii="Times New Roman" w:eastAsia="Times New Roman" w:hAnsi="Times New Roman" w:cs="Times New Roman"/>
                <w:b/>
                <w:bCs/>
                <w:color w:val="000000"/>
                <w:sz w:val="23"/>
                <w:szCs w:val="23"/>
                <w:vertAlign w:val="subscript"/>
                <w:lang w:eastAsia="ru-RU"/>
              </w:rPr>
              <w:t>j</w:t>
            </w:r>
            <w:r w:rsidRPr="00757775">
              <w:rPr>
                <w:rFonts w:ascii="Times New Roman" w:eastAsia="Times New Roman" w:hAnsi="Times New Roman" w:cs="Times New Roman"/>
                <w:b/>
                <w:bCs/>
                <w:color w:val="000000"/>
                <w:sz w:val="23"/>
                <w:szCs w:val="23"/>
                <w:vertAlign w:val="superscript"/>
                <w:lang w:eastAsia="ru-RU"/>
              </w:rPr>
              <w:t>8</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0,000014</w:t>
            </w:r>
          </w:p>
        </w:tc>
        <w:tc>
          <w:tcPr>
            <w:tcW w:w="113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0,000014</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0,000002</w:t>
            </w:r>
          </w:p>
        </w:tc>
        <w:tc>
          <w:tcPr>
            <w:tcW w:w="109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0,000024</w:t>
            </w:r>
          </w:p>
        </w:tc>
        <w:tc>
          <w:tcPr>
            <w:tcW w:w="1134"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r>
    </w:tbl>
    <w:p w:rsidR="00DB7C4D" w:rsidRDefault="00DB7C4D" w:rsidP="008918AD">
      <w:pPr>
        <w:spacing w:before="240" w:after="0" w:line="360" w:lineRule="auto"/>
        <w:ind w:firstLine="709"/>
        <w:jc w:val="both"/>
        <w:rPr>
          <w:rFonts w:ascii="Times New Roman" w:hAnsi="Times New Roman" w:cs="Times New Roman"/>
          <w:sz w:val="28"/>
          <w:szCs w:val="28"/>
        </w:rPr>
      </w:pPr>
      <w:r w:rsidRPr="00757775">
        <w:rPr>
          <w:rFonts w:ascii="Times New Roman" w:eastAsiaTheme="minorEastAsia" w:hAnsi="Times New Roman" w:cs="Times New Roman"/>
          <w:sz w:val="28"/>
          <w:szCs w:val="28"/>
        </w:rPr>
        <w:t xml:space="preserve">Следует отметить, что </w:t>
      </w:r>
      <m:oMath>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21</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e>
        </m:nary>
      </m:oMath>
      <w:r w:rsidRPr="00757775">
        <w:rPr>
          <w:rFonts w:ascii="Times New Roman" w:eastAsiaTheme="minorEastAsia" w:hAnsi="Times New Roman" w:cs="Times New Roman"/>
          <w:sz w:val="28"/>
          <w:szCs w:val="28"/>
        </w:rPr>
        <w:t>=1,177153, но это не имеет принципиал</w:t>
      </w:r>
      <w:proofErr w:type="spellStart"/>
      <w:r w:rsidRPr="00757775">
        <w:rPr>
          <w:rFonts w:ascii="Times New Roman" w:eastAsiaTheme="minorEastAsia" w:hAnsi="Times New Roman" w:cs="Times New Roman"/>
          <w:sz w:val="28"/>
          <w:szCs w:val="28"/>
        </w:rPr>
        <w:t>ь</w:t>
      </w:r>
      <w:r w:rsidRPr="00757775">
        <w:rPr>
          <w:rFonts w:ascii="Times New Roman" w:eastAsiaTheme="minorEastAsia" w:hAnsi="Times New Roman" w:cs="Times New Roman"/>
          <w:sz w:val="28"/>
          <w:szCs w:val="28"/>
        </w:rPr>
        <w:t>ного</w:t>
      </w:r>
      <w:proofErr w:type="spellEnd"/>
      <w:r w:rsidRPr="00757775">
        <w:rPr>
          <w:rFonts w:ascii="Times New Roman" w:eastAsiaTheme="minorEastAsia" w:hAnsi="Times New Roman" w:cs="Times New Roman"/>
          <w:sz w:val="28"/>
          <w:szCs w:val="28"/>
        </w:rPr>
        <w:t xml:space="preserve"> значения, поскольку нас интересуют только оценки неизвестных вел</w:t>
      </w:r>
      <w:r w:rsidRPr="00757775">
        <w:rPr>
          <w:rFonts w:ascii="Times New Roman" w:eastAsiaTheme="minorEastAsia" w:hAnsi="Times New Roman" w:cs="Times New Roman"/>
          <w:sz w:val="28"/>
          <w:szCs w:val="28"/>
        </w:rPr>
        <w:t>и</w:t>
      </w:r>
      <w:r w:rsidRPr="00757775">
        <w:rPr>
          <w:rFonts w:ascii="Times New Roman" w:eastAsiaTheme="minorEastAsia" w:hAnsi="Times New Roman" w:cs="Times New Roman"/>
          <w:sz w:val="28"/>
          <w:szCs w:val="28"/>
        </w:rPr>
        <w:t xml:space="preserve">чин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Pr="00757775">
        <w:rPr>
          <w:rFonts w:ascii="Times New Roman" w:eastAsiaTheme="minorEastAsia" w:hAnsi="Times New Roman" w:cs="Times New Roman"/>
          <w:sz w:val="28"/>
          <w:szCs w:val="28"/>
        </w:rPr>
        <w:t>, находящихся под главной диагональю треугольника развития. Суммирование этих величин по строкам треугольника убытков позволяет нам оценить размер р</w:t>
      </w:r>
      <w:r w:rsidRPr="00757775">
        <w:rPr>
          <w:rFonts w:ascii="Times New Roman" w:hAnsi="Times New Roman" w:cs="Times New Roman"/>
          <w:sz w:val="28"/>
          <w:szCs w:val="28"/>
        </w:rPr>
        <w:t>езерва для неурегулированных страховых случаев по каждому периоду зарождения (</w:t>
      </w:r>
      <w:r w:rsidR="008918AD" w:rsidRPr="008918AD">
        <w:rPr>
          <w:rFonts w:ascii="Times New Roman" w:hAnsi="Times New Roman" w:cs="Times New Roman"/>
          <w:sz w:val="28"/>
          <w:szCs w:val="28"/>
        </w:rPr>
        <w:t>табл. 1</w:t>
      </w:r>
      <w:r w:rsidR="00947C78">
        <w:rPr>
          <w:rFonts w:ascii="Times New Roman" w:hAnsi="Times New Roman" w:cs="Times New Roman"/>
          <w:sz w:val="28"/>
          <w:szCs w:val="28"/>
        </w:rPr>
        <w:t>6</w:t>
      </w:r>
      <w:r w:rsidRPr="00757775">
        <w:rPr>
          <w:rFonts w:ascii="Times New Roman" w:hAnsi="Times New Roman" w:cs="Times New Roman"/>
          <w:sz w:val="28"/>
          <w:szCs w:val="28"/>
        </w:rPr>
        <w:t xml:space="preserve">). </w:t>
      </w:r>
    </w:p>
    <w:p w:rsidR="005158F2" w:rsidRDefault="005158F2" w:rsidP="005158F2">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По-прежнему, наибольшие денежные суммы должны быть зарезерв</w:t>
      </w:r>
      <w:r w:rsidRPr="00757775">
        <w:rPr>
          <w:rFonts w:ascii="Times New Roman" w:hAnsi="Times New Roman" w:cs="Times New Roman"/>
          <w:sz w:val="28"/>
          <w:szCs w:val="28"/>
        </w:rPr>
        <w:t>и</w:t>
      </w:r>
      <w:r w:rsidRPr="00757775">
        <w:rPr>
          <w:rFonts w:ascii="Times New Roman" w:hAnsi="Times New Roman" w:cs="Times New Roman"/>
          <w:sz w:val="28"/>
          <w:szCs w:val="28"/>
        </w:rPr>
        <w:t>рованы для незаявленных убытков двух последних кварталов зарождения (6,99% от общей величины РПНУ на отчетную дату – для второго квартала 2012 г. и 88,83% – для третьего квартала 2012 г.).</w:t>
      </w:r>
    </w:p>
    <w:p w:rsidR="005158F2" w:rsidRDefault="005158F2" w:rsidP="008918AD">
      <w:pPr>
        <w:spacing w:before="240" w:after="0" w:line="360" w:lineRule="auto"/>
        <w:ind w:firstLine="709"/>
        <w:jc w:val="both"/>
        <w:rPr>
          <w:rFonts w:ascii="Times New Roman" w:hAnsi="Times New Roman" w:cs="Times New Roman"/>
          <w:sz w:val="28"/>
          <w:szCs w:val="28"/>
        </w:rPr>
      </w:pPr>
    </w:p>
    <w:p w:rsidR="00DB7C4D" w:rsidRPr="005158F2" w:rsidRDefault="00DB7C4D" w:rsidP="008918AD">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lastRenderedPageBreak/>
        <w:t>Таблица 1</w:t>
      </w:r>
      <w:r w:rsidR="00947C78" w:rsidRPr="005158F2">
        <w:rPr>
          <w:rFonts w:ascii="Times New Roman" w:hAnsi="Times New Roman" w:cs="Times New Roman"/>
          <w:i/>
          <w:sz w:val="26"/>
          <w:szCs w:val="26"/>
        </w:rPr>
        <w:t>6</w:t>
      </w:r>
    </w:p>
    <w:p w:rsidR="00DB7C4D" w:rsidRDefault="00DB7C4D" w:rsidP="008918AD">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Оцененные резервы убытков для каждого </w:t>
      </w:r>
      <w:proofErr w:type="spellStart"/>
      <w:r w:rsidRPr="005158F2">
        <w:rPr>
          <w:rFonts w:ascii="Times New Roman" w:hAnsi="Times New Roman" w:cs="Times New Roman"/>
          <w:i/>
          <w:sz w:val="26"/>
          <w:szCs w:val="26"/>
          <w:lang w:val="en-GB"/>
        </w:rPr>
        <w:t>i</w:t>
      </w:r>
      <w:proofErr w:type="spellEnd"/>
      <w:r w:rsidRPr="005158F2">
        <w:rPr>
          <w:rFonts w:ascii="Times New Roman" w:hAnsi="Times New Roman" w:cs="Times New Roman"/>
          <w:i/>
          <w:sz w:val="26"/>
          <w:szCs w:val="26"/>
        </w:rPr>
        <w:t>-го квартала инцидента</w:t>
      </w:r>
    </w:p>
    <w:p w:rsidR="00FC612C" w:rsidRPr="005158F2" w:rsidRDefault="00FC612C" w:rsidP="008918AD">
      <w:pPr>
        <w:spacing w:after="0" w:line="360" w:lineRule="auto"/>
        <w:jc w:val="center"/>
        <w:rPr>
          <w:rFonts w:ascii="Times New Roman" w:eastAsiaTheme="minorEastAsia" w:hAnsi="Times New Roman" w:cs="Times New Roman"/>
          <w:sz w:val="26"/>
          <w:szCs w:val="26"/>
        </w:rPr>
      </w:pPr>
      <w:r>
        <w:rPr>
          <w:rFonts w:ascii="Times New Roman" w:hAnsi="Times New Roman" w:cs="Times New Roman"/>
          <w:i/>
          <w:sz w:val="26"/>
          <w:szCs w:val="26"/>
        </w:rPr>
        <w:t xml:space="preserve">согласно </w:t>
      </w:r>
      <w:r w:rsidR="00A16334">
        <w:rPr>
          <w:rFonts w:ascii="Times New Roman" w:hAnsi="Times New Roman" w:cs="Times New Roman"/>
          <w:i/>
          <w:sz w:val="26"/>
          <w:szCs w:val="26"/>
        </w:rPr>
        <w:t>мультипликативному методу</w:t>
      </w:r>
    </w:p>
    <w:tbl>
      <w:tblPr>
        <w:tblW w:w="9641" w:type="dxa"/>
        <w:jc w:val="right"/>
        <w:tblInd w:w="103" w:type="dxa"/>
        <w:tblLook w:val="04A0"/>
      </w:tblPr>
      <w:tblGrid>
        <w:gridCol w:w="960"/>
        <w:gridCol w:w="1011"/>
        <w:gridCol w:w="1240"/>
        <w:gridCol w:w="1240"/>
        <w:gridCol w:w="1240"/>
        <w:gridCol w:w="1393"/>
        <w:gridCol w:w="1546"/>
        <w:gridCol w:w="1011"/>
      </w:tblGrid>
      <w:tr w:rsidR="00DB7C4D" w:rsidRPr="00757775" w:rsidTr="0012647D">
        <w:trPr>
          <w:trHeight w:val="345"/>
          <w:jc w:val="right"/>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p>
        </w:tc>
        <w:tc>
          <w:tcPr>
            <w:tcW w:w="86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r w:rsidRPr="00757775">
              <w:rPr>
                <w:rFonts w:ascii="Times New Roman" w:eastAsia="Times New Roman" w:hAnsi="Times New Roman" w:cs="Times New Roman"/>
                <w:b/>
                <w:bCs/>
                <w:color w:val="000000"/>
                <w:sz w:val="24"/>
                <w:szCs w:val="24"/>
                <w:lang w:eastAsia="ru-RU"/>
              </w:rPr>
              <w:t xml:space="preserve">Квартал наступления убытков, </w:t>
            </w:r>
            <w:proofErr w:type="spellStart"/>
            <w:r w:rsidRPr="00757775">
              <w:rPr>
                <w:rFonts w:ascii="Times New Roman" w:eastAsia="Times New Roman" w:hAnsi="Times New Roman" w:cs="Times New Roman"/>
                <w:b/>
                <w:bCs/>
                <w:color w:val="000000"/>
                <w:sz w:val="24"/>
                <w:szCs w:val="24"/>
                <w:lang w:eastAsia="ru-RU"/>
              </w:rPr>
              <w:t>i</w:t>
            </w:r>
            <w:proofErr w:type="spellEnd"/>
          </w:p>
        </w:tc>
      </w:tr>
      <w:tr w:rsidR="00DB7C4D" w:rsidRPr="00757775" w:rsidTr="0012647D">
        <w:trPr>
          <w:trHeight w:val="345"/>
          <w:jc w:val="right"/>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5</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w:t>
            </w:r>
          </w:p>
        </w:tc>
      </w:tr>
      <w:tr w:rsidR="00DB7C4D" w:rsidRPr="00757775" w:rsidTr="0012647D">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21 821</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29 840</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14 196</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25 282</w:t>
            </w:r>
          </w:p>
        </w:tc>
      </w:tr>
      <w:tr w:rsidR="00DB7C4D" w:rsidRPr="00757775" w:rsidTr="0012647D">
        <w:trPr>
          <w:trHeight w:val="345"/>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11</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13</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w:t>
            </w:r>
          </w:p>
        </w:tc>
      </w:tr>
      <w:tr w:rsidR="00DB7C4D" w:rsidRPr="00757775" w:rsidTr="0012647D">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24 871</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34 190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29 941</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46 055</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63 079</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87 615</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148 800</w:t>
            </w:r>
          </w:p>
        </w:tc>
      </w:tr>
      <w:tr w:rsidR="00DB7C4D" w:rsidRPr="00757775" w:rsidTr="0012647D">
        <w:trPr>
          <w:trHeight w:val="300"/>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15</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16</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17</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18</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19</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p>
        </w:tc>
      </w:tr>
      <w:tr w:rsidR="00DB7C4D" w:rsidRPr="00757775" w:rsidTr="0012647D">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201 997</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1 906 248</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6 446 891</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8 823 885</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29 965 792</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380 811 887</w:t>
            </w:r>
          </w:p>
        </w:tc>
        <w:tc>
          <w:tcPr>
            <w:tcW w:w="1011" w:type="dxa"/>
            <w:vMerge/>
            <w:tcBorders>
              <w:top w:val="nil"/>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color w:val="000000"/>
                <w:sz w:val="23"/>
                <w:szCs w:val="23"/>
                <w:lang w:eastAsia="ru-RU"/>
              </w:rPr>
            </w:pPr>
          </w:p>
        </w:tc>
      </w:tr>
    </w:tbl>
    <w:p w:rsidR="00DB7C4D" w:rsidRPr="00757775" w:rsidRDefault="00DB7C4D" w:rsidP="008918AD">
      <w:pPr>
        <w:spacing w:before="240" w:after="0" w:line="360" w:lineRule="auto"/>
        <w:ind w:firstLine="709"/>
        <w:jc w:val="both"/>
        <w:rPr>
          <w:rFonts w:ascii="Times New Roman" w:eastAsiaTheme="minorEastAsia" w:hAnsi="Times New Roman" w:cs="Times New Roman"/>
          <w:b/>
          <w:sz w:val="28"/>
          <w:szCs w:val="28"/>
        </w:rPr>
      </w:pPr>
      <w:r w:rsidRPr="00757775">
        <w:rPr>
          <w:rFonts w:ascii="Times New Roman" w:eastAsiaTheme="minorEastAsia" w:hAnsi="Times New Roman" w:cs="Times New Roman"/>
          <w:sz w:val="28"/>
          <w:szCs w:val="28"/>
        </w:rPr>
        <w:t>Общий размер РПНУ к концу третьего квартала 2012 г. согласно оце</w:t>
      </w:r>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 xml:space="preserve">ке мультипликативным методом должен составлять </w:t>
      </w:r>
      <w:r w:rsidRPr="00757775">
        <w:rPr>
          <w:rFonts w:ascii="Times New Roman" w:hAnsi="Times New Roman" w:cs="Times New Roman"/>
          <w:b/>
          <w:sz w:val="28"/>
          <w:szCs w:val="28"/>
        </w:rPr>
        <w:t>428</w:t>
      </w:r>
      <w:r w:rsidRPr="00757775">
        <w:rPr>
          <w:rFonts w:ascii="Times New Roman" w:eastAsiaTheme="minorEastAsia" w:hAnsi="Times New Roman" w:cs="Times New Roman"/>
          <w:b/>
          <w:sz w:val="28"/>
          <w:szCs w:val="28"/>
        </w:rPr>
        <w:t> </w:t>
      </w:r>
      <w:r w:rsidRPr="00757775">
        <w:rPr>
          <w:rFonts w:ascii="Times New Roman" w:hAnsi="Times New Roman" w:cs="Times New Roman"/>
          <w:b/>
          <w:sz w:val="28"/>
          <w:szCs w:val="28"/>
        </w:rPr>
        <w:t>682</w:t>
      </w:r>
      <w:r w:rsidRPr="00757775">
        <w:rPr>
          <w:rFonts w:ascii="Times New Roman" w:eastAsiaTheme="minorEastAsia" w:hAnsi="Times New Roman" w:cs="Times New Roman"/>
          <w:b/>
          <w:sz w:val="28"/>
          <w:szCs w:val="28"/>
        </w:rPr>
        <w:t> 391,26</w:t>
      </w:r>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b/>
          <w:sz w:val="28"/>
          <w:szCs w:val="28"/>
        </w:rPr>
        <w:t>руб.</w:t>
      </w:r>
    </w:p>
    <w:p w:rsidR="00DB7C4D" w:rsidRDefault="00815A33" w:rsidP="00815A33">
      <w:pPr>
        <w:spacing w:before="120" w:after="0" w:line="360" w:lineRule="auto"/>
        <w:jc w:val="center"/>
        <w:rPr>
          <w:rFonts w:ascii="Times New Roman" w:hAnsi="Times New Roman" w:cs="Times New Roman"/>
          <w:b/>
          <w:sz w:val="28"/>
          <w:szCs w:val="28"/>
        </w:rPr>
      </w:pPr>
      <w:r>
        <w:rPr>
          <w:rFonts w:ascii="Times New Roman" w:hAnsi="Times New Roman" w:cs="Times New Roman"/>
          <w:b/>
          <w:sz w:val="28"/>
          <w:szCs w:val="28"/>
        </w:rPr>
        <w:t>Вывод по Главе 2</w:t>
      </w:r>
    </w:p>
    <w:p w:rsidR="00F50E15" w:rsidRDefault="00815A33" w:rsidP="00F742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рассмотренных в главе методов резервирования имеет свои достоинства и недостатки. </w:t>
      </w:r>
      <w:r w:rsidR="00A33509">
        <w:rPr>
          <w:rFonts w:ascii="Times New Roman" w:hAnsi="Times New Roman" w:cs="Times New Roman"/>
          <w:sz w:val="28"/>
          <w:szCs w:val="28"/>
        </w:rPr>
        <w:t xml:space="preserve">Метод цепной лестницы характеризуется высокой чувствительностью к изменениям наблюдений, не может применяться, если на рассматриваемом временном промежутке </w:t>
      </w:r>
      <w:r w:rsidR="00F53121">
        <w:rPr>
          <w:rFonts w:ascii="Times New Roman" w:hAnsi="Times New Roman" w:cs="Times New Roman"/>
          <w:sz w:val="28"/>
          <w:szCs w:val="28"/>
        </w:rPr>
        <w:t>структура урегулирования пр</w:t>
      </w:r>
      <w:r w:rsidR="00F53121">
        <w:rPr>
          <w:rFonts w:ascii="Times New Roman" w:hAnsi="Times New Roman" w:cs="Times New Roman"/>
          <w:sz w:val="28"/>
          <w:szCs w:val="28"/>
        </w:rPr>
        <w:t>е</w:t>
      </w:r>
      <w:r w:rsidR="00F53121">
        <w:rPr>
          <w:rFonts w:ascii="Times New Roman" w:hAnsi="Times New Roman" w:cs="Times New Roman"/>
          <w:sz w:val="28"/>
          <w:szCs w:val="28"/>
        </w:rPr>
        <w:t xml:space="preserve">тензий не отличалась стабильностью. </w:t>
      </w:r>
      <w:proofErr w:type="gramStart"/>
      <w:r w:rsidR="00F53121">
        <w:rPr>
          <w:rFonts w:ascii="Times New Roman" w:hAnsi="Times New Roman" w:cs="Times New Roman"/>
          <w:sz w:val="28"/>
          <w:szCs w:val="28"/>
        </w:rPr>
        <w:t xml:space="preserve">Метод Борнхуеттера-Фергюсона может быть использован как в случае </w:t>
      </w:r>
      <w:r w:rsidR="00F742C2">
        <w:rPr>
          <w:rFonts w:ascii="Times New Roman" w:hAnsi="Times New Roman" w:cs="Times New Roman"/>
          <w:sz w:val="28"/>
          <w:szCs w:val="28"/>
        </w:rPr>
        <w:t>недостаточного объема исторических данных об урегулировании убытков, имеющихся в распоряжении страховщика, так и в случае их высокой волатильности.</w:t>
      </w:r>
      <w:proofErr w:type="gramEnd"/>
      <w:r w:rsidR="00F742C2">
        <w:rPr>
          <w:rFonts w:ascii="Times New Roman" w:hAnsi="Times New Roman" w:cs="Times New Roman"/>
          <w:sz w:val="28"/>
          <w:szCs w:val="28"/>
        </w:rPr>
        <w:t xml:space="preserve"> Однако характерное для этого метода расчета РПНУ полное игнорирование наблюдаемых данных не способствует доверию к нему. Существенным недостатков мультипликативного метода является большое число параметров, котор</w:t>
      </w:r>
      <w:r w:rsidR="0064736C">
        <w:rPr>
          <w:rFonts w:ascii="Times New Roman" w:hAnsi="Times New Roman" w:cs="Times New Roman"/>
          <w:sz w:val="28"/>
          <w:szCs w:val="28"/>
        </w:rPr>
        <w:t>ое</w:t>
      </w:r>
      <w:r w:rsidR="00F742C2">
        <w:rPr>
          <w:rFonts w:ascii="Times New Roman" w:hAnsi="Times New Roman" w:cs="Times New Roman"/>
          <w:sz w:val="28"/>
          <w:szCs w:val="28"/>
        </w:rPr>
        <w:t xml:space="preserve"> требуется оценить в ходе его реализации.</w:t>
      </w:r>
    </w:p>
    <w:p w:rsidR="0064736C" w:rsidRDefault="0064736C" w:rsidP="00F742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консервативная оценка общего размера РПНУ к концу третьего квартала 2012 г. была получена с помощью метода пошагового во</w:t>
      </w:r>
      <w:r>
        <w:rPr>
          <w:rFonts w:ascii="Times New Roman" w:hAnsi="Times New Roman" w:cs="Times New Roman"/>
          <w:sz w:val="28"/>
          <w:szCs w:val="28"/>
        </w:rPr>
        <w:t>с</w:t>
      </w:r>
      <w:r>
        <w:rPr>
          <w:rFonts w:ascii="Times New Roman" w:hAnsi="Times New Roman" w:cs="Times New Roman"/>
          <w:sz w:val="28"/>
          <w:szCs w:val="28"/>
        </w:rPr>
        <w:t>хождения. Она на 15,10% выше аналогичной оценки, полученной методом Борнхуеттера-Фергюсона, что может быть следствием невыполнения исхо</w:t>
      </w:r>
      <w:r>
        <w:rPr>
          <w:rFonts w:ascii="Times New Roman" w:hAnsi="Times New Roman" w:cs="Times New Roman"/>
          <w:sz w:val="28"/>
          <w:szCs w:val="28"/>
        </w:rPr>
        <w:t>д</w:t>
      </w:r>
      <w:r>
        <w:rPr>
          <w:rFonts w:ascii="Times New Roman" w:hAnsi="Times New Roman" w:cs="Times New Roman"/>
          <w:sz w:val="28"/>
          <w:szCs w:val="28"/>
        </w:rPr>
        <w:t xml:space="preserve">ной предпосылки данной </w:t>
      </w:r>
      <w:r w:rsidR="00533569">
        <w:rPr>
          <w:rFonts w:ascii="Times New Roman" w:hAnsi="Times New Roman" w:cs="Times New Roman"/>
          <w:sz w:val="28"/>
          <w:szCs w:val="28"/>
        </w:rPr>
        <w:t>модели резервирования</w:t>
      </w:r>
      <w:r>
        <w:rPr>
          <w:rFonts w:ascii="Times New Roman" w:hAnsi="Times New Roman" w:cs="Times New Roman"/>
          <w:sz w:val="28"/>
          <w:szCs w:val="28"/>
        </w:rPr>
        <w:t xml:space="preserve"> о постоянстве распредел</w:t>
      </w:r>
      <w:r>
        <w:rPr>
          <w:rFonts w:ascii="Times New Roman" w:hAnsi="Times New Roman" w:cs="Times New Roman"/>
          <w:sz w:val="28"/>
          <w:szCs w:val="28"/>
        </w:rPr>
        <w:t>е</w:t>
      </w:r>
      <w:r>
        <w:rPr>
          <w:rFonts w:ascii="Times New Roman" w:hAnsi="Times New Roman" w:cs="Times New Roman"/>
          <w:sz w:val="28"/>
          <w:szCs w:val="28"/>
        </w:rPr>
        <w:t xml:space="preserve">ния </w:t>
      </w:r>
      <w:r w:rsidR="00533569">
        <w:rPr>
          <w:rFonts w:ascii="Times New Roman" w:hAnsi="Times New Roman" w:cs="Times New Roman"/>
          <w:sz w:val="28"/>
          <w:szCs w:val="28"/>
        </w:rPr>
        <w:t xml:space="preserve">конечного убытка </w:t>
      </w:r>
      <w:r>
        <w:rPr>
          <w:rFonts w:ascii="Times New Roman" w:hAnsi="Times New Roman" w:cs="Times New Roman"/>
          <w:sz w:val="28"/>
          <w:szCs w:val="28"/>
        </w:rPr>
        <w:t>по периодам развития.</w:t>
      </w:r>
    </w:p>
    <w:p w:rsidR="00533569" w:rsidRPr="00533569" w:rsidRDefault="00533569" w:rsidP="00F742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Поскольку ДМС относится к видам страхования «с коротким хвостом», для двух последних кварталов наступления страховых случаев формируются резервы убытков, в сумме составляющие </w:t>
      </w:r>
      <w:r w:rsidR="00AA5D35">
        <w:rPr>
          <w:rFonts w:ascii="Times New Roman" w:hAnsi="Times New Roman" w:cs="Times New Roman"/>
          <w:sz w:val="28"/>
          <w:szCs w:val="28"/>
        </w:rPr>
        <w:t>свыше</w:t>
      </w:r>
      <w:r>
        <w:rPr>
          <w:rFonts w:ascii="Times New Roman" w:hAnsi="Times New Roman" w:cs="Times New Roman"/>
          <w:sz w:val="28"/>
          <w:szCs w:val="28"/>
        </w:rPr>
        <w:t xml:space="preserve"> 95% от общей величины РПНУ на отчетную дату.</w:t>
      </w:r>
    </w:p>
    <w:p w:rsidR="00F50E15" w:rsidRDefault="00F50E15"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5158F2" w:rsidRDefault="005158F2" w:rsidP="00DB7C4D">
      <w:pPr>
        <w:spacing w:after="0" w:line="360" w:lineRule="auto"/>
        <w:jc w:val="center"/>
        <w:rPr>
          <w:rFonts w:ascii="Times New Roman" w:hAnsi="Times New Roman" w:cs="Times New Roman"/>
          <w:b/>
          <w:sz w:val="28"/>
          <w:szCs w:val="28"/>
        </w:rPr>
      </w:pPr>
    </w:p>
    <w:p w:rsidR="00CE7CFF" w:rsidRDefault="00940C86" w:rsidP="00CE7CF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3. </w:t>
      </w:r>
      <w:r w:rsidR="00CE7CFF">
        <w:rPr>
          <w:rFonts w:ascii="Times New Roman" w:hAnsi="Times New Roman" w:cs="Times New Roman"/>
          <w:b/>
          <w:sz w:val="28"/>
          <w:szCs w:val="28"/>
        </w:rPr>
        <w:t xml:space="preserve">Расчет страховых резервов в ДМС </w:t>
      </w:r>
    </w:p>
    <w:p w:rsidR="008918AD" w:rsidRDefault="00CE7CFF" w:rsidP="00CE7CF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модифицированными методами</w:t>
      </w:r>
    </w:p>
    <w:p w:rsidR="00DB7C4D" w:rsidRPr="00757775" w:rsidRDefault="00DB7C4D" w:rsidP="00DB7C4D">
      <w:pPr>
        <w:spacing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t>§ 3.1. Моделирование динамики цен на медицинские услуги</w:t>
      </w:r>
      <w:r w:rsidR="00940C86">
        <w:rPr>
          <w:rFonts w:ascii="Times New Roman" w:hAnsi="Times New Roman" w:cs="Times New Roman"/>
          <w:b/>
          <w:sz w:val="28"/>
          <w:szCs w:val="28"/>
        </w:rPr>
        <w:t xml:space="preserve"> в России</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В качестве показателя «медицинской инфляции» возьмем индекс цен на медицинские услуги в Российской Федерации за 9-летний период – с а</w:t>
      </w:r>
      <w:r w:rsidRPr="00757775">
        <w:rPr>
          <w:rFonts w:ascii="Times New Roman" w:hAnsi="Times New Roman" w:cs="Times New Roman"/>
          <w:sz w:val="28"/>
          <w:szCs w:val="28"/>
        </w:rPr>
        <w:t>п</w:t>
      </w:r>
      <w:r w:rsidRPr="00757775">
        <w:rPr>
          <w:rFonts w:ascii="Times New Roman" w:hAnsi="Times New Roman" w:cs="Times New Roman"/>
          <w:sz w:val="28"/>
          <w:szCs w:val="28"/>
        </w:rPr>
        <w:t>реля 2004 г. по март 2013 г., измеряемый ежемесячно в процентах по отн</w:t>
      </w:r>
      <w:r w:rsidRPr="00757775">
        <w:rPr>
          <w:rFonts w:ascii="Times New Roman" w:hAnsi="Times New Roman" w:cs="Times New Roman"/>
          <w:sz w:val="28"/>
          <w:szCs w:val="28"/>
        </w:rPr>
        <w:t>о</w:t>
      </w:r>
      <w:r w:rsidRPr="00757775">
        <w:rPr>
          <w:rFonts w:ascii="Times New Roman" w:hAnsi="Times New Roman" w:cs="Times New Roman"/>
          <w:sz w:val="28"/>
          <w:szCs w:val="28"/>
        </w:rPr>
        <w:t>шению предыдущему месяцу</w:t>
      </w:r>
      <w:r w:rsidR="00C32FD5" w:rsidRPr="00C32FD5">
        <w:rPr>
          <w:rFonts w:ascii="Times New Roman" w:hAnsi="Times New Roman" w:cs="Times New Roman"/>
          <w:sz w:val="28"/>
          <w:szCs w:val="28"/>
        </w:rPr>
        <w:t xml:space="preserve"> (</w:t>
      </w:r>
      <w:r w:rsidR="00C32FD5">
        <w:rPr>
          <w:rFonts w:ascii="Times New Roman" w:hAnsi="Times New Roman" w:cs="Times New Roman"/>
          <w:sz w:val="28"/>
          <w:szCs w:val="28"/>
        </w:rPr>
        <w:t>прил. 3)</w:t>
      </w:r>
      <w:r w:rsidRPr="00757775">
        <w:rPr>
          <w:rFonts w:ascii="Times New Roman" w:hAnsi="Times New Roman" w:cs="Times New Roman"/>
          <w:sz w:val="28"/>
          <w:szCs w:val="28"/>
        </w:rPr>
        <w:t>.</w:t>
      </w:r>
    </w:p>
    <w:p w:rsidR="00DB7C4D" w:rsidRPr="00757775" w:rsidRDefault="00DB7C4D" w:rsidP="00DB7C4D">
      <w:pPr>
        <w:spacing w:after="0" w:line="360" w:lineRule="auto"/>
        <w:jc w:val="center"/>
        <w:rPr>
          <w:rFonts w:ascii="Times New Roman" w:hAnsi="Times New Roman" w:cs="Times New Roman"/>
          <w:sz w:val="24"/>
          <w:szCs w:val="24"/>
        </w:rPr>
      </w:pPr>
      <w:r w:rsidRPr="00757775">
        <w:rPr>
          <w:rFonts w:ascii="Times New Roman" w:hAnsi="Times New Roman" w:cs="Times New Roman"/>
          <w:noProof/>
          <w:sz w:val="24"/>
          <w:szCs w:val="24"/>
          <w:lang w:eastAsia="ru-RU"/>
        </w:rPr>
        <w:drawing>
          <wp:inline distT="0" distB="0" distL="0" distR="0">
            <wp:extent cx="5019675" cy="2743200"/>
            <wp:effectExtent l="19050" t="0" r="9525" b="0"/>
            <wp:docPr id="4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7C4D" w:rsidRPr="005158F2" w:rsidRDefault="00DB7C4D" w:rsidP="00940C86">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Рис. </w:t>
      </w:r>
      <w:r w:rsidR="002F57F4" w:rsidRPr="005158F2">
        <w:rPr>
          <w:rFonts w:ascii="Times New Roman" w:hAnsi="Times New Roman" w:cs="Times New Roman"/>
          <w:i/>
          <w:sz w:val="26"/>
          <w:szCs w:val="26"/>
        </w:rPr>
        <w:t>1</w:t>
      </w:r>
      <w:r w:rsidR="00947C78" w:rsidRPr="005158F2">
        <w:rPr>
          <w:rFonts w:ascii="Times New Roman" w:hAnsi="Times New Roman" w:cs="Times New Roman"/>
          <w:i/>
          <w:sz w:val="26"/>
          <w:szCs w:val="26"/>
        </w:rPr>
        <w:t>3</w:t>
      </w:r>
      <w:r w:rsidRPr="005158F2">
        <w:rPr>
          <w:rFonts w:ascii="Times New Roman" w:hAnsi="Times New Roman" w:cs="Times New Roman"/>
          <w:i/>
          <w:sz w:val="26"/>
          <w:szCs w:val="26"/>
        </w:rPr>
        <w:t>. Динамика индекса цен на медицинские услуги в 2004-2013 гг.</w:t>
      </w:r>
    </w:p>
    <w:p w:rsidR="00FC612C" w:rsidRDefault="00FC612C" w:rsidP="00FC612C">
      <w:pPr>
        <w:spacing w:after="0" w:line="360" w:lineRule="auto"/>
        <w:ind w:left="851" w:firstLine="709"/>
        <w:jc w:val="both"/>
        <w:rPr>
          <w:rFonts w:ascii="Times New Roman" w:hAnsi="Times New Roman" w:cs="Times New Roman"/>
          <w:sz w:val="28"/>
          <w:szCs w:val="28"/>
        </w:rPr>
      </w:pPr>
      <w:r w:rsidRPr="00EA7579">
        <w:rPr>
          <w:rFonts w:ascii="Times New Roman" w:hAnsi="Times New Roman" w:cs="Times New Roman"/>
          <w:i/>
        </w:rPr>
        <w:t>Источник:</w:t>
      </w:r>
      <w:r>
        <w:rPr>
          <w:rFonts w:ascii="Times New Roman" w:hAnsi="Times New Roman" w:cs="Times New Roman"/>
          <w:sz w:val="28"/>
          <w:szCs w:val="28"/>
        </w:rPr>
        <w:t xml:space="preserve"> </w:t>
      </w:r>
      <w:r w:rsidRPr="00EA7579">
        <w:rPr>
          <w:rFonts w:ascii="Times New Roman" w:hAnsi="Times New Roman" w:cs="Times New Roman"/>
        </w:rPr>
        <w:t>http://cbsd.gks.ru/</w:t>
      </w:r>
    </w:p>
    <w:p w:rsidR="00DB7C4D" w:rsidRPr="00757775" w:rsidRDefault="00DB7C4D" w:rsidP="00F1569B">
      <w:pPr>
        <w:spacing w:before="60"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График полученных наблюдений (</w:t>
      </w:r>
      <w:r w:rsidR="00940C86" w:rsidRPr="00940C86">
        <w:rPr>
          <w:rFonts w:ascii="Times New Roman" w:hAnsi="Times New Roman" w:cs="Times New Roman"/>
          <w:sz w:val="28"/>
          <w:szCs w:val="28"/>
        </w:rPr>
        <w:t>рис. 1</w:t>
      </w:r>
      <w:r w:rsidR="00947C78">
        <w:rPr>
          <w:rFonts w:ascii="Times New Roman" w:hAnsi="Times New Roman" w:cs="Times New Roman"/>
          <w:sz w:val="28"/>
          <w:szCs w:val="28"/>
        </w:rPr>
        <w:t>3</w:t>
      </w:r>
      <w:r w:rsidRPr="00757775">
        <w:rPr>
          <w:rFonts w:ascii="Times New Roman" w:hAnsi="Times New Roman" w:cs="Times New Roman"/>
          <w:sz w:val="28"/>
          <w:szCs w:val="28"/>
        </w:rPr>
        <w:t>) содержит неярко выраже</w:t>
      </w:r>
      <w:r w:rsidRPr="00757775">
        <w:rPr>
          <w:rFonts w:ascii="Times New Roman" w:hAnsi="Times New Roman" w:cs="Times New Roman"/>
          <w:sz w:val="28"/>
          <w:szCs w:val="28"/>
        </w:rPr>
        <w:t>н</w:t>
      </w:r>
      <w:r w:rsidRPr="00757775">
        <w:rPr>
          <w:rFonts w:ascii="Times New Roman" w:hAnsi="Times New Roman" w:cs="Times New Roman"/>
          <w:sz w:val="28"/>
          <w:szCs w:val="28"/>
        </w:rPr>
        <w:t>ную трендовую составляющую. Заметна также определенная периодичность (сезонность) индекса цен на медицинские услуги.</w:t>
      </w:r>
      <w:r w:rsidRPr="00757775">
        <w:t xml:space="preserve"> </w:t>
      </w:r>
    </w:p>
    <w:p w:rsidR="00DB7C4D" w:rsidRPr="00757775" w:rsidRDefault="00DB7C4D" w:rsidP="00DB7C4D">
      <w:pPr>
        <w:spacing w:after="0" w:line="360" w:lineRule="auto"/>
        <w:jc w:val="center"/>
        <w:rPr>
          <w:rFonts w:ascii="Times New Roman" w:hAnsi="Times New Roman" w:cs="Times New Roman"/>
          <w:i/>
          <w:sz w:val="28"/>
          <w:szCs w:val="28"/>
        </w:rPr>
      </w:pPr>
      <w:r w:rsidRPr="00757775">
        <w:rPr>
          <w:rFonts w:ascii="Times New Roman" w:hAnsi="Times New Roman" w:cs="Times New Roman"/>
          <w:i/>
          <w:noProof/>
          <w:sz w:val="28"/>
          <w:szCs w:val="28"/>
          <w:lang w:eastAsia="ru-RU"/>
        </w:rPr>
        <w:drawing>
          <wp:inline distT="0" distB="0" distL="0" distR="0">
            <wp:extent cx="4267200" cy="2390775"/>
            <wp:effectExtent l="19050" t="0" r="1905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7C4D" w:rsidRPr="005158F2" w:rsidRDefault="00DB7C4D" w:rsidP="00DB7C4D">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Рис. </w:t>
      </w:r>
      <w:r w:rsidR="002F57F4" w:rsidRPr="005158F2">
        <w:rPr>
          <w:rFonts w:ascii="Times New Roman" w:hAnsi="Times New Roman" w:cs="Times New Roman"/>
          <w:i/>
          <w:sz w:val="26"/>
          <w:szCs w:val="26"/>
        </w:rPr>
        <w:t>1</w:t>
      </w:r>
      <w:r w:rsidR="00947C78" w:rsidRPr="005158F2">
        <w:rPr>
          <w:rFonts w:ascii="Times New Roman" w:hAnsi="Times New Roman" w:cs="Times New Roman"/>
          <w:i/>
          <w:sz w:val="26"/>
          <w:szCs w:val="26"/>
        </w:rPr>
        <w:t>4</w:t>
      </w:r>
      <w:r w:rsidRPr="005158F2">
        <w:rPr>
          <w:rFonts w:ascii="Times New Roman" w:hAnsi="Times New Roman" w:cs="Times New Roman"/>
          <w:i/>
          <w:sz w:val="26"/>
          <w:szCs w:val="26"/>
        </w:rPr>
        <w:t>. Индексы сезонности на основе линейного тренда</w:t>
      </w:r>
    </w:p>
    <w:p w:rsidR="00992D68" w:rsidRPr="00757775" w:rsidRDefault="00992D68" w:rsidP="00992D68">
      <w:pPr>
        <w:spacing w:after="0" w:line="360" w:lineRule="auto"/>
        <w:ind w:firstLine="709"/>
        <w:jc w:val="both"/>
        <w:rPr>
          <w:rFonts w:ascii="Times New Roman" w:hAnsi="Times New Roman" w:cs="Times New Roman"/>
          <w:i/>
          <w:sz w:val="25"/>
          <w:szCs w:val="25"/>
        </w:rPr>
      </w:pPr>
      <w:r w:rsidRPr="00757775">
        <w:rPr>
          <w:rFonts w:ascii="Times New Roman" w:hAnsi="Times New Roman" w:cs="Times New Roman"/>
          <w:sz w:val="28"/>
          <w:szCs w:val="28"/>
        </w:rPr>
        <w:lastRenderedPageBreak/>
        <w:t>Максимальные значения индекса в первом квартале регулярно сопр</w:t>
      </w:r>
      <w:r w:rsidRPr="00757775">
        <w:rPr>
          <w:rFonts w:ascii="Times New Roman" w:hAnsi="Times New Roman" w:cs="Times New Roman"/>
          <w:sz w:val="28"/>
          <w:szCs w:val="28"/>
        </w:rPr>
        <w:t>о</w:t>
      </w:r>
      <w:r w:rsidRPr="00757775">
        <w:rPr>
          <w:rFonts w:ascii="Times New Roman" w:hAnsi="Times New Roman" w:cs="Times New Roman"/>
          <w:sz w:val="28"/>
          <w:szCs w:val="28"/>
        </w:rPr>
        <w:t>вождаются падением его значений до минимума в июле, августе и декабре, а также незначительными колебаниями около среднемесячного уровня в теч</w:t>
      </w:r>
      <w:r w:rsidRPr="00757775">
        <w:rPr>
          <w:rFonts w:ascii="Times New Roman" w:hAnsi="Times New Roman" w:cs="Times New Roman"/>
          <w:sz w:val="28"/>
          <w:szCs w:val="28"/>
        </w:rPr>
        <w:t>е</w:t>
      </w:r>
      <w:r w:rsidRPr="00757775">
        <w:rPr>
          <w:rFonts w:ascii="Times New Roman" w:hAnsi="Times New Roman" w:cs="Times New Roman"/>
          <w:sz w:val="28"/>
          <w:szCs w:val="28"/>
        </w:rPr>
        <w:t>ние остального года (</w:t>
      </w:r>
      <w:r w:rsidRPr="00940C86">
        <w:rPr>
          <w:rFonts w:ascii="Times New Roman" w:hAnsi="Times New Roman" w:cs="Times New Roman"/>
          <w:sz w:val="28"/>
          <w:szCs w:val="28"/>
        </w:rPr>
        <w:t>рис .1</w:t>
      </w:r>
      <w:r>
        <w:rPr>
          <w:rFonts w:ascii="Times New Roman" w:hAnsi="Times New Roman" w:cs="Times New Roman"/>
          <w:sz w:val="28"/>
          <w:szCs w:val="28"/>
        </w:rPr>
        <w:t>4</w:t>
      </w:r>
      <w:r w:rsidRPr="00757775">
        <w:rPr>
          <w:rFonts w:ascii="Times New Roman"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Воспользуемся методологией Бокса-Дженкинса для построения </w:t>
      </w:r>
      <w:r w:rsidRPr="00757775">
        <w:rPr>
          <w:rFonts w:ascii="Times New Roman" w:hAnsi="Times New Roman" w:cs="Times New Roman"/>
          <w:sz w:val="28"/>
          <w:szCs w:val="28"/>
          <w:lang w:val="en-GB"/>
        </w:rPr>
        <w:t>ARIMA</w:t>
      </w:r>
      <w:r w:rsidRPr="00757775">
        <w:rPr>
          <w:rFonts w:ascii="Times New Roman" w:hAnsi="Times New Roman" w:cs="Times New Roman"/>
          <w:sz w:val="28"/>
          <w:szCs w:val="28"/>
        </w:rPr>
        <w:t xml:space="preserve">-модели исследуемого временного ряда. Как видно </w:t>
      </w:r>
      <w:proofErr w:type="gramStart"/>
      <w:r w:rsidRPr="00757775">
        <w:rPr>
          <w:rFonts w:ascii="Times New Roman" w:hAnsi="Times New Roman" w:cs="Times New Roman"/>
          <w:sz w:val="28"/>
          <w:szCs w:val="28"/>
        </w:rPr>
        <w:t>из</w:t>
      </w:r>
      <w:proofErr w:type="gramEnd"/>
      <w:r w:rsidRPr="00757775">
        <w:rPr>
          <w:rFonts w:ascii="Times New Roman" w:hAnsi="Times New Roman" w:cs="Times New Roman"/>
          <w:sz w:val="28"/>
          <w:szCs w:val="28"/>
        </w:rPr>
        <w:t xml:space="preserve"> </w:t>
      </w:r>
      <w:proofErr w:type="gramStart"/>
      <w:r w:rsidR="00940C86" w:rsidRPr="00940C86">
        <w:rPr>
          <w:rFonts w:ascii="Times New Roman" w:hAnsi="Times New Roman" w:cs="Times New Roman"/>
          <w:sz w:val="28"/>
          <w:szCs w:val="28"/>
        </w:rPr>
        <w:t>рис</w:t>
      </w:r>
      <w:proofErr w:type="gramEnd"/>
      <w:r w:rsidR="00940C86" w:rsidRPr="00940C86">
        <w:rPr>
          <w:rFonts w:ascii="Times New Roman" w:hAnsi="Times New Roman" w:cs="Times New Roman"/>
          <w:sz w:val="28"/>
          <w:szCs w:val="28"/>
        </w:rPr>
        <w:t>. 1</w:t>
      </w:r>
      <w:r w:rsidR="00947C78">
        <w:rPr>
          <w:rFonts w:ascii="Times New Roman" w:hAnsi="Times New Roman" w:cs="Times New Roman"/>
          <w:sz w:val="28"/>
          <w:szCs w:val="28"/>
        </w:rPr>
        <w:t>5</w:t>
      </w:r>
      <w:r w:rsidRPr="00757775">
        <w:rPr>
          <w:rFonts w:ascii="Times New Roman" w:hAnsi="Times New Roman" w:cs="Times New Roman"/>
          <w:sz w:val="28"/>
          <w:szCs w:val="28"/>
        </w:rPr>
        <w:t>,</w:t>
      </w:r>
      <w:r w:rsidRPr="00757775">
        <w:rPr>
          <w:rFonts w:ascii="Times New Roman" w:hAnsi="Times New Roman" w:cs="Times New Roman"/>
          <w:i/>
          <w:sz w:val="28"/>
          <w:szCs w:val="28"/>
        </w:rPr>
        <w:t xml:space="preserve"> </w:t>
      </w:r>
      <w:r w:rsidRPr="00757775">
        <w:rPr>
          <w:rFonts w:ascii="Times New Roman" w:hAnsi="Times New Roman" w:cs="Times New Roman"/>
          <w:sz w:val="28"/>
          <w:szCs w:val="28"/>
        </w:rPr>
        <w:t>знач</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ния выборочной автокорреляционной функции убывают достаточно быстро с ростом </w:t>
      </w:r>
      <w:r w:rsidRPr="00757775">
        <w:rPr>
          <w:rFonts w:ascii="Times New Roman" w:hAnsi="Times New Roman" w:cs="Times New Roman"/>
          <w:i/>
          <w:sz w:val="28"/>
          <w:szCs w:val="28"/>
          <w:lang w:val="en-GB"/>
        </w:rPr>
        <w:t>k</w:t>
      </w:r>
      <w:r w:rsidRPr="00757775">
        <w:rPr>
          <w:rFonts w:ascii="Times New Roman" w:hAnsi="Times New Roman" w:cs="Times New Roman"/>
          <w:sz w:val="28"/>
          <w:szCs w:val="28"/>
        </w:rPr>
        <w:t>, что является свидетельством стационарного временного ряда. Ан</w:t>
      </w:r>
      <w:r w:rsidRPr="00757775">
        <w:rPr>
          <w:rFonts w:ascii="Times New Roman" w:hAnsi="Times New Roman" w:cs="Times New Roman"/>
          <w:sz w:val="28"/>
          <w:szCs w:val="28"/>
        </w:rPr>
        <w:t>а</w:t>
      </w:r>
      <w:r w:rsidRPr="00757775">
        <w:rPr>
          <w:rFonts w:ascii="Times New Roman" w:hAnsi="Times New Roman" w:cs="Times New Roman"/>
          <w:sz w:val="28"/>
          <w:szCs w:val="28"/>
        </w:rPr>
        <w:t xml:space="preserve">логичное поведение демонстрирует и частная автокорреляционная функция, описывающая «чистую корреляцию» </w:t>
      </w:r>
      <w:proofErr w:type="gramStart"/>
      <w:r w:rsidRPr="00757775">
        <w:rPr>
          <w:rFonts w:ascii="Times New Roman" w:hAnsi="Times New Roman" w:cs="Times New Roman"/>
          <w:sz w:val="28"/>
          <w:szCs w:val="28"/>
        </w:rPr>
        <w:t>между</w:t>
      </w:r>
      <w:proofErr w:type="gramEnd"/>
      <w:r w:rsidRPr="0075777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m:t>
            </m:r>
          </m:sub>
        </m:sSub>
      </m:oMath>
      <w:r w:rsidRPr="00757775">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t-k</m:t>
            </m:r>
          </m:sub>
        </m:sSub>
      </m:oMath>
      <w:r w:rsidRPr="00757775">
        <w:rPr>
          <w:rFonts w:ascii="Times New Roman" w:eastAsiaTheme="minorEastAsia" w:hAnsi="Times New Roman" w:cs="Times New Roman"/>
          <w:sz w:val="28"/>
          <w:szCs w:val="28"/>
        </w:rPr>
        <w:t xml:space="preserve"> </w:t>
      </w:r>
      <w:proofErr w:type="gramStart"/>
      <w:r w:rsidRPr="00757775">
        <w:rPr>
          <w:rFonts w:ascii="Times New Roman" w:eastAsiaTheme="minorEastAsia" w:hAnsi="Times New Roman" w:cs="Times New Roman"/>
          <w:sz w:val="28"/>
          <w:szCs w:val="28"/>
        </w:rPr>
        <w:t>при</w:t>
      </w:r>
      <w:proofErr w:type="gramEnd"/>
      <w:r w:rsidRPr="00757775">
        <w:rPr>
          <w:rFonts w:ascii="Times New Roman" w:eastAsiaTheme="minorEastAsia" w:hAnsi="Times New Roman" w:cs="Times New Roman"/>
          <w:sz w:val="28"/>
          <w:szCs w:val="28"/>
        </w:rPr>
        <w:t xml:space="preserve"> исключении вли</w:t>
      </w:r>
      <w:proofErr w:type="spellStart"/>
      <w:r w:rsidRPr="00757775">
        <w:rPr>
          <w:rFonts w:ascii="Times New Roman" w:eastAsiaTheme="minorEastAsia" w:hAnsi="Times New Roman" w:cs="Times New Roman"/>
          <w:sz w:val="28"/>
          <w:szCs w:val="28"/>
        </w:rPr>
        <w:t>я</w:t>
      </w:r>
      <w:r w:rsidRPr="00757775">
        <w:rPr>
          <w:rFonts w:ascii="Times New Roman" w:eastAsiaTheme="minorEastAsia" w:hAnsi="Times New Roman" w:cs="Times New Roman"/>
          <w:sz w:val="28"/>
          <w:szCs w:val="28"/>
        </w:rPr>
        <w:t>ния</w:t>
      </w:r>
      <w:proofErr w:type="spellEnd"/>
      <w:r w:rsidRPr="00757775">
        <w:rPr>
          <w:rFonts w:ascii="Times New Roman" w:eastAsiaTheme="minorEastAsia" w:hAnsi="Times New Roman" w:cs="Times New Roman"/>
          <w:sz w:val="28"/>
          <w:szCs w:val="28"/>
        </w:rPr>
        <w:t xml:space="preserve"> промежуточных значений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lang w:val="en-GB"/>
                  </w:rPr>
                  <m:t>t</m:t>
                </m:r>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t-k+1</m:t>
            </m:r>
          </m:sub>
        </m:sSub>
      </m:oMath>
      <w:r w:rsidRPr="00757775">
        <w:rPr>
          <w:rFonts w:ascii="Times New Roman" w:eastAsiaTheme="minorEastAsia" w:hAnsi="Times New Roman" w:cs="Times New Roman"/>
          <w:sz w:val="28"/>
          <w:szCs w:val="28"/>
        </w:rPr>
        <w:t>. Однако на обоих граф</w:t>
      </w:r>
      <w:proofErr w:type="spellStart"/>
      <w:r w:rsidRPr="00757775">
        <w:rPr>
          <w:rFonts w:ascii="Times New Roman" w:eastAsiaTheme="minorEastAsia" w:hAnsi="Times New Roman" w:cs="Times New Roman"/>
          <w:sz w:val="28"/>
          <w:szCs w:val="28"/>
        </w:rPr>
        <w:t>и</w:t>
      </w:r>
      <w:r w:rsidRPr="00757775">
        <w:rPr>
          <w:rFonts w:ascii="Times New Roman" w:eastAsiaTheme="minorEastAsia" w:hAnsi="Times New Roman" w:cs="Times New Roman"/>
          <w:sz w:val="28"/>
          <w:szCs w:val="28"/>
        </w:rPr>
        <w:t>ках</w:t>
      </w:r>
      <w:proofErr w:type="spellEnd"/>
      <w:r w:rsidRPr="00757775">
        <w:rPr>
          <w:rFonts w:ascii="Times New Roman" w:eastAsiaTheme="minorEastAsia" w:hAnsi="Times New Roman" w:cs="Times New Roman"/>
          <w:sz w:val="28"/>
          <w:szCs w:val="28"/>
        </w:rPr>
        <w:t xml:space="preserve"> просматривается с</w:t>
      </w:r>
      <w:r w:rsidRPr="00757775">
        <w:rPr>
          <w:rFonts w:ascii="Times New Roman" w:hAnsi="Times New Roman" w:cs="Times New Roman"/>
          <w:sz w:val="28"/>
          <w:szCs w:val="28"/>
        </w:rPr>
        <w:t>езонная компонента – выделяются коэффициенты ко</w:t>
      </w:r>
      <w:r w:rsidRPr="00757775">
        <w:rPr>
          <w:rFonts w:ascii="Times New Roman" w:hAnsi="Times New Roman" w:cs="Times New Roman"/>
          <w:sz w:val="28"/>
          <w:szCs w:val="28"/>
        </w:rPr>
        <w:t>р</w:t>
      </w:r>
      <w:r w:rsidRPr="00757775">
        <w:rPr>
          <w:rFonts w:ascii="Times New Roman" w:hAnsi="Times New Roman" w:cs="Times New Roman"/>
          <w:sz w:val="28"/>
          <w:szCs w:val="28"/>
        </w:rPr>
        <w:t xml:space="preserve">реляции на лагах </w:t>
      </w:r>
      <w:r w:rsidRPr="00757775">
        <w:rPr>
          <w:rFonts w:ascii="Times New Roman" w:hAnsi="Times New Roman" w:cs="Times New Roman"/>
          <w:i/>
          <w:sz w:val="28"/>
          <w:szCs w:val="28"/>
          <w:lang w:val="en-GB"/>
        </w:rPr>
        <w:t>k</w:t>
      </w:r>
      <w:r w:rsidRPr="00757775">
        <w:rPr>
          <w:rFonts w:ascii="Times New Roman" w:hAnsi="Times New Roman" w:cs="Times New Roman"/>
          <w:sz w:val="28"/>
          <w:szCs w:val="28"/>
        </w:rPr>
        <w:t>=12, 24</w:t>
      </w:r>
      <w:r w:rsidR="00B9209A">
        <w:rPr>
          <w:rFonts w:ascii="Times New Roman" w:hAnsi="Times New Roman" w:cs="Times New Roman"/>
          <w:sz w:val="28"/>
          <w:szCs w:val="28"/>
        </w:rPr>
        <w:t xml:space="preserve"> </w:t>
      </w:r>
      <w:r w:rsidR="00B9209A" w:rsidRPr="00B9209A">
        <w:rPr>
          <w:rFonts w:ascii="Times New Roman" w:hAnsi="Times New Roman" w:cs="Times New Roman"/>
          <w:sz w:val="28"/>
          <w:szCs w:val="28"/>
        </w:rPr>
        <w:t>[8]</w:t>
      </w:r>
      <w:r w:rsidRPr="00757775">
        <w:rPr>
          <w:rFonts w:ascii="Times New Roman" w:hAnsi="Times New Roman" w:cs="Times New Roman"/>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 xml:space="preserve">Проверим исходные данные на стационарность с помощью теста </w:t>
      </w:r>
      <w:proofErr w:type="spellStart"/>
      <w:r w:rsidRPr="00757775">
        <w:rPr>
          <w:rFonts w:ascii="Times New Roman" w:hAnsi="Times New Roman" w:cs="Times New Roman"/>
          <w:sz w:val="28"/>
          <w:szCs w:val="28"/>
        </w:rPr>
        <w:t>Дики-Фуллера</w:t>
      </w:r>
      <w:proofErr w:type="spellEnd"/>
      <w:r w:rsidRPr="00757775">
        <w:rPr>
          <w:rFonts w:ascii="Times New Roman" w:hAnsi="Times New Roman" w:cs="Times New Roman"/>
          <w:sz w:val="28"/>
          <w:szCs w:val="28"/>
        </w:rPr>
        <w:t xml:space="preserve">. Рассмотрим модифицированную модель </w:t>
      </w:r>
      <w:proofErr w:type="spellStart"/>
      <w:r w:rsidRPr="00757775">
        <w:rPr>
          <w:rFonts w:ascii="Times New Roman" w:hAnsi="Times New Roman" w:cs="Times New Roman"/>
          <w:sz w:val="28"/>
          <w:szCs w:val="28"/>
        </w:rPr>
        <w:t>авторегрессии</w:t>
      </w:r>
      <w:proofErr w:type="spellEnd"/>
      <w:r w:rsidRPr="00757775">
        <w:rPr>
          <w:rFonts w:ascii="Times New Roman" w:hAnsi="Times New Roman" w:cs="Times New Roman"/>
          <w:sz w:val="28"/>
          <w:szCs w:val="28"/>
        </w:rPr>
        <w:t xml:space="preserve"> 1-го поря</w:t>
      </w:r>
      <w:r w:rsidRPr="00757775">
        <w:rPr>
          <w:rFonts w:ascii="Times New Roman" w:hAnsi="Times New Roman" w:cs="Times New Roman"/>
          <w:sz w:val="28"/>
          <w:szCs w:val="28"/>
        </w:rPr>
        <w:t>д</w:t>
      </w:r>
      <w:r w:rsidRPr="00757775">
        <w:rPr>
          <w:rFonts w:ascii="Times New Roman" w:hAnsi="Times New Roman" w:cs="Times New Roman"/>
          <w:sz w:val="28"/>
          <w:szCs w:val="28"/>
        </w:rPr>
        <w:t xml:space="preserve">ка </w:t>
      </w:r>
      <w:r w:rsidRPr="00757775">
        <w:rPr>
          <w:rFonts w:ascii="Times New Roman" w:hAnsi="Times New Roman" w:cs="Times New Roman"/>
          <w:sz w:val="28"/>
          <w:szCs w:val="28"/>
          <w:lang w:val="en-GB"/>
        </w:rPr>
        <w:t>AR</w:t>
      </w:r>
      <w:r w:rsidRPr="00757775">
        <w:rPr>
          <w:rFonts w:ascii="Times New Roman" w:hAnsi="Times New Roman" w:cs="Times New Roman"/>
          <w:sz w:val="28"/>
          <w:szCs w:val="28"/>
        </w:rPr>
        <w:t xml:space="preserve">(1)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w:r w:rsidRPr="00757775">
        <w:rPr>
          <w:rFonts w:ascii="Times New Roman" w:eastAsiaTheme="minorEastAsia" w:hAnsi="Times New Roman" w:cs="Times New Roman"/>
          <w:sz w:val="28"/>
          <w:szCs w:val="28"/>
        </w:rPr>
        <w:t xml:space="preserve"> со свободным членом. Используя процедуру дифференцирования (взятие первой разности) осуществим переход от ук</w:t>
      </w:r>
      <w:proofErr w:type="spellStart"/>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занного</w:t>
      </w:r>
      <w:proofErr w:type="spellEnd"/>
      <w:r w:rsidRPr="00757775">
        <w:rPr>
          <w:rFonts w:ascii="Times New Roman" w:eastAsiaTheme="minorEastAsia" w:hAnsi="Times New Roman" w:cs="Times New Roman"/>
          <w:sz w:val="28"/>
          <w:szCs w:val="28"/>
        </w:rPr>
        <w:t xml:space="preserve"> уравнения к следующему соотношению: </w: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en-GB"/>
              </w:rPr>
              <m:t>Δ</m:t>
            </m:r>
            <m:r>
              <w:rPr>
                <w:rFonts w:ascii="Cambria Math" w:hAnsi="Cambria Math" w:cs="Times New Roman"/>
                <w:sz w:val="28"/>
                <w:szCs w:val="28"/>
                <w:lang w:val="en-GB"/>
              </w:rPr>
              <m:t>y</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0</m:t>
            </m:r>
          </m:sub>
        </m:sSub>
        <m: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w:r w:rsidRPr="00757775">
        <w:rPr>
          <w:rFonts w:ascii="Times New Roman" w:eastAsiaTheme="minorEastAsia" w:hAnsi="Times New Roman" w:cs="Times New Roman"/>
          <w:sz w:val="28"/>
          <w:szCs w:val="28"/>
        </w:rPr>
        <w:t xml:space="preserve">, где </w:t>
      </w:r>
      <m:oMath>
        <m:sSub>
          <m:sSubPr>
            <m:ctrlPr>
              <w:rPr>
                <w:rFonts w:ascii="Cambria Math" w:hAnsi="Cambria Math" w:cs="Times New Roman"/>
                <w:i/>
                <w:sz w:val="28"/>
                <w:szCs w:val="28"/>
              </w:rPr>
            </m:ctrlPr>
          </m:sSubPr>
          <m:e>
            <m:r>
              <m:rPr>
                <m:sty m:val="p"/>
              </m:rPr>
              <w:rPr>
                <w:rFonts w:ascii="Cambria Math" w:hAnsi="Cambria Math" w:cs="Times New Roman"/>
                <w:sz w:val="28"/>
                <w:szCs w:val="28"/>
                <w:lang w:val="en-GB"/>
              </w:rPr>
              <m:t>Δ</m:t>
            </m:r>
            <m:r>
              <w:rPr>
                <w:rFonts w:ascii="Cambria Math" w:hAnsi="Cambria Math" w:cs="Times New Roman"/>
                <w:sz w:val="28"/>
                <w:szCs w:val="28"/>
                <w:lang w:val="en-GB"/>
              </w:rPr>
              <m:t>y</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oMath>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β=</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oMath>
      <w:r w:rsidRPr="00757775">
        <w:rPr>
          <w:rFonts w:ascii="Times New Roman" w:eastAsiaTheme="minorEastAsia" w:hAnsi="Times New Roman" w:cs="Times New Roman"/>
          <w:sz w:val="28"/>
          <w:szCs w:val="28"/>
        </w:rPr>
        <w:t xml:space="preserve"> Протестируем нулевую гипотезу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H</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:β=0</m:t>
        </m:r>
      </m:oMath>
      <w:r w:rsidRPr="00757775">
        <w:rPr>
          <w:rFonts w:ascii="Times New Roman" w:eastAsiaTheme="minorEastAsia" w:hAnsi="Times New Roman" w:cs="Times New Roman"/>
          <w:sz w:val="28"/>
          <w:szCs w:val="28"/>
        </w:rPr>
        <w:t xml:space="preserve"> пр</w:t>
      </w:r>
      <w:proofErr w:type="spellStart"/>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тив</w:t>
      </w:r>
      <w:proofErr w:type="spellEnd"/>
      <w:r w:rsidRPr="00757775">
        <w:rPr>
          <w:rFonts w:ascii="Times New Roman" w:eastAsiaTheme="minorEastAsia" w:hAnsi="Times New Roman" w:cs="Times New Roman"/>
          <w:sz w:val="28"/>
          <w:szCs w:val="28"/>
        </w:rPr>
        <w:t xml:space="preserve"> </w:t>
      </w:r>
      <w:proofErr w:type="gramStart"/>
      <w:r w:rsidRPr="00757775">
        <w:rPr>
          <w:rFonts w:ascii="Times New Roman" w:eastAsiaTheme="minorEastAsia" w:hAnsi="Times New Roman" w:cs="Times New Roman"/>
          <w:sz w:val="28"/>
          <w:szCs w:val="28"/>
        </w:rPr>
        <w:t>альтернативной</w:t>
      </w:r>
      <w:proofErr w:type="gramEnd"/>
      <w:r w:rsidRPr="00757775">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H</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:β&lt;0</m:t>
        </m:r>
      </m:oMath>
      <w:r w:rsidRPr="00757775">
        <w:rPr>
          <w:rFonts w:ascii="Times New Roman" w:eastAsiaTheme="minorEastAsia" w:hAnsi="Times New Roman" w:cs="Times New Roman"/>
          <w:sz w:val="28"/>
          <w:szCs w:val="28"/>
        </w:rPr>
        <w:t xml:space="preserve">. Наблюдаемое значение критерия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t</m:t>
            </m:r>
          </m:e>
          <m:sub>
            <m:r>
              <w:rPr>
                <w:rFonts w:ascii="Cambria Math" w:eastAsiaTheme="minorEastAsia" w:hAnsi="Cambria Math" w:cs="Times New Roman"/>
                <w:sz w:val="28"/>
                <w:szCs w:val="28"/>
              </w:rPr>
              <m:t>набл.</m:t>
            </m:r>
          </m:sub>
        </m:sSub>
      </m:oMath>
      <w:r w:rsidRPr="00757775">
        <w:rPr>
          <w:rFonts w:ascii="Times New Roman" w:eastAsiaTheme="minorEastAsia" w:hAnsi="Times New Roman" w:cs="Times New Roman"/>
          <w:sz w:val="28"/>
          <w:szCs w:val="28"/>
        </w:rPr>
        <w:t xml:space="preserve">=-5,769 меньше критического значения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t</m:t>
            </m:r>
          </m:e>
          <m:sub>
            <m:r>
              <w:rPr>
                <w:rFonts w:ascii="Cambria Math" w:eastAsiaTheme="minorEastAsia" w:hAnsi="Cambria Math" w:cs="Times New Roman"/>
                <w:sz w:val="28"/>
                <w:szCs w:val="28"/>
              </w:rPr>
              <m:t>крит.</m:t>
            </m:r>
          </m:sub>
        </m:sSub>
      </m:oMath>
      <w:r w:rsidRPr="00757775">
        <w:rPr>
          <w:rFonts w:ascii="Times New Roman" w:eastAsiaTheme="minorEastAsia" w:hAnsi="Times New Roman" w:cs="Times New Roman"/>
          <w:sz w:val="28"/>
          <w:szCs w:val="28"/>
        </w:rPr>
        <w:t xml:space="preserve">=-3,493, рассчитанного по выборке в 108 наблюдений на 1%-ом уровне значимости. Следовательно, нулевая гипотеза </w:t>
      </w:r>
      <w:proofErr w:type="gramStart"/>
      <w:r w:rsidRPr="00757775">
        <w:rPr>
          <w:rFonts w:ascii="Times New Roman" w:eastAsiaTheme="minorEastAsia" w:hAnsi="Times New Roman" w:cs="Times New Roman"/>
          <w:sz w:val="28"/>
          <w:szCs w:val="28"/>
        </w:rPr>
        <w:t>отвергается</w:t>
      </w:r>
      <w:proofErr w:type="gramEnd"/>
      <w:r w:rsidRPr="00757775">
        <w:rPr>
          <w:rFonts w:ascii="Times New Roman" w:eastAsiaTheme="minorEastAsia" w:hAnsi="Times New Roman" w:cs="Times New Roman"/>
          <w:sz w:val="28"/>
          <w:szCs w:val="28"/>
        </w:rPr>
        <w:t xml:space="preserve"> и исследуемый временной ряд признается стационарным</w:t>
      </w:r>
      <w:r w:rsidR="00B9209A" w:rsidRPr="00B9209A">
        <w:rPr>
          <w:rFonts w:ascii="Times New Roman" w:eastAsiaTheme="minorEastAsia" w:hAnsi="Times New Roman" w:cs="Times New Roman"/>
          <w:sz w:val="28"/>
          <w:szCs w:val="28"/>
        </w:rPr>
        <w:t xml:space="preserve"> [18]</w:t>
      </w:r>
      <w:r w:rsidRPr="00757775">
        <w:rPr>
          <w:rFonts w:ascii="Times New Roman" w:eastAsiaTheme="minorEastAsia" w:hAnsi="Times New Roman" w:cs="Times New Roman"/>
          <w:sz w:val="28"/>
          <w:szCs w:val="28"/>
        </w:rPr>
        <w:t>.</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ЧАКФ </w:t>
      </w:r>
      <w:r w:rsidR="00E0765F">
        <w:rPr>
          <w:rFonts w:ascii="Times New Roman" w:hAnsi="Times New Roman" w:cs="Times New Roman"/>
          <w:sz w:val="28"/>
          <w:szCs w:val="28"/>
        </w:rPr>
        <w:t xml:space="preserve">(прил. 4) </w:t>
      </w:r>
      <w:r w:rsidRPr="00757775">
        <w:rPr>
          <w:rFonts w:ascii="Times New Roman" w:hAnsi="Times New Roman" w:cs="Times New Roman"/>
          <w:sz w:val="28"/>
          <w:szCs w:val="28"/>
        </w:rPr>
        <w:t>имеет положительный выброс на первом лаге, знач</w:t>
      </w:r>
      <w:r w:rsidRPr="00757775">
        <w:rPr>
          <w:rFonts w:ascii="Times New Roman" w:hAnsi="Times New Roman" w:cs="Times New Roman"/>
          <w:sz w:val="28"/>
          <w:szCs w:val="28"/>
        </w:rPr>
        <w:t>е</w:t>
      </w:r>
      <w:r w:rsidRPr="00757775">
        <w:rPr>
          <w:rFonts w:ascii="Times New Roman" w:hAnsi="Times New Roman" w:cs="Times New Roman"/>
          <w:sz w:val="28"/>
          <w:szCs w:val="28"/>
        </w:rPr>
        <w:t>ния частных коэффициентов корреляции для дальних лагов за редким и</w:t>
      </w:r>
      <w:r w:rsidRPr="00757775">
        <w:rPr>
          <w:rFonts w:ascii="Times New Roman" w:hAnsi="Times New Roman" w:cs="Times New Roman"/>
          <w:sz w:val="28"/>
          <w:szCs w:val="28"/>
        </w:rPr>
        <w:t>с</w:t>
      </w:r>
      <w:r w:rsidRPr="00757775">
        <w:rPr>
          <w:rFonts w:ascii="Times New Roman" w:hAnsi="Times New Roman" w:cs="Times New Roman"/>
          <w:sz w:val="28"/>
          <w:szCs w:val="28"/>
        </w:rPr>
        <w:t xml:space="preserve">ключением статистически незначимы. АКФ начиная с </w:t>
      </w:r>
      <m:oMath>
        <m:r>
          <w:rPr>
            <w:rFonts w:ascii="Cambria Math" w:hAnsi="Cambria Math" w:cs="Times New Roman"/>
            <w:sz w:val="28"/>
            <w:szCs w:val="28"/>
          </w:rPr>
          <m:t>ρ</m:t>
        </m:r>
        <m:d>
          <m:dPr>
            <m:ctrlPr>
              <w:rPr>
                <w:rFonts w:ascii="Cambria Math" w:hAnsi="Cambria Math" w:cs="Times New Roman"/>
                <w:i/>
                <w:sz w:val="28"/>
                <w:szCs w:val="28"/>
              </w:rPr>
            </m:ctrlPr>
          </m:dPr>
          <m:e>
            <m:r>
              <w:rPr>
                <w:rFonts w:ascii="Cambria Math" w:hAnsi="Cambria Math" w:cs="Times New Roman"/>
                <w:sz w:val="28"/>
                <w:szCs w:val="28"/>
              </w:rPr>
              <m:t>1</m:t>
            </m:r>
          </m:e>
        </m:d>
      </m:oMath>
      <w:r w:rsidRPr="00757775">
        <w:rPr>
          <w:rFonts w:ascii="Times New Roman" w:eastAsiaTheme="minorEastAsia" w:hAnsi="Times New Roman" w:cs="Times New Roman"/>
          <w:sz w:val="28"/>
          <w:szCs w:val="28"/>
        </w:rPr>
        <w:t xml:space="preserve"> </w:t>
      </w:r>
      <w:r w:rsidRPr="00757775">
        <w:rPr>
          <w:rFonts w:ascii="Times New Roman" w:hAnsi="Times New Roman" w:cs="Times New Roman"/>
          <w:sz w:val="28"/>
          <w:szCs w:val="28"/>
        </w:rPr>
        <w:t>знакопеременно экспоненциально «затухает». Предположим, что исследуемому процессу с</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ответствует </w:t>
      </w:r>
      <w:proofErr w:type="spellStart"/>
      <w:r w:rsidRPr="00757775">
        <w:rPr>
          <w:rFonts w:ascii="Times New Roman" w:hAnsi="Times New Roman" w:cs="Times New Roman"/>
          <w:sz w:val="28"/>
          <w:szCs w:val="28"/>
        </w:rPr>
        <w:t>авторегрессионная</w:t>
      </w:r>
      <w:proofErr w:type="spellEnd"/>
      <w:r w:rsidRPr="00757775">
        <w:rPr>
          <w:rFonts w:ascii="Times New Roman" w:hAnsi="Times New Roman" w:cs="Times New Roman"/>
          <w:sz w:val="28"/>
          <w:szCs w:val="28"/>
        </w:rPr>
        <w:t xml:space="preserve"> модель со </w:t>
      </w:r>
      <w:proofErr w:type="gramStart"/>
      <w:r w:rsidRPr="00757775">
        <w:rPr>
          <w:rFonts w:ascii="Times New Roman" w:hAnsi="Times New Roman" w:cs="Times New Roman"/>
          <w:sz w:val="28"/>
          <w:szCs w:val="28"/>
        </w:rPr>
        <w:t>скользящими</w:t>
      </w:r>
      <w:proofErr w:type="gramEnd"/>
      <w:r w:rsidRPr="00757775">
        <w:rPr>
          <w:rFonts w:ascii="Times New Roman" w:hAnsi="Times New Roman" w:cs="Times New Roman"/>
          <w:sz w:val="28"/>
          <w:szCs w:val="28"/>
        </w:rPr>
        <w:t xml:space="preserve"> средними в остатках </w:t>
      </w:r>
      <w:r w:rsidRPr="00757775">
        <w:rPr>
          <w:rFonts w:ascii="Times New Roman" w:hAnsi="Times New Roman" w:cs="Times New Roman"/>
          <w:sz w:val="28"/>
          <w:szCs w:val="28"/>
          <w:lang w:val="en-GB"/>
        </w:rPr>
        <w:t>ARMA</w:t>
      </w:r>
      <w:r w:rsidRPr="00757775">
        <w:rPr>
          <w:rFonts w:ascii="Times New Roman" w:hAnsi="Times New Roman" w:cs="Times New Roman"/>
          <w:sz w:val="28"/>
          <w:szCs w:val="28"/>
        </w:rPr>
        <w:t xml:space="preserve">(1;1) (порядок </w:t>
      </w:r>
      <w:proofErr w:type="spellStart"/>
      <w:r w:rsidRPr="00757775">
        <w:rPr>
          <w:rFonts w:ascii="Times New Roman" w:hAnsi="Times New Roman" w:cs="Times New Roman"/>
          <w:sz w:val="28"/>
          <w:szCs w:val="28"/>
        </w:rPr>
        <w:t>авторегрессии</w:t>
      </w:r>
      <w:proofErr w:type="spellEnd"/>
      <w:r w:rsidRPr="00757775">
        <w:rPr>
          <w:rFonts w:ascii="Times New Roman" w:hAnsi="Times New Roman" w:cs="Times New Roman"/>
          <w:sz w:val="28"/>
          <w:szCs w:val="28"/>
        </w:rPr>
        <w:t xml:space="preserve"> </w:t>
      </w:r>
      <w:r w:rsidRPr="00757775">
        <w:rPr>
          <w:rFonts w:ascii="Times New Roman" w:hAnsi="Times New Roman" w:cs="Times New Roman"/>
          <w:i/>
          <w:sz w:val="28"/>
          <w:szCs w:val="28"/>
          <w:lang w:val="en-GB"/>
        </w:rPr>
        <w:t>p</w:t>
      </w:r>
      <w:r w:rsidRPr="00757775">
        <w:rPr>
          <w:rFonts w:ascii="Times New Roman" w:hAnsi="Times New Roman" w:cs="Times New Roman"/>
          <w:sz w:val="28"/>
          <w:szCs w:val="28"/>
        </w:rPr>
        <w:t xml:space="preserve">=1 и порядок скользящего среднего </w:t>
      </w:r>
      <w:r w:rsidRPr="00757775">
        <w:rPr>
          <w:rFonts w:ascii="Times New Roman" w:hAnsi="Times New Roman" w:cs="Times New Roman"/>
          <w:i/>
          <w:sz w:val="28"/>
          <w:szCs w:val="28"/>
          <w:lang w:val="en-GB"/>
        </w:rPr>
        <w:t>q</w:t>
      </w:r>
      <w:r w:rsidRPr="00757775">
        <w:rPr>
          <w:rFonts w:ascii="Times New Roman" w:hAnsi="Times New Roman" w:cs="Times New Roman"/>
          <w:sz w:val="28"/>
          <w:szCs w:val="28"/>
        </w:rPr>
        <w:t xml:space="preserve">=1) в сочетании с </w:t>
      </w:r>
      <w:r w:rsidRPr="00757775">
        <w:rPr>
          <w:rFonts w:ascii="Times New Roman" w:hAnsi="Times New Roman" w:cs="Times New Roman"/>
          <w:sz w:val="28"/>
          <w:szCs w:val="28"/>
          <w:lang w:val="en-GB"/>
        </w:rPr>
        <w:t>SAR</w:t>
      </w:r>
      <w:r w:rsidRPr="00757775">
        <w:rPr>
          <w:rFonts w:ascii="Times New Roman" w:hAnsi="Times New Roman" w:cs="Times New Roman"/>
          <w:sz w:val="28"/>
          <w:szCs w:val="28"/>
        </w:rPr>
        <w:t xml:space="preserve">(12) и </w:t>
      </w:r>
      <w:r w:rsidRPr="00757775">
        <w:rPr>
          <w:rFonts w:ascii="Times New Roman" w:hAnsi="Times New Roman" w:cs="Times New Roman"/>
          <w:sz w:val="28"/>
          <w:szCs w:val="28"/>
          <w:lang w:val="en-GB"/>
        </w:rPr>
        <w:t>SMA</w:t>
      </w:r>
      <w:r w:rsidRPr="00757775">
        <w:rPr>
          <w:rFonts w:ascii="Times New Roman" w:hAnsi="Times New Roman" w:cs="Times New Roman"/>
          <w:sz w:val="28"/>
          <w:szCs w:val="28"/>
        </w:rPr>
        <w:t xml:space="preserve">(12), вследствие того, что и на графике </w:t>
      </w:r>
      <w:r w:rsidRPr="00757775">
        <w:rPr>
          <w:rFonts w:ascii="Times New Roman" w:hAnsi="Times New Roman" w:cs="Times New Roman"/>
          <w:sz w:val="28"/>
          <w:szCs w:val="28"/>
        </w:rPr>
        <w:lastRenderedPageBreak/>
        <w:t>АКФ, и на графике ЧАКФ видны существенные положительные пики на лаге 12, свидетельствующие о наличии годовых сезонных колебаний в исходном временном ряду.</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 xml:space="preserve">Представленные в </w:t>
      </w:r>
      <w:r w:rsidR="00947C78">
        <w:rPr>
          <w:rFonts w:ascii="Times New Roman" w:hAnsi="Times New Roman" w:cs="Times New Roman"/>
          <w:sz w:val="28"/>
          <w:szCs w:val="28"/>
        </w:rPr>
        <w:t>табл. 17</w:t>
      </w:r>
      <w:r w:rsidRPr="00757775">
        <w:rPr>
          <w:rFonts w:ascii="Times New Roman" w:hAnsi="Times New Roman" w:cs="Times New Roman"/>
          <w:sz w:val="28"/>
          <w:szCs w:val="28"/>
        </w:rPr>
        <w:t xml:space="preserve"> коэффициенты модели значимы на 1%-ом уровне значимости (все </w:t>
      </w:r>
      <w:r w:rsidRPr="00757775">
        <w:rPr>
          <w:rFonts w:ascii="Times New Roman" w:hAnsi="Times New Roman" w:cs="Times New Roman"/>
          <w:sz w:val="28"/>
          <w:szCs w:val="28"/>
          <w:lang w:val="en-GB"/>
        </w:rPr>
        <w:t>P</w:t>
      </w:r>
      <w:r w:rsidRPr="00757775">
        <w:rPr>
          <w:rFonts w:ascii="Times New Roman" w:hAnsi="Times New Roman" w:cs="Times New Roman"/>
          <w:sz w:val="28"/>
          <w:szCs w:val="28"/>
        </w:rPr>
        <w:t xml:space="preserve">-значения </w:t>
      </w:r>
      <w:r w:rsidRPr="00757775">
        <w:rPr>
          <w:rFonts w:ascii="Times New Roman" w:hAnsi="Times New Roman" w:cs="Times New Roman"/>
          <w:sz w:val="28"/>
          <w:szCs w:val="28"/>
          <w:lang w:val="en-GB"/>
        </w:rPr>
        <w:t>t</w:t>
      </w:r>
      <w:r w:rsidRPr="00757775">
        <w:rPr>
          <w:rFonts w:ascii="Times New Roman" w:hAnsi="Times New Roman" w:cs="Times New Roman"/>
          <w:sz w:val="28"/>
          <w:szCs w:val="28"/>
        </w:rPr>
        <w:t>-статистик не превышают 0,01).</w:t>
      </w:r>
      <w:r w:rsidRPr="00757775">
        <w:rPr>
          <w:rFonts w:ascii="Times New Roman" w:eastAsiaTheme="minorEastAsia" w:hAnsi="Times New Roman" w:cs="Times New Roman"/>
          <w:sz w:val="28"/>
          <w:szCs w:val="28"/>
        </w:rPr>
        <w:t xml:space="preserve"> Модели </w:t>
      </w:r>
      <w:r w:rsidRPr="00757775">
        <w:rPr>
          <w:rFonts w:ascii="Times New Roman" w:eastAsiaTheme="minorEastAsia" w:hAnsi="Times New Roman" w:cs="Times New Roman"/>
          <w:sz w:val="28"/>
          <w:szCs w:val="28"/>
          <w:lang w:val="en-GB"/>
        </w:rPr>
        <w:t>ARMA</w:t>
      </w:r>
      <w:r w:rsidRPr="00757775">
        <w:rPr>
          <w:rFonts w:ascii="Times New Roman" w:eastAsiaTheme="minorEastAsia" w:hAnsi="Times New Roman" w:cs="Times New Roman"/>
          <w:sz w:val="28"/>
          <w:szCs w:val="28"/>
        </w:rPr>
        <w:t>(1;1)</w:t>
      </w:r>
      <w:r w:rsidRPr="00757775">
        <w:rPr>
          <w:rFonts w:ascii="Times New Roman" w:hAnsi="Times New Roman" w:cs="Times New Roman"/>
          <w:sz w:val="24"/>
          <w:szCs w:val="24"/>
        </w:rPr>
        <w:t xml:space="preserve"> </w:t>
      </w:r>
      <w:r w:rsidRPr="00757775">
        <w:rPr>
          <w:rFonts w:ascii="Times New Roman" w:eastAsiaTheme="minorEastAsia" w:hAnsi="Times New Roman" w:cs="Times New Roman"/>
          <w:sz w:val="28"/>
          <w:szCs w:val="28"/>
        </w:rPr>
        <w:t>×</w:t>
      </w:r>
      <w:r w:rsidRPr="00757775">
        <w:rPr>
          <w:rFonts w:ascii="Times New Roman" w:eastAsiaTheme="minorEastAsia" w:hAnsi="Times New Roman" w:cs="Times New Roman"/>
          <w:sz w:val="28"/>
          <w:szCs w:val="28"/>
          <w:lang w:val="en-GB"/>
        </w:rPr>
        <w:t>SAR</w:t>
      </w:r>
      <w:r w:rsidRPr="00757775">
        <w:rPr>
          <w:rFonts w:ascii="Times New Roman" w:eastAsiaTheme="minorEastAsia" w:hAnsi="Times New Roman" w:cs="Times New Roman"/>
          <w:sz w:val="28"/>
          <w:szCs w:val="28"/>
        </w:rPr>
        <w:t>(12)×</w:t>
      </w:r>
      <w:r w:rsidRPr="00757775">
        <w:rPr>
          <w:rFonts w:ascii="Times New Roman" w:eastAsiaTheme="minorEastAsia" w:hAnsi="Times New Roman" w:cs="Times New Roman"/>
          <w:sz w:val="28"/>
          <w:szCs w:val="28"/>
          <w:lang w:val="en-GB"/>
        </w:rPr>
        <w:t>SMA</w:t>
      </w:r>
      <w:r w:rsidRPr="00757775">
        <w:rPr>
          <w:rFonts w:ascii="Times New Roman" w:eastAsiaTheme="minorEastAsia" w:hAnsi="Times New Roman" w:cs="Times New Roman"/>
          <w:sz w:val="28"/>
          <w:szCs w:val="28"/>
        </w:rPr>
        <w:t>(12) соответствуют минимальные значения и</w:t>
      </w:r>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 xml:space="preserve">формационных критериев </w:t>
      </w:r>
      <w:proofErr w:type="spellStart"/>
      <w:r w:rsidRPr="00757775">
        <w:rPr>
          <w:rFonts w:ascii="Times New Roman" w:eastAsiaTheme="minorEastAsia" w:hAnsi="Times New Roman" w:cs="Times New Roman"/>
          <w:sz w:val="28"/>
          <w:szCs w:val="28"/>
        </w:rPr>
        <w:t>Акаике</w:t>
      </w:r>
      <w:proofErr w:type="spellEnd"/>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AIC=2</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p+q</m:t>
            </m:r>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+ln</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up>
                        <m:r>
                          <w:rPr>
                            <w:rFonts w:ascii="Cambria Math" w:eastAsiaTheme="minorEastAsia" w:hAnsi="Cambria Math" w:cs="Times New Roman"/>
                            <w:sz w:val="28"/>
                            <w:szCs w:val="28"/>
                          </w:rPr>
                          <m:t>2</m:t>
                        </m:r>
                      </m:sup>
                    </m:sSubSup>
                  </m:e>
                </m:nary>
              </m:num>
              <m:den>
                <m:r>
                  <w:rPr>
                    <w:rFonts w:ascii="Cambria Math" w:eastAsiaTheme="minorEastAsia" w:hAnsi="Cambria Math" w:cs="Times New Roman"/>
                    <w:sz w:val="28"/>
                    <w:szCs w:val="28"/>
                  </w:rPr>
                  <m:t>n</m:t>
                </m:r>
              </m:den>
            </m:f>
          </m:e>
        </m:d>
      </m:oMath>
      <w:r w:rsidRPr="00757775">
        <w:rPr>
          <w:rFonts w:ascii="Times New Roman" w:eastAsiaTheme="minorEastAsia" w:hAnsi="Times New Roman" w:cs="Times New Roman"/>
          <w:sz w:val="28"/>
          <w:szCs w:val="28"/>
        </w:rPr>
        <w:t>=0,153) и Шва</w:t>
      </w:r>
      <w:proofErr w:type="spellStart"/>
      <w:r w:rsidRPr="00757775">
        <w:rPr>
          <w:rFonts w:ascii="Times New Roman" w:eastAsiaTheme="minorEastAsia" w:hAnsi="Times New Roman" w:cs="Times New Roman"/>
          <w:sz w:val="28"/>
          <w:szCs w:val="28"/>
        </w:rPr>
        <w:t>р</w:t>
      </w:r>
      <w:r w:rsidRPr="00757775">
        <w:rPr>
          <w:rFonts w:ascii="Times New Roman" w:eastAsiaTheme="minorEastAsia" w:hAnsi="Times New Roman" w:cs="Times New Roman"/>
          <w:sz w:val="28"/>
          <w:szCs w:val="28"/>
        </w:rPr>
        <w:t>ца</w:t>
      </w:r>
      <w:proofErr w:type="spellEnd"/>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SIC</m:t>
        </m:r>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p+q</m:t>
                </m:r>
              </m:e>
            </m:d>
            <m:r>
              <w:rPr>
                <w:rFonts w:ascii="Cambria Math" w:eastAsiaTheme="minorEastAsia" w:hAnsi="Cambria Math" w:cs="Times New Roman"/>
                <w:sz w:val="28"/>
                <w:szCs w:val="28"/>
              </w:rPr>
              <m:t>lnn</m:t>
            </m:r>
          </m:num>
          <m:den>
            <m:r>
              <w:rPr>
                <w:rFonts w:ascii="Cambria Math" w:eastAsiaTheme="minorEastAsia" w:hAnsi="Cambria Math" w:cs="Times New Roman"/>
                <w:sz w:val="28"/>
                <w:szCs w:val="28"/>
              </w:rPr>
              <m:t>n</m:t>
            </m:r>
          </m:den>
        </m:f>
        <m:r>
          <w:rPr>
            <w:rFonts w:ascii="Cambria Math" w:eastAsiaTheme="minorEastAsia" w:hAnsi="Cambria Math" w:cs="Times New Roman"/>
            <w:sz w:val="28"/>
            <w:szCs w:val="28"/>
          </w:rPr>
          <m:t>+ln</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up>
                        <m:r>
                          <w:rPr>
                            <w:rFonts w:ascii="Cambria Math" w:eastAsiaTheme="minorEastAsia" w:hAnsi="Cambria Math" w:cs="Times New Roman"/>
                            <w:sz w:val="28"/>
                            <w:szCs w:val="28"/>
                          </w:rPr>
                          <m:t>2</m:t>
                        </m:r>
                      </m:sup>
                    </m:sSubSup>
                  </m:e>
                </m:nary>
              </m:num>
              <m:den>
                <m:r>
                  <w:rPr>
                    <w:rFonts w:ascii="Cambria Math" w:eastAsiaTheme="minorEastAsia" w:hAnsi="Cambria Math" w:cs="Times New Roman"/>
                    <w:sz w:val="28"/>
                    <w:szCs w:val="28"/>
                  </w:rPr>
                  <m:t>n</m:t>
                </m:r>
              </m:den>
            </m:f>
          </m:e>
        </m:d>
      </m:oMath>
      <w:r w:rsidRPr="00757775">
        <w:rPr>
          <w:rFonts w:ascii="Times New Roman" w:eastAsiaTheme="minorEastAsia" w:hAnsi="Times New Roman" w:cs="Times New Roman"/>
          <w:sz w:val="28"/>
          <w:szCs w:val="28"/>
        </w:rPr>
        <w:t>=0,287), которые отражают требования пов</w:t>
      </w:r>
      <w:proofErr w:type="spellStart"/>
      <w:r w:rsidRPr="00757775">
        <w:rPr>
          <w:rFonts w:ascii="Times New Roman" w:eastAsiaTheme="minorEastAsia" w:hAnsi="Times New Roman" w:cs="Times New Roman"/>
          <w:sz w:val="28"/>
          <w:szCs w:val="28"/>
        </w:rPr>
        <w:t>ы</w:t>
      </w:r>
      <w:r w:rsidRPr="00757775">
        <w:rPr>
          <w:rFonts w:ascii="Times New Roman" w:eastAsiaTheme="minorEastAsia" w:hAnsi="Times New Roman" w:cs="Times New Roman"/>
          <w:sz w:val="28"/>
          <w:szCs w:val="28"/>
        </w:rPr>
        <w:t>шения</w:t>
      </w:r>
      <w:proofErr w:type="spellEnd"/>
      <w:r w:rsidRPr="00757775">
        <w:rPr>
          <w:rFonts w:ascii="Times New Roman" w:eastAsiaTheme="minorEastAsia" w:hAnsi="Times New Roman" w:cs="Times New Roman"/>
          <w:sz w:val="28"/>
          <w:szCs w:val="28"/>
        </w:rPr>
        <w:t xml:space="preserve"> точности (качества подгонки данных моделью) и уменьшения числа параметров модели. По своей идеологии эти критерии близки к </w:t>
      </w:r>
      <w:proofErr w:type="gramStart"/>
      <w:r w:rsidRPr="00757775">
        <w:rPr>
          <w:rFonts w:ascii="Times New Roman" w:eastAsiaTheme="minorEastAsia" w:hAnsi="Times New Roman" w:cs="Times New Roman"/>
          <w:sz w:val="28"/>
          <w:szCs w:val="28"/>
        </w:rPr>
        <w:t>скорректир</w:t>
      </w:r>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ванному</w:t>
      </w:r>
      <w:proofErr w:type="gramEnd"/>
      <w:r w:rsidRPr="00757775">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GB"/>
              </w:rPr>
              <m:t>R</m:t>
            </m:r>
          </m:e>
          <m:sup>
            <m:r>
              <w:rPr>
                <w:rFonts w:ascii="Cambria Math" w:eastAsiaTheme="minorEastAsia" w:hAnsi="Cambria Math" w:cs="Times New Roman"/>
                <w:sz w:val="28"/>
                <w:szCs w:val="28"/>
              </w:rPr>
              <m:t>2</m:t>
            </m:r>
          </m:sup>
        </m:sSup>
      </m:oMath>
      <w:r w:rsidRPr="00757775">
        <w:rPr>
          <w:rFonts w:ascii="Times New Roman" w:eastAsiaTheme="minorEastAsia" w:hAnsi="Times New Roman" w:cs="Times New Roman"/>
          <w:sz w:val="28"/>
          <w:szCs w:val="28"/>
        </w:rPr>
        <w:t>.</w:t>
      </w:r>
    </w:p>
    <w:p w:rsidR="00DB7C4D" w:rsidRPr="005158F2" w:rsidRDefault="00DB7C4D" w:rsidP="00D71C74">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Таблица 1</w:t>
      </w:r>
      <w:r w:rsidR="00947C78" w:rsidRPr="005158F2">
        <w:rPr>
          <w:rFonts w:ascii="Times New Roman" w:hAnsi="Times New Roman" w:cs="Times New Roman"/>
          <w:i/>
          <w:sz w:val="26"/>
          <w:szCs w:val="26"/>
        </w:rPr>
        <w:t>7</w:t>
      </w:r>
    </w:p>
    <w:p w:rsidR="00DB7C4D" w:rsidRPr="005158F2" w:rsidRDefault="00DB7C4D" w:rsidP="00940C86">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Спецификация модели ARMA(1;1)×SAR(12)×SMA(12)</w:t>
      </w:r>
    </w:p>
    <w:tbl>
      <w:tblPr>
        <w:tblW w:w="8624" w:type="dxa"/>
        <w:jc w:val="center"/>
        <w:tblLook w:val="04A0"/>
      </w:tblPr>
      <w:tblGrid>
        <w:gridCol w:w="1984"/>
        <w:gridCol w:w="1985"/>
        <w:gridCol w:w="1719"/>
        <w:gridCol w:w="1602"/>
        <w:gridCol w:w="1334"/>
      </w:tblGrid>
      <w:tr w:rsidR="00DB7C4D" w:rsidRPr="00757775" w:rsidTr="006F793D">
        <w:trPr>
          <w:trHeight w:val="300"/>
          <w:tblHeader/>
          <w:jc w:val="center"/>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Переменные</w:t>
            </w:r>
          </w:p>
        </w:tc>
        <w:tc>
          <w:tcPr>
            <w:tcW w:w="3704" w:type="dxa"/>
            <w:gridSpan w:val="2"/>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Оценки</w:t>
            </w:r>
          </w:p>
        </w:tc>
        <w:tc>
          <w:tcPr>
            <w:tcW w:w="16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i/>
                <w:color w:val="000000"/>
                <w:lang w:eastAsia="ru-RU"/>
              </w:rPr>
              <w:t>t</w:t>
            </w:r>
            <w:r w:rsidRPr="00757775">
              <w:rPr>
                <w:rFonts w:ascii="Times New Roman" w:eastAsia="Times New Roman" w:hAnsi="Times New Roman" w:cs="Times New Roman"/>
                <w:b/>
                <w:bCs/>
                <w:color w:val="000000"/>
                <w:lang w:eastAsia="ru-RU"/>
              </w:rPr>
              <w:t>-статистика</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i/>
                <w:color w:val="000000"/>
                <w:lang w:eastAsia="ru-RU"/>
              </w:rPr>
              <w:t>P</w:t>
            </w:r>
            <w:r w:rsidRPr="00757775">
              <w:rPr>
                <w:rFonts w:ascii="Times New Roman" w:eastAsia="Times New Roman" w:hAnsi="Times New Roman" w:cs="Times New Roman"/>
                <w:b/>
                <w:bCs/>
                <w:color w:val="000000"/>
                <w:lang w:eastAsia="ru-RU"/>
              </w:rPr>
              <w:t>-значение</w:t>
            </w:r>
          </w:p>
        </w:tc>
      </w:tr>
      <w:tr w:rsidR="00DB7C4D" w:rsidRPr="00757775" w:rsidTr="006F793D">
        <w:trPr>
          <w:trHeight w:val="300"/>
          <w:tblHeader/>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b/>
                <w:bCs/>
                <w:color w:val="00000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Коэффициент</w:t>
            </w:r>
          </w:p>
        </w:tc>
        <w:tc>
          <w:tcPr>
            <w:tcW w:w="1719" w:type="dxa"/>
            <w:tcBorders>
              <w:top w:val="nil"/>
              <w:left w:val="nil"/>
              <w:bottom w:val="single" w:sz="4" w:space="0" w:color="auto"/>
              <w:right w:val="single" w:sz="4" w:space="0" w:color="auto"/>
            </w:tcBorders>
            <w:shd w:val="clear" w:color="auto" w:fill="auto"/>
            <w:noWrap/>
            <w:vAlign w:val="center"/>
            <w:hideMark/>
          </w:tcPr>
          <w:p w:rsidR="00DB7C4D" w:rsidRPr="00757775" w:rsidRDefault="006F793D" w:rsidP="002F57F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Станд. ошибка</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b/>
                <w:bCs/>
                <w:color w:val="000000"/>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b/>
                <w:bCs/>
                <w:color w:val="000000"/>
                <w:lang w:eastAsia="ru-RU"/>
              </w:rPr>
            </w:pPr>
          </w:p>
        </w:tc>
      </w:tr>
      <w:tr w:rsidR="00DB7C4D" w:rsidRPr="00757775" w:rsidTr="006F793D">
        <w:trPr>
          <w:trHeight w:val="375"/>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Cs/>
                <w:iCs/>
                <w:color w:val="000000"/>
                <w:sz w:val="23"/>
                <w:szCs w:val="23"/>
                <w:lang w:eastAsia="ru-RU"/>
              </w:rPr>
            </w:pPr>
            <w:r w:rsidRPr="00757775">
              <w:rPr>
                <w:rFonts w:ascii="Times New Roman" w:eastAsia="Times New Roman" w:hAnsi="Times New Roman" w:cs="Times New Roman"/>
                <w:bCs/>
                <w:iCs/>
                <w:color w:val="000000"/>
                <w:sz w:val="23"/>
                <w:szCs w:val="23"/>
                <w:lang w:eastAsia="ru-RU"/>
              </w:rPr>
              <w:t>Константа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100,1301</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0,4549</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220,1317</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0,0000</w:t>
            </w:r>
          </w:p>
        </w:tc>
      </w:tr>
      <w:tr w:rsidR="00DB7C4D" w:rsidRPr="00757775" w:rsidTr="006F793D">
        <w:trPr>
          <w:trHeight w:val="375"/>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6F793D" w:rsidRDefault="00DB7C4D" w:rsidP="002F57F4">
            <w:pPr>
              <w:spacing w:after="0" w:line="240" w:lineRule="auto"/>
              <w:jc w:val="center"/>
              <w:rPr>
                <w:rFonts w:ascii="Times New Roman" w:eastAsia="Times New Roman" w:hAnsi="Times New Roman" w:cs="Times New Roman"/>
                <w:bCs/>
                <w:iCs/>
                <w:color w:val="000000"/>
                <w:sz w:val="23"/>
                <w:szCs w:val="23"/>
                <w:lang w:eastAsia="ru-RU"/>
              </w:rPr>
            </w:pPr>
            <w:r w:rsidRPr="00757775">
              <w:rPr>
                <w:rFonts w:ascii="Times New Roman" w:eastAsia="Times New Roman" w:hAnsi="Times New Roman" w:cs="Times New Roman"/>
                <w:bCs/>
                <w:iCs/>
                <w:color w:val="000000"/>
                <w:sz w:val="23"/>
                <w:szCs w:val="23"/>
                <w:lang w:val="en-GB" w:eastAsia="ru-RU"/>
              </w:rPr>
              <w:t>AR</w:t>
            </w:r>
            <w:r w:rsidRPr="006F793D">
              <w:rPr>
                <w:rFonts w:ascii="Times New Roman" w:eastAsia="Times New Roman" w:hAnsi="Times New Roman" w:cs="Times New Roman"/>
                <w:bCs/>
                <w:iCs/>
                <w:color w:val="000000"/>
                <w:sz w:val="23"/>
                <w:szCs w:val="23"/>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0,8142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0,1019</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7,9886</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0,0000</w:t>
            </w:r>
          </w:p>
        </w:tc>
      </w:tr>
      <w:tr w:rsidR="00DB7C4D" w:rsidRPr="00757775" w:rsidTr="006F793D">
        <w:trPr>
          <w:trHeight w:val="375"/>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6F793D" w:rsidRDefault="00DB7C4D" w:rsidP="002F57F4">
            <w:pPr>
              <w:spacing w:after="0" w:line="240" w:lineRule="auto"/>
              <w:jc w:val="center"/>
              <w:rPr>
                <w:rFonts w:ascii="Times New Roman" w:eastAsia="Times New Roman" w:hAnsi="Times New Roman" w:cs="Times New Roman"/>
                <w:bCs/>
                <w:iCs/>
                <w:color w:val="000000"/>
                <w:sz w:val="23"/>
                <w:szCs w:val="23"/>
                <w:lang w:eastAsia="ru-RU"/>
              </w:rPr>
            </w:pPr>
            <w:r w:rsidRPr="00757775">
              <w:rPr>
                <w:rFonts w:ascii="Times New Roman" w:eastAsia="Times New Roman" w:hAnsi="Times New Roman" w:cs="Times New Roman"/>
                <w:bCs/>
                <w:iCs/>
                <w:color w:val="000000"/>
                <w:sz w:val="23"/>
                <w:szCs w:val="23"/>
                <w:lang w:val="en-GB" w:eastAsia="ru-RU"/>
              </w:rPr>
              <w:t>SAR</w:t>
            </w:r>
            <w:r w:rsidRPr="006F793D">
              <w:rPr>
                <w:rFonts w:ascii="Times New Roman" w:eastAsia="Times New Roman" w:hAnsi="Times New Roman" w:cs="Times New Roman"/>
                <w:bCs/>
                <w:iCs/>
                <w:color w:val="000000"/>
                <w:sz w:val="23"/>
                <w:szCs w:val="23"/>
                <w:lang w:eastAsia="ru-RU"/>
              </w:rPr>
              <w:t>(12)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0,8996</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0,0391</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22,9993</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0,0000</w:t>
            </w:r>
          </w:p>
        </w:tc>
      </w:tr>
      <w:tr w:rsidR="00DB7C4D" w:rsidRPr="00757775" w:rsidTr="006F793D">
        <w:trPr>
          <w:trHeight w:val="375"/>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6F793D" w:rsidRDefault="00DB7C4D" w:rsidP="002F57F4">
            <w:pPr>
              <w:spacing w:after="0" w:line="240" w:lineRule="auto"/>
              <w:jc w:val="center"/>
              <w:rPr>
                <w:rFonts w:ascii="Times New Roman" w:eastAsia="Times New Roman" w:hAnsi="Times New Roman" w:cs="Times New Roman"/>
                <w:bCs/>
                <w:iCs/>
                <w:color w:val="000000"/>
                <w:sz w:val="23"/>
                <w:szCs w:val="23"/>
                <w:lang w:eastAsia="ru-RU"/>
              </w:rPr>
            </w:pPr>
            <w:r w:rsidRPr="00757775">
              <w:rPr>
                <w:rFonts w:ascii="Times New Roman" w:eastAsia="Times New Roman" w:hAnsi="Times New Roman" w:cs="Times New Roman"/>
                <w:bCs/>
                <w:iCs/>
                <w:color w:val="000000"/>
                <w:sz w:val="23"/>
                <w:szCs w:val="23"/>
                <w:lang w:val="en-GB" w:eastAsia="ru-RU"/>
              </w:rPr>
              <w:t>MA</w:t>
            </w:r>
            <w:r w:rsidRPr="006F793D">
              <w:rPr>
                <w:rFonts w:ascii="Times New Roman" w:eastAsia="Times New Roman" w:hAnsi="Times New Roman" w:cs="Times New Roman"/>
                <w:bCs/>
                <w:iCs/>
                <w:color w:val="000000"/>
                <w:sz w:val="23"/>
                <w:szCs w:val="23"/>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-0,5462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0,1208</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-4,5218</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0,0000</w:t>
            </w:r>
          </w:p>
        </w:tc>
      </w:tr>
      <w:tr w:rsidR="00DB7C4D" w:rsidRPr="00757775" w:rsidTr="006F793D">
        <w:trPr>
          <w:trHeight w:val="375"/>
          <w:jc w:val="center"/>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Cs/>
                <w:iCs/>
                <w:color w:val="000000"/>
                <w:sz w:val="23"/>
                <w:szCs w:val="23"/>
                <w:lang w:val="en-GB" w:eastAsia="ru-RU"/>
              </w:rPr>
            </w:pPr>
            <w:r w:rsidRPr="00757775">
              <w:rPr>
                <w:rFonts w:ascii="Times New Roman" w:eastAsia="Times New Roman" w:hAnsi="Times New Roman" w:cs="Times New Roman"/>
                <w:bCs/>
                <w:iCs/>
                <w:color w:val="000000"/>
                <w:sz w:val="23"/>
                <w:szCs w:val="23"/>
                <w:lang w:val="en-GB" w:eastAsia="ru-RU"/>
              </w:rPr>
              <w:t>SMA(12)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-0,7662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0,0474</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-16,1483</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hAnsi="Times New Roman" w:cs="Times New Roman"/>
                <w:color w:val="000000"/>
                <w:sz w:val="23"/>
                <w:szCs w:val="23"/>
              </w:rPr>
            </w:pPr>
            <w:r w:rsidRPr="00757775">
              <w:rPr>
                <w:rFonts w:ascii="Times New Roman" w:hAnsi="Times New Roman" w:cs="Times New Roman"/>
                <w:color w:val="000000"/>
                <w:sz w:val="23"/>
                <w:szCs w:val="23"/>
              </w:rPr>
              <w:t>0,0000</w:t>
            </w:r>
          </w:p>
        </w:tc>
      </w:tr>
      <w:tr w:rsidR="00DB7C4D" w:rsidRPr="00757775" w:rsidTr="006F793D">
        <w:trPr>
          <w:trHeight w:val="390"/>
          <w:jc w:val="center"/>
        </w:trPr>
        <w:tc>
          <w:tcPr>
            <w:tcW w:w="86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val="en-GB" w:eastAsia="ru-RU"/>
              </w:rPr>
              <w:t>AIC=0,</w:t>
            </w:r>
            <w:r w:rsidRPr="00757775">
              <w:rPr>
                <w:rFonts w:ascii="Times New Roman" w:eastAsia="Times New Roman" w:hAnsi="Times New Roman" w:cs="Times New Roman"/>
                <w:color w:val="000000"/>
                <w:sz w:val="23"/>
                <w:szCs w:val="23"/>
                <w:lang w:eastAsia="ru-RU"/>
              </w:rPr>
              <w:t>153</w:t>
            </w:r>
            <w:r w:rsidRPr="00757775">
              <w:rPr>
                <w:rFonts w:ascii="Times New Roman" w:eastAsia="Times New Roman" w:hAnsi="Times New Roman" w:cs="Times New Roman"/>
                <w:color w:val="000000"/>
                <w:sz w:val="23"/>
                <w:szCs w:val="23"/>
                <w:lang w:val="en-GB" w:eastAsia="ru-RU"/>
              </w:rPr>
              <w:t>, SIC=0,</w:t>
            </w:r>
            <w:r w:rsidRPr="00757775">
              <w:rPr>
                <w:rFonts w:ascii="Times New Roman" w:eastAsia="Times New Roman" w:hAnsi="Times New Roman" w:cs="Times New Roman"/>
                <w:color w:val="000000"/>
                <w:sz w:val="23"/>
                <w:szCs w:val="23"/>
                <w:lang w:eastAsia="ru-RU"/>
              </w:rPr>
              <w:t>287</w:t>
            </w:r>
          </w:p>
        </w:tc>
      </w:tr>
    </w:tbl>
    <w:p w:rsidR="00DB7C4D" w:rsidRPr="00757775" w:rsidRDefault="00DB7C4D" w:rsidP="00940C86">
      <w:pPr>
        <w:spacing w:before="240" w:after="0" w:line="360" w:lineRule="auto"/>
        <w:ind w:firstLine="709"/>
        <w:jc w:val="both"/>
        <w:rPr>
          <w:rFonts w:ascii="Times New Roman" w:eastAsiaTheme="minorEastAsia" w:hAnsi="Times New Roman" w:cs="Times New Roman"/>
          <w:sz w:val="28"/>
          <w:szCs w:val="28"/>
        </w:rPr>
      </w:pPr>
      <w:r w:rsidRPr="00757775">
        <w:rPr>
          <w:rFonts w:ascii="Times New Roman" w:hAnsi="Times New Roman" w:cs="Times New Roman"/>
          <w:sz w:val="28"/>
          <w:szCs w:val="28"/>
        </w:rPr>
        <w:t>Осуществим проверку адекватности построенной модели</w:t>
      </w:r>
      <w:r w:rsidR="00304193">
        <w:rPr>
          <w:rFonts w:ascii="Times New Roman" w:hAnsi="Times New Roman" w:cs="Times New Roman"/>
          <w:sz w:val="28"/>
          <w:szCs w:val="28"/>
        </w:rPr>
        <w:t xml:space="preserve"> временного ряда</w:t>
      </w:r>
      <w:r w:rsidRPr="00757775">
        <w:rPr>
          <w:rFonts w:ascii="Times New Roman" w:hAnsi="Times New Roman" w:cs="Times New Roman"/>
          <w:sz w:val="28"/>
          <w:szCs w:val="28"/>
        </w:rPr>
        <w:t>. На уровне значимости α=0,01 отвергается гипотеза о наличии едини</w:t>
      </w:r>
      <w:r w:rsidRPr="00757775">
        <w:rPr>
          <w:rFonts w:ascii="Times New Roman" w:hAnsi="Times New Roman" w:cs="Times New Roman"/>
          <w:sz w:val="28"/>
          <w:szCs w:val="28"/>
        </w:rPr>
        <w:t>ч</w:t>
      </w:r>
      <w:r w:rsidRPr="00757775">
        <w:rPr>
          <w:rFonts w:ascii="Times New Roman" w:hAnsi="Times New Roman" w:cs="Times New Roman"/>
          <w:sz w:val="28"/>
          <w:szCs w:val="28"/>
        </w:rPr>
        <w:t xml:space="preserve">ного корня в характеристическом уравнении остатков модели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t</m:t>
            </m:r>
          </m:sub>
        </m:sSub>
      </m:oMath>
      <w:r w:rsidRPr="00757775">
        <w:rPr>
          <w:rFonts w:ascii="Times New Roman" w:hAnsi="Times New Roman" w:cs="Times New Roman"/>
          <w:sz w:val="28"/>
          <w:szCs w:val="28"/>
        </w:rPr>
        <w:t xml:space="preserve">, поскольку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t</m:t>
            </m:r>
          </m:e>
          <m:sub>
            <m:r>
              <w:rPr>
                <w:rFonts w:ascii="Cambria Math" w:eastAsiaTheme="minorEastAsia" w:hAnsi="Cambria Math" w:cs="Times New Roman"/>
                <w:sz w:val="28"/>
                <w:szCs w:val="28"/>
              </w:rPr>
              <m:t>крит.</m:t>
            </m:r>
          </m:sub>
        </m:sSub>
      </m:oMath>
      <w:r w:rsidRPr="00757775">
        <w:rPr>
          <w:rFonts w:ascii="Times New Roman" w:eastAsiaTheme="minorEastAsia" w:hAnsi="Times New Roman" w:cs="Times New Roman"/>
          <w:sz w:val="28"/>
          <w:szCs w:val="28"/>
        </w:rPr>
        <w:t xml:space="preserve">=-2,590, </w:t>
      </w:r>
      <w:proofErr w:type="gramStart"/>
      <w:r w:rsidRPr="00757775">
        <w:rPr>
          <w:rFonts w:ascii="Times New Roman" w:eastAsiaTheme="minorEastAsia" w:hAnsi="Times New Roman" w:cs="Times New Roman"/>
          <w:sz w:val="28"/>
          <w:szCs w:val="28"/>
        </w:rPr>
        <w:t>взятое</w:t>
      </w:r>
      <w:proofErr w:type="gramEnd"/>
      <w:r w:rsidRPr="00757775">
        <w:rPr>
          <w:rFonts w:ascii="Times New Roman" w:eastAsiaTheme="minorEastAsia" w:hAnsi="Times New Roman" w:cs="Times New Roman"/>
          <w:sz w:val="28"/>
          <w:szCs w:val="28"/>
        </w:rPr>
        <w:t xml:space="preserve"> из таблиц Дики-Фуллера, выше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t</m:t>
            </m:r>
          </m:e>
          <m:sub>
            <m:r>
              <w:rPr>
                <w:rFonts w:ascii="Cambria Math" w:eastAsiaTheme="minorEastAsia" w:hAnsi="Cambria Math" w:cs="Times New Roman"/>
                <w:sz w:val="28"/>
                <w:szCs w:val="28"/>
              </w:rPr>
              <m:t>набл.</m:t>
            </m:r>
          </m:sub>
        </m:sSub>
      </m:oMath>
      <w:r w:rsidRPr="00757775">
        <w:rPr>
          <w:rFonts w:ascii="Times New Roman" w:eastAsiaTheme="minorEastAsia" w:hAnsi="Times New Roman" w:cs="Times New Roman"/>
          <w:sz w:val="28"/>
          <w:szCs w:val="28"/>
        </w:rPr>
        <w:t xml:space="preserve">=-9,602; ряд ошибок </w:t>
      </w:r>
      <w:r w:rsidR="00304193">
        <w:rPr>
          <w:rFonts w:ascii="Times New Roman" w:eastAsiaTheme="minorEastAsia" w:hAnsi="Times New Roman" w:cs="Times New Roman"/>
          <w:sz w:val="28"/>
          <w:szCs w:val="28"/>
        </w:rPr>
        <w:t>модели</w:t>
      </w:r>
      <w:r w:rsidRPr="00757775">
        <w:rPr>
          <w:rFonts w:ascii="Times New Roman" w:eastAsiaTheme="minorEastAsia" w:hAnsi="Times New Roman" w:cs="Times New Roman"/>
          <w:sz w:val="28"/>
          <w:szCs w:val="28"/>
        </w:rPr>
        <w:t xml:space="preserve"> (</w:t>
      </w:r>
      <w:r w:rsidR="00E0765F">
        <w:rPr>
          <w:rFonts w:ascii="Times New Roman" w:eastAsiaTheme="minorEastAsia" w:hAnsi="Times New Roman" w:cs="Times New Roman"/>
          <w:sz w:val="28"/>
          <w:szCs w:val="28"/>
        </w:rPr>
        <w:t>прил. 5</w:t>
      </w:r>
      <w:r w:rsidR="00424B48">
        <w:rPr>
          <w:rFonts w:ascii="Times New Roman" w:eastAsiaTheme="minorEastAsia" w:hAnsi="Times New Roman" w:cs="Times New Roman"/>
          <w:sz w:val="28"/>
          <w:szCs w:val="28"/>
        </w:rPr>
        <w:t>)</w:t>
      </w:r>
      <w:r w:rsidRPr="00757775">
        <w:rPr>
          <w:rFonts w:ascii="Times New Roman" w:eastAsiaTheme="minorEastAsia" w:hAnsi="Times New Roman" w:cs="Times New Roman"/>
          <w:sz w:val="28"/>
          <w:szCs w:val="28"/>
        </w:rPr>
        <w:t xml:space="preserve"> является стационарным.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Для проверки наличия автокорреляции остатков воспользуемся тестом </w:t>
      </w:r>
      <w:proofErr w:type="spellStart"/>
      <w:r w:rsidRPr="00757775">
        <w:rPr>
          <w:rFonts w:ascii="Times New Roman" w:eastAsiaTheme="minorEastAsia" w:hAnsi="Times New Roman" w:cs="Times New Roman"/>
          <w:sz w:val="28"/>
          <w:szCs w:val="28"/>
        </w:rPr>
        <w:t>Бреуша-Годфри</w:t>
      </w:r>
      <w:proofErr w:type="spellEnd"/>
      <w:r w:rsidRPr="00757775">
        <w:rPr>
          <w:rFonts w:ascii="Times New Roman" w:eastAsiaTheme="minorEastAsia" w:hAnsi="Times New Roman" w:cs="Times New Roman"/>
          <w:sz w:val="28"/>
          <w:szCs w:val="28"/>
        </w:rPr>
        <w:t xml:space="preserve"> (методом множителей Лагранжа). Гипотеза об отсутствии автокорреляции ошибок до двенадцатого лага включительно не отвергается на 1%-ном уровне значимости: критическая вероятность статистики </w:t>
      </w:r>
      <m:oMath>
        <m:r>
          <w:rPr>
            <w:rFonts w:ascii="Cambria Math" w:eastAsiaTheme="minorEastAsia" w:hAnsi="Cambria Math" w:cs="Times New Roman"/>
            <w:sz w:val="28"/>
            <w:szCs w:val="28"/>
          </w:rPr>
          <m:t>N</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w:r w:rsidRPr="00757775">
        <w:rPr>
          <w:rFonts w:ascii="Times New Roman" w:eastAsiaTheme="minorEastAsia" w:hAnsi="Times New Roman" w:cs="Times New Roman"/>
          <w:sz w:val="28"/>
          <w:szCs w:val="28"/>
        </w:rPr>
        <w:t xml:space="preserve"> (где </w:t>
      </w:r>
      <w:r w:rsidRPr="00757775">
        <w:rPr>
          <w:rFonts w:ascii="Times New Roman" w:eastAsiaTheme="minorEastAsia" w:hAnsi="Times New Roman" w:cs="Times New Roman"/>
          <w:i/>
          <w:sz w:val="28"/>
          <w:szCs w:val="28"/>
          <w:lang w:val="en-GB"/>
        </w:rPr>
        <w:lastRenderedPageBreak/>
        <w:t>N</w:t>
      </w:r>
      <w:r w:rsidRPr="00757775">
        <w:rPr>
          <w:rFonts w:ascii="Times New Roman" w:eastAsiaTheme="minorEastAsia" w:hAnsi="Times New Roman" w:cs="Times New Roman"/>
          <w:i/>
          <w:sz w:val="28"/>
          <w:szCs w:val="28"/>
        </w:rPr>
        <w:t xml:space="preserve"> – </w:t>
      </w:r>
      <w:r w:rsidRPr="00757775">
        <w:rPr>
          <w:rFonts w:ascii="Times New Roman" w:eastAsiaTheme="minorEastAsia" w:hAnsi="Times New Roman" w:cs="Times New Roman"/>
          <w:sz w:val="28"/>
          <w:szCs w:val="28"/>
        </w:rPr>
        <w:t xml:space="preserve">число наблюдений, а </w:t>
      </w:r>
      <w:r w:rsidRPr="00757775">
        <w:rPr>
          <w:rFonts w:ascii="Times New Roman" w:eastAsiaTheme="minorEastAsia" w:hAnsi="Times New Roman" w:cs="Times New Roman"/>
          <w:i/>
          <w:sz w:val="28"/>
          <w:szCs w:val="28"/>
          <w:lang w:val="en-GB"/>
        </w:rPr>
        <w:t>R</w:t>
      </w:r>
      <w:r w:rsidRPr="00757775">
        <w:rPr>
          <w:rFonts w:ascii="Times New Roman" w:eastAsiaTheme="minorEastAsia" w:hAnsi="Times New Roman" w:cs="Times New Roman"/>
          <w:i/>
          <w:sz w:val="28"/>
          <w:szCs w:val="28"/>
          <w:vertAlign w:val="superscript"/>
        </w:rPr>
        <w:t>2</w:t>
      </w:r>
      <w:r w:rsidRPr="00757775">
        <w:rPr>
          <w:rFonts w:ascii="Times New Roman" w:eastAsiaTheme="minorEastAsia" w:hAnsi="Times New Roman" w:cs="Times New Roman"/>
          <w:sz w:val="28"/>
          <w:szCs w:val="28"/>
        </w:rPr>
        <w:t xml:space="preserve"> – множественный коэффициент детерминации), равная 0,9946, превышает значение 0,01. </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proofErr w:type="gramStart"/>
      <w:r w:rsidRPr="00757775">
        <w:rPr>
          <w:rFonts w:ascii="Times New Roman" w:eastAsiaTheme="minorEastAsia" w:hAnsi="Times New Roman" w:cs="Times New Roman"/>
          <w:sz w:val="28"/>
          <w:szCs w:val="28"/>
        </w:rPr>
        <w:t xml:space="preserve">Проверка гипотезы о нормальном законе распределения остатков </w:t>
      </w:r>
      <w:r w:rsidR="00304193">
        <w:rPr>
          <w:rFonts w:ascii="Times New Roman" w:eastAsiaTheme="minorEastAsia" w:hAnsi="Times New Roman" w:cs="Times New Roman"/>
          <w:sz w:val="28"/>
          <w:szCs w:val="28"/>
        </w:rPr>
        <w:t>м</w:t>
      </w:r>
      <w:r w:rsidR="00304193">
        <w:rPr>
          <w:rFonts w:ascii="Times New Roman" w:eastAsiaTheme="minorEastAsia" w:hAnsi="Times New Roman" w:cs="Times New Roman"/>
          <w:sz w:val="28"/>
          <w:szCs w:val="28"/>
        </w:rPr>
        <w:t>о</w:t>
      </w:r>
      <w:r w:rsidR="00304193">
        <w:rPr>
          <w:rFonts w:ascii="Times New Roman" w:eastAsiaTheme="minorEastAsia" w:hAnsi="Times New Roman" w:cs="Times New Roman"/>
          <w:sz w:val="28"/>
          <w:szCs w:val="28"/>
        </w:rPr>
        <w:t xml:space="preserve">дели </w:t>
      </w:r>
      <w:r w:rsidRPr="00757775">
        <w:rPr>
          <w:rFonts w:ascii="Times New Roman" w:eastAsiaTheme="minorEastAsia" w:hAnsi="Times New Roman" w:cs="Times New Roman"/>
          <w:sz w:val="28"/>
          <w:szCs w:val="28"/>
        </w:rPr>
        <w:t xml:space="preserve">может быть реализована с использованием критерия согласия Пирсона: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χ</m:t>
            </m:r>
          </m:e>
          <m:sub>
            <m:r>
              <w:rPr>
                <w:rFonts w:ascii="Cambria Math" w:eastAsiaTheme="minorEastAsia" w:hAnsi="Cambria Math" w:cs="Times New Roman"/>
                <w:sz w:val="28"/>
                <w:szCs w:val="28"/>
              </w:rPr>
              <m:t>набл.</m:t>
            </m:r>
          </m:sub>
          <m:sup>
            <m:r>
              <w:rPr>
                <w:rFonts w:ascii="Cambria Math" w:eastAsiaTheme="minorEastAsia" w:hAnsi="Cambria Math" w:cs="Times New Roman"/>
                <w:sz w:val="28"/>
                <w:szCs w:val="28"/>
              </w:rPr>
              <m:t>2</m:t>
            </m:r>
          </m:sup>
        </m:sSubSup>
      </m:oMath>
      <w:r w:rsidRPr="00757775">
        <w:rPr>
          <w:rFonts w:ascii="Times New Roman" w:eastAsiaTheme="minorEastAsia" w:hAnsi="Times New Roman" w:cs="Times New Roman"/>
          <w:sz w:val="28"/>
          <w:szCs w:val="28"/>
        </w:rPr>
        <w:t xml:space="preserve">=11,025; </w:t>
      </w:r>
      <m:oMath>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χ</m:t>
            </m:r>
          </m:e>
          <m:sub>
            <m:r>
              <w:rPr>
                <w:rFonts w:ascii="Cambria Math" w:eastAsiaTheme="minorEastAsia" w:hAnsi="Times New Roman" w:cs="Times New Roman"/>
                <w:sz w:val="28"/>
                <w:szCs w:val="28"/>
              </w:rPr>
              <m:t>крит</m:t>
            </m:r>
            <m:r>
              <w:rPr>
                <w:rFonts w:ascii="Cambria Math" w:eastAsiaTheme="minorEastAsia" w:hAnsi="Times New Roman" w:cs="Times New Roman"/>
                <w:sz w:val="28"/>
                <w:szCs w:val="28"/>
              </w:rPr>
              <m:t>.</m:t>
            </m:r>
          </m:sub>
          <m:sup>
            <m:r>
              <w:rPr>
                <w:rFonts w:ascii="Cambria Math" w:eastAsiaTheme="minorEastAsia" w:hAnsi="Times New Roman" w:cs="Times New Roman"/>
                <w:sz w:val="28"/>
                <w:szCs w:val="28"/>
              </w:rPr>
              <m:t>2</m:t>
            </m:r>
          </m:sup>
        </m:sSubSup>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α</m:t>
            </m:r>
            <m:r>
              <w:rPr>
                <w:rFonts w:ascii="Cambria Math" w:eastAsiaTheme="minorEastAsia" w:hAnsi="Times New Roman" w:cs="Times New Roman"/>
                <w:sz w:val="28"/>
                <w:szCs w:val="28"/>
              </w:rPr>
              <m:t>;</m:t>
            </m:r>
            <m:r>
              <w:rPr>
                <w:rFonts w:ascii="Cambria Math" w:eastAsiaTheme="minorEastAsia" w:hAnsi="Cambria Math" w:cs="Times New Roman"/>
                <w:sz w:val="28"/>
                <w:szCs w:val="28"/>
              </w:rPr>
              <m:t>v</m:t>
            </m:r>
            <m:r>
              <w:rPr>
                <w:rFonts w:ascii="Cambria Math" w:eastAsiaTheme="minorEastAsia" w:hAnsi="Times New Roman" w:cs="Times New Roman"/>
                <w:sz w:val="28"/>
                <w:szCs w:val="28"/>
              </w:rPr>
              <m:t>=</m:t>
            </m:r>
            <m:r>
              <w:rPr>
                <w:rFonts w:ascii="Cambria Math" w:eastAsiaTheme="minorEastAsia" w:hAnsi="Cambria Math" w:cs="Times New Roman"/>
                <w:sz w:val="28"/>
                <w:szCs w:val="28"/>
              </w:rPr>
              <m:t>l-r-</m:t>
            </m:r>
            <m:r>
              <w:rPr>
                <w:rFonts w:ascii="Cambria Math" w:eastAsiaTheme="minorEastAsia" w:hAnsi="Times New Roman" w:cs="Times New Roman"/>
                <w:sz w:val="28"/>
                <w:szCs w:val="28"/>
              </w:rPr>
              <m:t>1</m:t>
            </m:r>
          </m:e>
        </m:d>
        <m:r>
          <w:rPr>
            <w:rFonts w:ascii="Cambria Math" w:eastAsiaTheme="minorEastAsia" w:hAnsi="Times New Roman" w:cs="Times New Roman"/>
            <w:sz w:val="28"/>
            <w:szCs w:val="28"/>
          </w:rPr>
          <m:t>=</m:t>
        </m:r>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χ</m:t>
            </m:r>
          </m:e>
          <m:sub>
            <m:r>
              <w:rPr>
                <w:rFonts w:ascii="Cambria Math" w:eastAsiaTheme="minorEastAsia" w:hAnsi="Times New Roman" w:cs="Times New Roman"/>
                <w:sz w:val="28"/>
                <w:szCs w:val="28"/>
              </w:rPr>
              <m:t>крит</m:t>
            </m:r>
            <m:r>
              <w:rPr>
                <w:rFonts w:ascii="Cambria Math" w:eastAsiaTheme="minorEastAsia" w:hAnsi="Times New Roman" w:cs="Times New Roman"/>
                <w:sz w:val="28"/>
                <w:szCs w:val="28"/>
              </w:rPr>
              <m:t>.</m:t>
            </m:r>
          </m:sub>
          <m:sup>
            <m:r>
              <w:rPr>
                <w:rFonts w:ascii="Cambria Math" w:eastAsiaTheme="minorEastAsia" w:hAnsi="Times New Roman" w:cs="Times New Roman"/>
                <w:sz w:val="28"/>
                <w:szCs w:val="28"/>
              </w:rPr>
              <m:t>2</m:t>
            </m:r>
          </m:sup>
        </m:sSubSup>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0,01;2</m:t>
            </m:r>
          </m:e>
        </m:d>
        <m:r>
          <w:rPr>
            <w:rFonts w:ascii="Cambria Math" w:eastAsiaTheme="minorEastAsia" w:hAnsi="Times New Roman" w:cs="Times New Roman"/>
            <w:sz w:val="28"/>
            <w:szCs w:val="28"/>
          </w:rPr>
          <m:t xml:space="preserve"> </m:t>
        </m:r>
      </m:oMath>
      <w:r w:rsidRPr="00757775">
        <w:rPr>
          <w:rFonts w:ascii="Times New Roman" w:eastAsiaTheme="minorEastAsia" w:hAnsi="Times New Roman" w:cs="Times New Roman"/>
          <w:sz w:val="28"/>
          <w:szCs w:val="28"/>
        </w:rPr>
        <w:t>=9,210,</w:t>
      </w:r>
      <w:r w:rsidRPr="00757775">
        <w:rPr>
          <w:rFonts w:ascii="Times New Roman" w:hAnsi="Times New Roman" w:cs="Times New Roman"/>
          <w:sz w:val="24"/>
          <w:szCs w:val="24"/>
        </w:rPr>
        <w:t xml:space="preserve"> </w:t>
      </w:r>
      <w:r w:rsidRPr="00757775">
        <w:rPr>
          <w:rFonts w:ascii="Times New Roman" w:hAnsi="Times New Roman" w:cs="Times New Roman"/>
          <w:sz w:val="28"/>
          <w:szCs w:val="28"/>
        </w:rPr>
        <w:t xml:space="preserve">где </w:t>
      </w:r>
      <w:r w:rsidRPr="00757775">
        <w:rPr>
          <w:rFonts w:ascii="Times New Roman" w:hAnsi="Times New Roman" w:cs="Times New Roman"/>
          <w:i/>
          <w:sz w:val="28"/>
          <w:szCs w:val="28"/>
          <w:lang w:val="en-GB"/>
        </w:rPr>
        <w:t>r</w:t>
      </w:r>
      <w:r w:rsidRPr="00757775">
        <w:rPr>
          <w:rFonts w:ascii="Times New Roman" w:hAnsi="Times New Roman" w:cs="Times New Roman"/>
          <w:sz w:val="28"/>
          <w:szCs w:val="28"/>
        </w:rPr>
        <w:t xml:space="preserve"> – число параметров предполагаемого теоретического закона, использованных для вычисления теоретических частот и оцениваемых по выборке (для нормал</w:t>
      </w:r>
      <w:r w:rsidRPr="00757775">
        <w:rPr>
          <w:rFonts w:ascii="Times New Roman" w:hAnsi="Times New Roman" w:cs="Times New Roman"/>
          <w:sz w:val="28"/>
          <w:szCs w:val="28"/>
        </w:rPr>
        <w:t>ь</w:t>
      </w:r>
      <w:r w:rsidRPr="00757775">
        <w:rPr>
          <w:rFonts w:ascii="Times New Roman" w:hAnsi="Times New Roman" w:cs="Times New Roman"/>
          <w:sz w:val="28"/>
          <w:szCs w:val="28"/>
        </w:rPr>
        <w:t xml:space="preserve">ного закона распределения </w:t>
      </w:r>
      <w:r w:rsidRPr="00757775">
        <w:rPr>
          <w:rFonts w:ascii="Times New Roman" w:hAnsi="Times New Roman" w:cs="Times New Roman"/>
          <w:i/>
          <w:sz w:val="28"/>
          <w:szCs w:val="28"/>
          <w:lang w:val="en-GB"/>
        </w:rPr>
        <w:t>r</w:t>
      </w:r>
      <w:r w:rsidRPr="00757775">
        <w:rPr>
          <w:rFonts w:ascii="Times New Roman" w:hAnsi="Times New Roman" w:cs="Times New Roman"/>
          <w:sz w:val="28"/>
          <w:szCs w:val="28"/>
        </w:rPr>
        <w:t>=2: математическое ожидание и</w:t>
      </w:r>
      <w:r w:rsidRPr="00757775">
        <w:rPr>
          <w:rFonts w:ascii="Times New Roman" w:hAnsi="Times New Roman" w:cs="Times New Roman"/>
          <w:i/>
          <w:sz w:val="28"/>
          <w:szCs w:val="28"/>
        </w:rPr>
        <w:t xml:space="preserve"> </w:t>
      </w:r>
      <w:r w:rsidRPr="00757775">
        <w:rPr>
          <w:rFonts w:ascii="Times New Roman" w:hAnsi="Times New Roman" w:cs="Times New Roman"/>
          <w:sz w:val="28"/>
          <w:szCs w:val="28"/>
        </w:rPr>
        <w:t xml:space="preserve">СКО), </w:t>
      </w:r>
      <w:r w:rsidRPr="00757775">
        <w:rPr>
          <w:rFonts w:ascii="Times New Roman" w:hAnsi="Times New Roman" w:cs="Times New Roman"/>
          <w:i/>
          <w:sz w:val="28"/>
          <w:szCs w:val="28"/>
          <w:lang w:val="en-GB"/>
        </w:rPr>
        <w:t>l</w:t>
      </w:r>
      <w:r w:rsidRPr="00757775">
        <w:rPr>
          <w:rFonts w:ascii="Times New Roman" w:eastAsiaTheme="minorEastAsia" w:hAnsi="Times New Roman" w:cs="Times New Roman"/>
          <w:sz w:val="28"/>
          <w:szCs w:val="28"/>
        </w:rPr>
        <w:t xml:space="preserve"> – число интервалов значений признака;</w:t>
      </w:r>
      <w:proofErr w:type="gramEnd"/>
      <w:r w:rsidRPr="00757775">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χ</m:t>
            </m:r>
          </m:e>
          <m:sub>
            <m:r>
              <w:rPr>
                <w:rFonts w:ascii="Cambria Math" w:eastAsiaTheme="minorEastAsia" w:hAnsi="Cambria Math" w:cs="Times New Roman"/>
                <w:sz w:val="28"/>
                <w:szCs w:val="28"/>
              </w:rPr>
              <m:t>набл.</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&gt;</m:t>
        </m:r>
        <m:sSubSup>
          <m:sSubSupPr>
            <m:ctrlPr>
              <w:rPr>
                <w:rFonts w:ascii="Cambria Math" w:eastAsiaTheme="minorEastAsia" w:hAnsi="Cambria Math" w:cs="Times New Roman"/>
                <w:i/>
                <w:sz w:val="28"/>
                <w:szCs w:val="28"/>
                <w:lang w:val="en-GB"/>
              </w:rPr>
            </m:ctrlPr>
          </m:sSubSupPr>
          <m:e>
            <m:r>
              <w:rPr>
                <w:rFonts w:ascii="Cambria Math" w:eastAsiaTheme="minorEastAsia" w:hAnsi="Cambria Math" w:cs="Times New Roman"/>
                <w:sz w:val="28"/>
                <w:szCs w:val="28"/>
                <w:lang w:val="en-GB"/>
              </w:rPr>
              <m:t>χ</m:t>
            </m:r>
          </m:e>
          <m:sub>
            <m:r>
              <w:rPr>
                <w:rFonts w:ascii="Cambria Math" w:eastAsiaTheme="minorEastAsia" w:hAnsi="Cambria Math" w:cs="Times New Roman"/>
                <w:sz w:val="28"/>
                <w:szCs w:val="28"/>
              </w:rPr>
              <m:t>крит.</m:t>
            </m:r>
          </m:sub>
          <m:sup>
            <m:r>
              <w:rPr>
                <w:rFonts w:ascii="Cambria Math" w:eastAsiaTheme="minorEastAsia" w:hAnsi="Cambria Math" w:cs="Times New Roman"/>
                <w:sz w:val="28"/>
                <w:szCs w:val="28"/>
              </w:rPr>
              <m:t>2</m:t>
            </m:r>
          </m:sup>
        </m:sSubSup>
      </m:oMath>
      <w:r w:rsidRPr="00757775">
        <w:rPr>
          <w:rFonts w:ascii="Times New Roman" w:eastAsiaTheme="minorEastAsia" w:hAnsi="Times New Roman" w:cs="Times New Roman"/>
          <w:sz w:val="28"/>
          <w:szCs w:val="28"/>
        </w:rPr>
        <w:t>, следовательно, нулевая гип</w:t>
      </w:r>
      <w:proofErr w:type="spellStart"/>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теза</w:t>
      </w:r>
      <w:proofErr w:type="spellEnd"/>
      <w:r w:rsidRPr="00757775">
        <w:rPr>
          <w:rFonts w:ascii="Times New Roman" w:eastAsiaTheme="minorEastAsia" w:hAnsi="Times New Roman" w:cs="Times New Roman"/>
          <w:sz w:val="28"/>
          <w:szCs w:val="28"/>
        </w:rPr>
        <w:t xml:space="preserve"> отвергается на уровне значимости α=0,01. Однако критерий Колмогор</w:t>
      </w:r>
      <w:r w:rsidRPr="00757775">
        <w:rPr>
          <w:rFonts w:ascii="Times New Roman" w:eastAsiaTheme="minorEastAsia" w:hAnsi="Times New Roman" w:cs="Times New Roman"/>
          <w:sz w:val="28"/>
          <w:szCs w:val="28"/>
        </w:rPr>
        <w:t>о</w:t>
      </w:r>
      <w:r w:rsidRPr="00757775">
        <w:rPr>
          <w:rFonts w:ascii="Times New Roman" w:eastAsiaTheme="minorEastAsia" w:hAnsi="Times New Roman" w:cs="Times New Roman"/>
          <w:sz w:val="28"/>
          <w:szCs w:val="28"/>
        </w:rPr>
        <w:t xml:space="preserve">ва-Смирнова свидетельствует об </w:t>
      </w:r>
      <w:proofErr w:type="gramStart"/>
      <w:r w:rsidRPr="00757775">
        <w:rPr>
          <w:rFonts w:ascii="Times New Roman" w:eastAsiaTheme="minorEastAsia" w:hAnsi="Times New Roman" w:cs="Times New Roman"/>
          <w:sz w:val="28"/>
          <w:szCs w:val="28"/>
        </w:rPr>
        <w:t>обратном</w:t>
      </w:r>
      <w:proofErr w:type="gramEnd"/>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sz w:val="28"/>
          <w:szCs w:val="28"/>
          <w:lang w:val="en-GB"/>
        </w:rPr>
        <w:t>p</w:t>
      </w:r>
      <w:r w:rsidRPr="00757775">
        <w:rPr>
          <w:rFonts w:ascii="Times New Roman" w:eastAsiaTheme="minorEastAsia" w:hAnsi="Times New Roman" w:cs="Times New Roman"/>
          <w:sz w:val="28"/>
          <w:szCs w:val="28"/>
        </w:rPr>
        <w:t>-</w:t>
      </w:r>
      <w:r w:rsidR="005D3874">
        <w:rPr>
          <w:rFonts w:ascii="Times New Roman" w:eastAsiaTheme="minorEastAsia" w:hAnsi="Times New Roman" w:cs="Times New Roman"/>
          <w:sz w:val="28"/>
          <w:szCs w:val="28"/>
        </w:rPr>
        <w:t>значение</w:t>
      </w:r>
      <w:r w:rsidRPr="00757775">
        <w:rPr>
          <w:rFonts w:ascii="Times New Roman" w:eastAsiaTheme="minorEastAsia" w:hAnsi="Times New Roman" w:cs="Times New Roman"/>
          <w:sz w:val="28"/>
          <w:szCs w:val="28"/>
        </w:rPr>
        <w:t xml:space="preserve">=0,318&gt;0,01. Поэтому можно считать, что распределение ошибок </w:t>
      </w:r>
      <w:r w:rsidR="00304193">
        <w:rPr>
          <w:rFonts w:ascii="Times New Roman" w:eastAsiaTheme="minorEastAsia" w:hAnsi="Times New Roman" w:cs="Times New Roman"/>
          <w:sz w:val="28"/>
          <w:szCs w:val="28"/>
        </w:rPr>
        <w:t>модели</w:t>
      </w:r>
      <w:r w:rsidRPr="00757775">
        <w:rPr>
          <w:rFonts w:ascii="Times New Roman" w:eastAsiaTheme="minorEastAsia" w:hAnsi="Times New Roman" w:cs="Times New Roman"/>
          <w:sz w:val="28"/>
          <w:szCs w:val="28"/>
        </w:rPr>
        <w:t xml:space="preserve"> близко к нормальному з</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кону распределения (</w:t>
      </w:r>
      <w:r w:rsidR="00E0765F">
        <w:rPr>
          <w:rFonts w:ascii="Times New Roman" w:eastAsiaTheme="minorEastAsia" w:hAnsi="Times New Roman" w:cs="Times New Roman"/>
          <w:sz w:val="28"/>
          <w:szCs w:val="28"/>
        </w:rPr>
        <w:t>прил. 6</w:t>
      </w:r>
      <w:r w:rsidRPr="00757775">
        <w:rPr>
          <w:rFonts w:ascii="Times New Roman" w:eastAsiaTheme="minorEastAsia" w:hAnsi="Times New Roman" w:cs="Times New Roman"/>
          <w:sz w:val="28"/>
          <w:szCs w:val="28"/>
        </w:rPr>
        <w:t>).</w:t>
      </w:r>
    </w:p>
    <w:p w:rsidR="00DB7C4D" w:rsidRPr="00757775" w:rsidRDefault="00DB7C4D" w:rsidP="00DB7C4D">
      <w:pPr>
        <w:autoSpaceDE w:val="0"/>
        <w:autoSpaceDN w:val="0"/>
        <w:adjustRightInd w:val="0"/>
        <w:spacing w:after="0" w:line="360" w:lineRule="auto"/>
        <w:ind w:firstLine="709"/>
        <w:jc w:val="both"/>
        <w:rPr>
          <w:rFonts w:ascii="Times New Roman" w:hAnsi="Times New Roman" w:cs="Times New Roman"/>
          <w:i/>
          <w:sz w:val="28"/>
          <w:szCs w:val="28"/>
        </w:rPr>
      </w:pPr>
      <w:r w:rsidRPr="00757775">
        <w:rPr>
          <w:rFonts w:ascii="Times New Roman" w:hAnsi="Times New Roman" w:cs="Times New Roman"/>
          <w:sz w:val="28"/>
          <w:szCs w:val="28"/>
        </w:rPr>
        <w:t xml:space="preserve">Таким образом, остатки модели </w:t>
      </w:r>
      <w:r w:rsidRPr="00757775">
        <w:rPr>
          <w:rFonts w:ascii="Times New Roman" w:hAnsi="Times New Roman" w:cs="Times New Roman"/>
          <w:sz w:val="25"/>
          <w:szCs w:val="25"/>
        </w:rPr>
        <w:t>ARMA(1;1)×SAR(12)×SMA(12)</w:t>
      </w:r>
      <w:r w:rsidRPr="00757775">
        <w:rPr>
          <w:rFonts w:ascii="Times New Roman" w:hAnsi="Times New Roman" w:cs="Times New Roman"/>
          <w:i/>
          <w:sz w:val="25"/>
          <w:szCs w:val="25"/>
        </w:rPr>
        <w:t xml:space="preserve"> </w:t>
      </w:r>
      <w:r w:rsidRPr="00757775">
        <w:rPr>
          <w:rFonts w:ascii="Times New Roman" w:hAnsi="Times New Roman" w:cs="Times New Roman"/>
          <w:sz w:val="28"/>
          <w:szCs w:val="28"/>
        </w:rPr>
        <w:t>предста</w:t>
      </w:r>
      <w:r w:rsidRPr="00757775">
        <w:rPr>
          <w:rFonts w:ascii="Times New Roman" w:hAnsi="Times New Roman" w:cs="Times New Roman"/>
          <w:sz w:val="28"/>
          <w:szCs w:val="28"/>
        </w:rPr>
        <w:t>в</w:t>
      </w:r>
      <w:r w:rsidRPr="00757775">
        <w:rPr>
          <w:rFonts w:ascii="Times New Roman" w:hAnsi="Times New Roman" w:cs="Times New Roman"/>
          <w:sz w:val="28"/>
          <w:szCs w:val="28"/>
        </w:rPr>
        <w:t>ляют собой реализацию белого шума, который должен удовлетворять усл</w:t>
      </w:r>
      <w:r w:rsidRPr="00757775">
        <w:rPr>
          <w:rFonts w:ascii="Times New Roman" w:hAnsi="Times New Roman" w:cs="Times New Roman"/>
          <w:sz w:val="28"/>
          <w:szCs w:val="28"/>
        </w:rPr>
        <w:t>о</w:t>
      </w:r>
      <w:r w:rsidRPr="00757775">
        <w:rPr>
          <w:rFonts w:ascii="Times New Roman" w:hAnsi="Times New Roman" w:cs="Times New Roman"/>
          <w:sz w:val="28"/>
          <w:szCs w:val="28"/>
        </w:rPr>
        <w:t>виям теоремы Гаусса-Маркова:</w:t>
      </w:r>
      <w:r w:rsidRPr="00757775">
        <w:rPr>
          <w:rFonts w:ascii="Times New Roman" w:hAnsi="Times New Roman" w:cs="Times New Roman"/>
          <w:i/>
          <w:sz w:val="28"/>
          <w:szCs w:val="28"/>
        </w:rPr>
        <w:t xml:space="preserve"> </w:t>
      </w:r>
      <m:oMath>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oMath>
      <w:r w:rsidRPr="00757775">
        <w:rPr>
          <w:rFonts w:ascii="Times New Roman" w:hAnsi="Times New Roman" w:cs="Times New Roman"/>
          <w:i/>
          <w:sz w:val="28"/>
          <w:szCs w:val="28"/>
        </w:rPr>
        <w:t>)=0</w:t>
      </w:r>
      <w:r w:rsidRPr="00757775">
        <w:rPr>
          <w:rFonts w:ascii="Times New Roman" w:hAnsi="Times New Roman" w:cs="Times New Roman"/>
          <w:sz w:val="28"/>
          <w:szCs w:val="28"/>
        </w:rPr>
        <w:t>,</w:t>
      </w:r>
      <w:r w:rsidRPr="00757775">
        <w:rPr>
          <w:rFonts w:ascii="Times New Roman" w:hAnsi="Times New Roman" w:cs="Times New Roman"/>
          <w:i/>
          <w:sz w:val="28"/>
          <w:szCs w:val="28"/>
        </w:rPr>
        <w:t xml:space="preserve"> </w:t>
      </w:r>
      <m:oMath>
        <m:r>
          <w:rPr>
            <w:rFonts w:ascii="Cambria Math" w:hAnsi="Cambria Math" w:cs="Times New Roman"/>
            <w:sz w:val="28"/>
            <w:szCs w:val="28"/>
          </w:rPr>
          <m:t>D</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oMath>
      <w:r w:rsidRPr="00757775">
        <w:rPr>
          <w:rFonts w:ascii="Times New Roman" w:eastAsiaTheme="minorEastAsia" w:hAnsi="Times New Roman" w:cs="Times New Roman"/>
          <w:sz w:val="28"/>
          <w:szCs w:val="28"/>
        </w:rPr>
        <w:t>,</w:t>
      </w:r>
      <w:r w:rsidRPr="00757775">
        <w:rPr>
          <w:rFonts w:ascii="Times New Roman" w:hAnsi="Times New Roman" w:cs="Times New Roman"/>
          <w:i/>
          <w:sz w:val="28"/>
          <w:szCs w:val="28"/>
        </w:rPr>
        <w:t xml:space="preserve"> </w:t>
      </w:r>
      <m:oMath>
        <m:r>
          <w:rPr>
            <w:rFonts w:ascii="Cambria Math" w:hAnsi="Cambria Math" w:cs="Times New Roman"/>
            <w:sz w:val="28"/>
            <w:szCs w:val="28"/>
          </w:rPr>
          <m:t>Cov</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t-s</m:t>
                </m:r>
              </m:sub>
            </m:sSub>
          </m:e>
        </m:d>
        <m:r>
          <w:rPr>
            <w:rFonts w:ascii="Cambria Math" w:hAnsi="Cambria Math" w:cs="Times New Roman"/>
            <w:sz w:val="28"/>
            <w:szCs w:val="28"/>
          </w:rPr>
          <m:t>=0 (s≠0)</m:t>
        </m:r>
      </m:oMath>
      <w:r w:rsidRPr="00757775">
        <w:rPr>
          <w:rFonts w:ascii="Times New Roman" w:hAnsi="Times New Roman" w:cs="Times New Roman"/>
          <w:i/>
          <w:sz w:val="28"/>
          <w:szCs w:val="28"/>
        </w:rPr>
        <w:t xml:space="preserve">. </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noProof/>
          <w:sz w:val="28"/>
          <w:szCs w:val="28"/>
          <w:lang w:eastAsia="ru-RU"/>
        </w:rPr>
        <w:drawing>
          <wp:inline distT="0" distB="0" distL="0" distR="0">
            <wp:extent cx="4972050" cy="2743200"/>
            <wp:effectExtent l="19050" t="0" r="19050" b="0"/>
            <wp:docPr id="5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7C4D" w:rsidRPr="005158F2" w:rsidRDefault="00DB7C4D" w:rsidP="00DB7C4D">
      <w:pPr>
        <w:spacing w:after="12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Рис. </w:t>
      </w:r>
      <w:r w:rsidR="002F57F4" w:rsidRPr="005158F2">
        <w:rPr>
          <w:rFonts w:ascii="Times New Roman" w:hAnsi="Times New Roman" w:cs="Times New Roman"/>
          <w:i/>
          <w:sz w:val="26"/>
          <w:szCs w:val="26"/>
        </w:rPr>
        <w:t>1</w:t>
      </w:r>
      <w:r w:rsidR="00E0765F" w:rsidRPr="005158F2">
        <w:rPr>
          <w:rFonts w:ascii="Times New Roman" w:hAnsi="Times New Roman" w:cs="Times New Roman"/>
          <w:i/>
          <w:sz w:val="26"/>
          <w:szCs w:val="26"/>
        </w:rPr>
        <w:t>5</w:t>
      </w:r>
      <w:r w:rsidRPr="005158F2">
        <w:rPr>
          <w:rFonts w:ascii="Times New Roman" w:hAnsi="Times New Roman" w:cs="Times New Roman"/>
          <w:i/>
          <w:sz w:val="26"/>
          <w:szCs w:val="26"/>
        </w:rPr>
        <w:t>. Исходные и предсказанные по модели значения показателя</w:t>
      </w:r>
    </w:p>
    <w:p w:rsidR="00E0765F" w:rsidRDefault="00E0765F" w:rsidP="00DB7C4D">
      <w:pPr>
        <w:spacing w:after="120" w:line="360" w:lineRule="auto"/>
        <w:jc w:val="center"/>
        <w:rPr>
          <w:rFonts w:ascii="Times New Roman" w:hAnsi="Times New Roman" w:cs="Times New Roman"/>
          <w:i/>
          <w:sz w:val="25"/>
          <w:szCs w:val="25"/>
        </w:rPr>
      </w:pPr>
    </w:p>
    <w:p w:rsidR="00E0765F" w:rsidRPr="00757775" w:rsidRDefault="00E0765F" w:rsidP="005158F2">
      <w:pPr>
        <w:spacing w:after="40" w:line="360" w:lineRule="auto"/>
        <w:ind w:firstLine="709"/>
        <w:jc w:val="both"/>
        <w:rPr>
          <w:rFonts w:ascii="Times New Roman" w:hAnsi="Times New Roman" w:cs="Times New Roman"/>
          <w:i/>
          <w:sz w:val="25"/>
          <w:szCs w:val="25"/>
        </w:rPr>
      </w:pPr>
      <w:r w:rsidRPr="00757775">
        <w:rPr>
          <w:rFonts w:ascii="Times New Roman" w:hAnsi="Times New Roman" w:cs="Times New Roman"/>
          <w:sz w:val="28"/>
          <w:szCs w:val="28"/>
        </w:rPr>
        <w:lastRenderedPageBreak/>
        <w:t>Исходный временной ряд и ряд значений, предсказанных по модели ARMA(1;1)×SAR(12)×SMA(12), в значительной степени схожи (</w:t>
      </w:r>
      <w:r w:rsidRPr="00940C86">
        <w:rPr>
          <w:rFonts w:ascii="Times New Roman" w:hAnsi="Times New Roman" w:cs="Times New Roman"/>
          <w:sz w:val="28"/>
          <w:szCs w:val="28"/>
        </w:rPr>
        <w:t>рис. 1</w:t>
      </w:r>
      <w:r>
        <w:rPr>
          <w:rFonts w:ascii="Times New Roman" w:hAnsi="Times New Roman" w:cs="Times New Roman"/>
          <w:sz w:val="28"/>
          <w:szCs w:val="28"/>
        </w:rPr>
        <w:t>5</w:t>
      </w:r>
      <w:r w:rsidRPr="00757775">
        <w:rPr>
          <w:rFonts w:ascii="Times New Roman" w:hAnsi="Times New Roman" w:cs="Times New Roman"/>
          <w:sz w:val="28"/>
          <w:szCs w:val="28"/>
        </w:rPr>
        <w:t>), что свидетельствует о приемлемом качестве построенной модели</w:t>
      </w:r>
      <w:r w:rsidR="00304193">
        <w:rPr>
          <w:rFonts w:ascii="Times New Roman" w:hAnsi="Times New Roman" w:cs="Times New Roman"/>
          <w:sz w:val="28"/>
          <w:szCs w:val="28"/>
        </w:rPr>
        <w:t xml:space="preserve"> временного р</w:t>
      </w:r>
      <w:r w:rsidR="00304193">
        <w:rPr>
          <w:rFonts w:ascii="Times New Roman" w:hAnsi="Times New Roman" w:cs="Times New Roman"/>
          <w:sz w:val="28"/>
          <w:szCs w:val="28"/>
        </w:rPr>
        <w:t>я</w:t>
      </w:r>
      <w:r w:rsidR="00304193">
        <w:rPr>
          <w:rFonts w:ascii="Times New Roman" w:hAnsi="Times New Roman" w:cs="Times New Roman"/>
          <w:sz w:val="28"/>
          <w:szCs w:val="28"/>
        </w:rPr>
        <w:t>да</w:t>
      </w:r>
      <w:r w:rsidRPr="00757775">
        <w:rPr>
          <w:rFonts w:ascii="Times New Roman" w:hAnsi="Times New Roman" w:cs="Times New Roman"/>
          <w:sz w:val="28"/>
          <w:szCs w:val="28"/>
        </w:rPr>
        <w:t>.</w:t>
      </w:r>
      <w:r w:rsidRPr="00757775">
        <w:rPr>
          <w:rFonts w:ascii="Times New Roman" w:hAnsi="Times New Roman" w:cs="Times New Roman"/>
          <w:sz w:val="24"/>
          <w:szCs w:val="24"/>
        </w:rPr>
        <w:t xml:space="preserve"> </w:t>
      </w:r>
      <w:r w:rsidRPr="00757775">
        <w:rPr>
          <w:rFonts w:ascii="Times New Roman" w:hAnsi="Times New Roman" w:cs="Times New Roman"/>
          <w:sz w:val="28"/>
          <w:szCs w:val="28"/>
        </w:rPr>
        <w:t>Соответственно, она может быть использована для прогнозирования п</w:t>
      </w:r>
      <w:r w:rsidRPr="00757775">
        <w:rPr>
          <w:rFonts w:ascii="Times New Roman" w:hAnsi="Times New Roman" w:cs="Times New Roman"/>
          <w:sz w:val="28"/>
          <w:szCs w:val="28"/>
        </w:rPr>
        <w:t>о</w:t>
      </w:r>
      <w:r w:rsidRPr="00757775">
        <w:rPr>
          <w:rFonts w:ascii="Times New Roman" w:hAnsi="Times New Roman" w:cs="Times New Roman"/>
          <w:sz w:val="28"/>
          <w:szCs w:val="28"/>
        </w:rPr>
        <w:t>месячного индекса цен на медицинские услуги на пятилетний период – с а</w:t>
      </w:r>
      <w:r w:rsidRPr="00757775">
        <w:rPr>
          <w:rFonts w:ascii="Times New Roman" w:hAnsi="Times New Roman" w:cs="Times New Roman"/>
          <w:sz w:val="28"/>
          <w:szCs w:val="28"/>
        </w:rPr>
        <w:t>п</w:t>
      </w:r>
      <w:r w:rsidRPr="00757775">
        <w:rPr>
          <w:rFonts w:ascii="Times New Roman" w:hAnsi="Times New Roman" w:cs="Times New Roman"/>
          <w:sz w:val="28"/>
          <w:szCs w:val="28"/>
        </w:rPr>
        <w:t>реля 2013 г. по декабрь 2017 г. (</w:t>
      </w:r>
      <w:r w:rsidRPr="00940C86">
        <w:rPr>
          <w:rFonts w:ascii="Times New Roman" w:hAnsi="Times New Roman" w:cs="Times New Roman"/>
          <w:sz w:val="28"/>
          <w:szCs w:val="28"/>
        </w:rPr>
        <w:t>рис. 1</w:t>
      </w:r>
      <w:r>
        <w:rPr>
          <w:rFonts w:ascii="Times New Roman" w:hAnsi="Times New Roman" w:cs="Times New Roman"/>
          <w:sz w:val="28"/>
          <w:szCs w:val="28"/>
        </w:rPr>
        <w:t>6</w:t>
      </w:r>
      <w:r w:rsidRPr="00757775">
        <w:rPr>
          <w:rFonts w:ascii="Times New Roman" w:hAnsi="Times New Roman" w:cs="Times New Roman"/>
          <w:sz w:val="28"/>
          <w:szCs w:val="28"/>
        </w:rPr>
        <w:t>).</w:t>
      </w:r>
    </w:p>
    <w:p w:rsidR="00DB7C4D" w:rsidRPr="00757775" w:rsidRDefault="00DB7C4D" w:rsidP="00DB7C4D">
      <w:pPr>
        <w:spacing w:after="0" w:line="360" w:lineRule="auto"/>
        <w:jc w:val="center"/>
        <w:rPr>
          <w:rFonts w:ascii="Times New Roman" w:hAnsi="Times New Roman" w:cs="Times New Roman"/>
          <w:sz w:val="24"/>
          <w:szCs w:val="24"/>
        </w:rPr>
      </w:pPr>
      <w:r w:rsidRPr="00757775">
        <w:rPr>
          <w:rFonts w:ascii="Times New Roman" w:hAnsi="Times New Roman" w:cs="Times New Roman"/>
          <w:noProof/>
          <w:sz w:val="24"/>
          <w:szCs w:val="24"/>
          <w:lang w:eastAsia="ru-RU"/>
        </w:rPr>
        <w:drawing>
          <wp:inline distT="0" distB="0" distL="0" distR="0">
            <wp:extent cx="5124450" cy="2743200"/>
            <wp:effectExtent l="19050" t="0" r="19050" b="0"/>
            <wp:docPr id="5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7C4D" w:rsidRPr="005158F2" w:rsidRDefault="00DB7C4D" w:rsidP="00DB7C4D">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Рис. </w:t>
      </w:r>
      <w:r w:rsidR="002F57F4" w:rsidRPr="005158F2">
        <w:rPr>
          <w:rFonts w:ascii="Times New Roman" w:hAnsi="Times New Roman" w:cs="Times New Roman"/>
          <w:i/>
          <w:sz w:val="26"/>
          <w:szCs w:val="26"/>
        </w:rPr>
        <w:t>1</w:t>
      </w:r>
      <w:r w:rsidR="00E0765F" w:rsidRPr="005158F2">
        <w:rPr>
          <w:rFonts w:ascii="Times New Roman" w:hAnsi="Times New Roman" w:cs="Times New Roman"/>
          <w:i/>
          <w:sz w:val="26"/>
          <w:szCs w:val="26"/>
        </w:rPr>
        <w:t>6</w:t>
      </w:r>
      <w:r w:rsidRPr="005158F2">
        <w:rPr>
          <w:rFonts w:ascii="Times New Roman" w:hAnsi="Times New Roman" w:cs="Times New Roman"/>
          <w:i/>
          <w:sz w:val="26"/>
          <w:szCs w:val="26"/>
        </w:rPr>
        <w:t>. Прогноз индекса цен на медицинские услуги на 5-летний период</w:t>
      </w:r>
    </w:p>
    <w:p w:rsidR="00DB7C4D" w:rsidRPr="00757775" w:rsidRDefault="00DB7C4D" w:rsidP="00E0765F">
      <w:pPr>
        <w:spacing w:before="240" w:after="0" w:line="360" w:lineRule="auto"/>
        <w:jc w:val="center"/>
        <w:rPr>
          <w:rFonts w:ascii="Times New Roman" w:hAnsi="Times New Roman" w:cs="Times New Roman"/>
          <w:b/>
          <w:sz w:val="28"/>
          <w:szCs w:val="28"/>
        </w:rPr>
      </w:pPr>
      <w:r w:rsidRPr="00757775">
        <w:rPr>
          <w:rFonts w:ascii="Times New Roman" w:hAnsi="Times New Roman" w:cs="Times New Roman"/>
          <w:b/>
          <w:sz w:val="28"/>
          <w:szCs w:val="28"/>
        </w:rPr>
        <w:t xml:space="preserve">§ 3.2. </w:t>
      </w:r>
      <w:r w:rsidR="00940C86">
        <w:rPr>
          <w:rFonts w:ascii="Times New Roman" w:hAnsi="Times New Roman" w:cs="Times New Roman"/>
          <w:b/>
          <w:sz w:val="28"/>
          <w:szCs w:val="28"/>
        </w:rPr>
        <w:t xml:space="preserve">Формирование резервов убытков с помощью скорректированного </w:t>
      </w:r>
      <w:r w:rsidRPr="00757775">
        <w:rPr>
          <w:rFonts w:ascii="Times New Roman" w:hAnsi="Times New Roman" w:cs="Times New Roman"/>
          <w:b/>
          <w:sz w:val="28"/>
          <w:szCs w:val="28"/>
        </w:rPr>
        <w:t>с учетом инфляции</w:t>
      </w:r>
      <w:r w:rsidR="00940C86" w:rsidRPr="00940C86">
        <w:rPr>
          <w:rFonts w:ascii="Times New Roman" w:hAnsi="Times New Roman" w:cs="Times New Roman"/>
          <w:b/>
          <w:sz w:val="28"/>
          <w:szCs w:val="28"/>
        </w:rPr>
        <w:t xml:space="preserve"> </w:t>
      </w:r>
      <w:r w:rsidR="00940C86">
        <w:rPr>
          <w:rFonts w:ascii="Times New Roman" w:hAnsi="Times New Roman" w:cs="Times New Roman"/>
          <w:b/>
          <w:sz w:val="28"/>
          <w:szCs w:val="28"/>
        </w:rPr>
        <w:t>м</w:t>
      </w:r>
      <w:r w:rsidR="00940C86" w:rsidRPr="00757775">
        <w:rPr>
          <w:rFonts w:ascii="Times New Roman" w:hAnsi="Times New Roman" w:cs="Times New Roman"/>
          <w:b/>
          <w:sz w:val="28"/>
          <w:szCs w:val="28"/>
        </w:rPr>
        <w:t>етод</w:t>
      </w:r>
      <w:r w:rsidR="00940C86">
        <w:rPr>
          <w:rFonts w:ascii="Times New Roman" w:hAnsi="Times New Roman" w:cs="Times New Roman"/>
          <w:b/>
          <w:sz w:val="28"/>
          <w:szCs w:val="28"/>
        </w:rPr>
        <w:t>а</w:t>
      </w:r>
      <w:r w:rsidR="00940C86" w:rsidRPr="00757775">
        <w:rPr>
          <w:rFonts w:ascii="Times New Roman" w:hAnsi="Times New Roman" w:cs="Times New Roman"/>
          <w:b/>
          <w:sz w:val="28"/>
          <w:szCs w:val="28"/>
        </w:rPr>
        <w:t xml:space="preserve"> цепной лестницы</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Рассмотрим модификацию метода цепной лестницы с включением фактора инфляции, для которой остается в силе ключевое предположение метода цепной лестницы о стабильности структуры развития претензий для всех периодов наступления страховых случаев.</w:t>
      </w:r>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С помощью базисных индексов роста цен все произведенные на отче</w:t>
      </w:r>
      <w:r w:rsidRPr="00757775">
        <w:rPr>
          <w:rFonts w:ascii="Times New Roman" w:hAnsi="Times New Roman" w:cs="Times New Roman"/>
          <w:sz w:val="28"/>
          <w:szCs w:val="28"/>
        </w:rPr>
        <w:t>т</w:t>
      </w:r>
      <w:r w:rsidRPr="00757775">
        <w:rPr>
          <w:rFonts w:ascii="Times New Roman" w:hAnsi="Times New Roman" w:cs="Times New Roman"/>
          <w:sz w:val="28"/>
          <w:szCs w:val="28"/>
        </w:rPr>
        <w:t>ную дату платежи выражаются в постоянных ценах (единых денежных ед</w:t>
      </w:r>
      <w:r w:rsidRPr="00757775">
        <w:rPr>
          <w:rFonts w:ascii="Times New Roman" w:hAnsi="Times New Roman" w:cs="Times New Roman"/>
          <w:sz w:val="28"/>
          <w:szCs w:val="28"/>
        </w:rPr>
        <w:t>и</w:t>
      </w:r>
      <w:r w:rsidRPr="00757775">
        <w:rPr>
          <w:rFonts w:ascii="Times New Roman" w:hAnsi="Times New Roman" w:cs="Times New Roman"/>
          <w:sz w:val="28"/>
          <w:szCs w:val="28"/>
        </w:rPr>
        <w:t>ницах в соответствии с некоторым базисным периодом):</w:t>
      </w:r>
    </w:p>
    <w:p w:rsidR="00DB7C4D" w:rsidRPr="00757775" w:rsidRDefault="005F2FF8" w:rsidP="00DB7C4D">
      <w:pPr>
        <w:spacing w:after="0" w:line="360" w:lineRule="auto"/>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ij</m:t>
            </m:r>
          </m:sub>
          <m:sup>
            <m:r>
              <w:rPr>
                <w:rFonts w:ascii="Cambria Math" w:hAnsi="Cambria Math" w:cs="Times New Roman"/>
                <w:sz w:val="28"/>
                <w:szCs w:val="28"/>
              </w:rPr>
              <m:t>пост.</m:t>
            </m:r>
          </m:sup>
        </m:sSubSup>
        <m:r>
          <w:rPr>
            <w:rFonts w:ascii="Cambria Math" w:hAnsi="Cambria Math" w:cs="Times New Roman"/>
            <w:sz w:val="28"/>
            <w:szCs w:val="28"/>
          </w:rPr>
          <m:t>=</m:t>
        </m:r>
        <m:d>
          <m:dPr>
            <m:begChr m:val="{"/>
            <m:endChr m:val=""/>
            <m:ctrlPr>
              <w:rPr>
                <w:rFonts w:ascii="Cambria Math" w:hAnsi="Cambria Math" w:cs="Times New Roman"/>
                <w:i/>
                <w:sz w:val="28"/>
                <w:szCs w:val="28"/>
                <w:lang w:val="en-GB"/>
              </w:rPr>
            </m:ctrlPr>
          </m:dPr>
          <m:e>
            <m:m>
              <m:mPr>
                <m:mcs>
                  <m:mc>
                    <m:mcPr>
                      <m:count m:val="2"/>
                      <m:mcJc m:val="center"/>
                    </m:mcPr>
                  </m:mc>
                </m:mcs>
                <m:ctrlPr>
                  <w:rPr>
                    <w:rFonts w:ascii="Cambria Math" w:hAnsi="Cambria Math" w:cs="Times New Roman"/>
                    <w:i/>
                    <w:sz w:val="28"/>
                    <w:szCs w:val="28"/>
                    <w:lang w:val="en-GB"/>
                  </w:rPr>
                </m:ctrlPr>
              </m:mPr>
              <m:m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num>
                    <m:den>
                      <m:sSubSup>
                        <m:sSubSupPr>
                          <m:ctrlPr>
                            <w:rPr>
                              <w:rFonts w:ascii="Cambria Math" w:hAnsi="Cambria Math" w:cs="Times New Roman"/>
                              <w:i/>
                              <w:sz w:val="28"/>
                              <w:szCs w:val="28"/>
                            </w:rPr>
                          </m:ctrlPr>
                        </m:sSubSupPr>
                        <m:e>
                          <m:r>
                            <w:rPr>
                              <w:rFonts w:ascii="Cambria Math" w:hAnsi="Cambria Math" w:cs="Times New Roman"/>
                              <w:sz w:val="28"/>
                              <w:szCs w:val="28"/>
                            </w:rPr>
                            <m:t>i</m:t>
                          </m:r>
                        </m:e>
                        <m:sub>
                          <m:r>
                            <w:rPr>
                              <w:rFonts w:ascii="Cambria Math" w:hAnsi="Cambria Math" w:cs="Times New Roman"/>
                              <w:sz w:val="28"/>
                              <w:szCs w:val="28"/>
                            </w:rPr>
                            <m:t>i+j-1</m:t>
                          </m:r>
                        </m:sub>
                        <m:sup>
                          <m:r>
                            <w:rPr>
                              <w:rFonts w:ascii="Cambria Math" w:hAnsi="Cambria Math" w:cs="Times New Roman"/>
                              <w:sz w:val="28"/>
                              <w:szCs w:val="28"/>
                            </w:rPr>
                            <m:t>p</m:t>
                          </m:r>
                        </m:sup>
                      </m:sSubSup>
                    </m:den>
                  </m:f>
                  <m:r>
                    <w:rPr>
                      <w:rFonts w:ascii="Cambria Math" w:hAnsi="Cambria Math" w:cs="Times New Roman"/>
                      <w:sz w:val="28"/>
                      <w:szCs w:val="28"/>
                    </w:rPr>
                    <m:t>,</m:t>
                  </m:r>
                </m:e>
                <m:e>
                  <m:r>
                    <w:rPr>
                      <w:rFonts w:ascii="Cambria Math" w:hAnsi="Cambria Math" w:cs="Times New Roman"/>
                      <w:sz w:val="28"/>
                      <w:szCs w:val="28"/>
                      <w:lang w:val="en-GB"/>
                    </w:rPr>
                    <m:t>j</m:t>
                  </m:r>
                  <m:r>
                    <w:rPr>
                      <w:rFonts w:ascii="Cambria Math" w:hAnsi="Cambria Math" w:cs="Times New Roman"/>
                      <w:sz w:val="28"/>
                      <w:szCs w:val="28"/>
                    </w:rPr>
                    <m:t>=1</m:t>
                  </m:r>
                </m:e>
              </m:mr>
              <m:mr>
                <m:e>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i,j-1</m:t>
                      </m:r>
                    </m:sub>
                    <m:sup>
                      <m:r>
                        <w:rPr>
                          <w:rFonts w:ascii="Cambria Math" w:hAnsi="Cambria Math" w:cs="Times New Roman"/>
                          <w:sz w:val="28"/>
                          <w:szCs w:val="28"/>
                        </w:rPr>
                        <m:t>пост.</m:t>
                      </m:r>
                    </m:sup>
                  </m:sSubSup>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i,j-1</m:t>
                              </m:r>
                            </m:sub>
                          </m:sSub>
                        </m:e>
                      </m:d>
                    </m:num>
                    <m:den>
                      <m:sSubSup>
                        <m:sSubSupPr>
                          <m:ctrlPr>
                            <w:rPr>
                              <w:rFonts w:ascii="Cambria Math" w:hAnsi="Cambria Math" w:cs="Times New Roman"/>
                              <w:i/>
                              <w:sz w:val="28"/>
                              <w:szCs w:val="28"/>
                            </w:rPr>
                          </m:ctrlPr>
                        </m:sSubSupPr>
                        <m:e>
                          <m:r>
                            <w:rPr>
                              <w:rFonts w:ascii="Cambria Math" w:hAnsi="Cambria Math" w:cs="Times New Roman"/>
                              <w:sz w:val="28"/>
                              <w:szCs w:val="28"/>
                            </w:rPr>
                            <m:t>i</m:t>
                          </m:r>
                        </m:e>
                        <m:sub>
                          <m:r>
                            <w:rPr>
                              <w:rFonts w:ascii="Cambria Math" w:hAnsi="Cambria Math" w:cs="Times New Roman"/>
                              <w:sz w:val="28"/>
                              <w:szCs w:val="28"/>
                            </w:rPr>
                            <m:t>i+j-1</m:t>
                          </m:r>
                        </m:sub>
                        <m:sup>
                          <m:r>
                            <w:rPr>
                              <w:rFonts w:ascii="Cambria Math" w:hAnsi="Cambria Math" w:cs="Times New Roman"/>
                              <w:sz w:val="28"/>
                              <w:szCs w:val="28"/>
                            </w:rPr>
                            <m:t>p</m:t>
                          </m:r>
                        </m:sup>
                      </m:sSubSup>
                    </m:den>
                  </m:f>
                  <m:r>
                    <w:rPr>
                      <w:rFonts w:ascii="Cambria Math" w:hAnsi="Cambria Math" w:cs="Times New Roman"/>
                      <w:sz w:val="28"/>
                      <w:szCs w:val="28"/>
                    </w:rPr>
                    <m:t>,</m:t>
                  </m:r>
                </m:e>
                <m:e>
                  <m:r>
                    <w:rPr>
                      <w:rFonts w:ascii="Cambria Math" w:hAnsi="Cambria Math" w:cs="Times New Roman"/>
                      <w:sz w:val="28"/>
                      <w:szCs w:val="28"/>
                      <w:lang w:val="en-GB"/>
                    </w:rPr>
                    <m:t>j</m:t>
                  </m:r>
                  <m:r>
                    <w:rPr>
                      <w:rFonts w:ascii="Cambria Math" w:hAnsi="Cambria Math" w:cs="Times New Roman"/>
                      <w:sz w:val="28"/>
                      <w:szCs w:val="28"/>
                    </w:rPr>
                    <m:t>=2,…,</m:t>
                  </m:r>
                  <m:r>
                    <w:rPr>
                      <w:rFonts w:ascii="Cambria Math" w:hAnsi="Cambria Math" w:cs="Times New Roman"/>
                      <w:sz w:val="28"/>
                      <w:szCs w:val="28"/>
                      <w:lang w:val="en-GB"/>
                    </w:rPr>
                    <m:t>n</m:t>
                  </m:r>
                </m:e>
              </m:mr>
            </m:m>
          </m:e>
        </m:d>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 xml:space="preserve">=1,…, </m:t>
        </m:r>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m:t>
        </m:r>
      </m:oMath>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lastRenderedPageBreak/>
        <w:t>Далее по стандартному алгоритму рассчитываются коэффициенты ра</w:t>
      </w:r>
      <w:r w:rsidRPr="00757775">
        <w:rPr>
          <w:rFonts w:ascii="Times New Roman" w:hAnsi="Times New Roman" w:cs="Times New Roman"/>
          <w:sz w:val="28"/>
          <w:szCs w:val="28"/>
        </w:rPr>
        <w:t>з</w:t>
      </w:r>
      <w:r w:rsidRPr="00757775">
        <w:rPr>
          <w:rFonts w:ascii="Times New Roman" w:hAnsi="Times New Roman" w:cs="Times New Roman"/>
          <w:sz w:val="28"/>
          <w:szCs w:val="28"/>
        </w:rPr>
        <w:t>вития убытков и общая стоимость страховых случаев, произошедших за п</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риод с номером </w:t>
      </w:r>
      <w:proofErr w:type="spellStart"/>
      <w:r w:rsidRPr="00757775">
        <w:rPr>
          <w:rFonts w:ascii="Times New Roman" w:hAnsi="Times New Roman" w:cs="Times New Roman"/>
          <w:i/>
          <w:sz w:val="28"/>
          <w:szCs w:val="28"/>
          <w:lang w:val="en-GB"/>
        </w:rPr>
        <w:t>i</w:t>
      </w:r>
      <w:proofErr w:type="spellEnd"/>
      <w:r w:rsidRPr="00757775">
        <w:rPr>
          <w:rFonts w:ascii="Times New Roman" w:hAnsi="Times New Roman" w:cs="Times New Roman"/>
          <w:sz w:val="28"/>
          <w:szCs w:val="28"/>
        </w:rPr>
        <w:t>; прогнозируются неизвестные на дату формирования резе</w:t>
      </w:r>
      <w:r w:rsidRPr="00757775">
        <w:rPr>
          <w:rFonts w:ascii="Times New Roman" w:hAnsi="Times New Roman" w:cs="Times New Roman"/>
          <w:sz w:val="28"/>
          <w:szCs w:val="28"/>
        </w:rPr>
        <w:t>р</w:t>
      </w:r>
      <w:r w:rsidRPr="00757775">
        <w:rPr>
          <w:rFonts w:ascii="Times New Roman" w:hAnsi="Times New Roman" w:cs="Times New Roman"/>
          <w:sz w:val="28"/>
          <w:szCs w:val="28"/>
        </w:rPr>
        <w:t>вов значения суммарных выплат под главной диагональю треугольника ра</w:t>
      </w:r>
      <w:r w:rsidRPr="00757775">
        <w:rPr>
          <w:rFonts w:ascii="Times New Roman" w:hAnsi="Times New Roman" w:cs="Times New Roman"/>
          <w:sz w:val="28"/>
          <w:szCs w:val="28"/>
        </w:rPr>
        <w:t>з</w:t>
      </w:r>
      <w:r w:rsidRPr="00757775">
        <w:rPr>
          <w:rFonts w:ascii="Times New Roman" w:hAnsi="Times New Roman" w:cs="Times New Roman"/>
          <w:sz w:val="28"/>
          <w:szCs w:val="28"/>
        </w:rPr>
        <w:t xml:space="preserve">вития. Посредством </w:t>
      </w:r>
      <w:r w:rsidR="005E52A0">
        <w:rPr>
          <w:rFonts w:ascii="Times New Roman" w:hAnsi="Times New Roman" w:cs="Times New Roman"/>
          <w:sz w:val="28"/>
          <w:szCs w:val="28"/>
        </w:rPr>
        <w:t>моделирования динамики временного ряда</w:t>
      </w:r>
      <w:r w:rsidRPr="00757775">
        <w:rPr>
          <w:rFonts w:ascii="Times New Roman" w:hAnsi="Times New Roman" w:cs="Times New Roman"/>
          <w:sz w:val="28"/>
          <w:szCs w:val="28"/>
        </w:rPr>
        <w:t xml:space="preserve"> или иным доступным актуарию методом осуществляется экстраполяция индекса роста цен на </w:t>
      </w:r>
      <w:r w:rsidRPr="00757775">
        <w:rPr>
          <w:rFonts w:ascii="Times New Roman" w:hAnsi="Times New Roman" w:cs="Times New Roman"/>
          <w:i/>
          <w:sz w:val="28"/>
          <w:szCs w:val="28"/>
          <w:lang w:val="en-GB"/>
        </w:rPr>
        <w:t>n</w:t>
      </w:r>
      <w:r w:rsidRPr="00757775">
        <w:rPr>
          <w:rFonts w:ascii="Times New Roman" w:hAnsi="Times New Roman" w:cs="Times New Roman"/>
          <w:sz w:val="28"/>
          <w:szCs w:val="28"/>
        </w:rPr>
        <w:t xml:space="preserve"> </w:t>
      </w:r>
      <w:r w:rsidRPr="00757775">
        <w:rPr>
          <w:rFonts w:ascii="Times New Roman" w:eastAsiaTheme="minorEastAsia" w:hAnsi="Times New Roman" w:cs="Times New Roman"/>
          <w:sz w:val="28"/>
          <w:szCs w:val="28"/>
        </w:rPr>
        <w:t>уровней временного ряда вперед</w:t>
      </w:r>
      <w:r w:rsidR="00B9209A" w:rsidRPr="00B9209A">
        <w:rPr>
          <w:rFonts w:ascii="Times New Roman" w:eastAsiaTheme="minorEastAsia" w:hAnsi="Times New Roman" w:cs="Times New Roman"/>
          <w:sz w:val="28"/>
          <w:szCs w:val="28"/>
        </w:rPr>
        <w:t xml:space="preserve"> [17]</w:t>
      </w:r>
      <w:r w:rsidRPr="00757775">
        <w:rPr>
          <w:rFonts w:ascii="Times New Roman" w:eastAsiaTheme="minorEastAsia" w:hAnsi="Times New Roman" w:cs="Times New Roman"/>
          <w:sz w:val="28"/>
          <w:szCs w:val="28"/>
        </w:rPr>
        <w:t>. После чего п</w:t>
      </w:r>
      <w:r w:rsidRPr="00757775">
        <w:rPr>
          <w:rFonts w:ascii="Times New Roman" w:hAnsi="Times New Roman" w:cs="Times New Roman"/>
          <w:sz w:val="28"/>
          <w:szCs w:val="28"/>
        </w:rPr>
        <w:t>олученные су</w:t>
      </w:r>
      <w:r w:rsidRPr="00757775">
        <w:rPr>
          <w:rFonts w:ascii="Times New Roman" w:hAnsi="Times New Roman" w:cs="Times New Roman"/>
          <w:sz w:val="28"/>
          <w:szCs w:val="28"/>
        </w:rPr>
        <w:t>м</w:t>
      </w:r>
      <w:r w:rsidRPr="00757775">
        <w:rPr>
          <w:rFonts w:ascii="Times New Roman" w:hAnsi="Times New Roman" w:cs="Times New Roman"/>
          <w:sz w:val="28"/>
          <w:szCs w:val="28"/>
        </w:rPr>
        <w:t>мы в постоянных ценах преобразуются «обратно», к текущим значениям:</w:t>
      </w:r>
    </w:p>
    <w:p w:rsidR="00DB7C4D" w:rsidRPr="00757775" w:rsidRDefault="005F2FF8" w:rsidP="00DB7C4D">
      <w:pPr>
        <w:spacing w:after="0"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r>
          <w:rPr>
            <w:rFonts w:ascii="Cambria Math" w:hAnsi="Cambria Math" w:cs="Times New Roman"/>
            <w:sz w:val="28"/>
            <w:szCs w:val="28"/>
          </w:rPr>
          <m:t>=</m:t>
        </m:r>
        <m:d>
          <m:dPr>
            <m:begChr m:val="{"/>
            <m:endChr m:val=""/>
            <m:ctrlPr>
              <w:rPr>
                <w:rFonts w:ascii="Cambria Math" w:hAnsi="Cambria Math" w:cs="Times New Roman"/>
                <w:i/>
                <w:sz w:val="28"/>
                <w:szCs w:val="28"/>
                <w:lang w:val="en-GB"/>
              </w:rPr>
            </m:ctrlPr>
          </m:dPr>
          <m:e>
            <m:m>
              <m:mPr>
                <m:mcs>
                  <m:mc>
                    <m:mcPr>
                      <m:count m:val="2"/>
                      <m:mcJc m:val="center"/>
                    </m:mcPr>
                  </m:mc>
                </m:mcs>
                <m:ctrlPr>
                  <w:rPr>
                    <w:rFonts w:ascii="Cambria Math" w:hAnsi="Cambria Math" w:cs="Times New Roman"/>
                    <w:i/>
                    <w:sz w:val="28"/>
                    <w:szCs w:val="28"/>
                    <w:lang w:val="en-GB"/>
                  </w:rPr>
                </m:ctrlPr>
              </m:mPr>
              <m:mr>
                <m:e>
                  <m:sSubSup>
                    <m:sSubSupPr>
                      <m:ctrlPr>
                        <w:rPr>
                          <w:rFonts w:ascii="Cambria Math" w:hAnsi="Cambria Math" w:cs="Times New Roman"/>
                          <w:i/>
                          <w:sz w:val="28"/>
                          <w:szCs w:val="28"/>
                          <w:lang w:val="en-GB"/>
                        </w:rPr>
                      </m:ctrlPr>
                    </m:sSubSupPr>
                    <m:e>
                      <m:r>
                        <w:rPr>
                          <w:rFonts w:ascii="Cambria Math" w:hAnsi="Cambria Math" w:cs="Times New Roman"/>
                          <w:sz w:val="28"/>
                          <w:szCs w:val="28"/>
                          <w:lang w:val="en-GB"/>
                        </w:rPr>
                        <m:t>Y</m:t>
                      </m:r>
                    </m:e>
                    <m:sub>
                      <m:r>
                        <w:rPr>
                          <w:rFonts w:ascii="Cambria Math" w:hAnsi="Cambria Math" w:cs="Times New Roman"/>
                          <w:sz w:val="28"/>
                          <w:szCs w:val="28"/>
                          <w:lang w:val="en-GB"/>
                        </w:rPr>
                        <m:t>ij</m:t>
                      </m:r>
                    </m:sub>
                    <m:sup>
                      <m:r>
                        <w:rPr>
                          <w:rFonts w:ascii="Cambria Math" w:hAnsi="Cambria Math" w:cs="Times New Roman"/>
                          <w:sz w:val="28"/>
                          <w:szCs w:val="28"/>
                        </w:rPr>
                        <m:t>пост.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i</m:t>
                      </m:r>
                    </m:e>
                    <m:sub>
                      <m:r>
                        <w:rPr>
                          <w:rFonts w:ascii="Cambria Math" w:hAnsi="Cambria Math" w:cs="Times New Roman"/>
                          <w:sz w:val="28"/>
                          <w:szCs w:val="28"/>
                        </w:rPr>
                        <m:t>i+j-1</m:t>
                      </m:r>
                    </m:sub>
                    <m:sup>
                      <m:r>
                        <w:rPr>
                          <w:rFonts w:ascii="Cambria Math" w:hAnsi="Cambria Math" w:cs="Times New Roman"/>
                          <w:sz w:val="28"/>
                          <w:szCs w:val="28"/>
                        </w:rPr>
                        <m:t>p</m:t>
                      </m:r>
                    </m:sup>
                  </m:sSubSup>
                  <m:r>
                    <w:rPr>
                      <w:rFonts w:ascii="Cambria Math" w:hAnsi="Cambria Math" w:cs="Times New Roman"/>
                      <w:sz w:val="28"/>
                      <w:szCs w:val="28"/>
                    </w:rPr>
                    <m:t>,</m:t>
                  </m:r>
                </m:e>
                <m:e>
                  <m:r>
                    <w:rPr>
                      <w:rFonts w:ascii="Cambria Math" w:hAnsi="Cambria Math" w:cs="Times New Roman"/>
                      <w:sz w:val="28"/>
                      <w:szCs w:val="28"/>
                      <w:lang w:val="en-GB"/>
                    </w:rPr>
                    <m:t>j</m:t>
                  </m:r>
                  <m:r>
                    <w:rPr>
                      <w:rFonts w:ascii="Cambria Math" w:hAnsi="Cambria Math" w:cs="Times New Roman"/>
                      <w:sz w:val="28"/>
                      <w:szCs w:val="28"/>
                    </w:rPr>
                    <m:t>=1</m:t>
                  </m:r>
                </m:e>
              </m:mr>
              <m:m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i,j-1</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i</m:t>
                      </m:r>
                    </m:e>
                    <m:sub>
                      <m:r>
                        <w:rPr>
                          <w:rFonts w:ascii="Cambria Math" w:hAnsi="Cambria Math" w:cs="Times New Roman"/>
                          <w:sz w:val="28"/>
                          <w:szCs w:val="28"/>
                          <w:lang w:val="en-GB"/>
                        </w:rPr>
                        <m:t>i</m:t>
                      </m:r>
                      <m:r>
                        <w:rPr>
                          <w:rFonts w:ascii="Cambria Math" w:hAnsi="Cambria Math" w:cs="Times New Roman"/>
                          <w:sz w:val="28"/>
                          <w:szCs w:val="28"/>
                        </w:rPr>
                        <m:t>+j-1</m:t>
                      </m:r>
                    </m:sub>
                    <m:sup>
                      <m:r>
                        <w:rPr>
                          <w:rFonts w:ascii="Cambria Math" w:hAnsi="Cambria Math" w:cs="Times New Roman"/>
                          <w:sz w:val="28"/>
                          <w:szCs w:val="28"/>
                        </w:rPr>
                        <m:t>p</m:t>
                      </m:r>
                    </m:sup>
                  </m:sSubSup>
                  <m:r>
                    <w:rPr>
                      <w:rFonts w:ascii="Cambria Math" w:hAnsi="Cambria Math" w:cs="Times New Roman"/>
                      <w:sz w:val="28"/>
                      <w:szCs w:val="28"/>
                    </w:rPr>
                    <m:t>∙</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ij</m:t>
                          </m:r>
                        </m:sub>
                        <m:sup>
                          <m:r>
                            <w:rPr>
                              <w:rFonts w:ascii="Cambria Math" w:hAnsi="Cambria Math" w:cs="Times New Roman"/>
                              <w:sz w:val="28"/>
                              <w:szCs w:val="28"/>
                            </w:rPr>
                            <m:t>пост.</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Y</m:t>
                          </m:r>
                        </m:e>
                        <m:sub>
                          <m:r>
                            <w:rPr>
                              <w:rFonts w:ascii="Cambria Math" w:hAnsi="Cambria Math" w:cs="Times New Roman"/>
                              <w:sz w:val="28"/>
                              <w:szCs w:val="28"/>
                            </w:rPr>
                            <m:t>i,j-1</m:t>
                          </m:r>
                        </m:sub>
                        <m:sup>
                          <m:r>
                            <w:rPr>
                              <w:rFonts w:ascii="Cambria Math" w:hAnsi="Cambria Math" w:cs="Times New Roman"/>
                              <w:sz w:val="28"/>
                              <w:szCs w:val="28"/>
                            </w:rPr>
                            <m:t>пост.</m:t>
                          </m:r>
                        </m:sup>
                      </m:sSubSup>
                    </m:e>
                  </m:d>
                  <m:r>
                    <w:rPr>
                      <w:rFonts w:ascii="Cambria Math" w:hAnsi="Cambria Math" w:cs="Times New Roman"/>
                      <w:sz w:val="28"/>
                      <w:szCs w:val="28"/>
                    </w:rPr>
                    <m:t>,</m:t>
                  </m:r>
                </m:e>
                <m:e>
                  <m:r>
                    <w:rPr>
                      <w:rFonts w:ascii="Cambria Math" w:hAnsi="Cambria Math" w:cs="Times New Roman"/>
                      <w:sz w:val="28"/>
                      <w:szCs w:val="28"/>
                      <w:lang w:val="en-GB"/>
                    </w:rPr>
                    <m:t>j</m:t>
                  </m:r>
                  <m:r>
                    <w:rPr>
                      <w:rFonts w:ascii="Cambria Math" w:hAnsi="Cambria Math" w:cs="Times New Roman"/>
                      <w:sz w:val="28"/>
                      <w:szCs w:val="28"/>
                    </w:rPr>
                    <m:t>=2,…,</m:t>
                  </m:r>
                  <m:r>
                    <w:rPr>
                      <w:rFonts w:ascii="Cambria Math" w:hAnsi="Cambria Math" w:cs="Times New Roman"/>
                      <w:sz w:val="28"/>
                      <w:szCs w:val="28"/>
                      <w:lang w:val="en-GB"/>
                    </w:rPr>
                    <m:t>n</m:t>
                  </m:r>
                </m:e>
              </m:mr>
            </m:m>
          </m:e>
        </m:d>
      </m:oMath>
      <w:r w:rsidR="00DB7C4D"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 xml:space="preserve">=1,…, </m:t>
        </m:r>
        <m:r>
          <w:rPr>
            <w:rFonts w:ascii="Cambria Math" w:eastAsiaTheme="minorEastAsia" w:hAnsi="Cambria Math" w:cs="Times New Roman"/>
            <w:sz w:val="28"/>
            <w:szCs w:val="28"/>
            <w:lang w:val="en-GB"/>
          </w:rPr>
          <m:t>n</m:t>
        </m:r>
        <m:r>
          <w:rPr>
            <w:rFonts w:ascii="Cambria Math" w:eastAsiaTheme="minorEastAsia" w:hAnsi="Cambria Math" w:cs="Times New Roman"/>
            <w:sz w:val="28"/>
            <w:szCs w:val="28"/>
          </w:rPr>
          <m:t>.</m:t>
        </m:r>
      </m:oMath>
    </w:p>
    <w:p w:rsidR="00DB7C4D" w:rsidRPr="00757775" w:rsidRDefault="00DB7C4D" w:rsidP="00DB7C4D">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На финальном шаге скорректированного с учетом инфляции метода цепной лестницы вычисляется общий размер РПНУ к концу страхового п</w:t>
      </w:r>
      <w:r w:rsidRPr="00757775">
        <w:rPr>
          <w:rFonts w:ascii="Times New Roman" w:hAnsi="Times New Roman" w:cs="Times New Roman"/>
          <w:sz w:val="28"/>
          <w:szCs w:val="28"/>
        </w:rPr>
        <w:t>е</w:t>
      </w:r>
      <w:r w:rsidRPr="00757775">
        <w:rPr>
          <w:rFonts w:ascii="Times New Roman" w:hAnsi="Times New Roman" w:cs="Times New Roman"/>
          <w:sz w:val="28"/>
          <w:szCs w:val="28"/>
        </w:rPr>
        <w:t xml:space="preserve">риода с номером </w:t>
      </w:r>
      <w:r w:rsidRPr="00757775">
        <w:rPr>
          <w:rFonts w:ascii="Times New Roman" w:hAnsi="Times New Roman" w:cs="Times New Roman"/>
          <w:i/>
          <w:sz w:val="28"/>
          <w:szCs w:val="28"/>
          <w:lang w:val="en-GB"/>
        </w:rPr>
        <w:t>n</w:t>
      </w:r>
      <w:r w:rsidRPr="00757775">
        <w:rPr>
          <w:rFonts w:ascii="Times New Roman" w:hAnsi="Times New Roman" w:cs="Times New Roman"/>
          <w:sz w:val="28"/>
          <w:szCs w:val="28"/>
        </w:rPr>
        <w:t>:</w:t>
      </w:r>
    </w:p>
    <w:p w:rsidR="00DB7C4D" w:rsidRPr="00757775" w:rsidRDefault="00DB7C4D" w:rsidP="00DB7C4D">
      <w:pPr>
        <w:spacing w:after="0" w:line="360" w:lineRule="auto"/>
        <w:jc w:val="center"/>
        <w:rPr>
          <w:rFonts w:ascii="Times New Roman" w:eastAsiaTheme="minorEastAsia" w:hAnsi="Times New Roman" w:cs="Times New Roman"/>
          <w:i/>
          <w:sz w:val="28"/>
          <w:szCs w:val="28"/>
        </w:rPr>
      </w:pPr>
      <m:oMath>
        <m:r>
          <w:rPr>
            <w:rFonts w:ascii="Cambria Math" w:hAnsi="Cambria Math" w:cs="Times New Roman"/>
            <w:sz w:val="28"/>
            <w:szCs w:val="28"/>
          </w:rPr>
          <m:t>R=</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e>
        </m:nary>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i,n-i+1</m:t>
            </m:r>
          </m:sub>
        </m:sSub>
        <m:r>
          <w:rPr>
            <w:rFonts w:ascii="Cambria Math" w:hAnsi="Cambria Math" w:cs="Times New Roman"/>
            <w:sz w:val="28"/>
            <w:szCs w:val="28"/>
          </w:rPr>
          <m:t>)</m:t>
        </m:r>
      </m:oMath>
      <w:r w:rsidRPr="00757775">
        <w:rPr>
          <w:rFonts w:ascii="Times New Roman" w:eastAsiaTheme="minorEastAsia" w:hAnsi="Times New Roman" w:cs="Times New Roman"/>
          <w:i/>
          <w:sz w:val="28"/>
          <w:szCs w:val="28"/>
        </w:rPr>
        <w:t>.</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Продемонстрируем реализацию метода цепной лестницы с учетом и</w:t>
      </w:r>
      <w:r w:rsidRPr="00757775">
        <w:rPr>
          <w:rFonts w:ascii="Times New Roman" w:eastAsiaTheme="minorEastAsia" w:hAnsi="Times New Roman" w:cs="Times New Roman"/>
          <w:sz w:val="28"/>
          <w:szCs w:val="28"/>
        </w:rPr>
        <w:t>н</w:t>
      </w:r>
      <w:r w:rsidRPr="00757775">
        <w:rPr>
          <w:rFonts w:ascii="Times New Roman" w:eastAsiaTheme="minorEastAsia" w:hAnsi="Times New Roman" w:cs="Times New Roman"/>
          <w:sz w:val="28"/>
          <w:szCs w:val="28"/>
        </w:rPr>
        <w:t xml:space="preserve">фляции на исследуемом массиве данных. </w:t>
      </w:r>
      <w:proofErr w:type="gramStart"/>
      <w:r w:rsidRPr="00757775">
        <w:rPr>
          <w:rFonts w:ascii="Times New Roman" w:eastAsiaTheme="minorEastAsia" w:hAnsi="Times New Roman" w:cs="Times New Roman"/>
          <w:sz w:val="28"/>
          <w:szCs w:val="28"/>
        </w:rPr>
        <w:t>Для начала перейдем от помеся</w:t>
      </w:r>
      <w:r w:rsidRPr="00757775">
        <w:rPr>
          <w:rFonts w:ascii="Times New Roman" w:eastAsiaTheme="minorEastAsia" w:hAnsi="Times New Roman" w:cs="Times New Roman"/>
          <w:sz w:val="28"/>
          <w:szCs w:val="28"/>
        </w:rPr>
        <w:t>ч</w:t>
      </w:r>
      <w:r w:rsidRPr="00757775">
        <w:rPr>
          <w:rFonts w:ascii="Times New Roman" w:eastAsiaTheme="minorEastAsia" w:hAnsi="Times New Roman" w:cs="Times New Roman"/>
          <w:sz w:val="28"/>
          <w:szCs w:val="28"/>
        </w:rPr>
        <w:t>ных индексов цен на медицинские услуги к квартальным: последовательно перемножим индексы для месяцев, составляющих один квартал, т.е., напр</w:t>
      </w:r>
      <w:r w:rsidRPr="00757775">
        <w:rPr>
          <w:rFonts w:ascii="Times New Roman" w:eastAsiaTheme="minorEastAsia" w:hAnsi="Times New Roman" w:cs="Times New Roman"/>
          <w:sz w:val="28"/>
          <w:szCs w:val="28"/>
        </w:rPr>
        <w:t>и</w:t>
      </w:r>
      <w:r w:rsidRPr="00757775">
        <w:rPr>
          <w:rFonts w:ascii="Times New Roman" w:eastAsiaTheme="minorEastAsia" w:hAnsi="Times New Roman" w:cs="Times New Roman"/>
          <w:sz w:val="28"/>
          <w:szCs w:val="28"/>
        </w:rPr>
        <w:t xml:space="preserve">мер,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кв.</m:t>
            </m:r>
          </m:sub>
          <m:sup>
            <m:r>
              <w:rPr>
                <w:rFonts w:ascii="Cambria Math" w:eastAsiaTheme="minorEastAsia" w:hAnsi="Cambria Math" w:cs="Times New Roman"/>
                <w:sz w:val="28"/>
                <w:szCs w:val="28"/>
              </w:rPr>
              <m:t>p</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rPr>
              <m:t>янв.</m:t>
            </m:r>
          </m:sub>
          <m:sup>
            <m:r>
              <w:rPr>
                <w:rFonts w:ascii="Cambria Math" w:eastAsiaTheme="minorEastAsia" w:hAnsi="Cambria Math" w:cs="Times New Roman"/>
                <w:sz w:val="28"/>
                <w:szCs w:val="28"/>
              </w:rPr>
              <m:t>p</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rPr>
              <m:t>фев.</m:t>
            </m:r>
          </m:sub>
          <m:sup>
            <m:r>
              <w:rPr>
                <w:rFonts w:ascii="Cambria Math" w:eastAsiaTheme="minorEastAsia" w:hAnsi="Cambria Math" w:cs="Times New Roman"/>
                <w:sz w:val="28"/>
                <w:szCs w:val="28"/>
              </w:rPr>
              <m:t>p</m:t>
            </m:r>
          </m:sup>
        </m:sSubSup>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rPr>
              <m:t>март</m:t>
            </m:r>
          </m:sub>
          <m:sup>
            <m:r>
              <w:rPr>
                <w:rFonts w:ascii="Cambria Math" w:eastAsiaTheme="minorEastAsia" w:hAnsi="Cambria Math" w:cs="Times New Roman"/>
                <w:sz w:val="28"/>
                <w:szCs w:val="28"/>
              </w:rPr>
              <m:t>p</m:t>
            </m:r>
          </m:sup>
        </m:sSubSup>
      </m:oMath>
      <w:r w:rsidRPr="00757775">
        <w:rPr>
          <w:rFonts w:ascii="Times New Roman" w:eastAsiaTheme="minorEastAsia" w:hAnsi="Times New Roman" w:cs="Times New Roman"/>
          <w:sz w:val="28"/>
          <w:szCs w:val="28"/>
        </w:rPr>
        <w:t>. Далее от цепных коэффициентов роста цен п</w:t>
      </w:r>
      <w:proofErr w:type="spellStart"/>
      <w:r w:rsidRPr="00757775">
        <w:rPr>
          <w:rFonts w:ascii="Times New Roman" w:eastAsiaTheme="minorEastAsia" w:hAnsi="Times New Roman" w:cs="Times New Roman"/>
          <w:sz w:val="28"/>
          <w:szCs w:val="28"/>
        </w:rPr>
        <w:t>е</w:t>
      </w:r>
      <w:r w:rsidRPr="00757775">
        <w:rPr>
          <w:rFonts w:ascii="Times New Roman" w:eastAsiaTheme="minorEastAsia" w:hAnsi="Times New Roman" w:cs="Times New Roman"/>
          <w:sz w:val="28"/>
          <w:szCs w:val="28"/>
        </w:rPr>
        <w:t>рейдем</w:t>
      </w:r>
      <w:proofErr w:type="spellEnd"/>
      <w:r w:rsidRPr="00757775">
        <w:rPr>
          <w:rFonts w:ascii="Times New Roman" w:eastAsiaTheme="minorEastAsia" w:hAnsi="Times New Roman" w:cs="Times New Roman"/>
          <w:sz w:val="28"/>
          <w:szCs w:val="28"/>
        </w:rPr>
        <w:t xml:space="preserve"> к базисным, приняв за базу сравнения четвертый квартал 2007 г., для которого коэффициент роста цен примем равным единице.</w:t>
      </w:r>
      <w:proofErr w:type="gramEnd"/>
    </w:p>
    <w:p w:rsidR="00DB7C4D" w:rsidRPr="005158F2" w:rsidRDefault="00DB7C4D" w:rsidP="008979A8">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Таблица 1</w:t>
      </w:r>
      <w:r w:rsidR="00A820B6" w:rsidRPr="005158F2">
        <w:rPr>
          <w:rFonts w:ascii="Times New Roman" w:hAnsi="Times New Roman" w:cs="Times New Roman"/>
          <w:i/>
          <w:sz w:val="26"/>
          <w:szCs w:val="26"/>
        </w:rPr>
        <w:t>8</w:t>
      </w:r>
    </w:p>
    <w:p w:rsidR="00DB7C4D" w:rsidRPr="00DE703C" w:rsidRDefault="00DB7C4D" w:rsidP="008979A8">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Коэффициенты развития убытков</w:t>
      </w:r>
      <w:r w:rsidR="00DE703C" w:rsidRPr="00DE703C">
        <w:rPr>
          <w:rFonts w:ascii="Times New Roman" w:hAnsi="Times New Roman" w:cs="Times New Roman"/>
          <w:i/>
          <w:sz w:val="26"/>
          <w:szCs w:val="26"/>
        </w:rPr>
        <w:t xml:space="preserve"> </w:t>
      </w:r>
      <w:r w:rsidR="00DE703C">
        <w:rPr>
          <w:rFonts w:ascii="Times New Roman" w:hAnsi="Times New Roman" w:cs="Times New Roman"/>
          <w:i/>
          <w:sz w:val="26"/>
          <w:szCs w:val="26"/>
        </w:rPr>
        <w:t>по данным в постоянных ценах</w:t>
      </w:r>
    </w:p>
    <w:tbl>
      <w:tblPr>
        <w:tblW w:w="9444" w:type="dxa"/>
        <w:jc w:val="right"/>
        <w:tblInd w:w="366" w:type="dxa"/>
        <w:tblLook w:val="04A0"/>
      </w:tblPr>
      <w:tblGrid>
        <w:gridCol w:w="708"/>
        <w:gridCol w:w="1092"/>
        <w:gridCol w:w="1092"/>
        <w:gridCol w:w="1092"/>
        <w:gridCol w:w="1092"/>
        <w:gridCol w:w="1092"/>
        <w:gridCol w:w="1092"/>
        <w:gridCol w:w="1092"/>
        <w:gridCol w:w="1092"/>
      </w:tblGrid>
      <w:tr w:rsidR="00DB7C4D" w:rsidRPr="00757775" w:rsidTr="00D71C74">
        <w:trPr>
          <w:trHeight w:val="305"/>
          <w:jc w:val="right"/>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 </w:t>
            </w:r>
          </w:p>
        </w:tc>
        <w:tc>
          <w:tcPr>
            <w:tcW w:w="8736" w:type="dxa"/>
            <w:gridSpan w:val="8"/>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xml:space="preserve">Квартал оплаты (развития) убытков, </w:t>
            </w:r>
            <w:proofErr w:type="spellStart"/>
            <w:r w:rsidRPr="00757775">
              <w:rPr>
                <w:rFonts w:ascii="Times New Roman" w:eastAsia="Times New Roman" w:hAnsi="Times New Roman" w:cs="Times New Roman"/>
                <w:b/>
                <w:bCs/>
                <w:color w:val="000000"/>
                <w:sz w:val="23"/>
                <w:szCs w:val="23"/>
                <w:lang w:eastAsia="ru-RU"/>
              </w:rPr>
              <w:t>j</w:t>
            </w:r>
            <w:proofErr w:type="spellEnd"/>
          </w:p>
        </w:tc>
      </w:tr>
      <w:tr w:rsidR="00DB7C4D" w:rsidRPr="00757775" w:rsidTr="00D71C74">
        <w:trPr>
          <w:trHeight w:val="305"/>
          <w:jc w:val="right"/>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rPr>
                <w:rFonts w:ascii="Times New Roman" w:eastAsia="Times New Roman" w:hAnsi="Times New Roman" w:cs="Times New Roman"/>
                <w:color w:val="000000"/>
                <w:sz w:val="23"/>
                <w:szCs w:val="23"/>
                <w:lang w:eastAsia="ru-RU"/>
              </w:rPr>
            </w:pP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1</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2</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3</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4</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5</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6</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7</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8</w:t>
            </w:r>
          </w:p>
        </w:tc>
      </w:tr>
      <w:tr w:rsidR="00DB7C4D" w:rsidRPr="00757775" w:rsidTr="00D71C74">
        <w:trPr>
          <w:trHeight w:val="351"/>
          <w:jc w:val="right"/>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m</w:t>
            </w:r>
            <w:r w:rsidRPr="00757775">
              <w:rPr>
                <w:rFonts w:ascii="Times New Roman" w:eastAsia="Times New Roman" w:hAnsi="Times New Roman" w:cs="Times New Roman"/>
                <w:b/>
                <w:bCs/>
                <w:color w:val="000000"/>
                <w:sz w:val="23"/>
                <w:szCs w:val="23"/>
                <w:vertAlign w:val="subscript"/>
                <w:lang w:eastAsia="ru-RU"/>
              </w:rPr>
              <w:t>j</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1,421087</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1,014127</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1,001709</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1,003138</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1,000850</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1,000029</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1,000023</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1,000018</w:t>
            </w:r>
          </w:p>
        </w:tc>
      </w:tr>
      <w:tr w:rsidR="00DB7C4D" w:rsidRPr="00757775" w:rsidTr="00D71C74">
        <w:trPr>
          <w:trHeight w:val="351"/>
          <w:jc w:val="right"/>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M</w:t>
            </w:r>
            <w:r w:rsidRPr="00757775">
              <w:rPr>
                <w:rFonts w:ascii="Times New Roman" w:eastAsia="Times New Roman" w:hAnsi="Times New Roman" w:cs="Times New Roman"/>
                <w:b/>
                <w:bCs/>
                <w:color w:val="000000"/>
                <w:sz w:val="23"/>
                <w:szCs w:val="23"/>
                <w:vertAlign w:val="subscript"/>
                <w:lang w:eastAsia="ru-RU"/>
              </w:rPr>
              <w:t>j</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1,449539</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1,020021</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1,005812</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1,004096</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1,000955</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1,000105</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1,000076</w:t>
            </w:r>
          </w:p>
        </w:tc>
        <w:tc>
          <w:tcPr>
            <w:tcW w:w="1092"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right"/>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1,000053</w:t>
            </w:r>
          </w:p>
        </w:tc>
      </w:tr>
    </w:tbl>
    <w:p w:rsidR="00DB7C4D" w:rsidRPr="00757775" w:rsidRDefault="00DB7C4D" w:rsidP="008979A8">
      <w:pPr>
        <w:spacing w:before="240"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Как видно из </w:t>
      </w:r>
      <w:r w:rsidR="008979A8" w:rsidRPr="008979A8">
        <w:rPr>
          <w:rFonts w:ascii="Times New Roman" w:eastAsiaTheme="minorEastAsia" w:hAnsi="Times New Roman" w:cs="Times New Roman"/>
          <w:sz w:val="28"/>
          <w:szCs w:val="28"/>
        </w:rPr>
        <w:t>табл. 1</w:t>
      </w:r>
      <w:r w:rsidR="00A820B6">
        <w:rPr>
          <w:rFonts w:ascii="Times New Roman" w:eastAsiaTheme="minorEastAsia" w:hAnsi="Times New Roman" w:cs="Times New Roman"/>
          <w:sz w:val="28"/>
          <w:szCs w:val="28"/>
        </w:rPr>
        <w:t>8</w:t>
      </w:r>
      <w:r w:rsidRPr="00757775">
        <w:rPr>
          <w:rFonts w:ascii="Times New Roman" w:eastAsiaTheme="minorEastAsia" w:hAnsi="Times New Roman" w:cs="Times New Roman"/>
          <w:sz w:val="28"/>
          <w:szCs w:val="28"/>
        </w:rPr>
        <w:t xml:space="preserve">, коэффициенты развития убытков, рассчитанные по скорректированным на величину «медицинской инфляции» данным, ниже тех, которые были получены в ходе реализации базового метода пошагового </w:t>
      </w:r>
      <w:r w:rsidRPr="00757775">
        <w:rPr>
          <w:rFonts w:ascii="Times New Roman" w:eastAsiaTheme="minorEastAsia" w:hAnsi="Times New Roman" w:cs="Times New Roman"/>
          <w:sz w:val="28"/>
          <w:szCs w:val="28"/>
        </w:rPr>
        <w:lastRenderedPageBreak/>
        <w:t xml:space="preserve">восхождения. В отсутствии влияния инфляции накопленная сумма выплат по страховым случаям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-го квартала увеличивается во втором квартале развития убытков по сравнению с первым на 42,11% (ранее – на 42,19%), в третьем квартале темп прироста составляет 1,41% (предыдущее значение – 1,42%), в четвертом – 0,171% (0,172%).</w:t>
      </w:r>
      <w:r w:rsidRPr="00757775">
        <w:rPr>
          <w:rFonts w:ascii="Times New Roman" w:hAnsi="Times New Roman" w:cs="Times New Roman"/>
          <w:sz w:val="28"/>
          <w:szCs w:val="28"/>
        </w:rPr>
        <w:t xml:space="preserve"> </w:t>
      </w:r>
      <w:r w:rsidRPr="00757775">
        <w:rPr>
          <w:rFonts w:ascii="Times New Roman" w:eastAsiaTheme="minorEastAsia" w:hAnsi="Times New Roman" w:cs="Times New Roman"/>
          <w:sz w:val="28"/>
          <w:szCs w:val="28"/>
        </w:rPr>
        <w:t>В промежутке между первым кварталом опл</w:t>
      </w:r>
      <w:r w:rsidRPr="00757775">
        <w:rPr>
          <w:rFonts w:ascii="Times New Roman" w:eastAsiaTheme="minorEastAsia" w:hAnsi="Times New Roman" w:cs="Times New Roman"/>
          <w:sz w:val="28"/>
          <w:szCs w:val="28"/>
        </w:rPr>
        <w:t>а</w:t>
      </w:r>
      <w:r w:rsidRPr="00757775">
        <w:rPr>
          <w:rFonts w:ascii="Times New Roman" w:eastAsiaTheme="minorEastAsia" w:hAnsi="Times New Roman" w:cs="Times New Roman"/>
          <w:sz w:val="28"/>
          <w:szCs w:val="28"/>
        </w:rPr>
        <w:t xml:space="preserve">ты убытков и моментом их окончательного урегулирования совокупная стоимость претензий в постоянных ценах по инцидентам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-го квартала во</w:t>
      </w:r>
      <w:r w:rsidRPr="00757775">
        <w:rPr>
          <w:rFonts w:ascii="Times New Roman" w:eastAsiaTheme="minorEastAsia" w:hAnsi="Times New Roman" w:cs="Times New Roman"/>
          <w:sz w:val="28"/>
          <w:szCs w:val="28"/>
        </w:rPr>
        <w:t>з</w:t>
      </w:r>
      <w:r w:rsidRPr="00757775">
        <w:rPr>
          <w:rFonts w:ascii="Times New Roman" w:eastAsiaTheme="minorEastAsia" w:hAnsi="Times New Roman" w:cs="Times New Roman"/>
          <w:sz w:val="28"/>
          <w:szCs w:val="28"/>
        </w:rPr>
        <w:t>растает на 44,95% (при расчете в текущих ценах этот показатель равнялся 45,11%), для второго квартала развития это изменение составляет 2,00% (против 2,06%), для третьего – лишь 0,58% (ранее – 0,63%).</w:t>
      </w:r>
    </w:p>
    <w:p w:rsidR="00DB7C4D" w:rsidRPr="005158F2" w:rsidRDefault="00DB7C4D" w:rsidP="008979A8">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Таблица 1</w:t>
      </w:r>
      <w:r w:rsidR="00A820B6" w:rsidRPr="005158F2">
        <w:rPr>
          <w:rFonts w:ascii="Times New Roman" w:hAnsi="Times New Roman" w:cs="Times New Roman"/>
          <w:i/>
          <w:sz w:val="26"/>
          <w:szCs w:val="26"/>
        </w:rPr>
        <w:t>9</w:t>
      </w:r>
    </w:p>
    <w:p w:rsidR="00DB7C4D" w:rsidRPr="005158F2" w:rsidRDefault="00DB7C4D" w:rsidP="008979A8">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Совокупная стоимость страховых случаев и резервы убытков</w:t>
      </w:r>
    </w:p>
    <w:p w:rsidR="00DE703C" w:rsidRDefault="00DB7C4D" w:rsidP="008979A8">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для каждого </w:t>
      </w:r>
      <w:proofErr w:type="spellStart"/>
      <w:r w:rsidRPr="005158F2">
        <w:rPr>
          <w:rFonts w:ascii="Times New Roman" w:hAnsi="Times New Roman" w:cs="Times New Roman"/>
          <w:i/>
          <w:sz w:val="26"/>
          <w:szCs w:val="26"/>
          <w:lang w:val="en-GB"/>
        </w:rPr>
        <w:t>i</w:t>
      </w:r>
      <w:proofErr w:type="spellEnd"/>
      <w:r w:rsidRPr="005158F2">
        <w:rPr>
          <w:rFonts w:ascii="Times New Roman" w:hAnsi="Times New Roman" w:cs="Times New Roman"/>
          <w:i/>
          <w:sz w:val="26"/>
          <w:szCs w:val="26"/>
        </w:rPr>
        <w:t>-го квартала инцидента</w:t>
      </w:r>
      <w:r w:rsidR="00DE703C">
        <w:rPr>
          <w:rFonts w:ascii="Times New Roman" w:hAnsi="Times New Roman" w:cs="Times New Roman"/>
          <w:i/>
          <w:sz w:val="26"/>
          <w:szCs w:val="26"/>
        </w:rPr>
        <w:t xml:space="preserve"> </w:t>
      </w:r>
    </w:p>
    <w:p w:rsidR="00DB7C4D" w:rsidRPr="005158F2" w:rsidRDefault="00DE703C" w:rsidP="008979A8">
      <w:pPr>
        <w:spacing w:after="0" w:line="360" w:lineRule="auto"/>
        <w:jc w:val="center"/>
        <w:rPr>
          <w:rFonts w:ascii="Times New Roman" w:eastAsiaTheme="minorEastAsia" w:hAnsi="Times New Roman" w:cs="Times New Roman"/>
          <w:sz w:val="26"/>
          <w:szCs w:val="26"/>
        </w:rPr>
      </w:pPr>
      <w:r>
        <w:rPr>
          <w:rFonts w:ascii="Times New Roman" w:hAnsi="Times New Roman" w:cs="Times New Roman"/>
          <w:i/>
          <w:sz w:val="26"/>
          <w:szCs w:val="26"/>
        </w:rPr>
        <w:t>по методу цепной лестницы с учетом инфляции</w:t>
      </w:r>
    </w:p>
    <w:tbl>
      <w:tblPr>
        <w:tblW w:w="8160" w:type="dxa"/>
        <w:jc w:val="center"/>
        <w:tblLook w:val="04A0"/>
      </w:tblPr>
      <w:tblGrid>
        <w:gridCol w:w="960"/>
        <w:gridCol w:w="1440"/>
        <w:gridCol w:w="1440"/>
        <w:gridCol w:w="1440"/>
        <w:gridCol w:w="1440"/>
        <w:gridCol w:w="1440"/>
      </w:tblGrid>
      <w:tr w:rsidR="00DB7C4D" w:rsidRPr="00757775" w:rsidTr="00546CC5">
        <w:trPr>
          <w:trHeight w:val="300"/>
          <w:tblHeader/>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Calibri" w:eastAsia="Times New Roman" w:hAnsi="Calibri" w:cs="Times New Roman"/>
                <w:color w:val="000000"/>
                <w:lang w:eastAsia="ru-RU"/>
              </w:rPr>
            </w:pPr>
            <w:r w:rsidRPr="00757775">
              <w:rPr>
                <w:rFonts w:ascii="Calibri" w:eastAsia="Times New Roman" w:hAnsi="Calibri" w:cs="Times New Roman"/>
                <w:color w:val="000000"/>
                <w:lang w:eastAsia="ru-RU"/>
              </w:rPr>
              <w:t> </w:t>
            </w:r>
          </w:p>
        </w:tc>
        <w:tc>
          <w:tcPr>
            <w:tcW w:w="720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xml:space="preserve">Квартал наступления убытков, </w:t>
            </w:r>
            <w:proofErr w:type="spellStart"/>
            <w:r w:rsidRPr="00757775">
              <w:rPr>
                <w:rFonts w:ascii="Times New Roman" w:eastAsia="Times New Roman" w:hAnsi="Times New Roman" w:cs="Times New Roman"/>
                <w:b/>
                <w:bCs/>
                <w:color w:val="000000"/>
                <w:sz w:val="23"/>
                <w:szCs w:val="23"/>
                <w:lang w:eastAsia="ru-RU"/>
              </w:rPr>
              <w:t>i</w:t>
            </w:r>
            <w:proofErr w:type="spellEnd"/>
          </w:p>
        </w:tc>
      </w:tr>
      <w:tr w:rsidR="00DB7C4D" w:rsidRPr="00757775" w:rsidTr="00546CC5">
        <w:trPr>
          <w:trHeight w:val="300"/>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B7C4D" w:rsidRPr="00757775" w:rsidRDefault="00DB7C4D" w:rsidP="002F57F4">
            <w:pPr>
              <w:spacing w:after="0" w:line="240" w:lineRule="auto"/>
              <w:rPr>
                <w:rFonts w:ascii="Calibri" w:eastAsia="Times New Roman" w:hAnsi="Calibri" w:cs="Times New Roman"/>
                <w:color w:val="000000"/>
                <w:lang w:eastAsia="ru-RU"/>
              </w:rPr>
            </w:pP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3</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4</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5</w:t>
            </w:r>
          </w:p>
        </w:tc>
      </w:tr>
      <w:tr w:rsidR="00DB7C4D" w:rsidRPr="00757775" w:rsidTr="00546CC5">
        <w:trPr>
          <w:trHeight w:val="345"/>
          <w:jc w:val="center"/>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Y</w:t>
            </w:r>
            <w:r w:rsidRPr="00757775">
              <w:rPr>
                <w:rFonts w:ascii="Times New Roman" w:eastAsia="Times New Roman" w:hAnsi="Times New Roman" w:cs="Times New Roman"/>
                <w:b/>
                <w:bCs/>
                <w:color w:val="000000"/>
                <w:vertAlign w:val="subscript"/>
                <w:lang w:eastAsia="ru-RU"/>
              </w:rPr>
              <w:t>i∞</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1 202 225 997</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1 152 662 334</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1 177 647 367</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1 157 397 347</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1 196 949 214</w:t>
            </w:r>
          </w:p>
        </w:tc>
      </w:tr>
      <w:tr w:rsidR="00DB7C4D" w:rsidRPr="00757775" w:rsidTr="00546CC5">
        <w:trPr>
          <w:trHeight w:val="36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0</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0</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0</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23 313</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25 946</w:t>
            </w:r>
          </w:p>
        </w:tc>
      </w:tr>
      <w:tr w:rsidR="00DB7C4D" w:rsidRPr="00757775" w:rsidTr="00546CC5">
        <w:trPr>
          <w:trHeight w:val="300"/>
          <w:jc w:val="center"/>
        </w:trPr>
        <w:tc>
          <w:tcPr>
            <w:tcW w:w="960" w:type="dxa"/>
            <w:tcBorders>
              <w:top w:val="nil"/>
              <w:left w:val="single" w:sz="4" w:space="0" w:color="auto"/>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6</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7</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8</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9</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10</w:t>
            </w:r>
          </w:p>
        </w:tc>
      </w:tr>
      <w:tr w:rsidR="00DB7C4D" w:rsidRPr="00757775" w:rsidTr="00546CC5">
        <w:trPr>
          <w:trHeight w:val="360"/>
          <w:jc w:val="center"/>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Y</w:t>
            </w:r>
            <w:r w:rsidRPr="00757775">
              <w:rPr>
                <w:rFonts w:ascii="Times New Roman" w:eastAsia="Times New Roman" w:hAnsi="Times New Roman" w:cs="Times New Roman"/>
                <w:b/>
                <w:bCs/>
                <w:color w:val="000000"/>
                <w:vertAlign w:val="subscript"/>
                <w:lang w:eastAsia="ru-RU"/>
              </w:rPr>
              <w:t>i∞</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1 324 505 538</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1 352 118 392</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1 282 029 887</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1 431 975 177</w:t>
            </w:r>
          </w:p>
        </w:tc>
        <w:tc>
          <w:tcPr>
            <w:tcW w:w="1440" w:type="dxa"/>
            <w:tcBorders>
              <w:top w:val="nil"/>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1 403 576 743</w:t>
            </w:r>
          </w:p>
        </w:tc>
      </w:tr>
      <w:tr w:rsidR="00DB7C4D" w:rsidRPr="00757775" w:rsidTr="00546CC5">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26 984</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27 577</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26 038</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29 398</w:t>
            </w:r>
          </w:p>
        </w:tc>
        <w:tc>
          <w:tcPr>
            <w:tcW w:w="1440" w:type="dxa"/>
            <w:tcBorders>
              <w:top w:val="nil"/>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28 449</w:t>
            </w:r>
          </w:p>
        </w:tc>
      </w:tr>
      <w:tr w:rsidR="00DB7C4D" w:rsidRPr="00757775" w:rsidTr="00546CC5">
        <w:trPr>
          <w:trHeight w:val="300"/>
          <w:jc w:val="center"/>
        </w:trPr>
        <w:tc>
          <w:tcPr>
            <w:tcW w:w="960" w:type="dxa"/>
            <w:tcBorders>
              <w:top w:val="nil"/>
              <w:left w:val="single" w:sz="4" w:space="0" w:color="auto"/>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11</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12</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13</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14</w:t>
            </w:r>
          </w:p>
        </w:tc>
        <w:tc>
          <w:tcPr>
            <w:tcW w:w="1440" w:type="dxa"/>
            <w:tcBorders>
              <w:top w:val="nil"/>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15</w:t>
            </w:r>
          </w:p>
        </w:tc>
      </w:tr>
      <w:tr w:rsidR="00DB7C4D" w:rsidRPr="00757775" w:rsidTr="00546CC5">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Y</w:t>
            </w:r>
            <w:r w:rsidRPr="00757775">
              <w:rPr>
                <w:rFonts w:ascii="Times New Roman" w:eastAsia="Times New Roman" w:hAnsi="Times New Roman" w:cs="Times New Roman"/>
                <w:b/>
                <w:bCs/>
                <w:color w:val="000000"/>
                <w:vertAlign w:val="subscript"/>
                <w:lang w:eastAsia="ru-RU"/>
              </w:rPr>
              <w:t>i∞</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1 409 432 159</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1 301 754 416</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1 153 496 034</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1 447 346 178</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1 457 110 521</w:t>
            </w:r>
          </w:p>
        </w:tc>
      </w:tr>
      <w:tr w:rsidR="00DB7C4D" w:rsidRPr="00757775" w:rsidTr="00546CC5">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45 125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59 104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77 254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132 898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181 577</w:t>
            </w:r>
          </w:p>
        </w:tc>
      </w:tr>
      <w:tr w:rsidR="00DB7C4D" w:rsidRPr="00757775" w:rsidTr="00546CC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 </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16</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17</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18</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19</w:t>
            </w:r>
          </w:p>
        </w:tc>
        <w:tc>
          <w:tcPr>
            <w:tcW w:w="1440" w:type="dxa"/>
            <w:tcBorders>
              <w:top w:val="single" w:sz="4" w:space="0" w:color="auto"/>
              <w:left w:val="nil"/>
              <w:bottom w:val="single" w:sz="4" w:space="0" w:color="auto"/>
              <w:right w:val="single" w:sz="4" w:space="0" w:color="auto"/>
            </w:tcBorders>
            <w:shd w:val="clear" w:color="000000" w:fill="FFFFCC"/>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57775">
              <w:rPr>
                <w:rFonts w:ascii="Times New Roman" w:eastAsia="Times New Roman" w:hAnsi="Times New Roman" w:cs="Times New Roman"/>
                <w:color w:val="000000"/>
                <w:sz w:val="23"/>
                <w:szCs w:val="23"/>
                <w:lang w:eastAsia="ru-RU"/>
              </w:rPr>
              <w:t>20</w:t>
            </w:r>
          </w:p>
        </w:tc>
      </w:tr>
      <w:tr w:rsidR="00DB7C4D" w:rsidRPr="00757775" w:rsidTr="00546CC5">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lang w:eastAsia="ru-RU"/>
              </w:rPr>
            </w:pPr>
            <w:r w:rsidRPr="00757775">
              <w:rPr>
                <w:rFonts w:ascii="Times New Roman" w:eastAsia="Times New Roman" w:hAnsi="Times New Roman" w:cs="Times New Roman"/>
                <w:b/>
                <w:bCs/>
                <w:color w:val="000000"/>
                <w:lang w:eastAsia="ru-RU"/>
              </w:rPr>
              <w:t>Y</w:t>
            </w:r>
            <w:r w:rsidRPr="00757775">
              <w:rPr>
                <w:rFonts w:ascii="Times New Roman" w:eastAsia="Times New Roman" w:hAnsi="Times New Roman" w:cs="Times New Roman"/>
                <w:b/>
                <w:bCs/>
                <w:color w:val="000000"/>
                <w:vertAlign w:val="subscript"/>
                <w:lang w:eastAsia="ru-RU"/>
              </w:rPr>
              <w:t>i∞</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1 500 800 344</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1 538 358 349</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1 621 468 586</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1 639 318 084</w:t>
            </w:r>
          </w:p>
        </w:tc>
        <w:tc>
          <w:tcPr>
            <w:tcW w:w="1440" w:type="dxa"/>
            <w:tcBorders>
              <w:top w:val="single" w:sz="4" w:space="0" w:color="auto"/>
              <w:left w:val="nil"/>
              <w:bottom w:val="single" w:sz="4" w:space="0" w:color="auto"/>
              <w:right w:val="single" w:sz="4" w:space="0" w:color="auto"/>
            </w:tcBorders>
            <w:shd w:val="clear" w:color="000000" w:fill="E5FFFF"/>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1 409 638 733</w:t>
            </w:r>
          </w:p>
        </w:tc>
      </w:tr>
      <w:tr w:rsidR="00DB7C4D" w:rsidRPr="00757775" w:rsidTr="00546CC5">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57775">
              <w:rPr>
                <w:rFonts w:ascii="Times New Roman" w:eastAsia="Times New Roman" w:hAnsi="Times New Roman" w:cs="Times New Roman"/>
                <w:b/>
                <w:bCs/>
                <w:color w:val="000000"/>
                <w:sz w:val="23"/>
                <w:szCs w:val="23"/>
                <w:lang w:eastAsia="ru-RU"/>
              </w:rPr>
              <w:t>R</w:t>
            </w:r>
            <w:r w:rsidRPr="00757775">
              <w:rPr>
                <w:rFonts w:ascii="Times New Roman" w:eastAsia="Times New Roman" w:hAnsi="Times New Roman" w:cs="Times New Roman"/>
                <w:b/>
                <w:bCs/>
                <w:color w:val="000000"/>
                <w:sz w:val="23"/>
                <w:szCs w:val="23"/>
                <w:vertAlign w:val="subscript"/>
                <w:lang w:eastAsia="ru-RU"/>
              </w:rPr>
              <w:t>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1 591 525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6 804 725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9 971 719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33 317 921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B7C4D" w:rsidRPr="00757775"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757775">
              <w:rPr>
                <w:rFonts w:ascii="Times New Roman" w:eastAsia="Times New Roman" w:hAnsi="Times New Roman" w:cs="Times New Roman"/>
                <w:color w:val="000000"/>
                <w:sz w:val="21"/>
                <w:szCs w:val="21"/>
                <w:lang w:eastAsia="ru-RU"/>
              </w:rPr>
              <w:t>441 486 285</w:t>
            </w:r>
          </w:p>
        </w:tc>
      </w:tr>
    </w:tbl>
    <w:p w:rsidR="00DB7C4D" w:rsidRPr="00757775" w:rsidRDefault="00DB7C4D" w:rsidP="008979A8">
      <w:pPr>
        <w:spacing w:before="240"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По большинству кварталов зарождения прогнозные значения будущих выплат и, как следствие, оценки резервов для неурегулированных страховых случаев сократились (</w:t>
      </w:r>
      <w:r w:rsidR="008979A8" w:rsidRPr="008979A8">
        <w:rPr>
          <w:rFonts w:ascii="Times New Roman" w:eastAsiaTheme="minorEastAsia" w:hAnsi="Times New Roman" w:cs="Times New Roman"/>
          <w:sz w:val="28"/>
          <w:szCs w:val="28"/>
        </w:rPr>
        <w:t>табл. 1</w:t>
      </w:r>
      <w:r w:rsidR="00A820B6">
        <w:rPr>
          <w:rFonts w:ascii="Times New Roman" w:eastAsiaTheme="minorEastAsia" w:hAnsi="Times New Roman" w:cs="Times New Roman"/>
          <w:sz w:val="28"/>
          <w:szCs w:val="28"/>
        </w:rPr>
        <w:t>9</w:t>
      </w:r>
      <w:r w:rsidRPr="00757775">
        <w:rPr>
          <w:rFonts w:ascii="Times New Roman" w:eastAsiaTheme="minorEastAsia" w:hAnsi="Times New Roman" w:cs="Times New Roman"/>
          <w:sz w:val="28"/>
          <w:szCs w:val="28"/>
        </w:rPr>
        <w:t>), видимо, вследствие того, что рост из квартала в квартал цен на медицинские услуги был скомпенсирован снизившимися в отсутствии инфляции коэффициентами развития убытков. Снижение коэ</w:t>
      </w:r>
      <w:r w:rsidRPr="00757775">
        <w:rPr>
          <w:rFonts w:ascii="Times New Roman" w:eastAsiaTheme="minorEastAsia" w:hAnsi="Times New Roman" w:cs="Times New Roman"/>
          <w:sz w:val="28"/>
          <w:szCs w:val="28"/>
        </w:rPr>
        <w:t>ф</w:t>
      </w:r>
      <w:r w:rsidRPr="00757775">
        <w:rPr>
          <w:rFonts w:ascii="Times New Roman" w:eastAsiaTheme="minorEastAsia" w:hAnsi="Times New Roman" w:cs="Times New Roman"/>
          <w:sz w:val="28"/>
          <w:szCs w:val="28"/>
        </w:rPr>
        <w:t xml:space="preserve">фициентов развития убытков эквивалентно росту факторов запаздывания, т.е. </w:t>
      </w:r>
      <w:r w:rsidRPr="00757775">
        <w:rPr>
          <w:rFonts w:ascii="Times New Roman" w:eastAsiaTheme="minorEastAsia" w:hAnsi="Times New Roman" w:cs="Times New Roman"/>
          <w:sz w:val="28"/>
          <w:szCs w:val="28"/>
        </w:rPr>
        <w:lastRenderedPageBreak/>
        <w:t xml:space="preserve">перераспределению выплат по страховым случаям </w:t>
      </w:r>
      <w:proofErr w:type="spellStart"/>
      <w:r w:rsidRPr="00757775">
        <w:rPr>
          <w:rFonts w:ascii="Times New Roman" w:eastAsiaTheme="minorEastAsia" w:hAnsi="Times New Roman" w:cs="Times New Roman"/>
          <w:i/>
          <w:sz w:val="28"/>
          <w:szCs w:val="28"/>
          <w:lang w:val="en-GB"/>
        </w:rPr>
        <w:t>i</w:t>
      </w:r>
      <w:proofErr w:type="spellEnd"/>
      <w:r w:rsidRPr="00757775">
        <w:rPr>
          <w:rFonts w:ascii="Times New Roman" w:eastAsiaTheme="minorEastAsia" w:hAnsi="Times New Roman" w:cs="Times New Roman"/>
          <w:sz w:val="28"/>
          <w:szCs w:val="28"/>
        </w:rPr>
        <w:t>-го квартала в сторону более ранних кварталов развития.</w:t>
      </w:r>
    </w:p>
    <w:p w:rsidR="00DB7C4D" w:rsidRPr="00757775" w:rsidRDefault="00DB7C4D" w:rsidP="00DB7C4D">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Однако для третьего и четвертого кварталов 2012 г. оценки резервов для незаявленных убытков существенно возросли. Поскольку ощутимая часть конечного убытка по страховым случаям этих двух кварталов осталась неурегулированной на отчетную дату, воздействие ожидаемой «медицинской инфляции» на совокупную стоимость будущих выплат нельзя не учитывать.</w:t>
      </w:r>
    </w:p>
    <w:p w:rsidR="00DB7C4D" w:rsidRPr="001425CB" w:rsidRDefault="00DB7C4D" w:rsidP="005158F2">
      <w:pPr>
        <w:spacing w:after="0" w:line="360" w:lineRule="auto"/>
        <w:ind w:firstLine="709"/>
        <w:jc w:val="both"/>
        <w:rPr>
          <w:rFonts w:ascii="Times New Roman" w:eastAsiaTheme="minorEastAsia" w:hAnsi="Times New Roman" w:cs="Times New Roman"/>
          <w:sz w:val="28"/>
          <w:szCs w:val="28"/>
        </w:rPr>
      </w:pPr>
      <w:r w:rsidRPr="00757775">
        <w:rPr>
          <w:rFonts w:ascii="Times New Roman" w:eastAsiaTheme="minorEastAsia" w:hAnsi="Times New Roman" w:cs="Times New Roman"/>
          <w:sz w:val="28"/>
          <w:szCs w:val="28"/>
        </w:rPr>
        <w:t xml:space="preserve">Общий размер РПНУ на отчетную дату согласно оценке </w:t>
      </w:r>
      <w:r w:rsidRPr="00757775">
        <w:rPr>
          <w:rFonts w:ascii="Times New Roman" w:hAnsi="Times New Roman" w:cs="Times New Roman"/>
          <w:sz w:val="28"/>
          <w:szCs w:val="28"/>
        </w:rPr>
        <w:t>скорректир</w:t>
      </w:r>
      <w:r w:rsidRPr="00757775">
        <w:rPr>
          <w:rFonts w:ascii="Times New Roman" w:hAnsi="Times New Roman" w:cs="Times New Roman"/>
          <w:sz w:val="28"/>
          <w:szCs w:val="28"/>
        </w:rPr>
        <w:t>о</w:t>
      </w:r>
      <w:r w:rsidRPr="00757775">
        <w:rPr>
          <w:rFonts w:ascii="Times New Roman" w:hAnsi="Times New Roman" w:cs="Times New Roman"/>
          <w:sz w:val="28"/>
          <w:szCs w:val="28"/>
        </w:rPr>
        <w:t>ванным с учетом инфляции</w:t>
      </w:r>
      <w:r w:rsidRPr="00757775">
        <w:rPr>
          <w:rFonts w:ascii="Times New Roman" w:eastAsiaTheme="minorEastAsia" w:hAnsi="Times New Roman" w:cs="Times New Roman"/>
          <w:sz w:val="28"/>
          <w:szCs w:val="28"/>
        </w:rPr>
        <w:t xml:space="preserve"> методом цепной лестницы должен составлять </w:t>
      </w:r>
      <w:r w:rsidRPr="00757775">
        <w:rPr>
          <w:rFonts w:ascii="Times New Roman" w:eastAsiaTheme="minorEastAsia" w:hAnsi="Times New Roman" w:cs="Times New Roman"/>
          <w:b/>
          <w:sz w:val="28"/>
          <w:szCs w:val="28"/>
        </w:rPr>
        <w:t>493 855 839,52</w:t>
      </w:r>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b/>
          <w:sz w:val="28"/>
          <w:szCs w:val="28"/>
        </w:rPr>
        <w:t>руб.</w:t>
      </w:r>
      <w:r w:rsidRPr="00757775">
        <w:rPr>
          <w:rFonts w:ascii="Times New Roman" w:eastAsiaTheme="minorEastAsia" w:hAnsi="Times New Roman" w:cs="Times New Roman"/>
          <w:sz w:val="28"/>
          <w:szCs w:val="28"/>
        </w:rPr>
        <w:t>, что на 4 677 825,25 руб. в абсолютном выражении и на 0,956% – в относительном выше соответствующей оценки базовым методом пошагового восхождения</w:t>
      </w:r>
      <w:r w:rsidR="00C32FD5">
        <w:rPr>
          <w:rFonts w:ascii="Times New Roman" w:eastAsiaTheme="minorEastAsia" w:hAnsi="Times New Roman" w:cs="Times New Roman"/>
          <w:sz w:val="28"/>
          <w:szCs w:val="28"/>
        </w:rPr>
        <w:t xml:space="preserve"> (прил. 7</w:t>
      </w:r>
      <w:r w:rsidR="00DE703C">
        <w:rPr>
          <w:rFonts w:ascii="Times New Roman" w:eastAsiaTheme="minorEastAsia" w:hAnsi="Times New Roman" w:cs="Times New Roman"/>
          <w:sz w:val="28"/>
          <w:szCs w:val="28"/>
        </w:rPr>
        <w:t>)</w:t>
      </w:r>
      <w:r w:rsidRPr="00757775">
        <w:rPr>
          <w:rFonts w:ascii="Times New Roman" w:eastAsiaTheme="minorEastAsia" w:hAnsi="Times New Roman" w:cs="Times New Roman"/>
          <w:sz w:val="28"/>
          <w:szCs w:val="28"/>
        </w:rPr>
        <w:t>.</w:t>
      </w:r>
    </w:p>
    <w:p w:rsidR="00DB7C4D" w:rsidRPr="00757775" w:rsidRDefault="00DB7C4D" w:rsidP="004E1252">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 3.3</w:t>
      </w:r>
      <w:r w:rsidRPr="00757775">
        <w:rPr>
          <w:rFonts w:ascii="Times New Roman" w:hAnsi="Times New Roman" w:cs="Times New Roman"/>
          <w:b/>
          <w:sz w:val="28"/>
          <w:szCs w:val="28"/>
        </w:rPr>
        <w:t xml:space="preserve">. </w:t>
      </w:r>
      <w:r w:rsidR="008979A8">
        <w:rPr>
          <w:rFonts w:ascii="Times New Roman" w:hAnsi="Times New Roman" w:cs="Times New Roman"/>
          <w:b/>
          <w:sz w:val="28"/>
          <w:szCs w:val="28"/>
        </w:rPr>
        <w:t>Корректировка мультипликативного метода на фактор инфляции</w:t>
      </w:r>
    </w:p>
    <w:p w:rsidR="00DB7C4D" w:rsidRPr="0033686E" w:rsidRDefault="00DB7C4D" w:rsidP="00DB7C4D">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Возвратимся к треугольнику развития убытков, в ячейках которого ф</w:t>
      </w:r>
      <w:r>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гурируют приращения</w:t>
      </w:r>
      <w:r w:rsidRPr="0075777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GB"/>
              </w:rPr>
              <m:t>y</m:t>
            </m:r>
          </m:e>
          <m:sub>
            <m:r>
              <w:rPr>
                <w:rFonts w:ascii="Cambria Math" w:hAnsi="Cambria Math" w:cs="Times New Roman"/>
                <w:sz w:val="28"/>
                <w:szCs w:val="28"/>
              </w:rPr>
              <m:t>ij</m:t>
            </m:r>
          </m:sub>
        </m:sSub>
      </m:oMath>
      <w:r>
        <w:rPr>
          <w:rFonts w:ascii="Times New Roman" w:eastAsiaTheme="minorEastAsia" w:hAnsi="Times New Roman" w:cs="Times New Roman"/>
          <w:sz w:val="28"/>
          <w:szCs w:val="28"/>
        </w:rPr>
        <w:t xml:space="preserve"> – размеры платежей в финансовом периоде с н</w:t>
      </w:r>
      <w:proofErr w:type="spellStart"/>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мером</w:t>
      </w:r>
      <w:proofErr w:type="spellEnd"/>
      <w:r w:rsidRPr="004A6DB4">
        <w:rPr>
          <w:rFonts w:ascii="Times New Roman" w:eastAsiaTheme="minorEastAsia" w:hAnsi="Times New Roman" w:cs="Times New Roman"/>
          <w:i/>
          <w:sz w:val="28"/>
          <w:szCs w:val="28"/>
        </w:rPr>
        <w:t xml:space="preserve"> </w:t>
      </w:r>
      <w:r w:rsidRPr="004A6DB4">
        <w:rPr>
          <w:rFonts w:ascii="Times New Roman" w:eastAsiaTheme="minorEastAsia" w:hAnsi="Times New Roman" w:cs="Times New Roman"/>
          <w:i/>
          <w:sz w:val="28"/>
          <w:szCs w:val="28"/>
          <w:lang w:val="en-GB"/>
        </w:rPr>
        <w:t>j</w:t>
      </w:r>
      <w:r w:rsidRPr="004A6DB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 страховым случаям, произошедшим в периоде с номером </w:t>
      </w:r>
      <w:proofErr w:type="spellStart"/>
      <w:r w:rsidRPr="004A6DB4">
        <w:rPr>
          <w:rFonts w:ascii="Times New Roman" w:eastAsiaTheme="minorEastAsia" w:hAnsi="Times New Roman" w:cs="Times New Roman"/>
          <w:i/>
          <w:sz w:val="28"/>
          <w:szCs w:val="28"/>
          <w:lang w:val="en-GB"/>
        </w:rPr>
        <w:t>i</w:t>
      </w:r>
      <w:proofErr w:type="spellEnd"/>
      <w:r>
        <w:rPr>
          <w:rFonts w:ascii="Times New Roman" w:eastAsiaTheme="minorEastAsia" w:hAnsi="Times New Roman" w:cs="Times New Roman"/>
          <w:sz w:val="28"/>
          <w:szCs w:val="28"/>
        </w:rPr>
        <w:t>, и в</w:t>
      </w:r>
      <w:r>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разим их в постоянных ценах</w:t>
      </w:r>
      <w:r w:rsidRPr="004A6DB4">
        <w:rPr>
          <w:rFonts w:ascii="Times New Roman" w:eastAsiaTheme="minorEastAsia" w:hAnsi="Times New Roman" w:cs="Times New Roman"/>
          <w:sz w:val="28"/>
          <w:szCs w:val="28"/>
        </w:rPr>
        <w:t>:</w:t>
      </w:r>
    </w:p>
    <w:p w:rsidR="00DB7C4D" w:rsidRPr="0033686E" w:rsidRDefault="005F2FF8" w:rsidP="00DB7C4D">
      <w:pPr>
        <w:spacing w:after="0" w:line="360" w:lineRule="auto"/>
        <w:jc w:val="center"/>
        <w:rPr>
          <w:rFonts w:ascii="Times New Roman" w:eastAsiaTheme="minorEastAsia" w:hAnsi="Times New Roman" w:cs="Times New Roman"/>
          <w:sz w:val="28"/>
          <w:szCs w:val="28"/>
        </w:rPr>
      </w:pPr>
      <m:oMath>
        <m:sSubSup>
          <m:sSubSupPr>
            <m:ctrlPr>
              <w:rPr>
                <w:rFonts w:ascii="Cambria Math" w:eastAsiaTheme="minorEastAsia" w:hAnsi="Cambria Math" w:cs="Times New Roman"/>
                <w:i/>
                <w:sz w:val="28"/>
                <w:szCs w:val="28"/>
                <w:lang w:val="en-GB"/>
              </w:rPr>
            </m:ctrlPr>
          </m:sSubSup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lang w:val="en-GB"/>
              </w:rPr>
              <m:t>ij</m:t>
            </m:r>
          </m:sub>
          <m:sup>
            <m:r>
              <w:rPr>
                <w:rFonts w:ascii="Cambria Math" w:eastAsiaTheme="minorEastAsia" w:hAnsi="Cambria Math" w:cs="Times New Roman"/>
                <w:sz w:val="28"/>
                <w:szCs w:val="28"/>
              </w:rPr>
              <m:t>пост.</m:t>
            </m:r>
          </m:sup>
        </m:sSub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GB"/>
              </w:rPr>
            </m:ctrlPr>
          </m:fPr>
          <m:num>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y</m:t>
                </m:r>
              </m:e>
              <m:sub>
                <m:r>
                  <w:rPr>
                    <w:rFonts w:ascii="Cambria Math" w:eastAsiaTheme="minorEastAsia" w:hAnsi="Cambria Math" w:cs="Times New Roman"/>
                    <w:sz w:val="28"/>
                    <w:szCs w:val="28"/>
                    <w:lang w:val="en-GB"/>
                  </w:rPr>
                  <m:t>ij</m:t>
                </m:r>
              </m:sub>
            </m:sSub>
          </m:num>
          <m:den>
            <m:sSubSup>
              <m:sSubSupPr>
                <m:ctrlPr>
                  <w:rPr>
                    <w:rFonts w:ascii="Cambria Math" w:eastAsiaTheme="minorEastAsia" w:hAnsi="Cambria Math" w:cs="Times New Roman"/>
                    <w:i/>
                    <w:sz w:val="28"/>
                    <w:szCs w:val="28"/>
                    <w:lang w:val="en-GB"/>
                  </w:rPr>
                </m:ctrlPr>
              </m:sSubSupPr>
              <m:e>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GB"/>
                  </w:rPr>
                  <m:t>p</m:t>
                </m:r>
              </m:sup>
            </m:sSubSup>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GB"/>
              </w:rPr>
            </m:ctrlPr>
          </m:fPr>
          <m:num>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lang w:val="en-GB"/>
                  </w:rPr>
                  <m:t>i</m:t>
                </m:r>
              </m:sub>
            </m:sSub>
            <m:sSub>
              <m:sSubPr>
                <m:ctrlPr>
                  <w:rPr>
                    <w:rFonts w:ascii="Cambria Math" w:eastAsiaTheme="minorEastAsia" w:hAnsi="Cambria Math" w:cs="Times New Roman"/>
                    <w:i/>
                    <w:sz w:val="28"/>
                    <w:szCs w:val="28"/>
                    <w:lang w:val="en-GB"/>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lang w:val="en-GB"/>
                  </w:rPr>
                  <m:t>j</m:t>
                </m:r>
              </m:sub>
            </m:sSub>
          </m:num>
          <m:den>
            <m:sSubSup>
              <m:sSubSupPr>
                <m:ctrlPr>
                  <w:rPr>
                    <w:rFonts w:ascii="Cambria Math" w:eastAsiaTheme="minorEastAsia" w:hAnsi="Cambria Math" w:cs="Times New Roman"/>
                    <w:i/>
                    <w:sz w:val="28"/>
                    <w:szCs w:val="28"/>
                    <w:lang w:val="en-GB"/>
                  </w:rPr>
                </m:ctrlPr>
              </m:sSubSupPr>
              <m:e>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GB"/>
                  </w:rPr>
                  <m:t>p</m:t>
                </m:r>
              </m:sup>
            </m:sSubSup>
          </m:den>
        </m:f>
      </m:oMath>
      <w:r w:rsidR="00DB7C4D" w:rsidRPr="0033686E">
        <w:rPr>
          <w:rFonts w:ascii="Times New Roman" w:eastAsiaTheme="minorEastAsia" w:hAnsi="Times New Roman" w:cs="Times New Roman"/>
          <w:sz w:val="28"/>
          <w:szCs w:val="28"/>
        </w:rPr>
        <w:t>,</w:t>
      </w:r>
    </w:p>
    <w:p w:rsidR="00DB7C4D" w:rsidRPr="0033686E" w:rsidRDefault="00DB7C4D" w:rsidP="00DB7C4D">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GB"/>
              </w:rPr>
              <m:t>i</m:t>
            </m:r>
          </m:e>
          <m:sub>
            <m:r>
              <w:rPr>
                <w:rFonts w:ascii="Cambria Math" w:eastAsiaTheme="minorEastAsia" w:hAnsi="Cambria Math" w:cs="Times New Roman"/>
                <w:sz w:val="28"/>
                <w:szCs w:val="28"/>
              </w:rPr>
              <m:t>i+j-1</m:t>
            </m:r>
          </m:sub>
          <m:sup>
            <m:r>
              <w:rPr>
                <w:rFonts w:ascii="Cambria Math" w:eastAsiaTheme="minorEastAsia" w:hAnsi="Cambria Math" w:cs="Times New Roman"/>
                <w:sz w:val="28"/>
                <w:szCs w:val="28"/>
              </w:rPr>
              <m:t>p</m:t>
            </m:r>
          </m:sup>
        </m:sSubSup>
      </m:oMath>
      <w:r w:rsidRPr="000F7969">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мера инфляции в календарном периоде с номером </w:t>
      </w:r>
      <w:proofErr w:type="spellStart"/>
      <w:r w:rsidRPr="000F7969">
        <w:rPr>
          <w:rFonts w:ascii="Times New Roman" w:eastAsiaTheme="minorEastAsia" w:hAnsi="Times New Roman" w:cs="Times New Roman"/>
          <w:i/>
          <w:sz w:val="28"/>
          <w:szCs w:val="28"/>
          <w:lang w:val="en-GB"/>
        </w:rPr>
        <w:t>i</w:t>
      </w:r>
      <w:proofErr w:type="spellEnd"/>
      <w:r w:rsidRPr="000F7969">
        <w:rPr>
          <w:rFonts w:ascii="Times New Roman" w:eastAsiaTheme="minorEastAsia" w:hAnsi="Times New Roman" w:cs="Times New Roman"/>
          <w:i/>
          <w:sz w:val="28"/>
          <w:szCs w:val="28"/>
        </w:rPr>
        <w:t>+</w:t>
      </w:r>
      <w:r w:rsidRPr="000F7969">
        <w:rPr>
          <w:rFonts w:ascii="Times New Roman" w:eastAsiaTheme="minorEastAsia" w:hAnsi="Times New Roman" w:cs="Times New Roman"/>
          <w:i/>
          <w:sz w:val="28"/>
          <w:szCs w:val="28"/>
          <w:lang w:val="en-GB"/>
        </w:rPr>
        <w:t>j</w:t>
      </w:r>
      <w:r>
        <w:rPr>
          <w:rFonts w:ascii="Times New Roman" w:eastAsiaTheme="minorEastAsia" w:hAnsi="Times New Roman" w:cs="Times New Roman"/>
          <w:i/>
          <w:sz w:val="28"/>
          <w:szCs w:val="28"/>
        </w:rPr>
        <w:t>–</w:t>
      </w:r>
      <w:r w:rsidRPr="000F7969">
        <w:rPr>
          <w:rFonts w:ascii="Times New Roman" w:eastAsiaTheme="minorEastAsia" w:hAnsi="Times New Roman" w:cs="Times New Roman"/>
          <w:sz w:val="28"/>
          <w:szCs w:val="28"/>
        </w:rPr>
        <w:t>1.</w:t>
      </w:r>
    </w:p>
    <w:p w:rsidR="00DB7C4D" w:rsidRDefault="00DB7C4D" w:rsidP="00DB7C4D">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по вышеописанной схеме методом последовательных приближ</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ний находим неизвестные параметры мультипликативной модели. Как и прежде, п</w:t>
      </w:r>
      <w:r w:rsidRPr="00757775">
        <w:rPr>
          <w:rFonts w:ascii="Times New Roman" w:eastAsiaTheme="minorEastAsia" w:hAnsi="Times New Roman" w:cs="Times New Roman"/>
          <w:sz w:val="28"/>
          <w:szCs w:val="28"/>
        </w:rPr>
        <w:t xml:space="preserve">осле восьми итераций </w:t>
      </w:r>
      <w:r>
        <w:rPr>
          <w:rFonts w:ascii="Times New Roman" w:eastAsiaTheme="minorEastAsia" w:hAnsi="Times New Roman" w:cs="Times New Roman"/>
          <w:sz w:val="28"/>
          <w:szCs w:val="28"/>
        </w:rPr>
        <w:t xml:space="preserve">процесс сходится до шести цифр </w:t>
      </w:r>
      <w:r w:rsidRPr="00757775">
        <w:rPr>
          <w:rFonts w:ascii="Times New Roman" w:eastAsiaTheme="minorEastAsia" w:hAnsi="Times New Roman" w:cs="Times New Roman"/>
          <w:sz w:val="28"/>
          <w:szCs w:val="28"/>
        </w:rPr>
        <w:t>после зап</w:t>
      </w:r>
      <w:r w:rsidRPr="00757775">
        <w:rPr>
          <w:rFonts w:ascii="Times New Roman" w:eastAsiaTheme="minorEastAsia" w:hAnsi="Times New Roman" w:cs="Times New Roman"/>
          <w:sz w:val="28"/>
          <w:szCs w:val="28"/>
        </w:rPr>
        <w:t>я</w:t>
      </w:r>
      <w:r w:rsidRPr="00757775">
        <w:rPr>
          <w:rFonts w:ascii="Times New Roman" w:eastAsiaTheme="minorEastAsia" w:hAnsi="Times New Roman" w:cs="Times New Roman"/>
          <w:sz w:val="28"/>
          <w:szCs w:val="28"/>
        </w:rPr>
        <w:t xml:space="preserve">той в выражении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w:t>
      </w:r>
      <w:r w:rsidR="008979A8" w:rsidRPr="008979A8">
        <w:rPr>
          <w:rFonts w:ascii="Times New Roman" w:eastAsiaTheme="minorEastAsia" w:hAnsi="Times New Roman" w:cs="Times New Roman"/>
          <w:sz w:val="28"/>
          <w:szCs w:val="28"/>
        </w:rPr>
        <w:t xml:space="preserve">табл. </w:t>
      </w:r>
      <w:r w:rsidR="00A820B6">
        <w:rPr>
          <w:rFonts w:ascii="Times New Roman" w:eastAsiaTheme="minorEastAsia" w:hAnsi="Times New Roman" w:cs="Times New Roman"/>
          <w:sz w:val="28"/>
          <w:szCs w:val="28"/>
        </w:rPr>
        <w:t>20</w:t>
      </w:r>
      <w:r>
        <w:rPr>
          <w:rFonts w:ascii="Times New Roman" w:eastAsiaTheme="minorEastAsia" w:hAnsi="Times New Roman" w:cs="Times New Roman"/>
          <w:sz w:val="28"/>
          <w:szCs w:val="28"/>
        </w:rPr>
        <w:t>).</w:t>
      </w:r>
    </w:p>
    <w:p w:rsidR="00E0765F" w:rsidRPr="00703BF1" w:rsidRDefault="00E0765F" w:rsidP="00E0765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отсутствии инфляционного фактора сумма </w:t>
      </w:r>
      <m:oMath>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21</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e>
        </m:nary>
      </m:oMath>
      <w:r>
        <w:rPr>
          <w:rFonts w:ascii="Times New Roman" w:eastAsiaTheme="minorEastAsia" w:hAnsi="Times New Roman" w:cs="Times New Roman"/>
          <w:sz w:val="28"/>
          <w:szCs w:val="28"/>
        </w:rPr>
        <w:t xml:space="preserve"> выросла до </w:t>
      </w:r>
      <w:r w:rsidRPr="00757775">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18441</w:t>
      </w:r>
      <w:r w:rsidRPr="007577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распределение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;j=1,…,21</m:t>
            </m:r>
          </m:e>
        </m:d>
      </m:oMath>
      <w:r w:rsidRPr="0092096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сместилось влево, в сторону более ранних периодов оплаты убытков. </w:t>
      </w:r>
      <w:proofErr w:type="gramStart"/>
      <w:r>
        <w:rPr>
          <w:rFonts w:ascii="Times New Roman" w:eastAsiaTheme="minorEastAsia" w:hAnsi="Times New Roman" w:cs="Times New Roman"/>
          <w:sz w:val="28"/>
          <w:szCs w:val="28"/>
        </w:rPr>
        <w:t>Так,</w:t>
      </w:r>
      <w:r w:rsidRPr="00BE4CF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после нивелирования воздействия инфляции доля конечного убытка </w:t>
      </w:r>
      <w:proofErr w:type="spellStart"/>
      <w:r w:rsidRPr="00703BF1">
        <w:rPr>
          <w:rFonts w:ascii="Times New Roman" w:eastAsiaTheme="minorEastAsia" w:hAnsi="Times New Roman" w:cs="Times New Roman"/>
          <w:i/>
          <w:sz w:val="28"/>
          <w:szCs w:val="28"/>
          <w:lang w:val="en-GB"/>
        </w:rPr>
        <w:t>i</w:t>
      </w:r>
      <w:proofErr w:type="spellEnd"/>
      <w:r w:rsidRPr="00703BF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го периода, которая урегулируется в т</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 xml:space="preserve">чение первого финансового квартала, увеличилась на 0,545 п.п. (с 84,48% до </w:t>
      </w:r>
      <w:r>
        <w:rPr>
          <w:rFonts w:ascii="Times New Roman" w:eastAsiaTheme="minorEastAsia" w:hAnsi="Times New Roman" w:cs="Times New Roman"/>
          <w:sz w:val="28"/>
          <w:szCs w:val="28"/>
        </w:rPr>
        <w:lastRenderedPageBreak/>
        <w:t>85,03%), соответствующий показатель для второго квартала возрос на 0,136 п.п. (с 30,96% до 31,09%), а для пятого и шестого кварталов развития, наоб</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рот, снизился на 0,0210 п.п. и 0,0211 п.п. соответственно.</w:t>
      </w:r>
      <w:proofErr w:type="gramEnd"/>
    </w:p>
    <w:p w:rsidR="00DB7C4D" w:rsidRPr="005158F2" w:rsidRDefault="00DB7C4D" w:rsidP="008979A8">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 xml:space="preserve">Таблица </w:t>
      </w:r>
      <w:r w:rsidR="00A820B6" w:rsidRPr="005158F2">
        <w:rPr>
          <w:rFonts w:ascii="Times New Roman" w:hAnsi="Times New Roman" w:cs="Times New Roman"/>
          <w:i/>
          <w:sz w:val="26"/>
          <w:szCs w:val="26"/>
        </w:rPr>
        <w:t>20</w:t>
      </w:r>
    </w:p>
    <w:p w:rsidR="00DB7C4D" w:rsidRPr="005158F2" w:rsidRDefault="00DB7C4D" w:rsidP="00DE703C">
      <w:pPr>
        <w:spacing w:after="0" w:line="360" w:lineRule="auto"/>
        <w:jc w:val="center"/>
        <w:rPr>
          <w:rFonts w:ascii="Times New Roman" w:eastAsiaTheme="minorEastAsia" w:hAnsi="Times New Roman" w:cs="Times New Roman"/>
          <w:i/>
          <w:sz w:val="26"/>
          <w:szCs w:val="26"/>
        </w:rPr>
      </w:pPr>
      <w:r w:rsidRPr="005158F2">
        <w:rPr>
          <w:rFonts w:ascii="Times New Roman" w:hAnsi="Times New Roman" w:cs="Times New Roman"/>
          <w:i/>
          <w:sz w:val="26"/>
          <w:szCs w:val="26"/>
        </w:rPr>
        <w:t>Искомые значения</w:t>
      </w:r>
      <w:r w:rsidRPr="005158F2">
        <w:rPr>
          <w:rFonts w:ascii="Times New Roman" w:eastAsiaTheme="minorEastAsia" w:hAnsi="Times New Roman" w:cs="Times New Roman"/>
          <w:i/>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lang w:val="en-GB"/>
              </w:rPr>
              <m:t>p</m:t>
            </m:r>
          </m:e>
          <m:sub>
            <m:r>
              <w:rPr>
                <w:rFonts w:ascii="Cambria Math" w:hAnsi="Cambria Math" w:cs="Times New Roman"/>
                <w:sz w:val="26"/>
                <w:szCs w:val="26"/>
              </w:rPr>
              <m:t>j</m:t>
            </m:r>
          </m:sub>
        </m:sSub>
      </m:oMath>
      <w:r w:rsidRPr="005158F2">
        <w:rPr>
          <w:rFonts w:ascii="Times New Roman" w:eastAsiaTheme="minorEastAsia" w:hAnsi="Times New Roman" w:cs="Times New Roman"/>
          <w:i/>
          <w:sz w:val="26"/>
          <w:szCs w:val="26"/>
        </w:rPr>
        <w:t xml:space="preserve"> после процедуры последовательного приближения</w:t>
      </w:r>
      <w:r w:rsidR="00DE703C">
        <w:rPr>
          <w:rFonts w:ascii="Times New Roman" w:eastAsiaTheme="minorEastAsia" w:hAnsi="Times New Roman" w:cs="Times New Roman"/>
          <w:i/>
          <w:sz w:val="26"/>
          <w:szCs w:val="26"/>
        </w:rPr>
        <w:t xml:space="preserve"> согласно мультипликативному методу с учетом инфляции</w:t>
      </w:r>
    </w:p>
    <w:tbl>
      <w:tblPr>
        <w:tblW w:w="10186" w:type="dxa"/>
        <w:jc w:val="right"/>
        <w:tblInd w:w="-176" w:type="dxa"/>
        <w:tblLook w:val="04A0"/>
      </w:tblPr>
      <w:tblGrid>
        <w:gridCol w:w="602"/>
        <w:gridCol w:w="1079"/>
        <w:gridCol w:w="1079"/>
        <w:gridCol w:w="1134"/>
        <w:gridCol w:w="1079"/>
        <w:gridCol w:w="1134"/>
        <w:gridCol w:w="1079"/>
        <w:gridCol w:w="1004"/>
        <w:gridCol w:w="1004"/>
        <w:gridCol w:w="1004"/>
      </w:tblGrid>
      <w:tr w:rsidR="00DB7C4D" w:rsidRPr="001C3B4A" w:rsidTr="00D71C74">
        <w:trPr>
          <w:trHeight w:val="306"/>
          <w:jc w:val="right"/>
        </w:trPr>
        <w:tc>
          <w:tcPr>
            <w:tcW w:w="6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B7C4D" w:rsidRPr="001C3B4A" w:rsidRDefault="00DB7C4D" w:rsidP="002F57F4">
            <w:pPr>
              <w:spacing w:after="0" w:line="240" w:lineRule="auto"/>
              <w:jc w:val="center"/>
              <w:rPr>
                <w:rFonts w:ascii="Calibri" w:eastAsia="Times New Roman" w:hAnsi="Calibri" w:cs="Times New Roman"/>
                <w:color w:val="000000"/>
                <w:lang w:eastAsia="ru-RU"/>
              </w:rPr>
            </w:pPr>
            <w:r w:rsidRPr="001C3B4A">
              <w:rPr>
                <w:rFonts w:ascii="Calibri" w:eastAsia="Times New Roman" w:hAnsi="Calibri" w:cs="Times New Roman"/>
                <w:color w:val="000000"/>
                <w:lang w:eastAsia="ru-RU"/>
              </w:rPr>
              <w:t> </w:t>
            </w:r>
          </w:p>
        </w:tc>
        <w:tc>
          <w:tcPr>
            <w:tcW w:w="9584" w:type="dxa"/>
            <w:gridSpan w:val="9"/>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1C3B4A">
              <w:rPr>
                <w:rFonts w:ascii="Times New Roman" w:eastAsia="Times New Roman" w:hAnsi="Times New Roman" w:cs="Times New Roman"/>
                <w:b/>
                <w:bCs/>
                <w:color w:val="000000"/>
                <w:sz w:val="23"/>
                <w:szCs w:val="23"/>
                <w:lang w:eastAsia="ru-RU"/>
              </w:rPr>
              <w:t xml:space="preserve">Квартал оплаты (развития) убытков, </w:t>
            </w:r>
            <w:proofErr w:type="spellStart"/>
            <w:r w:rsidRPr="001C3B4A">
              <w:rPr>
                <w:rFonts w:ascii="Times New Roman" w:eastAsia="Times New Roman" w:hAnsi="Times New Roman" w:cs="Times New Roman"/>
                <w:b/>
                <w:bCs/>
                <w:color w:val="000000"/>
                <w:sz w:val="23"/>
                <w:szCs w:val="23"/>
                <w:lang w:eastAsia="ru-RU"/>
              </w:rPr>
              <w:t>j</w:t>
            </w:r>
            <w:proofErr w:type="spellEnd"/>
          </w:p>
        </w:tc>
      </w:tr>
      <w:tr w:rsidR="00DB7C4D" w:rsidRPr="001C3B4A" w:rsidTr="00D71C74">
        <w:trPr>
          <w:trHeight w:hRule="exact" w:val="312"/>
          <w:jc w:val="right"/>
        </w:trPr>
        <w:tc>
          <w:tcPr>
            <w:tcW w:w="602" w:type="dxa"/>
            <w:vMerge/>
            <w:tcBorders>
              <w:top w:val="single" w:sz="4" w:space="0" w:color="auto"/>
              <w:left w:val="single" w:sz="4" w:space="0" w:color="auto"/>
              <w:bottom w:val="single" w:sz="4" w:space="0" w:color="000000"/>
              <w:right w:val="single" w:sz="4" w:space="0" w:color="auto"/>
            </w:tcBorders>
            <w:vAlign w:val="center"/>
            <w:hideMark/>
          </w:tcPr>
          <w:p w:rsidR="00DB7C4D" w:rsidRPr="001C3B4A" w:rsidRDefault="00DB7C4D" w:rsidP="002F57F4">
            <w:pPr>
              <w:spacing w:after="0" w:line="240" w:lineRule="auto"/>
              <w:rPr>
                <w:rFonts w:ascii="Calibri" w:eastAsia="Times New Roman" w:hAnsi="Calibri" w:cs="Times New Roman"/>
                <w:color w:val="000000"/>
                <w:lang w:eastAsia="ru-RU"/>
              </w:rPr>
            </w:pP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2</w:t>
            </w:r>
          </w:p>
        </w:tc>
        <w:tc>
          <w:tcPr>
            <w:tcW w:w="113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3</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4</w:t>
            </w:r>
          </w:p>
        </w:tc>
        <w:tc>
          <w:tcPr>
            <w:tcW w:w="113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5</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6</w:t>
            </w:r>
          </w:p>
        </w:tc>
        <w:tc>
          <w:tcPr>
            <w:tcW w:w="100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7</w:t>
            </w:r>
          </w:p>
        </w:tc>
        <w:tc>
          <w:tcPr>
            <w:tcW w:w="100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8</w:t>
            </w:r>
          </w:p>
        </w:tc>
        <w:tc>
          <w:tcPr>
            <w:tcW w:w="992"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9</w:t>
            </w:r>
          </w:p>
        </w:tc>
      </w:tr>
      <w:tr w:rsidR="00DB7C4D" w:rsidRPr="001C3B4A" w:rsidTr="00D71C74">
        <w:trPr>
          <w:trHeight w:val="366"/>
          <w:jc w:val="right"/>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1C3B4A">
              <w:rPr>
                <w:rFonts w:ascii="Times New Roman" w:eastAsia="Times New Roman" w:hAnsi="Times New Roman" w:cs="Times New Roman"/>
                <w:b/>
                <w:bCs/>
                <w:color w:val="000000"/>
                <w:sz w:val="23"/>
                <w:szCs w:val="23"/>
                <w:lang w:eastAsia="ru-RU"/>
              </w:rPr>
              <w:t>p</w:t>
            </w:r>
            <w:r w:rsidRPr="001C3B4A">
              <w:rPr>
                <w:rFonts w:ascii="Times New Roman" w:eastAsia="Times New Roman" w:hAnsi="Times New Roman" w:cs="Times New Roman"/>
                <w:b/>
                <w:bCs/>
                <w:color w:val="000000"/>
                <w:sz w:val="23"/>
                <w:szCs w:val="23"/>
                <w:vertAlign w:val="subscript"/>
                <w:lang w:eastAsia="ru-RU"/>
              </w:rPr>
              <w:t>j</w:t>
            </w:r>
            <w:r w:rsidRPr="001C3B4A">
              <w:rPr>
                <w:rFonts w:ascii="Times New Roman" w:eastAsia="Times New Roman" w:hAnsi="Times New Roman" w:cs="Times New Roman"/>
                <w:b/>
                <w:bCs/>
                <w:color w:val="000000"/>
                <w:sz w:val="23"/>
                <w:szCs w:val="23"/>
                <w:vertAlign w:val="superscript"/>
                <w:lang w:eastAsia="ru-RU"/>
              </w:rPr>
              <w:t>8</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0,850289</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0,310937</w:t>
            </w:r>
          </w:p>
        </w:tc>
        <w:tc>
          <w:tcPr>
            <w:tcW w:w="1134"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0,016696</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0,002078</w:t>
            </w:r>
          </w:p>
        </w:tc>
        <w:tc>
          <w:tcPr>
            <w:tcW w:w="1134"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0,003279</w:t>
            </w:r>
          </w:p>
        </w:tc>
        <w:tc>
          <w:tcPr>
            <w:tcW w:w="1079"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0,000996</w:t>
            </w:r>
          </w:p>
        </w:tc>
        <w:tc>
          <w:tcPr>
            <w:tcW w:w="1004"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0,000036</w:t>
            </w:r>
          </w:p>
        </w:tc>
        <w:tc>
          <w:tcPr>
            <w:tcW w:w="1004"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0,000028</w:t>
            </w:r>
          </w:p>
        </w:tc>
        <w:tc>
          <w:tcPr>
            <w:tcW w:w="992" w:type="dxa"/>
            <w:tcBorders>
              <w:top w:val="nil"/>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0,000029</w:t>
            </w:r>
          </w:p>
        </w:tc>
      </w:tr>
      <w:tr w:rsidR="00DB7C4D" w:rsidRPr="001C3B4A" w:rsidTr="00D71C74">
        <w:trPr>
          <w:trHeight w:val="306"/>
          <w:jc w:val="right"/>
        </w:trPr>
        <w:tc>
          <w:tcPr>
            <w:tcW w:w="602" w:type="dxa"/>
            <w:tcBorders>
              <w:top w:val="nil"/>
              <w:left w:val="single" w:sz="4" w:space="0" w:color="auto"/>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 </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10</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11</w:t>
            </w:r>
          </w:p>
        </w:tc>
        <w:tc>
          <w:tcPr>
            <w:tcW w:w="113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12</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w:t>
            </w:r>
          </w:p>
        </w:tc>
        <w:tc>
          <w:tcPr>
            <w:tcW w:w="113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17</w:t>
            </w:r>
          </w:p>
        </w:tc>
        <w:tc>
          <w:tcPr>
            <w:tcW w:w="1079"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18</w:t>
            </w:r>
          </w:p>
        </w:tc>
        <w:tc>
          <w:tcPr>
            <w:tcW w:w="100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19</w:t>
            </w:r>
          </w:p>
        </w:tc>
        <w:tc>
          <w:tcPr>
            <w:tcW w:w="1004"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20</w:t>
            </w:r>
          </w:p>
        </w:tc>
        <w:tc>
          <w:tcPr>
            <w:tcW w:w="992" w:type="dxa"/>
            <w:tcBorders>
              <w:top w:val="nil"/>
              <w:left w:val="nil"/>
              <w:bottom w:val="single" w:sz="4" w:space="0" w:color="auto"/>
              <w:right w:val="single" w:sz="4" w:space="0" w:color="auto"/>
            </w:tcBorders>
            <w:shd w:val="clear" w:color="000000" w:fill="FFFFCC"/>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 (21)</w:t>
            </w:r>
          </w:p>
        </w:tc>
      </w:tr>
      <w:tr w:rsidR="00DB7C4D" w:rsidRPr="001C3B4A" w:rsidTr="00D71C74">
        <w:trPr>
          <w:trHeight w:val="366"/>
          <w:jc w:val="right"/>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1C3B4A">
              <w:rPr>
                <w:rFonts w:ascii="Times New Roman" w:eastAsia="Times New Roman" w:hAnsi="Times New Roman" w:cs="Times New Roman"/>
                <w:b/>
                <w:bCs/>
                <w:color w:val="000000"/>
                <w:sz w:val="23"/>
                <w:szCs w:val="23"/>
                <w:lang w:eastAsia="ru-RU"/>
              </w:rPr>
              <w:t>p</w:t>
            </w:r>
            <w:r w:rsidRPr="001C3B4A">
              <w:rPr>
                <w:rFonts w:ascii="Times New Roman" w:eastAsia="Times New Roman" w:hAnsi="Times New Roman" w:cs="Times New Roman"/>
                <w:b/>
                <w:bCs/>
                <w:color w:val="000000"/>
                <w:sz w:val="23"/>
                <w:szCs w:val="23"/>
                <w:vertAlign w:val="subscript"/>
                <w:lang w:eastAsia="ru-RU"/>
              </w:rPr>
              <w:t>j</w:t>
            </w:r>
            <w:r w:rsidRPr="001C3B4A">
              <w:rPr>
                <w:rFonts w:ascii="Times New Roman" w:eastAsia="Times New Roman" w:hAnsi="Times New Roman" w:cs="Times New Roman"/>
                <w:b/>
                <w:bCs/>
                <w:color w:val="000000"/>
                <w:sz w:val="23"/>
                <w:szCs w:val="23"/>
                <w:vertAlign w:val="superscript"/>
                <w:lang w:eastAsia="ru-RU"/>
              </w:rPr>
              <w:t>8</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0,000013</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0,000014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0,000001</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1C3B4A">
              <w:rPr>
                <w:rFonts w:ascii="Times New Roman" w:eastAsia="Times New Roman" w:hAnsi="Times New Roman" w:cs="Times New Roman"/>
                <w:color w:val="000000"/>
                <w:sz w:val="23"/>
                <w:szCs w:val="23"/>
                <w:lang w:eastAsia="ru-RU"/>
              </w:rPr>
              <w:t>0,000014</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7C4D" w:rsidRPr="001C3B4A" w:rsidRDefault="00DB7C4D" w:rsidP="002F57F4">
            <w:pPr>
              <w:spacing w:after="0" w:line="240" w:lineRule="auto"/>
              <w:jc w:val="center"/>
              <w:rPr>
                <w:rFonts w:ascii="Times New Roman" w:eastAsia="Times New Roman" w:hAnsi="Times New Roman" w:cs="Times New Roman"/>
                <w:color w:val="000000"/>
                <w:sz w:val="21"/>
                <w:szCs w:val="21"/>
                <w:lang w:eastAsia="ru-RU"/>
              </w:rPr>
            </w:pPr>
            <w:r w:rsidRPr="001C3B4A">
              <w:rPr>
                <w:rFonts w:ascii="Times New Roman" w:eastAsia="Times New Roman" w:hAnsi="Times New Roman" w:cs="Times New Roman"/>
                <w:color w:val="000000"/>
                <w:sz w:val="21"/>
                <w:szCs w:val="21"/>
                <w:lang w:eastAsia="ru-RU"/>
              </w:rPr>
              <w:t>0</w:t>
            </w:r>
          </w:p>
        </w:tc>
      </w:tr>
    </w:tbl>
    <w:p w:rsidR="00DB7C4D" w:rsidRDefault="00DB7C4D" w:rsidP="00E0765F">
      <w:pPr>
        <w:spacing w:before="240"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Размеры</w:t>
      </w:r>
      <w:r w:rsidRPr="00757775">
        <w:rPr>
          <w:rFonts w:ascii="Times New Roman" w:eastAsiaTheme="minorEastAsia" w:hAnsi="Times New Roman" w:cs="Times New Roman"/>
          <w:sz w:val="28"/>
          <w:szCs w:val="28"/>
        </w:rPr>
        <w:t xml:space="preserve"> р</w:t>
      </w:r>
      <w:r w:rsidRPr="00757775">
        <w:rPr>
          <w:rFonts w:ascii="Times New Roman" w:hAnsi="Times New Roman" w:cs="Times New Roman"/>
          <w:sz w:val="28"/>
          <w:szCs w:val="28"/>
        </w:rPr>
        <w:t>езерва для неурегулированных страховых случаев по кажд</w:t>
      </w:r>
      <w:r w:rsidRPr="00757775">
        <w:rPr>
          <w:rFonts w:ascii="Times New Roman" w:hAnsi="Times New Roman" w:cs="Times New Roman"/>
          <w:sz w:val="28"/>
          <w:szCs w:val="28"/>
        </w:rPr>
        <w:t>о</w:t>
      </w:r>
      <w:r w:rsidRPr="00757775">
        <w:rPr>
          <w:rFonts w:ascii="Times New Roman" w:hAnsi="Times New Roman" w:cs="Times New Roman"/>
          <w:sz w:val="28"/>
          <w:szCs w:val="28"/>
        </w:rPr>
        <w:t xml:space="preserve">му периоду зарождения </w:t>
      </w:r>
      <w:r>
        <w:rPr>
          <w:rFonts w:ascii="Times New Roman" w:hAnsi="Times New Roman" w:cs="Times New Roman"/>
          <w:sz w:val="28"/>
          <w:szCs w:val="28"/>
        </w:rPr>
        <w:t xml:space="preserve">представлены в </w:t>
      </w:r>
      <w:r w:rsidR="008979A8" w:rsidRPr="008979A8">
        <w:rPr>
          <w:rFonts w:ascii="Times New Roman" w:hAnsi="Times New Roman" w:cs="Times New Roman"/>
          <w:sz w:val="28"/>
          <w:szCs w:val="28"/>
        </w:rPr>
        <w:t>табл. 2</w:t>
      </w:r>
      <w:r w:rsidR="00A820B6">
        <w:rPr>
          <w:rFonts w:ascii="Times New Roman" w:hAnsi="Times New Roman" w:cs="Times New Roman"/>
          <w:sz w:val="28"/>
          <w:szCs w:val="28"/>
        </w:rPr>
        <w:t>1</w:t>
      </w:r>
      <w:r w:rsidRPr="00757775">
        <w:rPr>
          <w:rFonts w:ascii="Times New Roman" w:hAnsi="Times New Roman" w:cs="Times New Roman"/>
          <w:sz w:val="28"/>
          <w:szCs w:val="28"/>
        </w:rPr>
        <w:t xml:space="preserve">. </w:t>
      </w:r>
      <w:r>
        <w:rPr>
          <w:rFonts w:ascii="Times New Roman" w:hAnsi="Times New Roman" w:cs="Times New Roman"/>
          <w:sz w:val="28"/>
          <w:szCs w:val="28"/>
        </w:rPr>
        <w:t>Что неудивительно, для н</w:t>
      </w:r>
      <w:r>
        <w:rPr>
          <w:rFonts w:ascii="Times New Roman" w:hAnsi="Times New Roman" w:cs="Times New Roman"/>
          <w:sz w:val="28"/>
          <w:szCs w:val="28"/>
        </w:rPr>
        <w:t>е</w:t>
      </w:r>
      <w:r>
        <w:rPr>
          <w:rFonts w:ascii="Times New Roman" w:hAnsi="Times New Roman" w:cs="Times New Roman"/>
          <w:sz w:val="28"/>
          <w:szCs w:val="28"/>
        </w:rPr>
        <w:t>заявленных убытков трех предшествовавших отчетной дате кварталов след</w:t>
      </w:r>
      <w:r>
        <w:rPr>
          <w:rFonts w:ascii="Times New Roman" w:hAnsi="Times New Roman" w:cs="Times New Roman"/>
          <w:sz w:val="28"/>
          <w:szCs w:val="28"/>
        </w:rPr>
        <w:t>у</w:t>
      </w:r>
      <w:r>
        <w:rPr>
          <w:rFonts w:ascii="Times New Roman" w:hAnsi="Times New Roman" w:cs="Times New Roman"/>
          <w:sz w:val="28"/>
          <w:szCs w:val="28"/>
        </w:rPr>
        <w:t>ет ассигновать бóльшие, чем прежде, суммы денег, чтобы учесть вероятный рост в недалеком будущем стоимости оказываемых ЛПУ медицинских услуг. Для остальных кварталов зарождения величины резервов, наоборот, сократ</w:t>
      </w:r>
      <w:r>
        <w:rPr>
          <w:rFonts w:ascii="Times New Roman" w:hAnsi="Times New Roman" w:cs="Times New Roman"/>
          <w:sz w:val="28"/>
          <w:szCs w:val="28"/>
        </w:rPr>
        <w:t>и</w:t>
      </w:r>
      <w:r>
        <w:rPr>
          <w:rFonts w:ascii="Times New Roman" w:hAnsi="Times New Roman" w:cs="Times New Roman"/>
          <w:sz w:val="28"/>
          <w:szCs w:val="28"/>
        </w:rPr>
        <w:t xml:space="preserve">лись вследствие отмеченного выше перераспределения платежей в сторону первых четырех кварталов развития. Таким образом,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óльшая доля совоку</w:t>
      </w:r>
      <w:r>
        <w:rPr>
          <w:rFonts w:ascii="Times New Roman" w:hAnsi="Times New Roman" w:cs="Times New Roman"/>
          <w:sz w:val="28"/>
          <w:szCs w:val="28"/>
        </w:rPr>
        <w:t>п</w:t>
      </w:r>
      <w:r>
        <w:rPr>
          <w:rFonts w:ascii="Times New Roman" w:hAnsi="Times New Roman" w:cs="Times New Roman"/>
          <w:sz w:val="28"/>
          <w:szCs w:val="28"/>
        </w:rPr>
        <w:t>ного убытка более отдаленных во времени кварталов оказалась оплаченной на дату формирования страховых резервов.</w:t>
      </w:r>
    </w:p>
    <w:p w:rsidR="00DB7C4D" w:rsidRPr="005158F2" w:rsidRDefault="00DB7C4D" w:rsidP="008979A8">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Таблица 2</w:t>
      </w:r>
      <w:r w:rsidR="00A820B6" w:rsidRPr="005158F2">
        <w:rPr>
          <w:rFonts w:ascii="Times New Roman" w:hAnsi="Times New Roman" w:cs="Times New Roman"/>
          <w:i/>
          <w:sz w:val="26"/>
          <w:szCs w:val="26"/>
        </w:rPr>
        <w:t>1</w:t>
      </w:r>
    </w:p>
    <w:p w:rsidR="00A16334" w:rsidRDefault="00DB7C4D" w:rsidP="008979A8">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Оцененные резервы убытков для каждого </w:t>
      </w:r>
      <w:proofErr w:type="spellStart"/>
      <w:r w:rsidRPr="005158F2">
        <w:rPr>
          <w:rFonts w:ascii="Times New Roman" w:hAnsi="Times New Roman" w:cs="Times New Roman"/>
          <w:i/>
          <w:sz w:val="26"/>
          <w:szCs w:val="26"/>
          <w:lang w:val="en-GB"/>
        </w:rPr>
        <w:t>i</w:t>
      </w:r>
      <w:proofErr w:type="spellEnd"/>
      <w:r w:rsidRPr="005158F2">
        <w:rPr>
          <w:rFonts w:ascii="Times New Roman" w:hAnsi="Times New Roman" w:cs="Times New Roman"/>
          <w:i/>
          <w:sz w:val="26"/>
          <w:szCs w:val="26"/>
        </w:rPr>
        <w:t>-го квартала инцидента</w:t>
      </w:r>
      <w:r w:rsidR="00A16334">
        <w:rPr>
          <w:rFonts w:ascii="Times New Roman" w:hAnsi="Times New Roman" w:cs="Times New Roman"/>
          <w:i/>
          <w:sz w:val="26"/>
          <w:szCs w:val="26"/>
        </w:rPr>
        <w:t xml:space="preserve"> согласно </w:t>
      </w:r>
    </w:p>
    <w:p w:rsidR="00DB7C4D" w:rsidRPr="005158F2" w:rsidRDefault="00A16334" w:rsidP="008979A8">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мультипликативному методу с учетом инфляции</w:t>
      </w:r>
    </w:p>
    <w:tbl>
      <w:tblPr>
        <w:tblW w:w="9641" w:type="dxa"/>
        <w:jc w:val="right"/>
        <w:tblInd w:w="103" w:type="dxa"/>
        <w:tblLook w:val="04A0"/>
      </w:tblPr>
      <w:tblGrid>
        <w:gridCol w:w="960"/>
        <w:gridCol w:w="1011"/>
        <w:gridCol w:w="1240"/>
        <w:gridCol w:w="1240"/>
        <w:gridCol w:w="1240"/>
        <w:gridCol w:w="1393"/>
        <w:gridCol w:w="1546"/>
        <w:gridCol w:w="1011"/>
      </w:tblGrid>
      <w:tr w:rsidR="00DB7C4D" w:rsidRPr="00734AE3" w:rsidTr="00D71C74">
        <w:trPr>
          <w:trHeight w:val="345"/>
          <w:jc w:val="right"/>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Calibri" w:eastAsia="Times New Roman" w:hAnsi="Calibri" w:cs="Times New Roman"/>
                <w:color w:val="000000"/>
                <w:lang w:eastAsia="ru-RU"/>
              </w:rPr>
            </w:pPr>
            <w:r w:rsidRPr="00734AE3">
              <w:rPr>
                <w:rFonts w:ascii="Calibri" w:eastAsia="Times New Roman" w:hAnsi="Calibri" w:cs="Times New Roman"/>
                <w:color w:val="000000"/>
                <w:lang w:eastAsia="ru-RU"/>
              </w:rPr>
              <w:t> </w:t>
            </w:r>
          </w:p>
        </w:tc>
        <w:tc>
          <w:tcPr>
            <w:tcW w:w="8681" w:type="dxa"/>
            <w:gridSpan w:val="7"/>
            <w:tcBorders>
              <w:top w:val="single" w:sz="4" w:space="0" w:color="auto"/>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b/>
                <w:bCs/>
                <w:color w:val="000000"/>
                <w:sz w:val="24"/>
                <w:szCs w:val="24"/>
                <w:lang w:eastAsia="ru-RU"/>
              </w:rPr>
            </w:pPr>
            <w:r w:rsidRPr="00734AE3">
              <w:rPr>
                <w:rFonts w:ascii="Times New Roman" w:eastAsia="Times New Roman" w:hAnsi="Times New Roman" w:cs="Times New Roman"/>
                <w:b/>
                <w:bCs/>
                <w:color w:val="000000"/>
                <w:sz w:val="24"/>
                <w:szCs w:val="24"/>
                <w:lang w:eastAsia="ru-RU"/>
              </w:rPr>
              <w:t xml:space="preserve">Квартал наступления убытков, </w:t>
            </w:r>
            <w:proofErr w:type="spellStart"/>
            <w:r w:rsidRPr="00734AE3">
              <w:rPr>
                <w:rFonts w:ascii="Times New Roman" w:eastAsia="Times New Roman" w:hAnsi="Times New Roman" w:cs="Times New Roman"/>
                <w:b/>
                <w:bCs/>
                <w:color w:val="000000"/>
                <w:sz w:val="24"/>
                <w:szCs w:val="24"/>
                <w:lang w:eastAsia="ru-RU"/>
              </w:rPr>
              <w:t>i</w:t>
            </w:r>
            <w:proofErr w:type="spellEnd"/>
          </w:p>
        </w:tc>
      </w:tr>
      <w:tr w:rsidR="00DB7C4D" w:rsidRPr="00734AE3" w:rsidTr="00D71C74">
        <w:trPr>
          <w:trHeight w:val="345"/>
          <w:jc w:val="right"/>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B7C4D" w:rsidRPr="00734AE3" w:rsidRDefault="00DB7C4D" w:rsidP="002F57F4">
            <w:pPr>
              <w:spacing w:after="0" w:line="240" w:lineRule="auto"/>
              <w:rPr>
                <w:rFonts w:ascii="Calibri" w:eastAsia="Times New Roman" w:hAnsi="Calibri" w:cs="Times New Roman"/>
                <w:color w:val="000000"/>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3</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4</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5</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6</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7</w:t>
            </w:r>
          </w:p>
        </w:tc>
      </w:tr>
      <w:tr w:rsidR="00DB7C4D" w:rsidRPr="00734AE3"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34AE3">
              <w:rPr>
                <w:rFonts w:ascii="Times New Roman" w:eastAsia="Times New Roman" w:hAnsi="Times New Roman" w:cs="Times New Roman"/>
                <w:b/>
                <w:bCs/>
                <w:color w:val="000000"/>
                <w:sz w:val="23"/>
                <w:szCs w:val="23"/>
                <w:lang w:eastAsia="ru-RU"/>
              </w:rPr>
              <w:t>R</w:t>
            </w:r>
            <w:r w:rsidRPr="00734AE3">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19 256</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26 357</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11 748</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21 035</w:t>
            </w:r>
          </w:p>
        </w:tc>
      </w:tr>
      <w:tr w:rsidR="00DB7C4D" w:rsidRPr="00734AE3" w:rsidTr="00D71C74">
        <w:trPr>
          <w:trHeight w:val="345"/>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 </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8</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9</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10</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11</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12</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13</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14</w:t>
            </w:r>
          </w:p>
        </w:tc>
      </w:tr>
      <w:tr w:rsidR="00DB7C4D" w:rsidRPr="00734AE3"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34AE3">
              <w:rPr>
                <w:rFonts w:ascii="Times New Roman" w:eastAsia="Times New Roman" w:hAnsi="Times New Roman" w:cs="Times New Roman"/>
                <w:b/>
                <w:bCs/>
                <w:color w:val="000000"/>
                <w:sz w:val="23"/>
                <w:szCs w:val="23"/>
                <w:lang w:eastAsia="ru-RU"/>
              </w:rPr>
              <w:t>R</w:t>
            </w:r>
            <w:r w:rsidRPr="00734AE3">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20 602</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28 562</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24 680</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44 318</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63 469</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97 189</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161 074</w:t>
            </w:r>
          </w:p>
        </w:tc>
      </w:tr>
      <w:tr w:rsidR="00DB7C4D" w:rsidRPr="00734AE3" w:rsidTr="00D71C74">
        <w:trPr>
          <w:trHeight w:val="300"/>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 </w:t>
            </w:r>
          </w:p>
        </w:tc>
        <w:tc>
          <w:tcPr>
            <w:tcW w:w="1011"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15</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16</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17</w:t>
            </w:r>
          </w:p>
        </w:tc>
        <w:tc>
          <w:tcPr>
            <w:tcW w:w="1240"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18</w:t>
            </w:r>
          </w:p>
        </w:tc>
        <w:tc>
          <w:tcPr>
            <w:tcW w:w="1393"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19</w:t>
            </w:r>
          </w:p>
        </w:tc>
        <w:tc>
          <w:tcPr>
            <w:tcW w:w="1546" w:type="dxa"/>
            <w:tcBorders>
              <w:top w:val="nil"/>
              <w:left w:val="nil"/>
              <w:bottom w:val="single" w:sz="4" w:space="0" w:color="auto"/>
              <w:right w:val="single" w:sz="4" w:space="0" w:color="auto"/>
            </w:tcBorders>
            <w:shd w:val="clear" w:color="000000" w:fill="E5FFFF"/>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20</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 </w:t>
            </w:r>
          </w:p>
        </w:tc>
      </w:tr>
      <w:tr w:rsidR="00DB7C4D" w:rsidRPr="00734AE3"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b/>
                <w:bCs/>
                <w:color w:val="000000"/>
                <w:sz w:val="23"/>
                <w:szCs w:val="23"/>
                <w:lang w:eastAsia="ru-RU"/>
              </w:rPr>
            </w:pPr>
            <w:r w:rsidRPr="00734AE3">
              <w:rPr>
                <w:rFonts w:ascii="Times New Roman" w:eastAsia="Times New Roman" w:hAnsi="Times New Roman" w:cs="Times New Roman"/>
                <w:b/>
                <w:bCs/>
                <w:color w:val="000000"/>
                <w:sz w:val="23"/>
                <w:szCs w:val="23"/>
                <w:lang w:eastAsia="ru-RU"/>
              </w:rPr>
              <w:t>R</w:t>
            </w:r>
            <w:r w:rsidRPr="00734AE3">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219 188</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1 763 183</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6 371 236</w:t>
            </w:r>
          </w:p>
        </w:tc>
        <w:tc>
          <w:tcPr>
            <w:tcW w:w="1240"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8 948 975</w:t>
            </w:r>
          </w:p>
        </w:tc>
        <w:tc>
          <w:tcPr>
            <w:tcW w:w="1393"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31 533 531</w:t>
            </w:r>
          </w:p>
        </w:tc>
        <w:tc>
          <w:tcPr>
            <w:tcW w:w="1546" w:type="dxa"/>
            <w:tcBorders>
              <w:top w:val="nil"/>
              <w:left w:val="nil"/>
              <w:bottom w:val="single" w:sz="4" w:space="0" w:color="auto"/>
              <w:right w:val="single" w:sz="4" w:space="0" w:color="auto"/>
            </w:tcBorders>
            <w:shd w:val="clear" w:color="auto" w:fill="auto"/>
            <w:noWrap/>
            <w:vAlign w:val="center"/>
            <w:hideMark/>
          </w:tcPr>
          <w:p w:rsidR="00DB7C4D" w:rsidRPr="00734AE3" w:rsidRDefault="00DB7C4D" w:rsidP="002F57F4">
            <w:pPr>
              <w:spacing w:after="0" w:line="240" w:lineRule="auto"/>
              <w:jc w:val="center"/>
              <w:rPr>
                <w:rFonts w:ascii="Times New Roman" w:eastAsia="Times New Roman" w:hAnsi="Times New Roman" w:cs="Times New Roman"/>
                <w:color w:val="000000"/>
                <w:sz w:val="23"/>
                <w:szCs w:val="23"/>
                <w:lang w:eastAsia="ru-RU"/>
              </w:rPr>
            </w:pPr>
            <w:r w:rsidRPr="00734AE3">
              <w:rPr>
                <w:rFonts w:ascii="Times New Roman" w:eastAsia="Times New Roman" w:hAnsi="Times New Roman" w:cs="Times New Roman"/>
                <w:color w:val="000000"/>
                <w:sz w:val="23"/>
                <w:szCs w:val="23"/>
                <w:lang w:eastAsia="ru-RU"/>
              </w:rPr>
              <w:t>385 989 385</w:t>
            </w:r>
          </w:p>
        </w:tc>
        <w:tc>
          <w:tcPr>
            <w:tcW w:w="1011" w:type="dxa"/>
            <w:vMerge/>
            <w:tcBorders>
              <w:top w:val="nil"/>
              <w:left w:val="single" w:sz="4" w:space="0" w:color="auto"/>
              <w:bottom w:val="single" w:sz="4" w:space="0" w:color="auto"/>
              <w:right w:val="single" w:sz="4" w:space="0" w:color="auto"/>
            </w:tcBorders>
            <w:vAlign w:val="center"/>
            <w:hideMark/>
          </w:tcPr>
          <w:p w:rsidR="00DB7C4D" w:rsidRPr="00734AE3" w:rsidRDefault="00DB7C4D" w:rsidP="002F57F4">
            <w:pPr>
              <w:spacing w:after="0" w:line="240" w:lineRule="auto"/>
              <w:rPr>
                <w:rFonts w:ascii="Times New Roman" w:eastAsia="Times New Roman" w:hAnsi="Times New Roman" w:cs="Times New Roman"/>
                <w:color w:val="000000"/>
                <w:sz w:val="23"/>
                <w:szCs w:val="23"/>
                <w:lang w:eastAsia="ru-RU"/>
              </w:rPr>
            </w:pPr>
          </w:p>
        </w:tc>
      </w:tr>
    </w:tbl>
    <w:p w:rsidR="00DB7C4D" w:rsidRPr="00734AE3" w:rsidRDefault="00CE79AD" w:rsidP="00CE79AD">
      <w:pPr>
        <w:spacing w:before="200"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Теперь на</w:t>
      </w:r>
      <w:r w:rsidRPr="00757775">
        <w:rPr>
          <w:rFonts w:ascii="Times New Roman" w:hAnsi="Times New Roman" w:cs="Times New Roman"/>
          <w:sz w:val="28"/>
          <w:szCs w:val="28"/>
        </w:rPr>
        <w:t xml:space="preserve"> </w:t>
      </w:r>
      <w:r>
        <w:rPr>
          <w:rFonts w:ascii="Times New Roman" w:hAnsi="Times New Roman" w:cs="Times New Roman"/>
          <w:sz w:val="28"/>
          <w:szCs w:val="28"/>
        </w:rPr>
        <w:t xml:space="preserve">долю </w:t>
      </w:r>
      <w:r w:rsidRPr="00757775">
        <w:rPr>
          <w:rFonts w:ascii="Times New Roman" w:hAnsi="Times New Roman" w:cs="Times New Roman"/>
          <w:sz w:val="28"/>
          <w:szCs w:val="28"/>
        </w:rPr>
        <w:t>второго квартала 2012 г.</w:t>
      </w:r>
      <w:r>
        <w:rPr>
          <w:rFonts w:ascii="Times New Roman" w:hAnsi="Times New Roman" w:cs="Times New Roman"/>
          <w:sz w:val="28"/>
          <w:szCs w:val="28"/>
        </w:rPr>
        <w:t xml:space="preserve"> приходится 7,24</w:t>
      </w:r>
      <w:r w:rsidRPr="00757775">
        <w:rPr>
          <w:rFonts w:ascii="Times New Roman" w:hAnsi="Times New Roman" w:cs="Times New Roman"/>
          <w:sz w:val="28"/>
          <w:szCs w:val="28"/>
        </w:rPr>
        <w:t>% от об</w:t>
      </w:r>
      <w:r>
        <w:rPr>
          <w:rFonts w:ascii="Times New Roman" w:hAnsi="Times New Roman" w:cs="Times New Roman"/>
          <w:sz w:val="28"/>
          <w:szCs w:val="28"/>
        </w:rPr>
        <w:t xml:space="preserve">щей величины РПНУ, а на долю </w:t>
      </w:r>
      <w:r w:rsidRPr="00757775">
        <w:rPr>
          <w:rFonts w:ascii="Times New Roman" w:hAnsi="Times New Roman" w:cs="Times New Roman"/>
          <w:sz w:val="28"/>
          <w:szCs w:val="28"/>
        </w:rPr>
        <w:t>третьего кварта</w:t>
      </w:r>
      <w:r>
        <w:rPr>
          <w:rFonts w:ascii="Times New Roman" w:hAnsi="Times New Roman" w:cs="Times New Roman"/>
          <w:sz w:val="28"/>
          <w:szCs w:val="28"/>
        </w:rPr>
        <w:t>ла 2012 г. – 8</w:t>
      </w:r>
      <w:r w:rsidRPr="00757775">
        <w:rPr>
          <w:rFonts w:ascii="Times New Roman" w:hAnsi="Times New Roman" w:cs="Times New Roman"/>
          <w:sz w:val="28"/>
          <w:szCs w:val="28"/>
        </w:rPr>
        <w:t>8,</w:t>
      </w:r>
      <w:r>
        <w:rPr>
          <w:rFonts w:ascii="Times New Roman" w:hAnsi="Times New Roman" w:cs="Times New Roman"/>
          <w:sz w:val="28"/>
          <w:szCs w:val="28"/>
        </w:rPr>
        <w:t>66</w:t>
      </w:r>
      <w:r w:rsidRPr="00757775">
        <w:rPr>
          <w:rFonts w:ascii="Times New Roman" w:hAnsi="Times New Roman" w:cs="Times New Roman"/>
          <w:sz w:val="28"/>
          <w:szCs w:val="28"/>
        </w:rPr>
        <w:t>%</w:t>
      </w:r>
      <w:r>
        <w:rPr>
          <w:rFonts w:ascii="Times New Roman" w:hAnsi="Times New Roman" w:cs="Times New Roman"/>
          <w:sz w:val="28"/>
          <w:szCs w:val="28"/>
        </w:rPr>
        <w:t xml:space="preserve">, что в целом </w:t>
      </w:r>
      <w:r>
        <w:rPr>
          <w:rFonts w:ascii="Times New Roman" w:hAnsi="Times New Roman" w:cs="Times New Roman"/>
          <w:sz w:val="28"/>
          <w:szCs w:val="28"/>
        </w:rPr>
        <w:lastRenderedPageBreak/>
        <w:t xml:space="preserve">соответствует полученной методом без инфляции структуре суммарного РПНУ. </w:t>
      </w:r>
      <w:r w:rsidR="00DB7C4D" w:rsidRPr="00757775">
        <w:rPr>
          <w:rFonts w:ascii="Times New Roman" w:eastAsiaTheme="minorEastAsia" w:hAnsi="Times New Roman" w:cs="Times New Roman"/>
          <w:sz w:val="28"/>
          <w:szCs w:val="28"/>
        </w:rPr>
        <w:t xml:space="preserve">Общий размер РПНУ к концу третьего квартала 2012 г. согласно оценке </w:t>
      </w:r>
      <w:r w:rsidR="00DB7C4D">
        <w:rPr>
          <w:rFonts w:ascii="Times New Roman" w:eastAsiaTheme="minorEastAsia" w:hAnsi="Times New Roman" w:cs="Times New Roman"/>
          <w:sz w:val="28"/>
          <w:szCs w:val="28"/>
        </w:rPr>
        <w:t xml:space="preserve">скорректированным на величину инфляции </w:t>
      </w:r>
      <w:r w:rsidR="00DB7C4D" w:rsidRPr="00757775">
        <w:rPr>
          <w:rFonts w:ascii="Times New Roman" w:eastAsiaTheme="minorEastAsia" w:hAnsi="Times New Roman" w:cs="Times New Roman"/>
          <w:sz w:val="28"/>
          <w:szCs w:val="28"/>
        </w:rPr>
        <w:t>мультипликативным м</w:t>
      </w:r>
      <w:r w:rsidR="00DB7C4D" w:rsidRPr="00757775">
        <w:rPr>
          <w:rFonts w:ascii="Times New Roman" w:eastAsiaTheme="minorEastAsia" w:hAnsi="Times New Roman" w:cs="Times New Roman"/>
          <w:sz w:val="28"/>
          <w:szCs w:val="28"/>
        </w:rPr>
        <w:t>е</w:t>
      </w:r>
      <w:r w:rsidR="00DB7C4D" w:rsidRPr="00757775">
        <w:rPr>
          <w:rFonts w:ascii="Times New Roman" w:eastAsiaTheme="minorEastAsia" w:hAnsi="Times New Roman" w:cs="Times New Roman"/>
          <w:sz w:val="28"/>
          <w:szCs w:val="28"/>
        </w:rPr>
        <w:t xml:space="preserve">тодом должен составлять </w:t>
      </w:r>
      <w:r w:rsidR="00DB7C4D" w:rsidRPr="00734AE3">
        <w:rPr>
          <w:rFonts w:ascii="Times New Roman" w:hAnsi="Times New Roman" w:cs="Times New Roman"/>
          <w:b/>
          <w:sz w:val="28"/>
          <w:szCs w:val="28"/>
        </w:rPr>
        <w:t>435</w:t>
      </w:r>
      <w:r w:rsidR="00DB7C4D">
        <w:rPr>
          <w:rFonts w:ascii="Times New Roman" w:hAnsi="Times New Roman" w:cs="Times New Roman"/>
          <w:b/>
          <w:sz w:val="28"/>
          <w:szCs w:val="28"/>
        </w:rPr>
        <w:t> </w:t>
      </w:r>
      <w:r w:rsidR="00DB7C4D" w:rsidRPr="00734AE3">
        <w:rPr>
          <w:rFonts w:ascii="Times New Roman" w:hAnsi="Times New Roman" w:cs="Times New Roman"/>
          <w:b/>
          <w:sz w:val="28"/>
          <w:szCs w:val="28"/>
        </w:rPr>
        <w:t>343</w:t>
      </w:r>
      <w:r w:rsidR="00DB7C4D">
        <w:rPr>
          <w:rFonts w:ascii="Times New Roman" w:hAnsi="Times New Roman" w:cs="Times New Roman"/>
          <w:b/>
          <w:sz w:val="28"/>
          <w:szCs w:val="28"/>
        </w:rPr>
        <w:t> 788,</w:t>
      </w:r>
      <w:r w:rsidR="00DB7C4D" w:rsidRPr="00734AE3">
        <w:rPr>
          <w:rFonts w:ascii="Times New Roman" w:hAnsi="Times New Roman" w:cs="Times New Roman"/>
          <w:b/>
          <w:sz w:val="28"/>
          <w:szCs w:val="28"/>
        </w:rPr>
        <w:t>16</w:t>
      </w:r>
      <w:r w:rsidR="00DB7C4D" w:rsidRPr="00757775">
        <w:rPr>
          <w:rFonts w:ascii="Times New Roman" w:eastAsiaTheme="minorEastAsia" w:hAnsi="Times New Roman" w:cs="Times New Roman"/>
          <w:sz w:val="28"/>
          <w:szCs w:val="28"/>
        </w:rPr>
        <w:t xml:space="preserve"> </w:t>
      </w:r>
      <w:r w:rsidR="00DB7C4D" w:rsidRPr="00757775">
        <w:rPr>
          <w:rFonts w:ascii="Times New Roman" w:eastAsiaTheme="minorEastAsia" w:hAnsi="Times New Roman" w:cs="Times New Roman"/>
          <w:b/>
          <w:sz w:val="28"/>
          <w:szCs w:val="28"/>
        </w:rPr>
        <w:t>руб.</w:t>
      </w:r>
      <w:r w:rsidR="00DB7C4D">
        <w:rPr>
          <w:rFonts w:ascii="Times New Roman" w:eastAsiaTheme="minorEastAsia" w:hAnsi="Times New Roman" w:cs="Times New Roman"/>
          <w:b/>
          <w:sz w:val="28"/>
          <w:szCs w:val="28"/>
        </w:rPr>
        <w:t>,</w:t>
      </w:r>
      <w:r w:rsidR="00DB7C4D" w:rsidRPr="00734AE3">
        <w:rPr>
          <w:rFonts w:ascii="Times New Roman" w:eastAsiaTheme="minorEastAsia" w:hAnsi="Times New Roman" w:cs="Times New Roman"/>
          <w:sz w:val="28"/>
          <w:szCs w:val="28"/>
        </w:rPr>
        <w:t xml:space="preserve"> ч</w:t>
      </w:r>
      <w:r w:rsidR="00DB7C4D">
        <w:rPr>
          <w:rFonts w:ascii="Times New Roman" w:eastAsiaTheme="minorEastAsia" w:hAnsi="Times New Roman" w:cs="Times New Roman"/>
          <w:sz w:val="28"/>
          <w:szCs w:val="28"/>
        </w:rPr>
        <w:t>то на 6 661 397,91 руб., или на 1,55%, выше аналогичного показателя, рассчитанного мультипликативным методом без учета инфляции</w:t>
      </w:r>
      <w:r w:rsidR="00C32FD5">
        <w:rPr>
          <w:rFonts w:ascii="Times New Roman" w:eastAsiaTheme="minorEastAsia" w:hAnsi="Times New Roman" w:cs="Times New Roman"/>
          <w:sz w:val="28"/>
          <w:szCs w:val="28"/>
        </w:rPr>
        <w:t xml:space="preserve"> (прил. 8)</w:t>
      </w:r>
      <w:r w:rsidR="00DB7C4D">
        <w:rPr>
          <w:rFonts w:ascii="Times New Roman" w:eastAsiaTheme="minorEastAsia" w:hAnsi="Times New Roman" w:cs="Times New Roman"/>
          <w:sz w:val="28"/>
          <w:szCs w:val="28"/>
        </w:rPr>
        <w:t>.</w:t>
      </w:r>
    </w:p>
    <w:p w:rsidR="008D079E" w:rsidRDefault="002F57F4" w:rsidP="004E1252">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F57F4">
        <w:rPr>
          <w:rFonts w:ascii="Times New Roman" w:hAnsi="Times New Roman" w:cs="Times New Roman"/>
          <w:b/>
          <w:sz w:val="28"/>
          <w:szCs w:val="28"/>
        </w:rPr>
        <w:t>3</w:t>
      </w:r>
      <w:r w:rsidRPr="00757775">
        <w:rPr>
          <w:rFonts w:ascii="Times New Roman" w:hAnsi="Times New Roman" w:cs="Times New Roman"/>
          <w:b/>
          <w:sz w:val="28"/>
          <w:szCs w:val="28"/>
        </w:rPr>
        <w:t>.</w:t>
      </w:r>
      <w:r w:rsidRPr="002F57F4">
        <w:rPr>
          <w:rFonts w:ascii="Times New Roman" w:hAnsi="Times New Roman" w:cs="Times New Roman"/>
          <w:b/>
          <w:sz w:val="28"/>
          <w:szCs w:val="28"/>
        </w:rPr>
        <w:t>4.</w:t>
      </w:r>
      <w:r w:rsidRPr="00757775">
        <w:rPr>
          <w:rFonts w:ascii="Times New Roman" w:hAnsi="Times New Roman" w:cs="Times New Roman"/>
          <w:b/>
          <w:sz w:val="28"/>
          <w:szCs w:val="28"/>
        </w:rPr>
        <w:t xml:space="preserve"> </w:t>
      </w:r>
      <w:r w:rsidR="008D079E">
        <w:rPr>
          <w:rFonts w:ascii="Times New Roman" w:hAnsi="Times New Roman" w:cs="Times New Roman"/>
          <w:b/>
          <w:sz w:val="28"/>
          <w:szCs w:val="28"/>
        </w:rPr>
        <w:t>Решение задачи резервирования в ДМС м</w:t>
      </w:r>
      <w:r>
        <w:rPr>
          <w:rFonts w:ascii="Times New Roman" w:hAnsi="Times New Roman" w:cs="Times New Roman"/>
          <w:b/>
          <w:sz w:val="28"/>
          <w:szCs w:val="28"/>
        </w:rPr>
        <w:t>етод</w:t>
      </w:r>
      <w:r w:rsidR="008D079E">
        <w:rPr>
          <w:rFonts w:ascii="Times New Roman" w:hAnsi="Times New Roman" w:cs="Times New Roman"/>
          <w:b/>
          <w:sz w:val="28"/>
          <w:szCs w:val="28"/>
        </w:rPr>
        <w:t>ом</w:t>
      </w:r>
      <w:r>
        <w:rPr>
          <w:rFonts w:ascii="Times New Roman" w:hAnsi="Times New Roman" w:cs="Times New Roman"/>
          <w:b/>
          <w:sz w:val="28"/>
          <w:szCs w:val="28"/>
        </w:rPr>
        <w:t xml:space="preserve"> </w:t>
      </w:r>
    </w:p>
    <w:p w:rsidR="002F57F4" w:rsidRDefault="002F57F4" w:rsidP="008D07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основе финансовых потоков по календарным периодам</w:t>
      </w:r>
    </w:p>
    <w:p w:rsidR="002F57F4" w:rsidRDefault="002F57F4" w:rsidP="002F5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и того же календарного периода (месяца, квартала, года) осуществляются платежи по страховым случаям, произошедшим как непосредственно за этот период, так и за ряд предшествовавших ему фина</w:t>
      </w:r>
      <w:r>
        <w:rPr>
          <w:rFonts w:ascii="Times New Roman" w:hAnsi="Times New Roman" w:cs="Times New Roman"/>
          <w:sz w:val="28"/>
          <w:szCs w:val="28"/>
        </w:rPr>
        <w:t>н</w:t>
      </w:r>
      <w:r>
        <w:rPr>
          <w:rFonts w:ascii="Times New Roman" w:hAnsi="Times New Roman" w:cs="Times New Roman"/>
          <w:sz w:val="28"/>
          <w:szCs w:val="28"/>
        </w:rPr>
        <w:t xml:space="preserve">совых периодов. </w:t>
      </w:r>
    </w:p>
    <w:p w:rsidR="00B94DB2" w:rsidRDefault="00B94DB2" w:rsidP="00B94DB2">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Рассмотрим</w:t>
      </w:r>
      <w:r w:rsidRPr="00F13450">
        <w:rPr>
          <w:rFonts w:ascii="Times New Roman" w:hAnsi="Times New Roman" w:cs="Times New Roman"/>
          <w:sz w:val="28"/>
          <w:szCs w:val="28"/>
        </w:rPr>
        <w:t xml:space="preserve"> </w:t>
      </w:r>
      <w:r>
        <w:rPr>
          <w:rFonts w:ascii="Times New Roman" w:hAnsi="Times New Roman" w:cs="Times New Roman"/>
          <w:sz w:val="28"/>
          <w:szCs w:val="28"/>
        </w:rPr>
        <w:t xml:space="preserve">величину страховых выплат </w:t>
      </w:r>
      <m:oMath>
        <m:sSub>
          <m:sSubPr>
            <m:ctrlPr>
              <w:rPr>
                <w:rFonts w:ascii="Cambria Math" w:hAnsi="Cambria Math" w:cs="Times New Roman"/>
                <w:i/>
                <w:sz w:val="28"/>
                <w:szCs w:val="28"/>
              </w:rPr>
            </m:ctrlPr>
          </m:sSubPr>
          <m:e>
            <m:r>
              <w:rPr>
                <w:rFonts w:ascii="Cambria Math" w:hAnsi="Cambria Math" w:cs="Times New Roman"/>
                <w:sz w:val="28"/>
                <w:szCs w:val="28"/>
                <w:lang w:val="en-GB"/>
              </w:rPr>
              <m:t>c</m:t>
            </m:r>
          </m:e>
          <m:sub>
            <m:r>
              <w:rPr>
                <w:rFonts w:ascii="Cambria Math" w:hAnsi="Cambria Math" w:cs="Times New Roman"/>
                <w:sz w:val="28"/>
                <w:szCs w:val="28"/>
              </w:rPr>
              <m:t>ij</m:t>
            </m:r>
          </m:sub>
        </m:sSub>
      </m:oMath>
      <w:r w:rsidRPr="00F1345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календарном периоде с номером </w:t>
      </w:r>
      <w:proofErr w:type="spellStart"/>
      <w:r w:rsidRPr="00F13450">
        <w:rPr>
          <w:rFonts w:ascii="Times New Roman" w:eastAsiaTheme="minorEastAsia" w:hAnsi="Times New Roman" w:cs="Times New Roman"/>
          <w:i/>
          <w:sz w:val="28"/>
          <w:szCs w:val="28"/>
          <w:lang w:val="en-GB"/>
        </w:rPr>
        <w:t>i</w:t>
      </w:r>
      <w:proofErr w:type="spellEnd"/>
      <w:r w:rsidRPr="00F13450">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по страховым случаям, наступившим </w:t>
      </w:r>
      <w:r w:rsidRPr="00F13450">
        <w:rPr>
          <w:rFonts w:ascii="Times New Roman" w:eastAsiaTheme="minorEastAsia" w:hAnsi="Times New Roman" w:cs="Times New Roman"/>
          <w:i/>
          <w:sz w:val="28"/>
          <w:szCs w:val="28"/>
          <w:lang w:val="en-GB"/>
        </w:rPr>
        <w:t>j</w:t>
      </w:r>
      <w:r w:rsidRPr="00F1345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периодов назад, </w:t>
      </w:r>
      <w:proofErr w:type="gramStart"/>
      <w:r>
        <w:rPr>
          <w:rFonts w:ascii="Times New Roman" w:eastAsiaTheme="minorEastAsia" w:hAnsi="Times New Roman" w:cs="Times New Roman"/>
          <w:sz w:val="28"/>
          <w:szCs w:val="28"/>
        </w:rPr>
        <w:t>которая</w:t>
      </w:r>
      <w:proofErr w:type="gramEnd"/>
      <w:r>
        <w:rPr>
          <w:rFonts w:ascii="Times New Roman" w:eastAsiaTheme="minorEastAsia" w:hAnsi="Times New Roman" w:cs="Times New Roman"/>
          <w:sz w:val="28"/>
          <w:szCs w:val="28"/>
        </w:rPr>
        <w:t xml:space="preserve"> может быть записана в виде:</w:t>
      </w:r>
    </w:p>
    <w:p w:rsidR="00B94DB2" w:rsidRDefault="005F2FF8" w:rsidP="00B94DB2">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GB"/>
              </w:rPr>
              <m:t>c</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oMath>
      <w:r w:rsidR="00B94DB2">
        <w:rPr>
          <w:rFonts w:ascii="Times New Roman" w:eastAsiaTheme="minorEastAsia" w:hAnsi="Times New Roman" w:cs="Times New Roman"/>
          <w:sz w:val="28"/>
          <w:szCs w:val="28"/>
        </w:rPr>
        <w:t>,</w:t>
      </w:r>
    </w:p>
    <w:p w:rsidR="00B94DB2" w:rsidRDefault="00B94DB2" w:rsidP="00B94DB2">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rPr>
              <m:t>i</m:t>
            </m:r>
          </m:sub>
        </m:sSub>
      </m:oMath>
      <w:r w:rsidRPr="00F13450">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общая стоимость убытков, урегулированных страховой организацией в </w:t>
      </w:r>
      <w:proofErr w:type="spellStart"/>
      <w:r w:rsidRPr="00F13450">
        <w:rPr>
          <w:rFonts w:ascii="Times New Roman" w:eastAsiaTheme="minorEastAsia" w:hAnsi="Times New Roman" w:cs="Times New Roman"/>
          <w:i/>
          <w:sz w:val="28"/>
          <w:szCs w:val="28"/>
          <w:lang w:val="en-GB"/>
        </w:rPr>
        <w:t>i</w:t>
      </w:r>
      <w:proofErr w:type="spellEnd"/>
      <w:r w:rsidRPr="00F13450">
        <w:rPr>
          <w:rFonts w:ascii="Times New Roman" w:eastAsiaTheme="minorEastAsia" w:hAnsi="Times New Roman" w:cs="Times New Roman"/>
          <w:sz w:val="28"/>
          <w:szCs w:val="28"/>
        </w:rPr>
        <w:t>-</w:t>
      </w:r>
      <w:proofErr w:type="spellStart"/>
      <w:r>
        <w:rPr>
          <w:rFonts w:ascii="Times New Roman" w:eastAsiaTheme="minorEastAsia" w:hAnsi="Times New Roman" w:cs="Times New Roman"/>
          <w:sz w:val="28"/>
          <w:szCs w:val="28"/>
        </w:rPr>
        <w:t>ом</w:t>
      </w:r>
      <w:proofErr w:type="spellEnd"/>
      <w:r>
        <w:rPr>
          <w:rFonts w:ascii="Times New Roman" w:eastAsiaTheme="minorEastAsia" w:hAnsi="Times New Roman" w:cs="Times New Roman"/>
          <w:sz w:val="28"/>
          <w:szCs w:val="28"/>
        </w:rPr>
        <w:t xml:space="preserve"> периоде;</w:t>
      </w:r>
    </w:p>
    <w:p w:rsidR="00B94DB2" w:rsidRPr="00DC3E57" w:rsidRDefault="005F2FF8" w:rsidP="00B94DB2">
      <w:pPr>
        <w:tabs>
          <w:tab w:val="left" w:pos="1665"/>
        </w:tabs>
        <w:spacing w:after="0" w:line="360" w:lineRule="auto"/>
        <w:ind w:firstLine="454"/>
        <w:jc w:val="both"/>
        <w:rPr>
          <w:rFonts w:ascii="Times New Roman"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lang w:val="en-GB"/>
              </w:rPr>
              <m:t>j</m:t>
            </m:r>
          </m:sub>
        </m:sSub>
      </m:oMath>
      <w:r w:rsidR="00B94DB2">
        <w:rPr>
          <w:rFonts w:ascii="Times New Roman" w:eastAsiaTheme="minorEastAsia" w:hAnsi="Times New Roman" w:cs="Times New Roman"/>
          <w:sz w:val="28"/>
          <w:szCs w:val="28"/>
        </w:rPr>
        <w:t xml:space="preserve"> –</w:t>
      </w:r>
      <w:r w:rsidR="00B94DB2" w:rsidRPr="00C3309A">
        <w:rPr>
          <w:rFonts w:ascii="Times New Roman" w:eastAsiaTheme="minorEastAsia" w:hAnsi="Times New Roman" w:cs="Times New Roman"/>
          <w:sz w:val="28"/>
          <w:szCs w:val="28"/>
        </w:rPr>
        <w:t xml:space="preserve"> </w:t>
      </w:r>
      <w:r w:rsidR="00B94DB2">
        <w:rPr>
          <w:rFonts w:ascii="Times New Roman" w:eastAsiaTheme="minorEastAsia" w:hAnsi="Times New Roman" w:cs="Times New Roman"/>
          <w:sz w:val="28"/>
          <w:szCs w:val="28"/>
        </w:rPr>
        <w:t xml:space="preserve">доля суммы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rPr>
              <m:t>i</m:t>
            </m:r>
          </m:sub>
        </m:sSub>
      </m:oMath>
      <w:r w:rsidR="00B94DB2" w:rsidRPr="00C3309A">
        <w:rPr>
          <w:rFonts w:ascii="Times New Roman" w:eastAsiaTheme="minorEastAsia" w:hAnsi="Times New Roman" w:cs="Times New Roman"/>
          <w:sz w:val="28"/>
          <w:szCs w:val="28"/>
        </w:rPr>
        <w:t xml:space="preserve">, </w:t>
      </w:r>
      <w:r w:rsidR="00B94DB2">
        <w:rPr>
          <w:rFonts w:ascii="Times New Roman" w:eastAsiaTheme="minorEastAsia" w:hAnsi="Times New Roman" w:cs="Times New Roman"/>
          <w:sz w:val="28"/>
          <w:szCs w:val="28"/>
        </w:rPr>
        <w:t xml:space="preserve">выплаченная по страховым случаям, имевшим место </w:t>
      </w:r>
      <w:r w:rsidR="00B94DB2" w:rsidRPr="00E91BEE">
        <w:rPr>
          <w:rFonts w:ascii="Times New Roman" w:eastAsiaTheme="minorEastAsia" w:hAnsi="Times New Roman" w:cs="Times New Roman"/>
          <w:i/>
          <w:sz w:val="28"/>
          <w:szCs w:val="28"/>
          <w:lang w:val="en-GB"/>
        </w:rPr>
        <w:t>j</w:t>
      </w:r>
      <w:r w:rsidR="00B94DB2" w:rsidRPr="00E91BEE">
        <w:rPr>
          <w:rFonts w:ascii="Times New Roman" w:eastAsiaTheme="minorEastAsia" w:hAnsi="Times New Roman" w:cs="Times New Roman"/>
          <w:sz w:val="28"/>
          <w:szCs w:val="28"/>
        </w:rPr>
        <w:t xml:space="preserve"> </w:t>
      </w:r>
      <w:r w:rsidR="00B94DB2">
        <w:rPr>
          <w:rFonts w:ascii="Times New Roman" w:eastAsiaTheme="minorEastAsia" w:hAnsi="Times New Roman" w:cs="Times New Roman"/>
          <w:sz w:val="28"/>
          <w:szCs w:val="28"/>
        </w:rPr>
        <w:t>периодов назад; распределение</w:t>
      </w:r>
      <w:r w:rsidR="00B94DB2" w:rsidRPr="00DC3E57">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;j=0,…,n-1</m:t>
            </m:r>
          </m:e>
        </m:d>
      </m:oMath>
      <w:r w:rsidR="00B94DB2" w:rsidRPr="00757775">
        <w:rPr>
          <w:rFonts w:ascii="Times New Roman" w:eastAsiaTheme="minorEastAsia" w:hAnsi="Times New Roman" w:cs="Times New Roman"/>
          <w:sz w:val="28"/>
          <w:szCs w:val="28"/>
        </w:rPr>
        <w:t xml:space="preserve"> предполагается </w:t>
      </w:r>
      <w:r w:rsidR="00B94DB2">
        <w:rPr>
          <w:rFonts w:ascii="Times New Roman" w:eastAsiaTheme="minorEastAsia" w:hAnsi="Times New Roman" w:cs="Times New Roman"/>
          <w:sz w:val="28"/>
          <w:szCs w:val="28"/>
        </w:rPr>
        <w:t>устойч</w:t>
      </w:r>
      <w:r w:rsidR="00B94DB2">
        <w:rPr>
          <w:rFonts w:ascii="Times New Roman" w:eastAsiaTheme="minorEastAsia" w:hAnsi="Times New Roman" w:cs="Times New Roman"/>
          <w:sz w:val="28"/>
          <w:szCs w:val="28"/>
        </w:rPr>
        <w:t>и</w:t>
      </w:r>
      <w:r w:rsidR="00B94DB2">
        <w:rPr>
          <w:rFonts w:ascii="Times New Roman" w:eastAsiaTheme="minorEastAsia" w:hAnsi="Times New Roman" w:cs="Times New Roman"/>
          <w:sz w:val="28"/>
          <w:szCs w:val="28"/>
        </w:rPr>
        <w:t>вым, т.е. независящим от календарного года, в котором производятся страх</w:t>
      </w:r>
      <w:r w:rsidR="00B94DB2">
        <w:rPr>
          <w:rFonts w:ascii="Times New Roman" w:eastAsiaTheme="minorEastAsia" w:hAnsi="Times New Roman" w:cs="Times New Roman"/>
          <w:sz w:val="28"/>
          <w:szCs w:val="28"/>
        </w:rPr>
        <w:t>о</w:t>
      </w:r>
      <w:r w:rsidR="00B94DB2">
        <w:rPr>
          <w:rFonts w:ascii="Times New Roman" w:eastAsiaTheme="minorEastAsia" w:hAnsi="Times New Roman" w:cs="Times New Roman"/>
          <w:sz w:val="28"/>
          <w:szCs w:val="28"/>
        </w:rPr>
        <w:t>вые выплаты.</w:t>
      </w:r>
    </w:p>
    <w:p w:rsidR="00B94DB2" w:rsidRPr="00757775" w:rsidRDefault="00B94DB2" w:rsidP="00B94DB2">
      <w:pPr>
        <w:spacing w:after="0" w:line="360" w:lineRule="auto"/>
        <w:ind w:firstLine="709"/>
        <w:jc w:val="both"/>
        <w:rPr>
          <w:rFonts w:ascii="Times New Roman" w:hAnsi="Times New Roman" w:cs="Times New Roman"/>
          <w:sz w:val="28"/>
          <w:szCs w:val="28"/>
        </w:rPr>
      </w:pPr>
      <w:r w:rsidRPr="00757775">
        <w:rPr>
          <w:rFonts w:ascii="Times New Roman" w:hAnsi="Times New Roman" w:cs="Times New Roman"/>
          <w:sz w:val="28"/>
          <w:szCs w:val="28"/>
        </w:rPr>
        <w:t xml:space="preserve">Оценивание неизвестных параметров модели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757775">
        <w:rPr>
          <w:rFonts w:ascii="Times New Roman" w:eastAsiaTheme="minorEastAsia" w:hAnsi="Times New Roman" w:cs="Times New Roman"/>
          <w:sz w:val="28"/>
          <w:szCs w:val="28"/>
        </w:rPr>
        <w:t xml:space="preserve"> 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 аналогии с мультипликативным методом расчета РПНУ </w:t>
      </w:r>
      <w:r>
        <w:rPr>
          <w:rFonts w:ascii="Times New Roman" w:hAnsi="Times New Roman" w:cs="Times New Roman"/>
          <w:sz w:val="28"/>
          <w:szCs w:val="28"/>
        </w:rPr>
        <w:t>реализуется</w:t>
      </w:r>
      <w:r w:rsidRPr="00757775">
        <w:rPr>
          <w:rFonts w:ascii="Times New Roman" w:hAnsi="Times New Roman" w:cs="Times New Roman"/>
          <w:sz w:val="28"/>
          <w:szCs w:val="28"/>
        </w:rPr>
        <w:t xml:space="preserve"> с помощью метода наименьших квадратов, состоящего в минимизации </w:t>
      </w:r>
      <w:r>
        <w:rPr>
          <w:rFonts w:ascii="Times New Roman" w:hAnsi="Times New Roman" w:cs="Times New Roman"/>
          <w:sz w:val="28"/>
          <w:szCs w:val="28"/>
        </w:rPr>
        <w:t>выражения</w:t>
      </w:r>
      <w:r w:rsidRPr="00757775">
        <w:rPr>
          <w:rFonts w:ascii="Times New Roman" w:hAnsi="Times New Roman" w:cs="Times New Roman"/>
          <w:sz w:val="28"/>
          <w:szCs w:val="28"/>
        </w:rPr>
        <w:t>:</w:t>
      </w:r>
    </w:p>
    <w:p w:rsidR="00B94DB2" w:rsidRPr="00B94DB2" w:rsidRDefault="00B94DB2" w:rsidP="00B94DB2">
      <w:pPr>
        <w:spacing w:after="0" w:line="360" w:lineRule="auto"/>
        <w:jc w:val="center"/>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GB"/>
          </w:rPr>
          <m:t>F</m:t>
        </m:r>
        <m:r>
          <w:rPr>
            <w:rFonts w:ascii="Cambria Math" w:eastAsiaTheme="minorEastAsia" w:hAnsi="Cambria Math" w:cs="Times New Roman"/>
            <w:sz w:val="28"/>
            <w:szCs w:val="28"/>
          </w:rPr>
          <m:t>=</m:t>
        </m:r>
        <m:nary>
          <m:naryPr>
            <m:chr m:val="∑"/>
            <m:limLoc m:val="undOvr"/>
            <m:supHide m:val="on"/>
            <m:ctrlPr>
              <w:rPr>
                <w:rFonts w:ascii="Cambria Math" w:hAnsi="Cambria Math" w:cs="Times New Roman"/>
                <w:i/>
                <w:sz w:val="28"/>
                <w:szCs w:val="28"/>
              </w:rPr>
            </m:ctrlPr>
          </m:naryPr>
          <m:sub>
            <m:r>
              <w:rPr>
                <w:rFonts w:ascii="Cambria Math" w:hAnsi="Cambria Math" w:cs="Times New Roman"/>
                <w:sz w:val="28"/>
                <w:szCs w:val="28"/>
                <w:lang w:val="en-GB"/>
              </w:rPr>
              <m:t>ij</m:t>
            </m:r>
          </m:sub>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c</m:t>
                        </m:r>
                      </m:e>
                      <m:sub>
                        <m:r>
                          <w:rPr>
                            <w:rFonts w:ascii="Cambria Math" w:hAnsi="Cambria Math" w:cs="Times New Roman"/>
                            <w:sz w:val="28"/>
                            <w:szCs w:val="28"/>
                          </w:rPr>
                          <m:t>ij</m:t>
                        </m:r>
                      </m:sub>
                    </m:sSub>
                  </m:e>
                </m:d>
              </m:e>
              <m:sup>
                <m:r>
                  <w:rPr>
                    <w:rFonts w:ascii="Cambria Math" w:hAnsi="Cambria Math" w:cs="Times New Roman"/>
                    <w:sz w:val="28"/>
                    <w:szCs w:val="28"/>
                  </w:rPr>
                  <m:t>2</m:t>
                </m:r>
              </m:sup>
            </m:sSup>
            <m:r>
              <w:rPr>
                <w:rFonts w:ascii="Cambria Math" w:hAnsi="Cambria Math" w:cs="Times New Roman"/>
                <w:sz w:val="28"/>
                <w:szCs w:val="28"/>
              </w:rPr>
              <m:t>→min</m:t>
            </m:r>
          </m:e>
        </m:nary>
      </m:oMath>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i=1,…,n</m:t>
        </m:r>
      </m:oMath>
      <w:r w:rsidRPr="00757775">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j=0,…,n-1</m:t>
        </m:r>
      </m:oMath>
      <w:r>
        <w:rPr>
          <w:rFonts w:ascii="Times New Roman" w:eastAsiaTheme="minorEastAsia" w:hAnsi="Times New Roman" w:cs="Times New Roman"/>
          <w:sz w:val="28"/>
          <w:szCs w:val="28"/>
        </w:rPr>
        <w:t>.</w:t>
      </w:r>
    </w:p>
    <w:p w:rsidR="00F54D8E" w:rsidRDefault="00B94DB2" w:rsidP="005158F2">
      <w:pPr>
        <w:spacing w:after="0" w:line="360" w:lineRule="auto"/>
        <w:ind w:firstLine="709"/>
        <w:jc w:val="both"/>
        <w:rPr>
          <w:rFonts w:ascii="Times New Roman" w:eastAsia="Times New Roman" w:hAnsi="Times New Roman" w:cs="Times New Roman"/>
          <w:color w:val="000000"/>
          <w:sz w:val="28"/>
          <w:szCs w:val="28"/>
          <w:lang w:eastAsia="ru-RU"/>
        </w:rPr>
      </w:pPr>
      <w:r w:rsidRPr="001943A1">
        <w:rPr>
          <w:rFonts w:ascii="Times New Roman" w:eastAsiaTheme="minorEastAsia" w:hAnsi="Times New Roman" w:cs="Times New Roman"/>
          <w:sz w:val="28"/>
          <w:szCs w:val="28"/>
        </w:rPr>
        <w:t xml:space="preserve">Выберем в качестве начальных значений </w:t>
      </w:r>
      <m:oMath>
        <m:d>
          <m:dPr>
            <m:begChr m:val="{"/>
            <m:endChr m:val="}"/>
            <m:ctrlPr>
              <w:rPr>
                <w:rFonts w:ascii="Cambria Math" w:eastAsiaTheme="minorEastAsia" w:hAnsi="Times New Roman" w:cs="Times New Roman"/>
                <w:i/>
                <w:sz w:val="28"/>
                <w:szCs w:val="28"/>
              </w:rPr>
            </m:ctrlPr>
          </m:dPr>
          <m:e>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up>
                <m:r>
                  <w:rPr>
                    <w:rFonts w:ascii="Cambria Math" w:eastAsiaTheme="minorEastAsia" w:hAnsi="Times New Roman" w:cs="Times New Roman"/>
                    <w:sz w:val="28"/>
                    <w:szCs w:val="28"/>
                  </w:rPr>
                  <m:t>0</m:t>
                </m:r>
              </m:sup>
            </m:sSubSup>
            <m:r>
              <w:rPr>
                <w:rFonts w:ascii="Cambria Math" w:eastAsiaTheme="minorEastAsia" w:hAnsi="Times New Roman" w:cs="Times New Roman"/>
                <w:sz w:val="28"/>
                <w:szCs w:val="28"/>
              </w:rPr>
              <m:t>;</m:t>
            </m:r>
            <m:r>
              <w:rPr>
                <w:rFonts w:ascii="Cambria Math" w:eastAsiaTheme="minorEastAsia" w:hAnsi="Cambria Math" w:cs="Times New Roman"/>
                <w:sz w:val="28"/>
                <w:szCs w:val="28"/>
              </w:rPr>
              <m:t>j</m:t>
            </m:r>
            <m:r>
              <w:rPr>
                <w:rFonts w:ascii="Cambria Math" w:eastAsiaTheme="minorEastAsia" w:hAnsi="Times New Roman" w:cs="Times New Roman"/>
                <w:sz w:val="28"/>
                <w:szCs w:val="28"/>
              </w:rPr>
              <m:t>=0,</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,20</m:t>
            </m:r>
          </m:e>
        </m:d>
      </m:oMath>
      <w:r w:rsidRPr="001943A1">
        <w:rPr>
          <w:rFonts w:ascii="Times New Roman" w:eastAsiaTheme="minorEastAsia" w:hAnsi="Times New Roman" w:cs="Times New Roman"/>
          <w:sz w:val="28"/>
          <w:szCs w:val="28"/>
        </w:rPr>
        <w:t xml:space="preserve"> доли су</w:t>
      </w:r>
      <w:proofErr w:type="spellStart"/>
      <w:r w:rsidRPr="001943A1">
        <w:rPr>
          <w:rFonts w:ascii="Times New Roman" w:eastAsiaTheme="minorEastAsia" w:hAnsi="Times New Roman" w:cs="Times New Roman"/>
          <w:sz w:val="28"/>
          <w:szCs w:val="28"/>
        </w:rPr>
        <w:t>м</w:t>
      </w:r>
      <w:r w:rsidRPr="001943A1">
        <w:rPr>
          <w:rFonts w:ascii="Times New Roman" w:eastAsiaTheme="minorEastAsia" w:hAnsi="Times New Roman" w:cs="Times New Roman"/>
          <w:sz w:val="28"/>
          <w:szCs w:val="28"/>
        </w:rPr>
        <w:t>марных</w:t>
      </w:r>
      <w:proofErr w:type="spellEnd"/>
      <w:r w:rsidRPr="001943A1">
        <w:rPr>
          <w:rFonts w:ascii="Times New Roman" w:eastAsiaTheme="minorEastAsia" w:hAnsi="Times New Roman" w:cs="Times New Roman"/>
          <w:sz w:val="28"/>
          <w:szCs w:val="28"/>
        </w:rPr>
        <w:t xml:space="preserve"> выплат страховой организации в третьем квартале 2012 г. по страх</w:t>
      </w:r>
      <w:r w:rsidRPr="001943A1">
        <w:rPr>
          <w:rFonts w:ascii="Times New Roman" w:eastAsiaTheme="minorEastAsia" w:hAnsi="Times New Roman" w:cs="Times New Roman"/>
          <w:sz w:val="28"/>
          <w:szCs w:val="28"/>
        </w:rPr>
        <w:t>о</w:t>
      </w:r>
      <w:r w:rsidRPr="001943A1">
        <w:rPr>
          <w:rFonts w:ascii="Times New Roman" w:eastAsiaTheme="minorEastAsia" w:hAnsi="Times New Roman" w:cs="Times New Roman"/>
          <w:sz w:val="28"/>
          <w:szCs w:val="28"/>
        </w:rPr>
        <w:lastRenderedPageBreak/>
        <w:t>вым случаям, произошедшим как в этом квартале, так и в течение последов</w:t>
      </w:r>
      <w:r w:rsidRPr="001943A1">
        <w:rPr>
          <w:rFonts w:ascii="Times New Roman" w:eastAsiaTheme="minorEastAsia" w:hAnsi="Times New Roman" w:cs="Times New Roman"/>
          <w:sz w:val="28"/>
          <w:szCs w:val="28"/>
        </w:rPr>
        <w:t>а</w:t>
      </w:r>
      <w:r w:rsidRPr="001943A1">
        <w:rPr>
          <w:rFonts w:ascii="Times New Roman" w:eastAsiaTheme="minorEastAsia" w:hAnsi="Times New Roman" w:cs="Times New Roman"/>
          <w:sz w:val="28"/>
          <w:szCs w:val="28"/>
        </w:rPr>
        <w:t>тельности предшествующих ему кварталов (табл. 2</w:t>
      </w:r>
      <w:r w:rsidR="00A820B6">
        <w:rPr>
          <w:rFonts w:ascii="Times New Roman" w:eastAsiaTheme="minorEastAsia" w:hAnsi="Times New Roman" w:cs="Times New Roman"/>
          <w:sz w:val="28"/>
          <w:szCs w:val="28"/>
        </w:rPr>
        <w:t>2</w:t>
      </w:r>
      <w:r w:rsidRPr="001943A1">
        <w:rPr>
          <w:rFonts w:ascii="Times New Roman" w:eastAsiaTheme="minorEastAsia" w:hAnsi="Times New Roman" w:cs="Times New Roman"/>
          <w:sz w:val="28"/>
          <w:szCs w:val="28"/>
        </w:rPr>
        <w:t>). В отсутствии инса</w:t>
      </w:r>
      <w:r w:rsidRPr="001943A1">
        <w:rPr>
          <w:rFonts w:ascii="Times New Roman" w:eastAsiaTheme="minorEastAsia" w:hAnsi="Times New Roman" w:cs="Times New Roman"/>
          <w:sz w:val="28"/>
          <w:szCs w:val="28"/>
        </w:rPr>
        <w:t>й</w:t>
      </w:r>
      <w:r w:rsidRPr="001943A1">
        <w:rPr>
          <w:rFonts w:ascii="Times New Roman" w:eastAsiaTheme="minorEastAsia" w:hAnsi="Times New Roman" w:cs="Times New Roman"/>
          <w:sz w:val="28"/>
          <w:szCs w:val="28"/>
        </w:rPr>
        <w:t xml:space="preserve">дерской информации о произведенных исследуемой страховой </w:t>
      </w:r>
      <w:r w:rsidR="00F579C6">
        <w:rPr>
          <w:rFonts w:ascii="Times New Roman" w:eastAsiaTheme="minorEastAsia" w:hAnsi="Times New Roman" w:cs="Times New Roman"/>
          <w:sz w:val="28"/>
          <w:szCs w:val="28"/>
        </w:rPr>
        <w:t>компанией</w:t>
      </w:r>
      <w:r w:rsidRPr="001943A1">
        <w:rPr>
          <w:rFonts w:ascii="Times New Roman" w:eastAsiaTheme="minorEastAsia" w:hAnsi="Times New Roman" w:cs="Times New Roman"/>
          <w:sz w:val="28"/>
          <w:szCs w:val="28"/>
        </w:rPr>
        <w:t xml:space="preserve"> выплатах в </w:t>
      </w:r>
      <w:r w:rsidR="00735239">
        <w:rPr>
          <w:rFonts w:ascii="Times New Roman" w:eastAsiaTheme="minorEastAsia" w:hAnsi="Times New Roman" w:cs="Times New Roman"/>
          <w:sz w:val="28"/>
          <w:szCs w:val="28"/>
        </w:rPr>
        <w:t>этом периоде</w:t>
      </w:r>
      <w:r w:rsidR="00F579C6">
        <w:rPr>
          <w:rFonts w:ascii="Times New Roman" w:eastAsiaTheme="minorEastAsia" w:hAnsi="Times New Roman" w:cs="Times New Roman"/>
          <w:sz w:val="28"/>
          <w:szCs w:val="28"/>
        </w:rPr>
        <w:t>,</w:t>
      </w:r>
      <w:r w:rsidRPr="001943A1">
        <w:rPr>
          <w:rFonts w:ascii="Times New Roman" w:eastAsiaTheme="minorEastAsia" w:hAnsi="Times New Roman" w:cs="Times New Roman"/>
          <w:sz w:val="28"/>
          <w:szCs w:val="28"/>
        </w:rPr>
        <w:t xml:space="preserve"> воспользуемся данными о выплатах</w:t>
      </w:r>
      <w:r w:rsidR="00F579C6" w:rsidRPr="00F579C6">
        <w:rPr>
          <w:rFonts w:ascii="Times New Roman" w:eastAsiaTheme="minorEastAsia" w:hAnsi="Times New Roman" w:cs="Times New Roman"/>
          <w:sz w:val="28"/>
          <w:szCs w:val="28"/>
        </w:rPr>
        <w:t xml:space="preserve"> </w:t>
      </w:r>
      <w:r w:rsidR="00F579C6">
        <w:rPr>
          <w:rFonts w:ascii="Times New Roman" w:eastAsiaTheme="minorEastAsia" w:hAnsi="Times New Roman" w:cs="Times New Roman"/>
          <w:sz w:val="28"/>
          <w:szCs w:val="28"/>
        </w:rPr>
        <w:t>(</w:t>
      </w:r>
      <w:r w:rsidR="00F579C6" w:rsidRPr="001943A1">
        <w:rPr>
          <w:rFonts w:ascii="Times New Roman" w:eastAsiaTheme="minorEastAsia" w:hAnsi="Times New Roman" w:cs="Times New Roman"/>
          <w:sz w:val="28"/>
          <w:szCs w:val="28"/>
        </w:rPr>
        <w:t>в размере 1 525 181 000 руб.</w:t>
      </w:r>
      <w:r w:rsidR="00F579C6">
        <w:rPr>
          <w:rFonts w:ascii="Times New Roman" w:eastAsiaTheme="minorEastAsia" w:hAnsi="Times New Roman" w:cs="Times New Roman"/>
          <w:sz w:val="28"/>
          <w:szCs w:val="28"/>
        </w:rPr>
        <w:t>)</w:t>
      </w:r>
      <w:r w:rsidRPr="001943A1">
        <w:rPr>
          <w:rFonts w:ascii="Times New Roman" w:eastAsiaTheme="minorEastAsia" w:hAnsi="Times New Roman" w:cs="Times New Roman"/>
          <w:sz w:val="28"/>
          <w:szCs w:val="28"/>
        </w:rPr>
        <w:t>, опубликованными на официальном сайте Федеральной службы по финансовым рынкам</w:t>
      </w:r>
      <w:r w:rsidR="00F579C6">
        <w:rPr>
          <w:rFonts w:ascii="Times New Roman" w:eastAsiaTheme="minorEastAsia" w:hAnsi="Times New Roman" w:cs="Times New Roman"/>
          <w:sz w:val="28"/>
          <w:szCs w:val="28"/>
        </w:rPr>
        <w:t xml:space="preserve">. </w:t>
      </w:r>
      <w:r w:rsidRPr="001943A1">
        <w:rPr>
          <w:rFonts w:ascii="Times New Roman" w:eastAsiaTheme="minorEastAsia" w:hAnsi="Times New Roman" w:cs="Times New Roman"/>
          <w:sz w:val="28"/>
          <w:szCs w:val="28"/>
        </w:rPr>
        <w:t>Суммир</w:t>
      </w:r>
      <w:r w:rsidR="00F579C6">
        <w:rPr>
          <w:rFonts w:ascii="Times New Roman" w:eastAsiaTheme="minorEastAsia" w:hAnsi="Times New Roman" w:cs="Times New Roman"/>
          <w:sz w:val="28"/>
          <w:szCs w:val="28"/>
        </w:rPr>
        <w:t>уя платежи</w:t>
      </w:r>
      <w:r w:rsidRPr="001943A1">
        <w:rPr>
          <w:rFonts w:ascii="Times New Roman" w:eastAsiaTheme="minorEastAsia" w:hAnsi="Times New Roman" w:cs="Times New Roman"/>
          <w:sz w:val="28"/>
          <w:szCs w:val="28"/>
        </w:rPr>
        <w:t xml:space="preserve"> на главной диагонали треугольника развития</w:t>
      </w:r>
      <w:r w:rsidR="00F579C6">
        <w:rPr>
          <w:rFonts w:ascii="Times New Roman" w:eastAsiaTheme="minorEastAsia" w:hAnsi="Times New Roman" w:cs="Times New Roman"/>
          <w:sz w:val="28"/>
          <w:szCs w:val="28"/>
        </w:rPr>
        <w:t>,</w:t>
      </w:r>
      <w:r w:rsidRPr="001943A1">
        <w:rPr>
          <w:rFonts w:ascii="Times New Roman" w:eastAsiaTheme="minorEastAsia" w:hAnsi="Times New Roman" w:cs="Times New Roman"/>
          <w:sz w:val="28"/>
          <w:szCs w:val="28"/>
        </w:rPr>
        <w:t xml:space="preserve"> находим величину</w:t>
      </w:r>
      <w:r w:rsidRPr="001943A1">
        <w:rPr>
          <w:rFonts w:ascii="Times New Roman" w:hAnsi="Times New Roman" w:cs="Times New Roman"/>
          <w:color w:val="000000"/>
          <w:sz w:val="28"/>
          <w:szCs w:val="28"/>
        </w:rPr>
        <w:t xml:space="preserve"> </w:t>
      </w:r>
      <w:r w:rsidRPr="001943A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1943A1">
        <w:rPr>
          <w:rFonts w:ascii="Times New Roman" w:eastAsia="Times New Roman" w:hAnsi="Times New Roman" w:cs="Times New Roman"/>
          <w:color w:val="000000"/>
          <w:sz w:val="28"/>
          <w:szCs w:val="28"/>
          <w:lang w:eastAsia="ru-RU"/>
        </w:rPr>
        <w:t>525</w:t>
      </w:r>
      <w:r>
        <w:rPr>
          <w:rFonts w:ascii="Times New Roman" w:eastAsia="Times New Roman" w:hAnsi="Times New Roman" w:cs="Times New Roman"/>
          <w:color w:val="000000"/>
          <w:sz w:val="28"/>
          <w:szCs w:val="28"/>
          <w:lang w:eastAsia="ru-RU"/>
        </w:rPr>
        <w:t> </w:t>
      </w:r>
      <w:r w:rsidRPr="001943A1">
        <w:rPr>
          <w:rFonts w:ascii="Times New Roman" w:eastAsia="Times New Roman" w:hAnsi="Times New Roman" w:cs="Times New Roman"/>
          <w:color w:val="000000"/>
          <w:sz w:val="28"/>
          <w:szCs w:val="28"/>
          <w:lang w:eastAsia="ru-RU"/>
        </w:rPr>
        <w:t>056</w:t>
      </w:r>
      <w:r>
        <w:rPr>
          <w:rFonts w:ascii="Times New Roman" w:eastAsia="Times New Roman" w:hAnsi="Times New Roman" w:cs="Times New Roman"/>
          <w:color w:val="000000"/>
          <w:sz w:val="28"/>
          <w:szCs w:val="28"/>
          <w:lang w:eastAsia="ru-RU"/>
        </w:rPr>
        <w:t> </w:t>
      </w:r>
      <w:r w:rsidRPr="001943A1">
        <w:rPr>
          <w:rFonts w:ascii="Times New Roman" w:eastAsia="Times New Roman" w:hAnsi="Times New Roman" w:cs="Times New Roman"/>
          <w:color w:val="000000"/>
          <w:sz w:val="28"/>
          <w:szCs w:val="28"/>
          <w:lang w:eastAsia="ru-RU"/>
        </w:rPr>
        <w:t>808</w:t>
      </w:r>
      <w:r>
        <w:rPr>
          <w:rFonts w:ascii="Times New Roman" w:eastAsia="Times New Roman" w:hAnsi="Times New Roman" w:cs="Times New Roman"/>
          <w:color w:val="000000"/>
          <w:sz w:val="28"/>
          <w:szCs w:val="28"/>
          <w:lang w:eastAsia="ru-RU"/>
        </w:rPr>
        <w:t xml:space="preserve"> руб. Предположим, что разница в 124 192 руб. между рассматриваемыми показателями соотве</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ствует </w:t>
      </w:r>
      <w:proofErr w:type="gramStart"/>
      <w:r w:rsidR="00F579C6">
        <w:rPr>
          <w:rFonts w:ascii="Times New Roman" w:eastAsia="Times New Roman" w:hAnsi="Times New Roman" w:cs="Times New Roman"/>
          <w:color w:val="000000"/>
          <w:sz w:val="28"/>
          <w:szCs w:val="28"/>
          <w:lang w:eastAsia="ru-RU"/>
        </w:rPr>
        <w:t>выплатам</w:t>
      </w:r>
      <w:r>
        <w:rPr>
          <w:rFonts w:ascii="Times New Roman" w:eastAsia="Times New Roman" w:hAnsi="Times New Roman" w:cs="Times New Roman"/>
          <w:color w:val="000000"/>
          <w:sz w:val="28"/>
          <w:szCs w:val="28"/>
          <w:lang w:eastAsia="ru-RU"/>
        </w:rPr>
        <w:t xml:space="preserve"> страховщика</w:t>
      </w:r>
      <w:proofErr w:type="gramEnd"/>
      <w:r>
        <w:rPr>
          <w:rFonts w:ascii="Times New Roman" w:eastAsia="Times New Roman" w:hAnsi="Times New Roman" w:cs="Times New Roman"/>
          <w:color w:val="000000"/>
          <w:sz w:val="28"/>
          <w:szCs w:val="28"/>
          <w:lang w:eastAsia="ru-RU"/>
        </w:rPr>
        <w:t xml:space="preserve"> по убыткам, наступившим до четвертого ква</w:t>
      </w: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тала 2007 г., т.е. </w:t>
      </w:r>
      <m:oMath>
        <m:sSubSup>
          <m:sSubSupPr>
            <m:ctrlPr>
              <w:rPr>
                <w:rFonts w:ascii="Cambria Math" w:eastAsia="Times New Roman" w:hAnsi="Cambria Math" w:cs="Times New Roman"/>
                <w:i/>
                <w:color w:val="000000"/>
                <w:sz w:val="28"/>
                <w:szCs w:val="28"/>
                <w:lang w:eastAsia="ru-RU"/>
              </w:rPr>
            </m:ctrlPr>
          </m:sSubSupPr>
          <m:e>
            <m:r>
              <w:rPr>
                <w:rFonts w:ascii="Cambria Math" w:eastAsia="Times New Roman" w:hAnsi="Cambria Math" w:cs="Times New Roman"/>
                <w:color w:val="000000"/>
                <w:sz w:val="28"/>
                <w:szCs w:val="28"/>
                <w:lang w:val="en-GB" w:eastAsia="ru-RU"/>
              </w:rPr>
              <m:t>p</m:t>
            </m:r>
          </m:e>
          <m:sub>
            <m:r>
              <w:rPr>
                <w:rFonts w:ascii="Cambria Math" w:eastAsia="Times New Roman" w:hAnsi="Cambria Math" w:cs="Times New Roman"/>
                <w:color w:val="000000"/>
                <w:sz w:val="28"/>
                <w:szCs w:val="28"/>
                <w:lang w:eastAsia="ru-RU"/>
              </w:rPr>
              <m:t>20</m:t>
            </m:r>
          </m:sub>
          <m:sup>
            <m:r>
              <w:rPr>
                <w:rFonts w:ascii="Cambria Math" w:eastAsia="Times New Roman" w:hAnsi="Cambria Math" w:cs="Times New Roman"/>
                <w:color w:val="000000"/>
                <w:sz w:val="28"/>
                <w:szCs w:val="28"/>
                <w:lang w:eastAsia="ru-RU"/>
              </w:rPr>
              <m:t>0</m:t>
            </m:r>
          </m:sup>
        </m:sSubSup>
        <m:r>
          <w:rPr>
            <w:rFonts w:ascii="Cambria Math" w:eastAsia="Times New Roman" w:hAnsi="Cambria Math" w:cs="Times New Roman"/>
            <w:color w:val="000000"/>
            <w:sz w:val="28"/>
            <w:szCs w:val="28"/>
            <w:lang w:eastAsia="ru-RU"/>
          </w:rPr>
          <m:t>=</m:t>
        </m:r>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124 192</m:t>
            </m:r>
          </m:num>
          <m:den>
            <m:r>
              <w:rPr>
                <w:rFonts w:ascii="Cambria Math" w:eastAsia="Times New Roman" w:hAnsi="Cambria Math" w:cs="Times New Roman"/>
                <w:color w:val="000000"/>
                <w:sz w:val="28"/>
                <w:szCs w:val="28"/>
                <w:lang w:eastAsia="ru-RU"/>
              </w:rPr>
              <m:t>1 525 181 000</m:t>
            </m:r>
          </m:den>
        </m:f>
      </m:oMath>
      <w:r w:rsidRPr="00F579C6">
        <w:rPr>
          <w:rFonts w:ascii="Times New Roman" w:eastAsia="Times New Roman" w:hAnsi="Times New Roman" w:cs="Times New Roman"/>
          <w:color w:val="000000"/>
          <w:sz w:val="28"/>
          <w:szCs w:val="28"/>
          <w:lang w:eastAsia="ru-RU"/>
        </w:rPr>
        <w:t>=0,000081</w:t>
      </w:r>
      <w:r w:rsidR="00F1569B">
        <w:rPr>
          <w:rFonts w:ascii="Times New Roman" w:eastAsia="Times New Roman" w:hAnsi="Times New Roman" w:cs="Times New Roman"/>
          <w:color w:val="000000"/>
          <w:sz w:val="28"/>
          <w:szCs w:val="28"/>
          <w:lang w:eastAsia="ru-RU"/>
        </w:rPr>
        <w:t xml:space="preserve"> (прил. 5)</w:t>
      </w:r>
      <w:r w:rsidRPr="00F579C6">
        <w:rPr>
          <w:rFonts w:ascii="Times New Roman" w:eastAsia="Times New Roman" w:hAnsi="Times New Roman" w:cs="Times New Roman"/>
          <w:color w:val="000000"/>
          <w:sz w:val="28"/>
          <w:szCs w:val="28"/>
          <w:lang w:eastAsia="ru-RU"/>
        </w:rPr>
        <w:t>.</w:t>
      </w:r>
      <w:r w:rsidR="00F54D8E">
        <w:rPr>
          <w:rFonts w:ascii="Times New Roman" w:eastAsia="Times New Roman" w:hAnsi="Times New Roman" w:cs="Times New Roman"/>
          <w:color w:val="000000"/>
          <w:sz w:val="28"/>
          <w:szCs w:val="28"/>
          <w:lang w:eastAsia="ru-RU"/>
        </w:rPr>
        <w:t xml:space="preserve"> </w:t>
      </w:r>
    </w:p>
    <w:p w:rsidR="00B94DB2" w:rsidRPr="005158F2" w:rsidRDefault="00B94DB2" w:rsidP="00B94DB2">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Таблица 2</w:t>
      </w:r>
      <w:r w:rsidR="00A820B6" w:rsidRPr="005158F2">
        <w:rPr>
          <w:rFonts w:ascii="Times New Roman" w:hAnsi="Times New Roman" w:cs="Times New Roman"/>
          <w:i/>
          <w:sz w:val="26"/>
          <w:szCs w:val="26"/>
        </w:rPr>
        <w:t>2</w:t>
      </w:r>
    </w:p>
    <w:p w:rsidR="00B94DB2" w:rsidRPr="005158F2" w:rsidRDefault="00B94DB2" w:rsidP="00B94DB2">
      <w:pPr>
        <w:spacing w:after="0" w:line="360" w:lineRule="auto"/>
        <w:jc w:val="center"/>
        <w:rPr>
          <w:rFonts w:ascii="Times New Roman" w:eastAsiaTheme="minorEastAsia" w:hAnsi="Times New Roman" w:cs="Times New Roman"/>
          <w:sz w:val="26"/>
          <w:szCs w:val="26"/>
        </w:rPr>
      </w:pPr>
      <w:r w:rsidRPr="005158F2">
        <w:rPr>
          <w:rFonts w:ascii="Times New Roman" w:hAnsi="Times New Roman" w:cs="Times New Roman"/>
          <w:i/>
          <w:sz w:val="26"/>
          <w:szCs w:val="26"/>
        </w:rPr>
        <w:t xml:space="preserve">Начальные значения </w:t>
      </w:r>
      <m:oMath>
        <m:sSubSup>
          <m:sSubSupPr>
            <m:ctrlPr>
              <w:rPr>
                <w:rFonts w:ascii="Cambria Math" w:hAnsi="Cambria Math" w:cs="Times New Roman"/>
                <w:i/>
                <w:sz w:val="26"/>
                <w:szCs w:val="26"/>
              </w:rPr>
            </m:ctrlPr>
          </m:sSubSupPr>
          <m:e>
            <m:r>
              <w:rPr>
                <w:rFonts w:ascii="Cambria Math" w:hAnsi="Cambria Math" w:cs="Times New Roman"/>
                <w:sz w:val="26"/>
                <w:szCs w:val="26"/>
                <w:lang w:val="en-GB"/>
              </w:rPr>
              <m:t>p</m:t>
            </m:r>
          </m:e>
          <m:sub>
            <m:r>
              <w:rPr>
                <w:rFonts w:ascii="Cambria Math" w:hAnsi="Cambria Math" w:cs="Times New Roman"/>
                <w:sz w:val="26"/>
                <w:szCs w:val="26"/>
              </w:rPr>
              <m:t>j</m:t>
            </m:r>
          </m:sub>
          <m:sup>
            <m:r>
              <w:rPr>
                <w:rFonts w:ascii="Cambria Math" w:hAnsi="Cambria Math" w:cs="Times New Roman"/>
                <w:sz w:val="26"/>
                <w:szCs w:val="26"/>
              </w:rPr>
              <m:t>0</m:t>
            </m:r>
          </m:sup>
        </m:sSubSup>
      </m:oMath>
      <w:r w:rsidR="00F1569B">
        <w:rPr>
          <w:rFonts w:ascii="Times New Roman" w:eastAsiaTheme="minorEastAsia" w:hAnsi="Times New Roman" w:cs="Times New Roman"/>
          <w:i/>
          <w:sz w:val="26"/>
          <w:szCs w:val="26"/>
        </w:rPr>
        <w:t xml:space="preserve"> для метода на основе финансовых потоков</w:t>
      </w:r>
    </w:p>
    <w:tbl>
      <w:tblPr>
        <w:tblW w:w="8513" w:type="dxa"/>
        <w:jc w:val="center"/>
        <w:tblInd w:w="103" w:type="dxa"/>
        <w:tblLook w:val="04A0"/>
      </w:tblPr>
      <w:tblGrid>
        <w:gridCol w:w="960"/>
        <w:gridCol w:w="1079"/>
        <w:gridCol w:w="1079"/>
        <w:gridCol w:w="1079"/>
        <w:gridCol w:w="1079"/>
        <w:gridCol w:w="1079"/>
        <w:gridCol w:w="1079"/>
        <w:gridCol w:w="1079"/>
      </w:tblGrid>
      <w:tr w:rsidR="00B94DB2" w:rsidRPr="00B977E2" w:rsidTr="00B94DB2">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94DB2" w:rsidRPr="00B977E2" w:rsidRDefault="00B94DB2" w:rsidP="00B94DB2">
            <w:pPr>
              <w:spacing w:after="0" w:line="240" w:lineRule="auto"/>
              <w:jc w:val="center"/>
              <w:rPr>
                <w:rFonts w:ascii="Calibri" w:eastAsia="Times New Roman" w:hAnsi="Calibri" w:cs="Times New Roman"/>
                <w:color w:val="000000"/>
                <w:lang w:eastAsia="ru-RU"/>
              </w:rPr>
            </w:pPr>
            <w:r w:rsidRPr="00B977E2">
              <w:rPr>
                <w:rFonts w:ascii="Calibri" w:eastAsia="Times New Roman" w:hAnsi="Calibri" w:cs="Times New Roman"/>
                <w:color w:val="000000"/>
                <w:lang w:eastAsia="ru-RU"/>
              </w:rPr>
              <w:t> </w:t>
            </w:r>
          </w:p>
        </w:tc>
        <w:tc>
          <w:tcPr>
            <w:tcW w:w="7553" w:type="dxa"/>
            <w:gridSpan w:val="7"/>
            <w:tcBorders>
              <w:top w:val="single" w:sz="4" w:space="0" w:color="auto"/>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b/>
                <w:bCs/>
                <w:color w:val="000000"/>
                <w:sz w:val="23"/>
                <w:szCs w:val="23"/>
                <w:lang w:eastAsia="ru-RU"/>
              </w:rPr>
            </w:pPr>
            <w:r w:rsidRPr="00B977E2">
              <w:rPr>
                <w:rFonts w:ascii="Times New Roman" w:eastAsia="Times New Roman" w:hAnsi="Times New Roman" w:cs="Times New Roman"/>
                <w:b/>
                <w:bCs/>
                <w:color w:val="000000"/>
                <w:sz w:val="23"/>
                <w:szCs w:val="23"/>
                <w:lang w:eastAsia="ru-RU"/>
              </w:rPr>
              <w:t xml:space="preserve">Квартал наступления убытков, </w:t>
            </w:r>
            <w:proofErr w:type="spellStart"/>
            <w:r w:rsidRPr="00B977E2">
              <w:rPr>
                <w:rFonts w:ascii="Times New Roman" w:eastAsia="Times New Roman" w:hAnsi="Times New Roman" w:cs="Times New Roman"/>
                <w:b/>
                <w:bCs/>
                <w:color w:val="000000"/>
                <w:sz w:val="23"/>
                <w:szCs w:val="23"/>
                <w:lang w:eastAsia="ru-RU"/>
              </w:rPr>
              <w:t>j</w:t>
            </w:r>
            <w:proofErr w:type="spellEnd"/>
          </w:p>
        </w:tc>
      </w:tr>
      <w:tr w:rsidR="00B94DB2" w:rsidRPr="00B977E2" w:rsidTr="00B94DB2">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94DB2" w:rsidRPr="00B977E2" w:rsidRDefault="00B94DB2" w:rsidP="00B94DB2">
            <w:pPr>
              <w:spacing w:after="0" w:line="240" w:lineRule="auto"/>
              <w:rPr>
                <w:rFonts w:ascii="Calibri" w:eastAsia="Times New Roman" w:hAnsi="Calibri" w:cs="Times New Roman"/>
                <w:color w:val="000000"/>
                <w:lang w:eastAsia="ru-RU"/>
              </w:rPr>
            </w:pP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1</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2</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3</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4</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5</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6</w:t>
            </w:r>
          </w:p>
        </w:tc>
      </w:tr>
      <w:tr w:rsidR="00B94DB2" w:rsidRPr="00B977E2" w:rsidTr="00B94DB2">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b/>
                <w:bCs/>
                <w:color w:val="000000"/>
                <w:sz w:val="23"/>
                <w:szCs w:val="23"/>
                <w:lang w:eastAsia="ru-RU"/>
              </w:rPr>
            </w:pPr>
            <w:r w:rsidRPr="00B977E2">
              <w:rPr>
                <w:rFonts w:ascii="Times New Roman" w:eastAsia="Times New Roman" w:hAnsi="Times New Roman" w:cs="Times New Roman"/>
                <w:b/>
                <w:bCs/>
                <w:color w:val="000000"/>
                <w:sz w:val="23"/>
                <w:szCs w:val="23"/>
                <w:lang w:eastAsia="ru-RU"/>
              </w:rPr>
              <w:t>p</w:t>
            </w:r>
            <w:r w:rsidRPr="00B977E2">
              <w:rPr>
                <w:rFonts w:ascii="Times New Roman" w:eastAsia="Times New Roman" w:hAnsi="Times New Roman" w:cs="Times New Roman"/>
                <w:b/>
                <w:bCs/>
                <w:color w:val="000000"/>
                <w:sz w:val="23"/>
                <w:szCs w:val="23"/>
                <w:vertAlign w:val="subscript"/>
                <w:lang w:eastAsia="ru-RU"/>
              </w:rPr>
              <w:t>j</w:t>
            </w:r>
            <w:r w:rsidRPr="00B977E2">
              <w:rPr>
                <w:rFonts w:ascii="Times New Roman" w:eastAsia="Times New Roman" w:hAnsi="Times New Roman" w:cs="Times New Roman"/>
                <w:b/>
                <w:bCs/>
                <w:color w:val="000000"/>
                <w:sz w:val="23"/>
                <w:szCs w:val="23"/>
                <w:vertAlign w:val="superscript"/>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0,634779</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0,354624</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0,010286</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0,000137</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0,000037</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0,000001</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B977E2">
              <w:rPr>
                <w:rFonts w:ascii="Times New Roman" w:eastAsia="Times New Roman" w:hAnsi="Times New Roman" w:cs="Times New Roman"/>
                <w:color w:val="000000"/>
                <w:sz w:val="21"/>
                <w:szCs w:val="21"/>
                <w:lang w:eastAsia="ru-RU"/>
              </w:rPr>
              <w:t>0</w:t>
            </w:r>
          </w:p>
        </w:tc>
      </w:tr>
      <w:tr w:rsidR="00B94DB2" w:rsidRPr="00B977E2" w:rsidTr="00B94DB2">
        <w:trPr>
          <w:trHeight w:val="300"/>
          <w:jc w:val="center"/>
        </w:trPr>
        <w:tc>
          <w:tcPr>
            <w:tcW w:w="960" w:type="dxa"/>
            <w:tcBorders>
              <w:top w:val="nil"/>
              <w:left w:val="single" w:sz="4" w:space="0" w:color="auto"/>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 </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15</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16</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17</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18</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19</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 (20)</w:t>
            </w:r>
          </w:p>
        </w:tc>
      </w:tr>
      <w:tr w:rsidR="00B94DB2" w:rsidRPr="00B977E2" w:rsidTr="00B94DB2">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b/>
                <w:bCs/>
                <w:color w:val="000000"/>
                <w:sz w:val="23"/>
                <w:szCs w:val="23"/>
                <w:lang w:eastAsia="ru-RU"/>
              </w:rPr>
            </w:pPr>
            <w:r w:rsidRPr="00B977E2">
              <w:rPr>
                <w:rFonts w:ascii="Times New Roman" w:eastAsia="Times New Roman" w:hAnsi="Times New Roman" w:cs="Times New Roman"/>
                <w:b/>
                <w:bCs/>
                <w:color w:val="000000"/>
                <w:sz w:val="23"/>
                <w:szCs w:val="23"/>
                <w:lang w:eastAsia="ru-RU"/>
              </w:rPr>
              <w:t>p</w:t>
            </w:r>
            <w:r w:rsidRPr="00B977E2">
              <w:rPr>
                <w:rFonts w:ascii="Times New Roman" w:eastAsia="Times New Roman" w:hAnsi="Times New Roman" w:cs="Times New Roman"/>
                <w:b/>
                <w:bCs/>
                <w:color w:val="000000"/>
                <w:sz w:val="23"/>
                <w:szCs w:val="23"/>
                <w:vertAlign w:val="subscript"/>
                <w:lang w:eastAsia="ru-RU"/>
              </w:rPr>
              <w:t>j</w:t>
            </w:r>
            <w:r w:rsidRPr="00B977E2">
              <w:rPr>
                <w:rFonts w:ascii="Times New Roman" w:eastAsia="Times New Roman" w:hAnsi="Times New Roman" w:cs="Times New Roman"/>
                <w:b/>
                <w:bCs/>
                <w:color w:val="000000"/>
                <w:sz w:val="23"/>
                <w:szCs w:val="23"/>
                <w:vertAlign w:val="superscript"/>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B977E2">
              <w:rPr>
                <w:rFonts w:ascii="Times New Roman" w:eastAsia="Times New Roman" w:hAnsi="Times New Roman" w:cs="Times New Roman"/>
                <w:color w:val="000000"/>
                <w:sz w:val="21"/>
                <w:szCs w:val="21"/>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0,000005</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0,000050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B977E2">
              <w:rPr>
                <w:rFonts w:ascii="Times New Roman" w:eastAsia="Times New Roman" w:hAnsi="Times New Roman" w:cs="Times New Roman"/>
                <w:color w:val="000000"/>
                <w:sz w:val="21"/>
                <w:szCs w:val="21"/>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B977E2">
              <w:rPr>
                <w:rFonts w:ascii="Times New Roman" w:eastAsia="Times New Roman" w:hAnsi="Times New Roman" w:cs="Times New Roman"/>
                <w:color w:val="000000"/>
                <w:sz w:val="21"/>
                <w:szCs w:val="21"/>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B977E2"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B977E2">
              <w:rPr>
                <w:rFonts w:ascii="Times New Roman" w:eastAsia="Times New Roman" w:hAnsi="Times New Roman" w:cs="Times New Roman"/>
                <w:color w:val="000000"/>
                <w:sz w:val="23"/>
                <w:szCs w:val="23"/>
                <w:lang w:eastAsia="ru-RU"/>
              </w:rPr>
              <w:t>0,000081</w:t>
            </w:r>
          </w:p>
        </w:tc>
      </w:tr>
    </w:tbl>
    <w:p w:rsidR="00F54D8E" w:rsidRPr="002D6490" w:rsidRDefault="00F54D8E" w:rsidP="00F54D8E">
      <w:pPr>
        <w:spacing w:before="240" w:after="0" w:line="360" w:lineRule="auto"/>
        <w:ind w:firstLine="709"/>
        <w:jc w:val="both"/>
        <w:rPr>
          <w:rFonts w:ascii="Times New Roman" w:hAnsi="Times New Roman" w:cs="Times New Roman"/>
          <w:i/>
          <w:sz w:val="25"/>
          <w:szCs w:val="25"/>
        </w:rPr>
      </w:pPr>
      <w:r>
        <w:rPr>
          <w:rFonts w:ascii="Times New Roman" w:eastAsia="Times New Roman" w:hAnsi="Times New Roman" w:cs="Times New Roman"/>
          <w:color w:val="000000"/>
          <w:sz w:val="28"/>
          <w:szCs w:val="28"/>
          <w:lang w:eastAsia="ru-RU"/>
        </w:rPr>
        <w:t>После</w:t>
      </w:r>
      <w:r w:rsidRPr="007577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шести проведенных </w:t>
      </w:r>
      <w:r w:rsidRPr="00757775">
        <w:rPr>
          <w:rFonts w:ascii="Times New Roman" w:eastAsiaTheme="minorEastAsia" w:hAnsi="Times New Roman" w:cs="Times New Roman"/>
          <w:sz w:val="28"/>
          <w:szCs w:val="28"/>
        </w:rPr>
        <w:t xml:space="preserve">итераций первые шесть цифр после запятой в выражении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rPr>
              <m:t>j</m:t>
            </m:r>
          </m:sub>
        </m:sSub>
      </m:oMath>
      <w:r w:rsidRPr="00757775">
        <w:rPr>
          <w:rFonts w:ascii="Times New Roman" w:eastAsiaTheme="minorEastAsia" w:hAnsi="Times New Roman" w:cs="Times New Roman"/>
          <w:sz w:val="28"/>
          <w:szCs w:val="28"/>
        </w:rPr>
        <w:t xml:space="preserve"> оказываются известными (</w:t>
      </w:r>
      <w:r w:rsidRPr="008918AD">
        <w:rPr>
          <w:rFonts w:ascii="Times New Roman" w:eastAsiaTheme="minorEastAsia" w:hAnsi="Times New Roman" w:cs="Times New Roman"/>
          <w:sz w:val="28"/>
          <w:szCs w:val="28"/>
        </w:rPr>
        <w:t xml:space="preserve">табл. </w:t>
      </w:r>
      <w:r w:rsidR="00A820B6">
        <w:rPr>
          <w:rFonts w:ascii="Times New Roman" w:eastAsiaTheme="minorEastAsia" w:hAnsi="Times New Roman" w:cs="Times New Roman"/>
          <w:sz w:val="28"/>
          <w:szCs w:val="28"/>
        </w:rPr>
        <w:t>23</w:t>
      </w:r>
      <w:r w:rsidRPr="00757775">
        <w:rPr>
          <w:rFonts w:ascii="Times New Roman" w:eastAsiaTheme="minorEastAsia" w:hAnsi="Times New Roman" w:cs="Times New Roman"/>
          <w:sz w:val="28"/>
          <w:szCs w:val="28"/>
        </w:rPr>
        <w:t xml:space="preserve">). </w:t>
      </w:r>
      <m:oMath>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GB"/>
              </w:rPr>
              <m:t>j</m:t>
            </m:r>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20</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e>
        </m:nary>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0,9703 </w:t>
      </w:r>
      <w:proofErr w:type="gramStart"/>
      <w:r>
        <w:rPr>
          <w:rFonts w:ascii="Times New Roman" w:eastAsiaTheme="minorEastAsia" w:hAnsi="Times New Roman" w:cs="Times New Roman"/>
          <w:sz w:val="28"/>
          <w:szCs w:val="28"/>
        </w:rPr>
        <w:t>близка</w:t>
      </w:r>
      <w:proofErr w:type="gramEnd"/>
      <w:r>
        <w:rPr>
          <w:rFonts w:ascii="Times New Roman" w:eastAsiaTheme="minorEastAsia" w:hAnsi="Times New Roman" w:cs="Times New Roman"/>
          <w:sz w:val="28"/>
          <w:szCs w:val="28"/>
        </w:rPr>
        <w:t xml:space="preserve"> по значению к единице.</w:t>
      </w:r>
      <w:r w:rsidR="002D6490">
        <w:rPr>
          <w:rFonts w:ascii="Times New Roman" w:eastAsiaTheme="minorEastAsia" w:hAnsi="Times New Roman" w:cs="Times New Roman"/>
          <w:sz w:val="28"/>
          <w:szCs w:val="28"/>
        </w:rPr>
        <w:t xml:space="preserve"> Таким образом, 67,33% суммарных выплат </w:t>
      </w:r>
      <w:proofErr w:type="spellStart"/>
      <w:r w:rsidR="002D6490" w:rsidRPr="002D6490">
        <w:rPr>
          <w:rFonts w:ascii="Times New Roman" w:eastAsiaTheme="minorEastAsia" w:hAnsi="Times New Roman" w:cs="Times New Roman"/>
          <w:i/>
          <w:sz w:val="28"/>
          <w:szCs w:val="28"/>
          <w:lang w:val="en-GB"/>
        </w:rPr>
        <w:t>i</w:t>
      </w:r>
      <w:proofErr w:type="spellEnd"/>
      <w:r w:rsidR="002D6490" w:rsidRPr="002D6490">
        <w:rPr>
          <w:rFonts w:ascii="Times New Roman" w:eastAsiaTheme="minorEastAsia" w:hAnsi="Times New Roman" w:cs="Times New Roman"/>
          <w:sz w:val="28"/>
          <w:szCs w:val="28"/>
        </w:rPr>
        <w:t>-</w:t>
      </w:r>
      <w:r w:rsidR="002D6490">
        <w:rPr>
          <w:rFonts w:ascii="Times New Roman" w:eastAsiaTheme="minorEastAsia" w:hAnsi="Times New Roman" w:cs="Times New Roman"/>
          <w:sz w:val="28"/>
          <w:szCs w:val="28"/>
        </w:rPr>
        <w:t>го к</w:t>
      </w:r>
      <w:r w:rsidR="002D6490">
        <w:rPr>
          <w:rFonts w:ascii="Times New Roman" w:eastAsiaTheme="minorEastAsia" w:hAnsi="Times New Roman" w:cs="Times New Roman"/>
          <w:sz w:val="28"/>
          <w:szCs w:val="28"/>
        </w:rPr>
        <w:t>а</w:t>
      </w:r>
      <w:r w:rsidR="002D6490">
        <w:rPr>
          <w:rFonts w:ascii="Times New Roman" w:eastAsiaTheme="minorEastAsia" w:hAnsi="Times New Roman" w:cs="Times New Roman"/>
          <w:sz w:val="28"/>
          <w:szCs w:val="28"/>
        </w:rPr>
        <w:t xml:space="preserve">лендарного квартала производится по страховым случаям, произошедшим непосредственно в течение этого квартала, </w:t>
      </w:r>
      <w:r w:rsidR="00667247">
        <w:rPr>
          <w:rFonts w:ascii="Times New Roman" w:eastAsiaTheme="minorEastAsia" w:hAnsi="Times New Roman" w:cs="Times New Roman"/>
          <w:sz w:val="28"/>
          <w:szCs w:val="28"/>
        </w:rPr>
        <w:t>27,94% – по убыткам предшес</w:t>
      </w:r>
      <w:r w:rsidR="00667247">
        <w:rPr>
          <w:rFonts w:ascii="Times New Roman" w:eastAsiaTheme="minorEastAsia" w:hAnsi="Times New Roman" w:cs="Times New Roman"/>
          <w:sz w:val="28"/>
          <w:szCs w:val="28"/>
        </w:rPr>
        <w:t>т</w:t>
      </w:r>
      <w:r w:rsidR="00667247">
        <w:rPr>
          <w:rFonts w:ascii="Times New Roman" w:eastAsiaTheme="minorEastAsia" w:hAnsi="Times New Roman" w:cs="Times New Roman"/>
          <w:sz w:val="28"/>
          <w:szCs w:val="28"/>
        </w:rPr>
        <w:t>вующего ему квартала и приблизительно 1,77% – по страховым случаям б</w:t>
      </w:r>
      <w:r w:rsidR="00667247">
        <w:rPr>
          <w:rFonts w:ascii="Times New Roman" w:eastAsiaTheme="minorEastAsia" w:hAnsi="Times New Roman" w:cs="Times New Roman"/>
          <w:sz w:val="28"/>
          <w:szCs w:val="28"/>
        </w:rPr>
        <w:t>о</w:t>
      </w:r>
      <w:r w:rsidR="00ED5D51">
        <w:rPr>
          <w:rFonts w:ascii="Times New Roman" w:eastAsiaTheme="minorEastAsia" w:hAnsi="Times New Roman" w:cs="Times New Roman"/>
          <w:sz w:val="28"/>
          <w:szCs w:val="28"/>
        </w:rPr>
        <w:t>лее отд</w:t>
      </w:r>
      <w:r w:rsidR="00667247">
        <w:rPr>
          <w:rFonts w:ascii="Times New Roman" w:eastAsiaTheme="minorEastAsia" w:hAnsi="Times New Roman" w:cs="Times New Roman"/>
          <w:sz w:val="28"/>
          <w:szCs w:val="28"/>
        </w:rPr>
        <w:t>аленных во времени периодов.</w:t>
      </w:r>
    </w:p>
    <w:p w:rsidR="00B94DB2" w:rsidRPr="005158F2" w:rsidRDefault="00B94DB2" w:rsidP="00B94DB2">
      <w:pPr>
        <w:spacing w:after="0" w:line="360" w:lineRule="auto"/>
        <w:jc w:val="right"/>
        <w:rPr>
          <w:rFonts w:ascii="Times New Roman" w:hAnsi="Times New Roman" w:cs="Times New Roman"/>
          <w:i/>
          <w:sz w:val="26"/>
          <w:szCs w:val="26"/>
        </w:rPr>
      </w:pPr>
      <w:r w:rsidRPr="005158F2">
        <w:rPr>
          <w:rFonts w:ascii="Times New Roman" w:hAnsi="Times New Roman" w:cs="Times New Roman"/>
          <w:i/>
          <w:sz w:val="26"/>
          <w:szCs w:val="26"/>
        </w:rPr>
        <w:t>Таблица 2</w:t>
      </w:r>
      <w:r w:rsidR="00A820B6" w:rsidRPr="005158F2">
        <w:rPr>
          <w:rFonts w:ascii="Times New Roman" w:hAnsi="Times New Roman" w:cs="Times New Roman"/>
          <w:i/>
          <w:sz w:val="26"/>
          <w:szCs w:val="26"/>
        </w:rPr>
        <w:t>3</w:t>
      </w:r>
    </w:p>
    <w:p w:rsidR="000D1166" w:rsidRDefault="00B94DB2" w:rsidP="00F1569B">
      <w:pPr>
        <w:spacing w:after="0" w:line="360" w:lineRule="auto"/>
        <w:jc w:val="center"/>
        <w:rPr>
          <w:rFonts w:ascii="Times New Roman" w:eastAsiaTheme="minorEastAsia" w:hAnsi="Times New Roman" w:cs="Times New Roman"/>
          <w:i/>
          <w:sz w:val="26"/>
          <w:szCs w:val="26"/>
        </w:rPr>
      </w:pPr>
      <w:r w:rsidRPr="005158F2">
        <w:rPr>
          <w:rFonts w:ascii="Times New Roman" w:hAnsi="Times New Roman" w:cs="Times New Roman"/>
          <w:i/>
          <w:sz w:val="26"/>
          <w:szCs w:val="26"/>
        </w:rPr>
        <w:t>Искомые значения</w:t>
      </w:r>
      <w:r w:rsidRPr="005158F2">
        <w:rPr>
          <w:rFonts w:ascii="Times New Roman" w:eastAsiaTheme="minorEastAsia" w:hAnsi="Times New Roman" w:cs="Times New Roman"/>
          <w:i/>
          <w:sz w:val="26"/>
          <w:szCs w:val="26"/>
        </w:rPr>
        <w:t xml:space="preserve"> </w:t>
      </w:r>
      <m:oMath>
        <m:sSub>
          <m:sSubPr>
            <m:ctrlPr>
              <w:rPr>
                <w:rFonts w:ascii="Cambria Math" w:hAnsi="Cambria Math" w:cs="Times New Roman"/>
                <w:i/>
                <w:sz w:val="26"/>
                <w:szCs w:val="26"/>
              </w:rPr>
            </m:ctrlPr>
          </m:sSubPr>
          <m:e>
            <m:r>
              <w:rPr>
                <w:rFonts w:ascii="Cambria Math" w:hAnsi="Cambria Math" w:cs="Times New Roman"/>
                <w:sz w:val="26"/>
                <w:szCs w:val="26"/>
                <w:lang w:val="en-GB"/>
              </w:rPr>
              <m:t>p</m:t>
            </m:r>
          </m:e>
          <m:sub>
            <m:r>
              <w:rPr>
                <w:rFonts w:ascii="Cambria Math" w:hAnsi="Cambria Math" w:cs="Times New Roman"/>
                <w:sz w:val="26"/>
                <w:szCs w:val="26"/>
              </w:rPr>
              <m:t>j</m:t>
            </m:r>
          </m:sub>
        </m:sSub>
      </m:oMath>
      <w:r w:rsidRPr="005158F2">
        <w:rPr>
          <w:rFonts w:ascii="Times New Roman" w:eastAsiaTheme="minorEastAsia" w:hAnsi="Times New Roman" w:cs="Times New Roman"/>
          <w:i/>
          <w:sz w:val="26"/>
          <w:szCs w:val="26"/>
        </w:rPr>
        <w:t xml:space="preserve"> после процедуры последовательного приближения</w:t>
      </w:r>
    </w:p>
    <w:p w:rsidR="00F1569B" w:rsidRPr="005158F2" w:rsidRDefault="00F1569B" w:rsidP="00F1569B">
      <w:pPr>
        <w:spacing w:after="0" w:line="360" w:lineRule="auto"/>
        <w:jc w:val="center"/>
        <w:rPr>
          <w:rFonts w:ascii="Times New Roman" w:eastAsiaTheme="minorEastAsia" w:hAnsi="Times New Roman" w:cs="Times New Roman"/>
          <w:i/>
          <w:sz w:val="26"/>
          <w:szCs w:val="26"/>
        </w:rPr>
      </w:pPr>
      <w:r>
        <w:rPr>
          <w:rFonts w:ascii="Times New Roman" w:eastAsiaTheme="minorEastAsia" w:hAnsi="Times New Roman" w:cs="Times New Roman"/>
          <w:i/>
          <w:sz w:val="26"/>
          <w:szCs w:val="26"/>
        </w:rPr>
        <w:t>согласно методу на основе финансовых потоков</w:t>
      </w:r>
    </w:p>
    <w:tbl>
      <w:tblPr>
        <w:tblW w:w="10042" w:type="dxa"/>
        <w:jc w:val="right"/>
        <w:tblInd w:w="507" w:type="dxa"/>
        <w:tblLook w:val="04A0"/>
      </w:tblPr>
      <w:tblGrid>
        <w:gridCol w:w="556"/>
        <w:gridCol w:w="1079"/>
        <w:gridCol w:w="1079"/>
        <w:gridCol w:w="1079"/>
        <w:gridCol w:w="1079"/>
        <w:gridCol w:w="1079"/>
        <w:gridCol w:w="1079"/>
        <w:gridCol w:w="1004"/>
        <w:gridCol w:w="1004"/>
        <w:gridCol w:w="1004"/>
      </w:tblGrid>
      <w:tr w:rsidR="00B94DB2" w:rsidRPr="00023749" w:rsidTr="00D71C74">
        <w:trPr>
          <w:trHeight w:val="300"/>
          <w:jc w:val="right"/>
        </w:trPr>
        <w:tc>
          <w:tcPr>
            <w:tcW w:w="5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94DB2" w:rsidRPr="00023749" w:rsidRDefault="00B94DB2" w:rsidP="00B94DB2">
            <w:pPr>
              <w:spacing w:after="0" w:line="240" w:lineRule="auto"/>
              <w:jc w:val="center"/>
              <w:rPr>
                <w:rFonts w:ascii="Calibri" w:eastAsia="Times New Roman" w:hAnsi="Calibri" w:cs="Times New Roman"/>
                <w:color w:val="000000"/>
                <w:lang w:eastAsia="ru-RU"/>
              </w:rPr>
            </w:pPr>
            <w:r w:rsidRPr="00023749">
              <w:rPr>
                <w:rFonts w:ascii="Calibri" w:eastAsia="Times New Roman" w:hAnsi="Calibri" w:cs="Times New Roman"/>
                <w:color w:val="000000"/>
                <w:lang w:eastAsia="ru-RU"/>
              </w:rPr>
              <w:t> </w:t>
            </w:r>
          </w:p>
        </w:tc>
        <w:tc>
          <w:tcPr>
            <w:tcW w:w="9486" w:type="dxa"/>
            <w:gridSpan w:val="9"/>
            <w:tcBorders>
              <w:top w:val="single" w:sz="4" w:space="0" w:color="auto"/>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b/>
                <w:bCs/>
                <w:color w:val="000000"/>
                <w:sz w:val="23"/>
                <w:szCs w:val="23"/>
                <w:lang w:eastAsia="ru-RU"/>
              </w:rPr>
            </w:pPr>
            <w:r w:rsidRPr="00023749">
              <w:rPr>
                <w:rFonts w:ascii="Times New Roman" w:eastAsia="Times New Roman" w:hAnsi="Times New Roman" w:cs="Times New Roman"/>
                <w:b/>
                <w:bCs/>
                <w:color w:val="000000"/>
                <w:sz w:val="23"/>
                <w:szCs w:val="23"/>
                <w:lang w:eastAsia="ru-RU"/>
              </w:rPr>
              <w:t xml:space="preserve">Квартал наступления убытков, </w:t>
            </w:r>
            <w:proofErr w:type="spellStart"/>
            <w:r w:rsidRPr="00023749">
              <w:rPr>
                <w:rFonts w:ascii="Times New Roman" w:eastAsia="Times New Roman" w:hAnsi="Times New Roman" w:cs="Times New Roman"/>
                <w:b/>
                <w:bCs/>
                <w:color w:val="000000"/>
                <w:sz w:val="23"/>
                <w:szCs w:val="23"/>
                <w:lang w:eastAsia="ru-RU"/>
              </w:rPr>
              <w:t>j</w:t>
            </w:r>
            <w:proofErr w:type="spellEnd"/>
          </w:p>
        </w:tc>
      </w:tr>
      <w:tr w:rsidR="00B94DB2" w:rsidRPr="00023749" w:rsidTr="00D71C74">
        <w:trPr>
          <w:trHeight w:val="300"/>
          <w:jc w:val="right"/>
        </w:trPr>
        <w:tc>
          <w:tcPr>
            <w:tcW w:w="556" w:type="dxa"/>
            <w:vMerge/>
            <w:tcBorders>
              <w:top w:val="single" w:sz="4" w:space="0" w:color="auto"/>
              <w:left w:val="single" w:sz="4" w:space="0" w:color="auto"/>
              <w:bottom w:val="single" w:sz="4" w:space="0" w:color="000000"/>
              <w:right w:val="single" w:sz="4" w:space="0" w:color="auto"/>
            </w:tcBorders>
            <w:vAlign w:val="center"/>
            <w:hideMark/>
          </w:tcPr>
          <w:p w:rsidR="00B94DB2" w:rsidRPr="00023749" w:rsidRDefault="00B94DB2" w:rsidP="00B94DB2">
            <w:pPr>
              <w:spacing w:after="0" w:line="240" w:lineRule="auto"/>
              <w:rPr>
                <w:rFonts w:ascii="Calibri" w:eastAsia="Times New Roman" w:hAnsi="Calibri" w:cs="Times New Roman"/>
                <w:color w:val="000000"/>
                <w:lang w:eastAsia="ru-RU"/>
              </w:rPr>
            </w:pP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val="en-GB" w:eastAsia="ru-RU"/>
              </w:rPr>
            </w:pPr>
            <w:r>
              <w:rPr>
                <w:rFonts w:ascii="Times New Roman" w:eastAsia="Times New Roman" w:hAnsi="Times New Roman" w:cs="Times New Roman"/>
                <w:color w:val="000000"/>
                <w:sz w:val="23"/>
                <w:szCs w:val="23"/>
                <w:lang w:val="en-GB" w:eastAsia="ru-RU"/>
              </w:rPr>
              <w:t>0</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2</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3</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4</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5</w:t>
            </w:r>
          </w:p>
        </w:tc>
        <w:tc>
          <w:tcPr>
            <w:tcW w:w="1004"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6</w:t>
            </w:r>
          </w:p>
        </w:tc>
        <w:tc>
          <w:tcPr>
            <w:tcW w:w="1004"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7</w:t>
            </w:r>
          </w:p>
        </w:tc>
        <w:tc>
          <w:tcPr>
            <w:tcW w:w="1004"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8</w:t>
            </w:r>
          </w:p>
        </w:tc>
      </w:tr>
      <w:tr w:rsidR="00B94DB2" w:rsidRPr="00023749" w:rsidTr="00D71C74">
        <w:trPr>
          <w:trHeight w:val="360"/>
          <w:jc w:val="right"/>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b/>
                <w:bCs/>
                <w:color w:val="000000"/>
                <w:sz w:val="23"/>
                <w:szCs w:val="23"/>
                <w:lang w:eastAsia="ru-RU"/>
              </w:rPr>
            </w:pPr>
            <w:r w:rsidRPr="00023749">
              <w:rPr>
                <w:rFonts w:ascii="Times New Roman" w:eastAsia="Times New Roman" w:hAnsi="Times New Roman" w:cs="Times New Roman"/>
                <w:b/>
                <w:bCs/>
                <w:color w:val="000000"/>
                <w:sz w:val="23"/>
                <w:szCs w:val="23"/>
                <w:lang w:eastAsia="ru-RU"/>
              </w:rPr>
              <w:t>p</w:t>
            </w:r>
            <w:r w:rsidRPr="00023749">
              <w:rPr>
                <w:rFonts w:ascii="Times New Roman" w:eastAsia="Times New Roman" w:hAnsi="Times New Roman" w:cs="Times New Roman"/>
                <w:b/>
                <w:bCs/>
                <w:color w:val="000000"/>
                <w:sz w:val="23"/>
                <w:szCs w:val="23"/>
                <w:vertAlign w:val="subscript"/>
                <w:lang w:eastAsia="ru-RU"/>
              </w:rPr>
              <w:t>j</w:t>
            </w:r>
            <w:r w:rsidRPr="00023749">
              <w:rPr>
                <w:rFonts w:ascii="Times New Roman" w:eastAsia="Times New Roman" w:hAnsi="Times New Roman" w:cs="Times New Roman"/>
                <w:b/>
                <w:bCs/>
                <w:color w:val="000000"/>
                <w:sz w:val="23"/>
                <w:szCs w:val="23"/>
                <w:vertAlign w:val="superscript"/>
                <w:lang w:eastAsia="ru-RU"/>
              </w:rPr>
              <w:t>6</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0,673308</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0,279376</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0,012227</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0,001453</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0,002893</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0,000902</w:t>
            </w:r>
          </w:p>
        </w:tc>
        <w:tc>
          <w:tcPr>
            <w:tcW w:w="1004"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0,000025</w:t>
            </w:r>
          </w:p>
        </w:tc>
        <w:tc>
          <w:tcPr>
            <w:tcW w:w="1004"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0,000020</w:t>
            </w:r>
          </w:p>
        </w:tc>
        <w:tc>
          <w:tcPr>
            <w:tcW w:w="1004"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0,000018</w:t>
            </w:r>
          </w:p>
        </w:tc>
      </w:tr>
      <w:tr w:rsidR="00B94DB2" w:rsidRPr="00023749" w:rsidTr="00D71C74">
        <w:trPr>
          <w:trHeight w:val="300"/>
          <w:jc w:val="right"/>
        </w:trPr>
        <w:tc>
          <w:tcPr>
            <w:tcW w:w="556" w:type="dxa"/>
            <w:tcBorders>
              <w:top w:val="nil"/>
              <w:left w:val="single" w:sz="4" w:space="0" w:color="auto"/>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9</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10</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11</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16</w:t>
            </w:r>
          </w:p>
        </w:tc>
        <w:tc>
          <w:tcPr>
            <w:tcW w:w="1079"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17</w:t>
            </w:r>
          </w:p>
        </w:tc>
        <w:tc>
          <w:tcPr>
            <w:tcW w:w="1004"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18</w:t>
            </w:r>
          </w:p>
        </w:tc>
        <w:tc>
          <w:tcPr>
            <w:tcW w:w="1004"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19</w:t>
            </w:r>
          </w:p>
        </w:tc>
        <w:tc>
          <w:tcPr>
            <w:tcW w:w="1004" w:type="dxa"/>
            <w:tcBorders>
              <w:top w:val="nil"/>
              <w:left w:val="nil"/>
              <w:bottom w:val="single" w:sz="4" w:space="0" w:color="auto"/>
              <w:right w:val="single" w:sz="4" w:space="0" w:color="auto"/>
            </w:tcBorders>
            <w:shd w:val="clear" w:color="000000" w:fill="FFFFCC"/>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 (20)</w:t>
            </w:r>
          </w:p>
        </w:tc>
      </w:tr>
      <w:tr w:rsidR="00B94DB2" w:rsidRPr="00023749" w:rsidTr="00D71C74">
        <w:trPr>
          <w:trHeight w:val="360"/>
          <w:jc w:val="right"/>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b/>
                <w:bCs/>
                <w:color w:val="000000"/>
                <w:sz w:val="23"/>
                <w:szCs w:val="23"/>
                <w:lang w:eastAsia="ru-RU"/>
              </w:rPr>
            </w:pPr>
            <w:r w:rsidRPr="00023749">
              <w:rPr>
                <w:rFonts w:ascii="Times New Roman" w:eastAsia="Times New Roman" w:hAnsi="Times New Roman" w:cs="Times New Roman"/>
                <w:b/>
                <w:bCs/>
                <w:color w:val="000000"/>
                <w:sz w:val="23"/>
                <w:szCs w:val="23"/>
                <w:lang w:eastAsia="ru-RU"/>
              </w:rPr>
              <w:t>p</w:t>
            </w:r>
            <w:r w:rsidRPr="00023749">
              <w:rPr>
                <w:rFonts w:ascii="Times New Roman" w:eastAsia="Times New Roman" w:hAnsi="Times New Roman" w:cs="Times New Roman"/>
                <w:b/>
                <w:bCs/>
                <w:color w:val="000000"/>
                <w:sz w:val="23"/>
                <w:szCs w:val="23"/>
                <w:vertAlign w:val="subscript"/>
                <w:lang w:eastAsia="ru-RU"/>
              </w:rPr>
              <w:t>j</w:t>
            </w:r>
            <w:r w:rsidRPr="00023749">
              <w:rPr>
                <w:rFonts w:ascii="Times New Roman" w:eastAsia="Times New Roman" w:hAnsi="Times New Roman" w:cs="Times New Roman"/>
                <w:b/>
                <w:bCs/>
                <w:color w:val="000000"/>
                <w:sz w:val="23"/>
                <w:szCs w:val="23"/>
                <w:vertAlign w:val="superscript"/>
                <w:lang w:eastAsia="ru-RU"/>
              </w:rPr>
              <w:t>6</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0,000010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0,000009</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0,000001</w:t>
            </w:r>
          </w:p>
        </w:tc>
        <w:tc>
          <w:tcPr>
            <w:tcW w:w="1079"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3"/>
                <w:szCs w:val="23"/>
                <w:lang w:eastAsia="ru-RU"/>
              </w:rPr>
            </w:pPr>
            <w:r w:rsidRPr="00023749">
              <w:rPr>
                <w:rFonts w:ascii="Times New Roman" w:eastAsia="Times New Roman" w:hAnsi="Times New Roman" w:cs="Times New Roman"/>
                <w:color w:val="000000"/>
                <w:sz w:val="23"/>
                <w:szCs w:val="23"/>
                <w:lang w:eastAsia="ru-RU"/>
              </w:rPr>
              <w:t>0,000016</w:t>
            </w:r>
          </w:p>
        </w:tc>
        <w:tc>
          <w:tcPr>
            <w:tcW w:w="1004"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w:t>
            </w:r>
          </w:p>
        </w:tc>
        <w:tc>
          <w:tcPr>
            <w:tcW w:w="1004"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w:t>
            </w:r>
          </w:p>
        </w:tc>
        <w:tc>
          <w:tcPr>
            <w:tcW w:w="1004" w:type="dxa"/>
            <w:tcBorders>
              <w:top w:val="nil"/>
              <w:left w:val="nil"/>
              <w:bottom w:val="single" w:sz="4" w:space="0" w:color="auto"/>
              <w:right w:val="single" w:sz="4" w:space="0" w:color="auto"/>
            </w:tcBorders>
            <w:shd w:val="clear" w:color="auto" w:fill="auto"/>
            <w:noWrap/>
            <w:vAlign w:val="center"/>
            <w:hideMark/>
          </w:tcPr>
          <w:p w:rsidR="00B94DB2" w:rsidRPr="00023749" w:rsidRDefault="00B94DB2" w:rsidP="00B94DB2">
            <w:pPr>
              <w:spacing w:after="0" w:line="240" w:lineRule="auto"/>
              <w:jc w:val="center"/>
              <w:rPr>
                <w:rFonts w:ascii="Times New Roman" w:eastAsia="Times New Roman" w:hAnsi="Times New Roman" w:cs="Times New Roman"/>
                <w:color w:val="000000"/>
                <w:sz w:val="21"/>
                <w:szCs w:val="21"/>
                <w:lang w:eastAsia="ru-RU"/>
              </w:rPr>
            </w:pPr>
            <w:r w:rsidRPr="00023749">
              <w:rPr>
                <w:rFonts w:ascii="Times New Roman" w:eastAsia="Times New Roman" w:hAnsi="Times New Roman" w:cs="Times New Roman"/>
                <w:color w:val="000000"/>
                <w:sz w:val="21"/>
                <w:szCs w:val="21"/>
                <w:lang w:eastAsia="ru-RU"/>
              </w:rPr>
              <w:t>0,000082</w:t>
            </w:r>
          </w:p>
        </w:tc>
      </w:tr>
    </w:tbl>
    <w:p w:rsidR="0076794B" w:rsidRDefault="0076794B" w:rsidP="008D079E">
      <w:pPr>
        <w:spacing w:before="240"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lastRenderedPageBreak/>
        <w:t>Далее необходимо спрогнозировать выплаты страховой организации в кварталах, следующих за отчетной датой</w:t>
      </w:r>
      <w:r w:rsidR="00091CB4">
        <w:rPr>
          <w:rFonts w:ascii="Times New Roman" w:hAnsi="Times New Roman" w:cs="Times New Roman"/>
          <w:sz w:val="28"/>
          <w:szCs w:val="28"/>
        </w:rPr>
        <w:t>.</w:t>
      </w:r>
    </w:p>
    <w:p w:rsidR="002F57F4" w:rsidRDefault="002F57F4" w:rsidP="0076794B">
      <w:pPr>
        <w:spacing w:after="0" w:line="360" w:lineRule="auto"/>
        <w:ind w:firstLine="709"/>
        <w:jc w:val="both"/>
        <w:rPr>
          <w:rFonts w:ascii="Times New Roman" w:hAnsi="Times New Roman" w:cs="Times New Roman"/>
          <w:sz w:val="28"/>
          <w:szCs w:val="28"/>
        </w:rPr>
      </w:pPr>
      <w:r w:rsidRPr="000A2809">
        <w:rPr>
          <w:rFonts w:ascii="Times New Roman" w:hAnsi="Times New Roman" w:cs="Times New Roman"/>
          <w:sz w:val="28"/>
          <w:szCs w:val="28"/>
        </w:rPr>
        <w:t xml:space="preserve">На </w:t>
      </w:r>
      <w:r w:rsidR="008D079E" w:rsidRPr="008D079E">
        <w:rPr>
          <w:rFonts w:ascii="Times New Roman" w:hAnsi="Times New Roman" w:cs="Times New Roman"/>
          <w:sz w:val="28"/>
          <w:szCs w:val="28"/>
        </w:rPr>
        <w:t xml:space="preserve">рис. </w:t>
      </w:r>
      <w:r w:rsidR="00E43E8A">
        <w:rPr>
          <w:rFonts w:ascii="Times New Roman" w:hAnsi="Times New Roman" w:cs="Times New Roman"/>
          <w:sz w:val="28"/>
          <w:szCs w:val="28"/>
        </w:rPr>
        <w:t>17</w:t>
      </w:r>
      <w:r w:rsidRPr="000A2809">
        <w:rPr>
          <w:rFonts w:ascii="Times New Roman" w:hAnsi="Times New Roman" w:cs="Times New Roman"/>
          <w:i/>
          <w:sz w:val="28"/>
          <w:szCs w:val="28"/>
        </w:rPr>
        <w:t xml:space="preserve"> </w:t>
      </w:r>
      <w:r w:rsidRPr="000A2809">
        <w:rPr>
          <w:rFonts w:ascii="Times New Roman" w:hAnsi="Times New Roman" w:cs="Times New Roman"/>
          <w:sz w:val="28"/>
          <w:szCs w:val="28"/>
        </w:rPr>
        <w:t>представлена д</w:t>
      </w:r>
      <w:r>
        <w:rPr>
          <w:rFonts w:ascii="Times New Roman" w:hAnsi="Times New Roman" w:cs="Times New Roman"/>
          <w:sz w:val="28"/>
          <w:szCs w:val="28"/>
        </w:rPr>
        <w:t>инамика выплат рассматриваемой страховой компании по договорам ДМС в 2007-2012 гг.</w:t>
      </w:r>
      <w:r w:rsidRPr="000A2809">
        <w:rPr>
          <w:rFonts w:ascii="Times New Roman" w:hAnsi="Times New Roman" w:cs="Times New Roman"/>
          <w:sz w:val="28"/>
          <w:szCs w:val="28"/>
        </w:rPr>
        <w:t xml:space="preserve"> </w:t>
      </w:r>
      <w:r>
        <w:rPr>
          <w:rFonts w:ascii="Times New Roman" w:hAnsi="Times New Roman" w:cs="Times New Roman"/>
          <w:sz w:val="28"/>
          <w:szCs w:val="28"/>
        </w:rPr>
        <w:t>Графический анализ исходного временного ряда свидетельствует о наличии устойчивой восходящей тенде</w:t>
      </w:r>
      <w:r>
        <w:rPr>
          <w:rFonts w:ascii="Times New Roman" w:hAnsi="Times New Roman" w:cs="Times New Roman"/>
          <w:sz w:val="28"/>
          <w:szCs w:val="28"/>
        </w:rPr>
        <w:t>н</w:t>
      </w:r>
      <w:r>
        <w:rPr>
          <w:rFonts w:ascii="Times New Roman" w:hAnsi="Times New Roman" w:cs="Times New Roman"/>
          <w:sz w:val="28"/>
          <w:szCs w:val="28"/>
        </w:rPr>
        <w:t>ции на всем периоде наблюдения, характер которой близок к линейному ра</w:t>
      </w:r>
      <w:r>
        <w:rPr>
          <w:rFonts w:ascii="Times New Roman" w:hAnsi="Times New Roman" w:cs="Times New Roman"/>
          <w:sz w:val="28"/>
          <w:szCs w:val="28"/>
        </w:rPr>
        <w:t>з</w:t>
      </w:r>
      <w:r>
        <w:rPr>
          <w:rFonts w:ascii="Times New Roman" w:hAnsi="Times New Roman" w:cs="Times New Roman"/>
          <w:sz w:val="28"/>
          <w:szCs w:val="28"/>
        </w:rPr>
        <w:t>витию. Также отчетливо видны ежеквартальные сезонные колебания. Н</w:t>
      </w:r>
      <w:r>
        <w:rPr>
          <w:rFonts w:ascii="Times New Roman" w:hAnsi="Times New Roman" w:cs="Times New Roman"/>
          <w:sz w:val="28"/>
          <w:szCs w:val="28"/>
        </w:rPr>
        <w:t>а</w:t>
      </w:r>
      <w:r>
        <w:rPr>
          <w:rFonts w:ascii="Times New Roman" w:hAnsi="Times New Roman" w:cs="Times New Roman"/>
          <w:sz w:val="28"/>
          <w:szCs w:val="28"/>
        </w:rPr>
        <w:t xml:space="preserve">блюдается регулярно повторяющееся увеличение суммарных выплат по ДМС во втором и третьем кварталах по сравнению со значениями в первом и четвертом кварталах. </w:t>
      </w:r>
    </w:p>
    <w:p w:rsidR="002F57F4" w:rsidRPr="00D610F4" w:rsidRDefault="002F57F4" w:rsidP="002F5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Смоделируем развитие страховых выплат </w:t>
      </w:r>
      <w:r w:rsidR="00D30F44">
        <w:rPr>
          <w:rFonts w:ascii="Times New Roman" w:hAnsi="Times New Roman" w:cs="Times New Roman"/>
          <w:sz w:val="28"/>
          <w:szCs w:val="28"/>
        </w:rPr>
        <w:t>(</w:t>
      </w:r>
      <w:r w:rsidR="00D30F44" w:rsidRPr="00D30F44">
        <w:rPr>
          <w:rFonts w:ascii="Times New Roman" w:hAnsi="Times New Roman" w:cs="Times New Roman"/>
          <w:i/>
          <w:sz w:val="28"/>
          <w:szCs w:val="28"/>
          <w:lang w:val="en-GB"/>
        </w:rPr>
        <w:t>y</w:t>
      </w:r>
      <w:r w:rsidR="00D30F44" w:rsidRPr="00D30F44">
        <w:rPr>
          <w:rFonts w:ascii="Times New Roman" w:hAnsi="Times New Roman" w:cs="Times New Roman"/>
          <w:sz w:val="28"/>
          <w:szCs w:val="28"/>
        </w:rPr>
        <w:t xml:space="preserve">) </w:t>
      </w:r>
      <w:r>
        <w:rPr>
          <w:rFonts w:ascii="Times New Roman" w:hAnsi="Times New Roman" w:cs="Times New Roman"/>
          <w:sz w:val="28"/>
          <w:szCs w:val="28"/>
        </w:rPr>
        <w:t>с помощью трендовой и сезонной составляющих.</w:t>
      </w:r>
      <w:r w:rsidRPr="00796FE3">
        <w:rPr>
          <w:rFonts w:ascii="Times New Roman" w:hAnsi="Times New Roman" w:cs="Times New Roman"/>
          <w:sz w:val="28"/>
          <w:szCs w:val="28"/>
        </w:rPr>
        <w:t xml:space="preserve"> </w:t>
      </w:r>
      <w:r>
        <w:rPr>
          <w:rFonts w:ascii="Times New Roman" w:hAnsi="Times New Roman" w:cs="Times New Roman"/>
          <w:sz w:val="28"/>
          <w:szCs w:val="28"/>
        </w:rPr>
        <w:t>Поскольку амплитуда колебаний с течением врем</w:t>
      </w:r>
      <w:r>
        <w:rPr>
          <w:rFonts w:ascii="Times New Roman" w:hAnsi="Times New Roman" w:cs="Times New Roman"/>
          <w:sz w:val="28"/>
          <w:szCs w:val="28"/>
        </w:rPr>
        <w:t>е</w:t>
      </w:r>
      <w:r>
        <w:rPr>
          <w:rFonts w:ascii="Times New Roman" w:hAnsi="Times New Roman" w:cs="Times New Roman"/>
          <w:sz w:val="28"/>
          <w:szCs w:val="28"/>
        </w:rPr>
        <w:t xml:space="preserve">ни меняется несущественно, то для описания и прогнозирования динамики временного ряда можно предположить аддитивную </w:t>
      </w:r>
      <w:proofErr w:type="spellStart"/>
      <w:proofErr w:type="gramStart"/>
      <w:r>
        <w:rPr>
          <w:rFonts w:ascii="Times New Roman" w:hAnsi="Times New Roman" w:cs="Times New Roman"/>
          <w:sz w:val="28"/>
          <w:szCs w:val="28"/>
        </w:rPr>
        <w:t>тренд-сезонную</w:t>
      </w:r>
      <w:proofErr w:type="spellEnd"/>
      <w:proofErr w:type="gramEnd"/>
      <w:r>
        <w:rPr>
          <w:rFonts w:ascii="Times New Roman" w:hAnsi="Times New Roman" w:cs="Times New Roman"/>
          <w:sz w:val="28"/>
          <w:szCs w:val="28"/>
        </w:rPr>
        <w:t xml:space="preserve"> модель </w:t>
      </w:r>
      <m:oMath>
        <m:r>
          <w:rPr>
            <w:rFonts w:ascii="Cambria Math" w:hAnsi="Cambria Math" w:cs="Times New Roman"/>
            <w:sz w:val="28"/>
            <w:szCs w:val="28"/>
          </w:rPr>
          <m:t>Y=T+S+E</m:t>
        </m:r>
      </m:oMath>
      <w:r w:rsidR="00904699" w:rsidRPr="00904699">
        <w:rPr>
          <w:rFonts w:ascii="Times New Roman" w:hAnsi="Times New Roman" w:cs="Times New Roman"/>
          <w:sz w:val="28"/>
          <w:szCs w:val="28"/>
        </w:rPr>
        <w:t xml:space="preserve">, </w:t>
      </w:r>
      <w:r w:rsidR="00904699">
        <w:rPr>
          <w:rFonts w:ascii="Times New Roman" w:hAnsi="Times New Roman" w:cs="Times New Roman"/>
          <w:sz w:val="28"/>
          <w:szCs w:val="28"/>
        </w:rPr>
        <w:t>показатели точности которой будем сопоставлять с аналоги</w:t>
      </w:r>
      <w:r w:rsidR="00904699">
        <w:rPr>
          <w:rFonts w:ascii="Times New Roman" w:hAnsi="Times New Roman" w:cs="Times New Roman"/>
          <w:sz w:val="28"/>
          <w:szCs w:val="28"/>
        </w:rPr>
        <w:t>ч</w:t>
      </w:r>
      <w:r w:rsidR="00904699">
        <w:rPr>
          <w:rFonts w:ascii="Times New Roman" w:hAnsi="Times New Roman" w:cs="Times New Roman"/>
          <w:sz w:val="28"/>
          <w:szCs w:val="28"/>
        </w:rPr>
        <w:t xml:space="preserve">ными характеристиками </w:t>
      </w:r>
      <w:r w:rsidR="004E336D">
        <w:rPr>
          <w:rFonts w:ascii="Times New Roman" w:hAnsi="Times New Roman" w:cs="Times New Roman"/>
          <w:sz w:val="28"/>
          <w:szCs w:val="28"/>
        </w:rPr>
        <w:t xml:space="preserve">для </w:t>
      </w:r>
      <w:r w:rsidR="00D610F4">
        <w:rPr>
          <w:rFonts w:ascii="Times New Roman" w:hAnsi="Times New Roman" w:cs="Times New Roman"/>
          <w:sz w:val="28"/>
          <w:szCs w:val="28"/>
        </w:rPr>
        <w:t>мультипликатив</w:t>
      </w:r>
      <w:r w:rsidR="00904699">
        <w:rPr>
          <w:rFonts w:ascii="Times New Roman" w:hAnsi="Times New Roman" w:cs="Times New Roman"/>
          <w:sz w:val="28"/>
          <w:szCs w:val="28"/>
        </w:rPr>
        <w:t>ной</w:t>
      </w:r>
      <w:r w:rsidR="00D610F4">
        <w:rPr>
          <w:rFonts w:ascii="Times New Roman" w:hAnsi="Times New Roman" w:cs="Times New Roman"/>
          <w:sz w:val="28"/>
          <w:szCs w:val="28"/>
        </w:rPr>
        <w:t xml:space="preserve"> модел</w:t>
      </w:r>
      <w:r w:rsidR="00904699">
        <w:rPr>
          <w:rFonts w:ascii="Times New Roman" w:hAnsi="Times New Roman" w:cs="Times New Roman"/>
          <w:sz w:val="28"/>
          <w:szCs w:val="28"/>
        </w:rPr>
        <w:t>и</w:t>
      </w:r>
      <w:r w:rsidR="00D610F4">
        <w:rPr>
          <w:rFonts w:ascii="Times New Roman" w:hAnsi="Times New Roman" w:cs="Times New Roman"/>
          <w:sz w:val="28"/>
          <w:szCs w:val="28"/>
        </w:rPr>
        <w:t xml:space="preserve"> </w:t>
      </w:r>
      <m:oMath>
        <m:r>
          <w:rPr>
            <w:rFonts w:ascii="Cambria Math" w:hAnsi="Cambria Math" w:cs="Times New Roman"/>
            <w:sz w:val="28"/>
            <w:szCs w:val="28"/>
          </w:rPr>
          <m:t>Y=T∙S∙E</m:t>
        </m:r>
      </m:oMath>
      <w:r w:rsidR="00D610F4" w:rsidRPr="00D610F4">
        <w:rPr>
          <w:rFonts w:ascii="Times New Roman" w:eastAsiaTheme="minorEastAsia" w:hAnsi="Times New Roman" w:cs="Times New Roman"/>
          <w:sz w:val="28"/>
          <w:szCs w:val="28"/>
        </w:rPr>
        <w:t>.</w:t>
      </w:r>
    </w:p>
    <w:p w:rsidR="002F57F4" w:rsidRDefault="00C15FEB" w:rsidP="002F57F4">
      <w:pPr>
        <w:spacing w:after="0" w:line="360" w:lineRule="auto"/>
        <w:jc w:val="center"/>
        <w:rPr>
          <w:rFonts w:ascii="Times New Roman" w:eastAsiaTheme="minorEastAsia" w:hAnsi="Times New Roman" w:cs="Times New Roman"/>
          <w:sz w:val="28"/>
          <w:szCs w:val="28"/>
        </w:rPr>
      </w:pPr>
      <w:r w:rsidRPr="00C15FEB">
        <w:rPr>
          <w:rFonts w:ascii="Times New Roman" w:eastAsiaTheme="minorEastAsia" w:hAnsi="Times New Roman" w:cs="Times New Roman"/>
          <w:noProof/>
          <w:sz w:val="28"/>
          <w:szCs w:val="28"/>
          <w:lang w:eastAsia="ru-RU"/>
        </w:rPr>
        <w:drawing>
          <wp:inline distT="0" distB="0" distL="0" distR="0">
            <wp:extent cx="4572000" cy="3114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7F4" w:rsidRPr="005158F2" w:rsidRDefault="002F57F4" w:rsidP="002F57F4">
      <w:pPr>
        <w:spacing w:after="0" w:line="360" w:lineRule="auto"/>
        <w:jc w:val="center"/>
        <w:rPr>
          <w:rFonts w:ascii="Times New Roman" w:hAnsi="Times New Roman" w:cs="Times New Roman"/>
          <w:i/>
          <w:sz w:val="26"/>
          <w:szCs w:val="26"/>
        </w:rPr>
      </w:pPr>
      <w:r w:rsidRPr="005158F2">
        <w:rPr>
          <w:rFonts w:ascii="Times New Roman" w:hAnsi="Times New Roman" w:cs="Times New Roman"/>
          <w:i/>
          <w:sz w:val="26"/>
          <w:szCs w:val="26"/>
        </w:rPr>
        <w:t xml:space="preserve">Рис. </w:t>
      </w:r>
      <w:r w:rsidR="00E43E8A" w:rsidRPr="005158F2">
        <w:rPr>
          <w:rFonts w:ascii="Times New Roman" w:hAnsi="Times New Roman" w:cs="Times New Roman"/>
          <w:i/>
          <w:sz w:val="26"/>
          <w:szCs w:val="26"/>
        </w:rPr>
        <w:t>17</w:t>
      </w:r>
      <w:r w:rsidRPr="005158F2">
        <w:rPr>
          <w:rFonts w:ascii="Times New Roman" w:hAnsi="Times New Roman" w:cs="Times New Roman"/>
          <w:i/>
          <w:sz w:val="26"/>
          <w:szCs w:val="26"/>
        </w:rPr>
        <w:t>. Динамика выплат страховой компании по договорам ДМС в 2007-2012 гг.</w:t>
      </w:r>
    </w:p>
    <w:p w:rsidR="00F1569B" w:rsidRPr="00F1569B" w:rsidRDefault="00F1569B" w:rsidP="00F1569B">
      <w:pPr>
        <w:spacing w:after="0" w:line="360" w:lineRule="auto"/>
        <w:ind w:left="567" w:firstLine="709"/>
        <w:jc w:val="both"/>
        <w:rPr>
          <w:rFonts w:ascii="Times New Roman" w:hAnsi="Times New Roman" w:cs="Times New Roman"/>
          <w:i/>
        </w:rPr>
      </w:pPr>
      <w:r>
        <w:rPr>
          <w:rFonts w:ascii="Times New Roman" w:hAnsi="Times New Roman" w:cs="Times New Roman"/>
          <w:i/>
        </w:rPr>
        <w:t xml:space="preserve">Источник: </w:t>
      </w:r>
      <w:r w:rsidRPr="00F1569B">
        <w:rPr>
          <w:rFonts w:ascii="Times New Roman" w:hAnsi="Times New Roman" w:cs="Times New Roman"/>
        </w:rPr>
        <w:t>http://www.fcsm.ru/ru/contributors/insurance_industry/statistics/</w:t>
      </w:r>
    </w:p>
    <w:p w:rsidR="002F57F4" w:rsidRPr="007E4EBC" w:rsidRDefault="002F57F4" w:rsidP="00F1569B">
      <w:pPr>
        <w:spacing w:before="6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нижеприведенной схеме оценим сезонную </w:t>
      </w:r>
      <w:r w:rsidRPr="00D610F4">
        <w:rPr>
          <w:rFonts w:ascii="Times New Roman" w:hAnsi="Times New Roman" w:cs="Times New Roman"/>
          <w:sz w:val="28"/>
          <w:szCs w:val="28"/>
        </w:rPr>
        <w:t>составляющую</w:t>
      </w:r>
      <w:r w:rsidR="00D610F4" w:rsidRPr="00D610F4">
        <w:rPr>
          <w:rFonts w:ascii="Times New Roman" w:hAnsi="Times New Roman" w:cs="Times New Roman"/>
          <w:sz w:val="28"/>
          <w:szCs w:val="28"/>
        </w:rPr>
        <w:t xml:space="preserve"> </w:t>
      </w:r>
      <w:r w:rsidR="00D610F4" w:rsidRPr="00D610F4">
        <w:rPr>
          <w:rFonts w:ascii="Times New Roman" w:hAnsi="Times New Roman" w:cs="Times New Roman"/>
          <w:i/>
          <w:sz w:val="28"/>
          <w:szCs w:val="28"/>
        </w:rPr>
        <w:t>аддити</w:t>
      </w:r>
      <w:r w:rsidR="00D610F4" w:rsidRPr="00D610F4">
        <w:rPr>
          <w:rFonts w:ascii="Times New Roman" w:hAnsi="Times New Roman" w:cs="Times New Roman"/>
          <w:i/>
          <w:sz w:val="28"/>
          <w:szCs w:val="28"/>
        </w:rPr>
        <w:t>в</w:t>
      </w:r>
      <w:r w:rsidR="00D610F4" w:rsidRPr="00D610F4">
        <w:rPr>
          <w:rFonts w:ascii="Times New Roman" w:hAnsi="Times New Roman" w:cs="Times New Roman"/>
          <w:i/>
          <w:sz w:val="28"/>
          <w:szCs w:val="28"/>
        </w:rPr>
        <w:t>ной</w:t>
      </w:r>
      <w:r w:rsidR="00D610F4">
        <w:rPr>
          <w:rFonts w:ascii="Times New Roman" w:hAnsi="Times New Roman" w:cs="Times New Roman"/>
          <w:sz w:val="28"/>
          <w:szCs w:val="28"/>
        </w:rPr>
        <w:t xml:space="preserve"> модели</w:t>
      </w:r>
      <w:r w:rsidR="004E336D">
        <w:rPr>
          <w:rFonts w:ascii="Times New Roman" w:hAnsi="Times New Roman" w:cs="Times New Roman"/>
          <w:sz w:val="28"/>
          <w:szCs w:val="28"/>
        </w:rPr>
        <w:t xml:space="preserve"> временного ряда</w:t>
      </w:r>
      <w:r>
        <w:rPr>
          <w:rFonts w:ascii="Times New Roman" w:hAnsi="Times New Roman" w:cs="Times New Roman"/>
          <w:sz w:val="28"/>
          <w:szCs w:val="28"/>
        </w:rPr>
        <w:t>:</w:t>
      </w:r>
    </w:p>
    <w:p w:rsidR="002F57F4" w:rsidRDefault="002F57F4" w:rsidP="002F57F4">
      <w:pPr>
        <w:spacing w:after="0" w:line="360" w:lineRule="auto"/>
        <w:ind w:firstLine="709"/>
        <w:jc w:val="both"/>
        <w:rPr>
          <w:rFonts w:ascii="Times New Roman" w:hAnsi="Times New Roman" w:cs="Times New Roman"/>
          <w:sz w:val="28"/>
          <w:szCs w:val="28"/>
        </w:rPr>
      </w:pPr>
      <w:r w:rsidRPr="0082246B">
        <w:rPr>
          <w:rFonts w:ascii="Times New Roman" w:hAnsi="Times New Roman" w:cs="Times New Roman"/>
          <w:b/>
          <w:sz w:val="28"/>
          <w:szCs w:val="28"/>
        </w:rPr>
        <w:t>Этап 1.</w:t>
      </w:r>
      <w:r>
        <w:rPr>
          <w:rFonts w:ascii="Times New Roman" w:hAnsi="Times New Roman" w:cs="Times New Roman"/>
          <w:sz w:val="28"/>
          <w:szCs w:val="28"/>
        </w:rPr>
        <w:t xml:space="preserve"> В</w:t>
      </w:r>
      <w:r w:rsidRPr="000A31D6">
        <w:rPr>
          <w:rFonts w:ascii="Times New Roman" w:hAnsi="Times New Roman" w:cs="Times New Roman"/>
          <w:sz w:val="28"/>
          <w:szCs w:val="28"/>
        </w:rPr>
        <w:t>оспользуемся процедурой скользящей средней при четной длине интервала</w:t>
      </w:r>
      <w:r>
        <w:rPr>
          <w:rFonts w:ascii="Times New Roman" w:hAnsi="Times New Roman" w:cs="Times New Roman"/>
          <w:sz w:val="28"/>
          <w:szCs w:val="28"/>
        </w:rPr>
        <w:t xml:space="preserve"> сглаживания, равной 4, для того, чтобы провести выравн</w:t>
      </w:r>
      <w:r>
        <w:rPr>
          <w:rFonts w:ascii="Times New Roman" w:hAnsi="Times New Roman" w:cs="Times New Roman"/>
          <w:sz w:val="28"/>
          <w:szCs w:val="28"/>
        </w:rPr>
        <w:t>и</w:t>
      </w:r>
      <w:r>
        <w:rPr>
          <w:rFonts w:ascii="Times New Roman" w:hAnsi="Times New Roman" w:cs="Times New Roman"/>
          <w:sz w:val="28"/>
          <w:szCs w:val="28"/>
        </w:rPr>
        <w:t>вание временного ряда квартальной динамики. Поскольку не выполняется условие нечетности длины интервала сглаживания, первое и последнее н</w:t>
      </w:r>
      <w:r>
        <w:rPr>
          <w:rFonts w:ascii="Times New Roman" w:hAnsi="Times New Roman" w:cs="Times New Roman"/>
          <w:sz w:val="28"/>
          <w:szCs w:val="28"/>
        </w:rPr>
        <w:t>а</w:t>
      </w:r>
      <w:r>
        <w:rPr>
          <w:rFonts w:ascii="Times New Roman" w:hAnsi="Times New Roman" w:cs="Times New Roman"/>
          <w:sz w:val="28"/>
          <w:szCs w:val="28"/>
        </w:rPr>
        <w:t>блюдение на активном участке</w:t>
      </w:r>
      <w:r w:rsidRPr="00265C9D">
        <w:rPr>
          <w:rFonts w:ascii="Times New Roman" w:hAnsi="Times New Roman" w:cs="Times New Roman"/>
          <w:sz w:val="28"/>
          <w:szCs w:val="28"/>
        </w:rPr>
        <w:t xml:space="preserve">, </w:t>
      </w:r>
      <w:r>
        <w:rPr>
          <w:rFonts w:ascii="Times New Roman" w:hAnsi="Times New Roman" w:cs="Times New Roman"/>
          <w:sz w:val="28"/>
          <w:szCs w:val="28"/>
        </w:rPr>
        <w:t>содержащем 5 уровней временного ряда, возьмем с половинными весовыми коэффициентами:</w:t>
      </w:r>
    </w:p>
    <w:p w:rsidR="002F57F4" w:rsidRDefault="005F2FF8" w:rsidP="002F57F4">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lang w:val="en-GB"/>
                  </w:rPr>
                  <m:t>y</m:t>
                </m:r>
              </m:e>
            </m:acc>
          </m:e>
          <m:sub>
            <m:r>
              <w:rPr>
                <w:rFonts w:ascii="Cambria Math" w:hAnsi="Cambria Math" w:cs="Times New Roman"/>
                <w:sz w:val="28"/>
                <w:szCs w:val="28"/>
              </w:rPr>
              <m:t>t</m:t>
            </m:r>
          </m:sub>
        </m:sSub>
        <m:r>
          <w:rPr>
            <w:rFonts w:ascii="Cambria Math" w:hAnsi="Cambria Math" w:cs="Times New Roman"/>
            <w:sz w:val="28"/>
            <w:szCs w:val="28"/>
          </w:rPr>
          <m:t>=</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t+1</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t+2</m:t>
                </m:r>
              </m:sub>
            </m:sSub>
          </m:num>
          <m:den>
            <m:r>
              <w:rPr>
                <w:rFonts w:ascii="Cambria Math" w:hAnsi="Cambria Math" w:cs="Times New Roman"/>
                <w:sz w:val="28"/>
                <w:szCs w:val="28"/>
              </w:rPr>
              <m:t>4</m:t>
            </m:r>
          </m:den>
        </m:f>
      </m:oMath>
      <w:r w:rsidR="002F57F4">
        <w:rPr>
          <w:rFonts w:ascii="Times New Roman" w:eastAsiaTheme="minorEastAsia" w:hAnsi="Times New Roman" w:cs="Times New Roman"/>
          <w:sz w:val="28"/>
          <w:szCs w:val="28"/>
        </w:rPr>
        <w:t>.</w:t>
      </w:r>
    </w:p>
    <w:p w:rsidR="002F57F4" w:rsidRDefault="002F57F4" w:rsidP="002F57F4">
      <w:pPr>
        <w:spacing w:after="0" w:line="360" w:lineRule="auto"/>
        <w:ind w:firstLine="709"/>
        <w:jc w:val="both"/>
        <w:rPr>
          <w:rFonts w:ascii="Times New Roman" w:eastAsiaTheme="minorEastAsia" w:hAnsi="Times New Roman" w:cs="Times New Roman"/>
          <w:sz w:val="28"/>
          <w:szCs w:val="28"/>
        </w:rPr>
      </w:pPr>
      <w:r w:rsidRPr="0082246B">
        <w:rPr>
          <w:rFonts w:ascii="Times New Roman" w:eastAsiaTheme="minorEastAsia" w:hAnsi="Times New Roman" w:cs="Times New Roman"/>
          <w:b/>
          <w:sz w:val="28"/>
          <w:szCs w:val="28"/>
        </w:rPr>
        <w:t xml:space="preserve">Этап 2. </w:t>
      </w:r>
      <w:r>
        <w:rPr>
          <w:rFonts w:ascii="Times New Roman" w:eastAsiaTheme="minorEastAsia" w:hAnsi="Times New Roman" w:cs="Times New Roman"/>
          <w:sz w:val="28"/>
          <w:szCs w:val="28"/>
        </w:rPr>
        <w:t>После применения процедуры 4-звенной скользящей средней рассчитаем отклонения фактических значений показателя от уровней сгл</w:t>
      </w:r>
      <w:r>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женного ряда</w:t>
      </w:r>
      <w:r w:rsidRPr="00C7788B">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t</m:t>
            </m:r>
          </m:sub>
        </m:sSub>
      </m:oMath>
      <w:r w:rsidRPr="00C7788B">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Уровни построенного ряда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rPr>
              <m:t>t</m:t>
            </m:r>
          </m:sub>
        </m:sSub>
      </m:oMath>
      <w:r w:rsidRPr="00E9251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отражают влияние сезонной компоненты и случайных факторов.</w:t>
      </w:r>
    </w:p>
    <w:p w:rsidR="002F57F4" w:rsidRPr="00443280" w:rsidRDefault="002F57F4" w:rsidP="002F57F4">
      <w:pPr>
        <w:spacing w:after="0" w:line="360" w:lineRule="auto"/>
        <w:ind w:firstLine="709"/>
        <w:jc w:val="both"/>
        <w:rPr>
          <w:rFonts w:ascii="Times New Roman" w:eastAsiaTheme="minorEastAsia" w:hAnsi="Times New Roman" w:cs="Times New Roman"/>
          <w:sz w:val="28"/>
          <w:szCs w:val="28"/>
        </w:rPr>
      </w:pPr>
      <w:r w:rsidRPr="0082246B">
        <w:rPr>
          <w:rFonts w:ascii="Times New Roman" w:eastAsiaTheme="minorEastAsia" w:hAnsi="Times New Roman" w:cs="Times New Roman"/>
          <w:b/>
          <w:sz w:val="28"/>
          <w:szCs w:val="28"/>
        </w:rPr>
        <w:t>Этап 3.</w:t>
      </w:r>
      <w:r>
        <w:rPr>
          <w:rFonts w:ascii="Times New Roman" w:eastAsiaTheme="minorEastAsia" w:hAnsi="Times New Roman" w:cs="Times New Roman"/>
          <w:sz w:val="28"/>
          <w:szCs w:val="28"/>
        </w:rPr>
        <w:t xml:space="preserve"> С целью </w:t>
      </w:r>
      <w:r w:rsidR="00DA43A9">
        <w:rPr>
          <w:rFonts w:ascii="Times New Roman" w:eastAsiaTheme="minorEastAsia" w:hAnsi="Times New Roman" w:cs="Times New Roman"/>
          <w:sz w:val="28"/>
          <w:szCs w:val="28"/>
        </w:rPr>
        <w:t xml:space="preserve">устранения эффекта случайных факторов, </w:t>
      </w:r>
      <w:r>
        <w:rPr>
          <w:rFonts w:ascii="Times New Roman" w:eastAsiaTheme="minorEastAsia" w:hAnsi="Times New Roman" w:cs="Times New Roman"/>
          <w:sz w:val="28"/>
          <w:szCs w:val="28"/>
        </w:rPr>
        <w:t>усреднен</w:t>
      </w:r>
      <w:r>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ем значений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rPr>
              <m:t>t</m:t>
            </m:r>
          </m:sub>
        </m:sSub>
      </m:oMath>
      <w:r>
        <w:rPr>
          <w:rFonts w:ascii="Times New Roman" w:eastAsiaTheme="minorEastAsia" w:hAnsi="Times New Roman" w:cs="Times New Roman"/>
          <w:sz w:val="28"/>
          <w:szCs w:val="28"/>
        </w:rPr>
        <w:t xml:space="preserve"> для одноименных кварталов</w:t>
      </w:r>
      <w:r w:rsidRPr="0082246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получим</w:t>
      </w:r>
      <w:r w:rsidRPr="0082246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предварительную оце</w:t>
      </w:r>
      <w:r>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 xml:space="preserve">ку сезонной составляющей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x</m:t>
                </m:r>
              </m:e>
            </m:acc>
          </m:e>
          <m:sub>
            <m:r>
              <w:rPr>
                <w:rFonts w:ascii="Cambria Math" w:eastAsiaTheme="minorEastAsia" w:hAnsi="Cambria Math" w:cs="Times New Roman"/>
                <w:sz w:val="28"/>
                <w:szCs w:val="28"/>
              </w:rPr>
              <m:t>i</m:t>
            </m:r>
          </m:sub>
        </m:sSub>
      </m:oMath>
      <w:r w:rsidRPr="0044328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i=1,…,m</m:t>
        </m:r>
      </m:oMath>
      <w:r w:rsidRPr="0044328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где </w:t>
      </w:r>
      <w:r w:rsidRPr="00443280">
        <w:rPr>
          <w:rFonts w:ascii="Times New Roman" w:eastAsiaTheme="minorEastAsia" w:hAnsi="Times New Roman" w:cs="Times New Roman"/>
          <w:i/>
          <w:sz w:val="28"/>
          <w:szCs w:val="28"/>
          <w:lang w:val="en-GB"/>
        </w:rPr>
        <w:t>m</w:t>
      </w:r>
      <w:r w:rsidRPr="00443280">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число фаз в полном сезо</w:t>
      </w:r>
      <w:r>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 xml:space="preserve">ном цикле, для квартальных данных </w:t>
      </w:r>
      <w:r w:rsidRPr="00443280">
        <w:rPr>
          <w:rFonts w:ascii="Times New Roman" w:eastAsiaTheme="minorEastAsia" w:hAnsi="Times New Roman" w:cs="Times New Roman"/>
          <w:i/>
          <w:sz w:val="28"/>
          <w:szCs w:val="28"/>
          <w:lang w:val="en-GB"/>
        </w:rPr>
        <w:t>m</w:t>
      </w:r>
      <w:r>
        <w:rPr>
          <w:rFonts w:ascii="Times New Roman" w:eastAsiaTheme="minorEastAsia" w:hAnsi="Times New Roman" w:cs="Times New Roman"/>
          <w:sz w:val="28"/>
          <w:szCs w:val="28"/>
        </w:rPr>
        <w:t>=4.</w:t>
      </w:r>
    </w:p>
    <w:p w:rsidR="002F57F4" w:rsidRPr="00443280" w:rsidRDefault="002F57F4" w:rsidP="002F57F4">
      <w:pPr>
        <w:spacing w:after="0" w:line="360" w:lineRule="auto"/>
        <w:ind w:firstLine="709"/>
        <w:jc w:val="both"/>
        <w:rPr>
          <w:rFonts w:ascii="Times New Roman" w:eastAsiaTheme="minorEastAsia" w:hAnsi="Times New Roman" w:cs="Times New Roman"/>
          <w:sz w:val="28"/>
          <w:szCs w:val="28"/>
        </w:rPr>
      </w:pPr>
      <w:r w:rsidRPr="00443280">
        <w:rPr>
          <w:rFonts w:ascii="Times New Roman" w:eastAsiaTheme="minorEastAsia" w:hAnsi="Times New Roman" w:cs="Times New Roman"/>
          <w:b/>
          <w:sz w:val="28"/>
          <w:szCs w:val="28"/>
        </w:rPr>
        <w:t xml:space="preserve">Этап 4. </w:t>
      </w:r>
      <w:r>
        <w:rPr>
          <w:rFonts w:ascii="Times New Roman" w:eastAsiaTheme="minorEastAsia" w:hAnsi="Times New Roman" w:cs="Times New Roman"/>
          <w:sz w:val="28"/>
          <w:szCs w:val="28"/>
        </w:rPr>
        <w:t>К</w:t>
      </w:r>
      <w:r w:rsidRPr="00443280">
        <w:rPr>
          <w:rFonts w:ascii="Times New Roman" w:eastAsiaTheme="minorEastAsia" w:hAnsi="Times New Roman" w:cs="Times New Roman"/>
          <w:sz w:val="28"/>
          <w:szCs w:val="28"/>
        </w:rPr>
        <w:t>орректировка первоначальных значений</w:t>
      </w:r>
      <w:r w:rsidRPr="007E4EBC">
        <w:rPr>
          <w:rFonts w:ascii="Times New Roman" w:eastAsiaTheme="minorEastAsia" w:hAnsi="Times New Roman" w:cs="Times New Roman"/>
          <w:sz w:val="28"/>
          <w:szCs w:val="28"/>
        </w:rPr>
        <w:t xml:space="preserve"> </w:t>
      </w:r>
      <w:r w:rsidRPr="00443280">
        <w:rPr>
          <w:rFonts w:ascii="Times New Roman" w:eastAsiaTheme="minorEastAsia" w:hAnsi="Times New Roman" w:cs="Times New Roman"/>
          <w:sz w:val="28"/>
          <w:szCs w:val="28"/>
        </w:rPr>
        <w:t xml:space="preserve">сезонной </w:t>
      </w:r>
      <w:r>
        <w:rPr>
          <w:rFonts w:ascii="Times New Roman" w:eastAsiaTheme="minorEastAsia" w:hAnsi="Times New Roman" w:cs="Times New Roman"/>
          <w:sz w:val="28"/>
          <w:szCs w:val="28"/>
        </w:rPr>
        <w:t>компоне</w:t>
      </w:r>
      <w:r>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ты</w:t>
      </w:r>
      <w:r w:rsidRPr="007E4EBC">
        <w:rPr>
          <w:rFonts w:ascii="Times New Roman" w:eastAsiaTheme="minorEastAsia" w:hAnsi="Times New Roman" w:cs="Times New Roman"/>
          <w:sz w:val="28"/>
          <w:szCs w:val="28"/>
        </w:rPr>
        <w:t>,</w:t>
      </w:r>
      <w:r w:rsidRPr="0044328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вызванная тем, что суммарное воздействие сезонности на динамику</w:t>
      </w:r>
      <w:r w:rsidR="009001E0">
        <w:rPr>
          <w:rFonts w:ascii="Times New Roman" w:eastAsiaTheme="minorEastAsia" w:hAnsi="Times New Roman" w:cs="Times New Roman"/>
          <w:sz w:val="28"/>
          <w:szCs w:val="28"/>
        </w:rPr>
        <w:t xml:space="preserve"> ряда</w:t>
      </w:r>
      <w:r>
        <w:rPr>
          <w:rFonts w:ascii="Times New Roman" w:eastAsiaTheme="minorEastAsia" w:hAnsi="Times New Roman" w:cs="Times New Roman"/>
          <w:sz w:val="28"/>
          <w:szCs w:val="28"/>
        </w:rPr>
        <w:t xml:space="preserve"> предполагается нейтральным (взаимнопогашаемым), </w:t>
      </w:r>
      <w:r w:rsidRPr="00443280">
        <w:rPr>
          <w:rFonts w:ascii="Times New Roman" w:eastAsiaTheme="minorEastAsia" w:hAnsi="Times New Roman" w:cs="Times New Roman"/>
          <w:sz w:val="28"/>
          <w:szCs w:val="28"/>
        </w:rPr>
        <w:t>осуществляется сл</w:t>
      </w:r>
      <w:r w:rsidRPr="00443280">
        <w:rPr>
          <w:rFonts w:ascii="Times New Roman" w:eastAsiaTheme="minorEastAsia" w:hAnsi="Times New Roman" w:cs="Times New Roman"/>
          <w:sz w:val="28"/>
          <w:szCs w:val="28"/>
        </w:rPr>
        <w:t>е</w:t>
      </w:r>
      <w:r w:rsidRPr="00443280">
        <w:rPr>
          <w:rFonts w:ascii="Times New Roman" w:eastAsiaTheme="minorEastAsia" w:hAnsi="Times New Roman" w:cs="Times New Roman"/>
          <w:sz w:val="28"/>
          <w:szCs w:val="28"/>
        </w:rPr>
        <w:t>дующим образом</w:t>
      </w:r>
      <w:r w:rsidR="00F1569B">
        <w:rPr>
          <w:rFonts w:ascii="Times New Roman" w:eastAsiaTheme="minorEastAsia" w:hAnsi="Times New Roman" w:cs="Times New Roman"/>
          <w:sz w:val="28"/>
          <w:szCs w:val="28"/>
        </w:rPr>
        <w:t xml:space="preserve"> </w:t>
      </w:r>
      <w:r w:rsidR="00F1569B" w:rsidRPr="00F1569B">
        <w:rPr>
          <w:rFonts w:ascii="Times New Roman" w:eastAsiaTheme="minorEastAsia" w:hAnsi="Times New Roman" w:cs="Times New Roman"/>
          <w:sz w:val="28"/>
          <w:szCs w:val="28"/>
        </w:rPr>
        <w:t>[8]</w:t>
      </w:r>
      <w:r w:rsidRPr="00443280">
        <w:rPr>
          <w:rFonts w:ascii="Times New Roman" w:eastAsiaTheme="minorEastAsia" w:hAnsi="Times New Roman" w:cs="Times New Roman"/>
          <w:sz w:val="28"/>
          <w:szCs w:val="28"/>
        </w:rPr>
        <w:t>:</w:t>
      </w:r>
    </w:p>
    <w:p w:rsidR="002F57F4" w:rsidRDefault="005F2FF8" w:rsidP="002F57F4">
      <w:pPr>
        <w:spacing w:after="0" w:line="36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S</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x</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oMath>
      <w:r w:rsidR="002F57F4" w:rsidRPr="00443280">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x</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GB"/>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en-GB"/>
              </w:rPr>
              <m:t>m</m:t>
            </m:r>
          </m:den>
        </m:f>
        <m:nary>
          <m:naryPr>
            <m:chr m:val="∑"/>
            <m:limLoc m:val="subSup"/>
            <m:ctrlPr>
              <w:rPr>
                <w:rFonts w:ascii="Cambria Math" w:eastAsiaTheme="minorEastAsia" w:hAnsi="Cambria Math" w:cs="Times New Roman"/>
                <w:i/>
                <w:sz w:val="28"/>
                <w:szCs w:val="28"/>
                <w:lang w:val="en-GB"/>
              </w:rPr>
            </m:ctrlPr>
          </m:naryPr>
          <m:sub>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GB"/>
              </w:rPr>
              <m:t>m</m:t>
            </m:r>
          </m:sup>
          <m:e>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x</m:t>
                    </m:r>
                  </m:e>
                </m:acc>
              </m:e>
              <m:sub>
                <m:r>
                  <w:rPr>
                    <w:rFonts w:ascii="Cambria Math" w:eastAsiaTheme="minorEastAsia" w:hAnsi="Cambria Math" w:cs="Times New Roman"/>
                    <w:sz w:val="28"/>
                    <w:szCs w:val="28"/>
                  </w:rPr>
                  <m:t>i</m:t>
                </m:r>
              </m:sub>
            </m:sSub>
          </m:e>
        </m:nary>
      </m:oMath>
      <w:r w:rsidR="002F57F4" w:rsidRPr="0044328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i=1,…,m</m:t>
        </m:r>
      </m:oMath>
      <w:r w:rsidR="002F57F4" w:rsidRPr="00BA421D">
        <w:rPr>
          <w:rFonts w:ascii="Times New Roman" w:eastAsiaTheme="minorEastAsia" w:hAnsi="Times New Roman" w:cs="Times New Roman"/>
          <w:sz w:val="28"/>
          <w:szCs w:val="28"/>
        </w:rPr>
        <w:t>.</w:t>
      </w:r>
    </w:p>
    <w:p w:rsidR="002F57F4" w:rsidRDefault="002F57F4" w:rsidP="002F57F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Сумма скорректированных оценок сезонной составляющей для полн</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го сезонного цикла должна равняться нулю (</w:t>
      </w:r>
      <w:r w:rsidR="008219C1" w:rsidRPr="008219C1">
        <w:rPr>
          <w:rFonts w:ascii="Times New Roman" w:eastAsiaTheme="minorEastAsia" w:hAnsi="Times New Roman" w:cs="Times New Roman"/>
          <w:sz w:val="28"/>
          <w:szCs w:val="28"/>
        </w:rPr>
        <w:t xml:space="preserve">табл. </w:t>
      </w:r>
      <w:r w:rsidR="00DA43A9">
        <w:rPr>
          <w:rFonts w:ascii="Times New Roman" w:eastAsiaTheme="minorEastAsia" w:hAnsi="Times New Roman" w:cs="Times New Roman"/>
          <w:sz w:val="28"/>
          <w:szCs w:val="28"/>
        </w:rPr>
        <w:t>2</w:t>
      </w:r>
      <w:r w:rsidR="00146C26">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w:t>
      </w:r>
    </w:p>
    <w:p w:rsidR="002F57F4" w:rsidRPr="009F00A4" w:rsidRDefault="002F57F4" w:rsidP="008D079E">
      <w:pPr>
        <w:spacing w:after="0" w:line="360" w:lineRule="auto"/>
        <w:jc w:val="right"/>
        <w:rPr>
          <w:rFonts w:ascii="Times New Roman" w:hAnsi="Times New Roman" w:cs="Times New Roman"/>
          <w:i/>
          <w:sz w:val="26"/>
          <w:szCs w:val="26"/>
        </w:rPr>
      </w:pPr>
      <w:r w:rsidRPr="009F00A4">
        <w:rPr>
          <w:rFonts w:ascii="Times New Roman" w:hAnsi="Times New Roman" w:cs="Times New Roman"/>
          <w:i/>
          <w:sz w:val="26"/>
          <w:szCs w:val="26"/>
        </w:rPr>
        <w:t xml:space="preserve">Таблица </w:t>
      </w:r>
      <w:r w:rsidR="006F1E45" w:rsidRPr="009F00A4">
        <w:rPr>
          <w:rFonts w:ascii="Times New Roman" w:hAnsi="Times New Roman" w:cs="Times New Roman"/>
          <w:i/>
          <w:sz w:val="26"/>
          <w:szCs w:val="26"/>
        </w:rPr>
        <w:t>2</w:t>
      </w:r>
      <w:r w:rsidR="00146C26" w:rsidRPr="009F00A4">
        <w:rPr>
          <w:rFonts w:ascii="Times New Roman" w:hAnsi="Times New Roman" w:cs="Times New Roman"/>
          <w:i/>
          <w:sz w:val="26"/>
          <w:szCs w:val="26"/>
        </w:rPr>
        <w:t>4</w:t>
      </w:r>
    </w:p>
    <w:p w:rsidR="002F57F4" w:rsidRPr="009F00A4" w:rsidRDefault="002F57F4" w:rsidP="008219C1">
      <w:pPr>
        <w:spacing w:after="0" w:line="360" w:lineRule="auto"/>
        <w:jc w:val="center"/>
        <w:rPr>
          <w:rFonts w:ascii="Times New Roman" w:hAnsi="Times New Roman" w:cs="Times New Roman"/>
          <w:sz w:val="26"/>
          <w:szCs w:val="26"/>
        </w:rPr>
      </w:pPr>
      <w:r w:rsidRPr="009F00A4">
        <w:rPr>
          <w:rFonts w:ascii="Times New Roman" w:hAnsi="Times New Roman" w:cs="Times New Roman"/>
          <w:i/>
          <w:sz w:val="26"/>
          <w:szCs w:val="26"/>
        </w:rPr>
        <w:t>О</w:t>
      </w:r>
      <w:r w:rsidR="009001E0" w:rsidRPr="009F00A4">
        <w:rPr>
          <w:rFonts w:ascii="Times New Roman" w:hAnsi="Times New Roman" w:cs="Times New Roman"/>
          <w:i/>
          <w:sz w:val="26"/>
          <w:szCs w:val="26"/>
        </w:rPr>
        <w:t xml:space="preserve">ценивание сезонной компоненты </w:t>
      </w:r>
      <w:r w:rsidRPr="009F00A4">
        <w:rPr>
          <w:rFonts w:ascii="Times New Roman" w:hAnsi="Times New Roman" w:cs="Times New Roman"/>
          <w:i/>
          <w:sz w:val="26"/>
          <w:szCs w:val="26"/>
        </w:rPr>
        <w:t>аддитивной модели</w:t>
      </w:r>
    </w:p>
    <w:tbl>
      <w:tblPr>
        <w:tblW w:w="5600" w:type="dxa"/>
        <w:jc w:val="center"/>
        <w:tblInd w:w="93" w:type="dxa"/>
        <w:tblLook w:val="04A0"/>
      </w:tblPr>
      <w:tblGrid>
        <w:gridCol w:w="1120"/>
        <w:gridCol w:w="1120"/>
        <w:gridCol w:w="1120"/>
        <w:gridCol w:w="1120"/>
        <w:gridCol w:w="1120"/>
      </w:tblGrid>
      <w:tr w:rsidR="002F57F4" w:rsidRPr="008E6B13" w:rsidTr="002F57F4">
        <w:trPr>
          <w:trHeight w:val="31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7F4" w:rsidRPr="008E6B13" w:rsidRDefault="002F57F4" w:rsidP="002F57F4">
            <w:pPr>
              <w:spacing w:after="0" w:line="240" w:lineRule="auto"/>
              <w:jc w:val="center"/>
              <w:rPr>
                <w:rFonts w:ascii="Times New Roman" w:eastAsia="Times New Roman" w:hAnsi="Times New Roman" w:cs="Times New Roman"/>
                <w:b/>
                <w:bCs/>
                <w:color w:val="000000"/>
                <w:sz w:val="24"/>
                <w:szCs w:val="24"/>
                <w:lang w:eastAsia="ru-RU"/>
              </w:rPr>
            </w:pPr>
            <w:r w:rsidRPr="008E6B13">
              <w:rPr>
                <w:rFonts w:ascii="Times New Roman" w:eastAsia="Times New Roman" w:hAnsi="Times New Roman" w:cs="Times New Roman"/>
                <w:b/>
                <w:bCs/>
                <w:color w:val="000000"/>
                <w:sz w:val="24"/>
                <w:szCs w:val="24"/>
                <w:lang w:eastAsia="ru-RU"/>
              </w:rPr>
              <w:t>1 кв.</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F57F4" w:rsidRPr="008E6B13" w:rsidRDefault="002F57F4" w:rsidP="002F57F4">
            <w:pPr>
              <w:spacing w:after="0" w:line="240" w:lineRule="auto"/>
              <w:jc w:val="center"/>
              <w:rPr>
                <w:rFonts w:ascii="Times New Roman" w:eastAsia="Times New Roman" w:hAnsi="Times New Roman" w:cs="Times New Roman"/>
                <w:b/>
                <w:bCs/>
                <w:color w:val="000000"/>
                <w:sz w:val="24"/>
                <w:szCs w:val="24"/>
                <w:lang w:eastAsia="ru-RU"/>
              </w:rPr>
            </w:pPr>
            <w:r w:rsidRPr="008E6B13">
              <w:rPr>
                <w:rFonts w:ascii="Times New Roman" w:eastAsia="Times New Roman" w:hAnsi="Times New Roman" w:cs="Times New Roman"/>
                <w:b/>
                <w:bCs/>
                <w:color w:val="000000"/>
                <w:sz w:val="24"/>
                <w:szCs w:val="24"/>
                <w:lang w:eastAsia="ru-RU"/>
              </w:rPr>
              <w:t>2 кв.</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F57F4" w:rsidRPr="008E6B13" w:rsidRDefault="002F57F4" w:rsidP="002F57F4">
            <w:pPr>
              <w:spacing w:after="0" w:line="240" w:lineRule="auto"/>
              <w:jc w:val="center"/>
              <w:rPr>
                <w:rFonts w:ascii="Times New Roman" w:eastAsia="Times New Roman" w:hAnsi="Times New Roman" w:cs="Times New Roman"/>
                <w:b/>
                <w:bCs/>
                <w:color w:val="000000"/>
                <w:sz w:val="24"/>
                <w:szCs w:val="24"/>
                <w:lang w:eastAsia="ru-RU"/>
              </w:rPr>
            </w:pPr>
            <w:r w:rsidRPr="008E6B13">
              <w:rPr>
                <w:rFonts w:ascii="Times New Roman" w:eastAsia="Times New Roman" w:hAnsi="Times New Roman" w:cs="Times New Roman"/>
                <w:b/>
                <w:bCs/>
                <w:color w:val="000000"/>
                <w:sz w:val="24"/>
                <w:szCs w:val="24"/>
                <w:lang w:eastAsia="ru-RU"/>
              </w:rPr>
              <w:t>3 кв.</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F57F4" w:rsidRPr="008E6B13" w:rsidRDefault="002F57F4" w:rsidP="002F57F4">
            <w:pPr>
              <w:spacing w:after="0" w:line="240" w:lineRule="auto"/>
              <w:jc w:val="center"/>
              <w:rPr>
                <w:rFonts w:ascii="Times New Roman" w:eastAsia="Times New Roman" w:hAnsi="Times New Roman" w:cs="Times New Roman"/>
                <w:b/>
                <w:bCs/>
                <w:color w:val="000000"/>
                <w:sz w:val="24"/>
                <w:szCs w:val="24"/>
                <w:lang w:eastAsia="ru-RU"/>
              </w:rPr>
            </w:pPr>
            <w:r w:rsidRPr="008E6B13">
              <w:rPr>
                <w:rFonts w:ascii="Times New Roman" w:eastAsia="Times New Roman" w:hAnsi="Times New Roman" w:cs="Times New Roman"/>
                <w:b/>
                <w:bCs/>
                <w:color w:val="000000"/>
                <w:sz w:val="24"/>
                <w:szCs w:val="24"/>
                <w:lang w:eastAsia="ru-RU"/>
              </w:rPr>
              <w:t>4 кв.</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F57F4" w:rsidRPr="008E6B13" w:rsidRDefault="002F57F4" w:rsidP="002F57F4">
            <w:pPr>
              <w:spacing w:after="0" w:line="240" w:lineRule="auto"/>
              <w:jc w:val="center"/>
              <w:rPr>
                <w:rFonts w:ascii="Times New Roman" w:eastAsia="Times New Roman" w:hAnsi="Times New Roman" w:cs="Times New Roman"/>
                <w:b/>
                <w:bCs/>
                <w:color w:val="000000"/>
                <w:sz w:val="24"/>
                <w:szCs w:val="24"/>
                <w:lang w:eastAsia="ru-RU"/>
              </w:rPr>
            </w:pPr>
            <w:r w:rsidRPr="008E6B13">
              <w:rPr>
                <w:rFonts w:ascii="Times New Roman" w:eastAsia="Times New Roman" w:hAnsi="Times New Roman" w:cs="Times New Roman"/>
                <w:b/>
                <w:bCs/>
                <w:color w:val="000000"/>
                <w:sz w:val="24"/>
                <w:szCs w:val="24"/>
                <w:lang w:eastAsia="ru-RU"/>
              </w:rPr>
              <w:t>Сумма</w:t>
            </w:r>
          </w:p>
        </w:tc>
      </w:tr>
      <w:tr w:rsidR="006F1E45" w:rsidRPr="006F1E45" w:rsidTr="006F1E45">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F1E45" w:rsidRPr="006F1E45" w:rsidRDefault="006F1E45" w:rsidP="006F1E45">
            <w:pPr>
              <w:spacing w:after="0" w:line="240" w:lineRule="auto"/>
              <w:jc w:val="center"/>
              <w:rPr>
                <w:rFonts w:ascii="Times New Roman" w:eastAsia="Times New Roman" w:hAnsi="Times New Roman" w:cs="Times New Roman"/>
                <w:color w:val="000000"/>
                <w:sz w:val="24"/>
                <w:szCs w:val="24"/>
                <w:lang w:eastAsia="ru-RU"/>
              </w:rPr>
            </w:pPr>
            <w:r w:rsidRPr="006F1E45">
              <w:rPr>
                <w:rFonts w:ascii="Times New Roman" w:eastAsia="Times New Roman" w:hAnsi="Times New Roman" w:cs="Times New Roman"/>
                <w:color w:val="000000"/>
                <w:sz w:val="24"/>
                <w:szCs w:val="24"/>
                <w:lang w:eastAsia="ru-RU"/>
              </w:rPr>
              <w:t>67 997</w:t>
            </w:r>
          </w:p>
        </w:tc>
        <w:tc>
          <w:tcPr>
            <w:tcW w:w="1120" w:type="dxa"/>
            <w:tcBorders>
              <w:top w:val="nil"/>
              <w:left w:val="nil"/>
              <w:bottom w:val="single" w:sz="4" w:space="0" w:color="auto"/>
              <w:right w:val="single" w:sz="4" w:space="0" w:color="auto"/>
            </w:tcBorders>
            <w:shd w:val="clear" w:color="auto" w:fill="auto"/>
            <w:noWrap/>
            <w:vAlign w:val="center"/>
            <w:hideMark/>
          </w:tcPr>
          <w:p w:rsidR="006F1E45" w:rsidRPr="006F1E45" w:rsidRDefault="006F1E45" w:rsidP="006F1E45">
            <w:pPr>
              <w:spacing w:after="0" w:line="240" w:lineRule="auto"/>
              <w:jc w:val="center"/>
              <w:rPr>
                <w:rFonts w:ascii="Times New Roman" w:eastAsia="Times New Roman" w:hAnsi="Times New Roman" w:cs="Times New Roman"/>
                <w:color w:val="000000"/>
                <w:sz w:val="24"/>
                <w:szCs w:val="24"/>
                <w:lang w:eastAsia="ru-RU"/>
              </w:rPr>
            </w:pPr>
            <w:r w:rsidRPr="006F1E45">
              <w:rPr>
                <w:rFonts w:ascii="Times New Roman" w:eastAsia="Times New Roman" w:hAnsi="Times New Roman" w:cs="Times New Roman"/>
                <w:color w:val="000000"/>
                <w:sz w:val="24"/>
                <w:szCs w:val="24"/>
                <w:lang w:eastAsia="ru-RU"/>
              </w:rPr>
              <w:t>-91 815</w:t>
            </w:r>
          </w:p>
        </w:tc>
        <w:tc>
          <w:tcPr>
            <w:tcW w:w="1120" w:type="dxa"/>
            <w:tcBorders>
              <w:top w:val="nil"/>
              <w:left w:val="nil"/>
              <w:bottom w:val="single" w:sz="4" w:space="0" w:color="auto"/>
              <w:right w:val="single" w:sz="4" w:space="0" w:color="auto"/>
            </w:tcBorders>
            <w:shd w:val="clear" w:color="auto" w:fill="auto"/>
            <w:noWrap/>
            <w:vAlign w:val="center"/>
            <w:hideMark/>
          </w:tcPr>
          <w:p w:rsidR="006F1E45" w:rsidRPr="006F1E45" w:rsidRDefault="006F1E45" w:rsidP="006F1E45">
            <w:pPr>
              <w:spacing w:after="0" w:line="240" w:lineRule="auto"/>
              <w:jc w:val="center"/>
              <w:rPr>
                <w:rFonts w:ascii="Times New Roman" w:eastAsia="Times New Roman" w:hAnsi="Times New Roman" w:cs="Times New Roman"/>
                <w:color w:val="000000"/>
                <w:sz w:val="24"/>
                <w:szCs w:val="24"/>
                <w:lang w:eastAsia="ru-RU"/>
              </w:rPr>
            </w:pPr>
            <w:r w:rsidRPr="006F1E45">
              <w:rPr>
                <w:rFonts w:ascii="Times New Roman" w:eastAsia="Times New Roman" w:hAnsi="Times New Roman" w:cs="Times New Roman"/>
                <w:color w:val="000000"/>
                <w:sz w:val="24"/>
                <w:szCs w:val="24"/>
                <w:lang w:eastAsia="ru-RU"/>
              </w:rPr>
              <w:t>-78 667</w:t>
            </w:r>
          </w:p>
        </w:tc>
        <w:tc>
          <w:tcPr>
            <w:tcW w:w="1120" w:type="dxa"/>
            <w:tcBorders>
              <w:top w:val="nil"/>
              <w:left w:val="nil"/>
              <w:bottom w:val="single" w:sz="4" w:space="0" w:color="auto"/>
              <w:right w:val="single" w:sz="4" w:space="0" w:color="auto"/>
            </w:tcBorders>
            <w:shd w:val="clear" w:color="auto" w:fill="auto"/>
            <w:noWrap/>
            <w:vAlign w:val="center"/>
            <w:hideMark/>
          </w:tcPr>
          <w:p w:rsidR="006F1E45" w:rsidRPr="006F1E45" w:rsidRDefault="006F1E45" w:rsidP="006F1E45">
            <w:pPr>
              <w:spacing w:after="0" w:line="240" w:lineRule="auto"/>
              <w:jc w:val="center"/>
              <w:rPr>
                <w:rFonts w:ascii="Times New Roman" w:eastAsia="Times New Roman" w:hAnsi="Times New Roman" w:cs="Times New Roman"/>
                <w:color w:val="000000"/>
                <w:sz w:val="24"/>
                <w:szCs w:val="24"/>
                <w:lang w:eastAsia="ru-RU"/>
              </w:rPr>
            </w:pPr>
            <w:r w:rsidRPr="006F1E45">
              <w:rPr>
                <w:rFonts w:ascii="Times New Roman" w:eastAsia="Times New Roman" w:hAnsi="Times New Roman" w:cs="Times New Roman"/>
                <w:color w:val="000000"/>
                <w:sz w:val="24"/>
                <w:szCs w:val="24"/>
                <w:lang w:eastAsia="ru-RU"/>
              </w:rPr>
              <w:t>102 484</w:t>
            </w:r>
          </w:p>
        </w:tc>
        <w:tc>
          <w:tcPr>
            <w:tcW w:w="1120" w:type="dxa"/>
            <w:tcBorders>
              <w:top w:val="nil"/>
              <w:left w:val="nil"/>
              <w:bottom w:val="single" w:sz="4" w:space="0" w:color="auto"/>
              <w:right w:val="single" w:sz="4" w:space="0" w:color="auto"/>
            </w:tcBorders>
            <w:shd w:val="clear" w:color="auto" w:fill="auto"/>
            <w:noWrap/>
            <w:vAlign w:val="center"/>
            <w:hideMark/>
          </w:tcPr>
          <w:p w:rsidR="006F1E45" w:rsidRPr="008E6B13" w:rsidRDefault="006F1E45" w:rsidP="002F57F4">
            <w:pPr>
              <w:spacing w:after="0" w:line="240" w:lineRule="auto"/>
              <w:jc w:val="center"/>
              <w:rPr>
                <w:rFonts w:ascii="Times New Roman" w:eastAsia="Times New Roman" w:hAnsi="Times New Roman" w:cs="Times New Roman"/>
                <w:color w:val="000000"/>
                <w:sz w:val="24"/>
                <w:szCs w:val="24"/>
                <w:lang w:eastAsia="ru-RU"/>
              </w:rPr>
            </w:pPr>
            <w:r w:rsidRPr="008E6B13">
              <w:rPr>
                <w:rFonts w:ascii="Times New Roman" w:eastAsia="Times New Roman" w:hAnsi="Times New Roman" w:cs="Times New Roman"/>
                <w:color w:val="000000"/>
                <w:sz w:val="24"/>
                <w:szCs w:val="24"/>
                <w:lang w:eastAsia="ru-RU"/>
              </w:rPr>
              <w:t>0</w:t>
            </w:r>
          </w:p>
        </w:tc>
      </w:tr>
    </w:tbl>
    <w:p w:rsidR="002F57F4" w:rsidRPr="00D610F4" w:rsidRDefault="002F57F4" w:rsidP="008D079E">
      <w:pPr>
        <w:spacing w:before="240"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Таким образом, в ходе последующей десезонализации страховых в</w:t>
      </w:r>
      <w:r>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плат уровни ряда, относящиеся ко второму и третьему кварталам, должны быть скорректированы в сторону уменьшения, а к первому и четвертому кварталам – в сторону увеличения.</w:t>
      </w:r>
    </w:p>
    <w:p w:rsidR="00D610F4" w:rsidRDefault="00D610F4" w:rsidP="00D610F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w:t>
      </w:r>
      <w:r w:rsidRPr="00D610F4">
        <w:rPr>
          <w:rFonts w:ascii="Times New Roman" w:eastAsiaTheme="minorEastAsia" w:hAnsi="Times New Roman" w:cs="Times New Roman"/>
          <w:i/>
          <w:sz w:val="28"/>
          <w:szCs w:val="28"/>
        </w:rPr>
        <w:t>мультипликативной</w:t>
      </w:r>
      <w:r>
        <w:rPr>
          <w:rFonts w:ascii="Times New Roman" w:eastAsiaTheme="minorEastAsia" w:hAnsi="Times New Roman" w:cs="Times New Roman"/>
          <w:sz w:val="28"/>
          <w:szCs w:val="28"/>
        </w:rPr>
        <w:t xml:space="preserve"> модели меняется содержание второго и че</w:t>
      </w:r>
      <w:r>
        <w:rPr>
          <w:rFonts w:ascii="Times New Roman" w:eastAsiaTheme="minorEastAsia" w:hAnsi="Times New Roman" w:cs="Times New Roman"/>
          <w:sz w:val="28"/>
          <w:szCs w:val="28"/>
        </w:rPr>
        <w:t>т</w:t>
      </w:r>
      <w:r>
        <w:rPr>
          <w:rFonts w:ascii="Times New Roman" w:eastAsiaTheme="minorEastAsia" w:hAnsi="Times New Roman" w:cs="Times New Roman"/>
          <w:sz w:val="28"/>
          <w:szCs w:val="28"/>
        </w:rPr>
        <w:t xml:space="preserve">вертого этапов алгоритма. </w:t>
      </w:r>
      <w:proofErr w:type="gramStart"/>
      <w:r>
        <w:rPr>
          <w:rFonts w:ascii="Times New Roman" w:eastAsiaTheme="minorEastAsia" w:hAnsi="Times New Roman" w:cs="Times New Roman"/>
          <w:sz w:val="28"/>
          <w:szCs w:val="28"/>
        </w:rPr>
        <w:t xml:space="preserve">На втором шаге для получения предварительной оценки сезонной и случайной составляющих </w:t>
      </w:r>
      <w:r w:rsidR="006F1E45">
        <w:rPr>
          <w:rFonts w:ascii="Times New Roman" w:eastAsiaTheme="minorEastAsia" w:hAnsi="Times New Roman" w:cs="Times New Roman"/>
          <w:sz w:val="28"/>
          <w:szCs w:val="28"/>
        </w:rPr>
        <w:t xml:space="preserve">временного ряда </w:t>
      </w:r>
      <w:r w:rsidR="00030F2F">
        <w:rPr>
          <w:rFonts w:ascii="Times New Roman" w:eastAsiaTheme="minorEastAsia" w:hAnsi="Times New Roman" w:cs="Times New Roman"/>
          <w:sz w:val="28"/>
          <w:szCs w:val="28"/>
        </w:rPr>
        <w:t xml:space="preserve">определяется отношение </w:t>
      </w:r>
      <w:r>
        <w:rPr>
          <w:rFonts w:ascii="Times New Roman" w:eastAsiaTheme="minorEastAsia" w:hAnsi="Times New Roman" w:cs="Times New Roman"/>
          <w:sz w:val="28"/>
          <w:szCs w:val="28"/>
        </w:rPr>
        <w:t xml:space="preserve">фактических значений показателя </w:t>
      </w:r>
      <w:r w:rsidR="00030F2F">
        <w:rPr>
          <w:rFonts w:ascii="Times New Roman" w:eastAsiaTheme="minorEastAsia" w:hAnsi="Times New Roman" w:cs="Times New Roman"/>
          <w:sz w:val="28"/>
          <w:szCs w:val="28"/>
        </w:rPr>
        <w:t xml:space="preserve">к уровням </w:t>
      </w:r>
      <w:r>
        <w:rPr>
          <w:rFonts w:ascii="Times New Roman" w:eastAsiaTheme="minorEastAsia" w:hAnsi="Times New Roman" w:cs="Times New Roman"/>
          <w:sz w:val="28"/>
          <w:szCs w:val="28"/>
        </w:rPr>
        <w:t>сглаженного ряда</w:t>
      </w:r>
      <w:r w:rsidR="00030F2F">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x</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y</m:t>
                </m:r>
              </m:e>
              <m:sub>
                <m:r>
                  <w:rPr>
                    <w:rFonts w:ascii="Cambria Math" w:eastAsiaTheme="minorEastAsia" w:hAnsi="Cambria Math" w:cs="Times New Roman"/>
                    <w:sz w:val="28"/>
                    <w:szCs w:val="28"/>
                  </w:rPr>
                  <m:t>t</m:t>
                </m:r>
              </m:sub>
            </m:sSub>
          </m:num>
          <m:den>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y</m:t>
                    </m:r>
                  </m:e>
                </m:acc>
              </m:e>
              <m:sub>
                <m:r>
                  <w:rPr>
                    <w:rFonts w:ascii="Cambria Math" w:eastAsiaTheme="minorEastAsia" w:hAnsi="Cambria Math" w:cs="Times New Roman"/>
                    <w:sz w:val="28"/>
                    <w:szCs w:val="28"/>
                  </w:rPr>
                  <m:t>t</m:t>
                </m:r>
              </m:sub>
            </m:sSub>
          </m:den>
        </m:f>
      </m:oMath>
      <w:r w:rsidRPr="00C7788B">
        <w:rPr>
          <w:rFonts w:ascii="Times New Roman" w:eastAsiaTheme="minorEastAsia" w:hAnsi="Times New Roman" w:cs="Times New Roman"/>
          <w:sz w:val="28"/>
          <w:szCs w:val="28"/>
        </w:rPr>
        <w:t>.</w:t>
      </w:r>
      <w:r w:rsidR="00030F2F">
        <w:rPr>
          <w:rFonts w:ascii="Times New Roman" w:eastAsiaTheme="minorEastAsia" w:hAnsi="Times New Roman" w:cs="Times New Roman"/>
          <w:sz w:val="28"/>
          <w:szCs w:val="28"/>
        </w:rPr>
        <w:t xml:space="preserve"> На четвертом шаге окончательные оценки коэффициентов сезонн</w:t>
      </w:r>
      <w:r w:rsidR="00030F2F">
        <w:rPr>
          <w:rFonts w:ascii="Times New Roman" w:eastAsiaTheme="minorEastAsia" w:hAnsi="Times New Roman" w:cs="Times New Roman"/>
          <w:sz w:val="28"/>
          <w:szCs w:val="28"/>
        </w:rPr>
        <w:t>о</w:t>
      </w:r>
      <w:r w:rsidR="00030F2F">
        <w:rPr>
          <w:rFonts w:ascii="Times New Roman" w:eastAsiaTheme="minorEastAsia" w:hAnsi="Times New Roman" w:cs="Times New Roman"/>
          <w:sz w:val="28"/>
          <w:szCs w:val="28"/>
        </w:rPr>
        <w:t>сти</w:t>
      </w:r>
      <w:r w:rsidR="000B04AF">
        <w:rPr>
          <w:rFonts w:ascii="Times New Roman" w:eastAsiaTheme="minorEastAsia" w:hAnsi="Times New Roman" w:cs="Times New Roman"/>
          <w:sz w:val="28"/>
          <w:szCs w:val="28"/>
        </w:rPr>
        <w:t xml:space="preserve">, среднее значение которых </w:t>
      </w:r>
      <w:r w:rsidR="008E11E6">
        <w:rPr>
          <w:rFonts w:ascii="Times New Roman" w:eastAsiaTheme="minorEastAsia" w:hAnsi="Times New Roman" w:cs="Times New Roman"/>
          <w:sz w:val="28"/>
          <w:szCs w:val="28"/>
        </w:rPr>
        <w:t xml:space="preserve">для полного сезонного цикла </w:t>
      </w:r>
      <w:r w:rsidR="000B04AF">
        <w:rPr>
          <w:rFonts w:ascii="Times New Roman" w:eastAsiaTheme="minorEastAsia" w:hAnsi="Times New Roman" w:cs="Times New Roman"/>
          <w:sz w:val="28"/>
          <w:szCs w:val="28"/>
        </w:rPr>
        <w:t>должно быть равно единице,</w:t>
      </w:r>
      <w:r w:rsidR="00030F2F">
        <w:rPr>
          <w:rFonts w:ascii="Times New Roman" w:eastAsiaTheme="minorEastAsia" w:hAnsi="Times New Roman" w:cs="Times New Roman"/>
          <w:sz w:val="28"/>
          <w:szCs w:val="28"/>
        </w:rPr>
        <w:t xml:space="preserve"> рассчитываются по формуле:</w:t>
      </w:r>
      <w:proofErr w:type="gramEnd"/>
    </w:p>
    <w:p w:rsidR="00030F2F" w:rsidRDefault="005F2FF8" w:rsidP="00030F2F">
      <w:pPr>
        <w:spacing w:after="0" w:line="36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S</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x</m:t>
                </m:r>
              </m:e>
            </m:acc>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oMath>
      <w:r w:rsidR="00030F2F" w:rsidRPr="00443280">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x</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GB"/>
              </w:rPr>
            </m:ctrlPr>
          </m:fPr>
          <m:num>
            <m:r>
              <w:rPr>
                <w:rFonts w:ascii="Cambria Math" w:eastAsiaTheme="minorEastAsia" w:hAnsi="Cambria Math" w:cs="Times New Roman"/>
                <w:sz w:val="28"/>
                <w:szCs w:val="28"/>
                <w:lang w:val="en-GB"/>
              </w:rPr>
              <m:t>m</m:t>
            </m:r>
          </m:num>
          <m:den>
            <m:nary>
              <m:naryPr>
                <m:chr m:val="∑"/>
                <m:limLoc m:val="undOvr"/>
                <m:ctrlPr>
                  <w:rPr>
                    <w:rFonts w:ascii="Cambria Math" w:eastAsiaTheme="minorEastAsia" w:hAnsi="Cambria Math" w:cs="Times New Roman"/>
                    <w:i/>
                    <w:sz w:val="28"/>
                    <w:szCs w:val="28"/>
                    <w:lang w:val="en-GB"/>
                  </w:rPr>
                </m:ctrlPr>
              </m:naryPr>
              <m:sub>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GB"/>
                  </w:rPr>
                  <m:t>m</m:t>
                </m:r>
              </m:sup>
              <m:e>
                <m:sSub>
                  <m:sSubPr>
                    <m:ctrlPr>
                      <w:rPr>
                        <w:rFonts w:ascii="Cambria Math" w:eastAsiaTheme="minorEastAsia" w:hAnsi="Cambria Math" w:cs="Times New Roman"/>
                        <w:i/>
                        <w:sz w:val="28"/>
                        <w:szCs w:val="28"/>
                        <w:lang w:val="en-GB"/>
                      </w:rPr>
                    </m:ctrlPr>
                  </m:sSubPr>
                  <m:e>
                    <m:acc>
                      <m:accPr>
                        <m:chr m:val="̅"/>
                        <m:ctrlPr>
                          <w:rPr>
                            <w:rFonts w:ascii="Cambria Math" w:eastAsiaTheme="minorEastAsia" w:hAnsi="Cambria Math" w:cs="Times New Roman"/>
                            <w:i/>
                            <w:sz w:val="28"/>
                            <w:szCs w:val="28"/>
                            <w:lang w:val="en-GB"/>
                          </w:rPr>
                        </m:ctrlPr>
                      </m:accPr>
                      <m:e>
                        <m:r>
                          <w:rPr>
                            <w:rFonts w:ascii="Cambria Math" w:eastAsiaTheme="minorEastAsia" w:hAnsi="Cambria Math" w:cs="Times New Roman"/>
                            <w:sz w:val="28"/>
                            <w:szCs w:val="28"/>
                            <w:lang w:val="en-GB"/>
                          </w:rPr>
                          <m:t>x</m:t>
                        </m:r>
                      </m:e>
                    </m:acc>
                  </m:e>
                  <m:sub>
                    <m:r>
                      <w:rPr>
                        <w:rFonts w:ascii="Cambria Math" w:eastAsiaTheme="minorEastAsia" w:hAnsi="Cambria Math" w:cs="Times New Roman"/>
                        <w:sz w:val="28"/>
                        <w:szCs w:val="28"/>
                        <w:lang w:val="en-GB"/>
                      </w:rPr>
                      <m:t>i</m:t>
                    </m:r>
                  </m:sub>
                </m:sSub>
              </m:e>
            </m:nary>
          </m:den>
        </m:f>
      </m:oMath>
      <w:r w:rsidR="00030F2F" w:rsidRPr="00443280">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i=1,…,m</m:t>
        </m:r>
      </m:oMath>
      <w:r w:rsidR="000B04AF">
        <w:rPr>
          <w:rFonts w:ascii="Times New Roman" w:eastAsiaTheme="minorEastAsia" w:hAnsi="Times New Roman" w:cs="Times New Roman"/>
          <w:sz w:val="28"/>
          <w:szCs w:val="28"/>
        </w:rPr>
        <w:t>.</w:t>
      </w:r>
    </w:p>
    <w:p w:rsidR="002F57F4" w:rsidRDefault="002F57F4" w:rsidP="002F57F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описания тенденции воспользуемся линейной моделью роста, что согласуется с результатами визуального анализа исходных данных:</w:t>
      </w:r>
    </w:p>
    <w:p w:rsidR="002F57F4" w:rsidRPr="002F57F4" w:rsidRDefault="005F2FF8" w:rsidP="002F57F4">
      <w:pPr>
        <w:spacing w:after="0" w:line="360" w:lineRule="auto"/>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y</m:t>
                </m:r>
              </m:e>
            </m:acc>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=1188309+23006∙t</m:t>
        </m:r>
      </m:oMath>
      <w:r w:rsidR="002F57F4" w:rsidRPr="002F57F4">
        <w:rPr>
          <w:rFonts w:ascii="Times New Roman" w:eastAsiaTheme="minorEastAsia" w:hAnsi="Times New Roman" w:cs="Times New Roman"/>
          <w:sz w:val="28"/>
          <w:szCs w:val="28"/>
        </w:rPr>
        <w:t>.</w:t>
      </w:r>
    </w:p>
    <w:p w:rsidR="002F57F4" w:rsidRDefault="002F57F4" w:rsidP="002F57F4">
      <w:pPr>
        <w:spacing w:after="0" w:line="360" w:lineRule="auto"/>
        <w:ind w:firstLine="709"/>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На заключительном этапе суммированием полученных оценок тренд</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вой </w:t>
      </w:r>
      <m:oMath>
        <m:sSub>
          <m:sSubPr>
            <m:ctrlPr>
              <w:rPr>
                <w:rFonts w:ascii="Cambria Math" w:eastAsiaTheme="minorEastAsia" w:hAnsi="Cambria Math" w:cs="Times New Roman"/>
                <w:i/>
                <w:sz w:val="28"/>
                <w:szCs w:val="28"/>
              </w:rPr>
            </m:ctrlPr>
          </m:sSub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lang w:val="en-GB"/>
                  </w:rPr>
                  <m:t>y</m:t>
                </m:r>
              </m:e>
            </m:acc>
          </m:e>
          <m:sub>
            <m:r>
              <w:rPr>
                <w:rFonts w:ascii="Cambria Math" w:eastAsiaTheme="minorEastAsia" w:hAnsi="Cambria Math" w:cs="Times New Roman"/>
                <w:sz w:val="28"/>
                <w:szCs w:val="28"/>
              </w:rPr>
              <m:t>t</m:t>
            </m:r>
          </m:sub>
        </m:sSub>
      </m:oMath>
      <w:r>
        <w:rPr>
          <w:rFonts w:ascii="Times New Roman" w:eastAsiaTheme="minorEastAsia" w:hAnsi="Times New Roman" w:cs="Times New Roman"/>
          <w:sz w:val="28"/>
          <w:szCs w:val="28"/>
        </w:rPr>
        <w:t xml:space="preserve"> и сезонной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S</m:t>
            </m:r>
          </m:e>
          <m:sub>
            <m:r>
              <w:rPr>
                <w:rFonts w:ascii="Cambria Math" w:eastAsiaTheme="minorEastAsia" w:hAnsi="Cambria Math" w:cs="Times New Roman"/>
                <w:sz w:val="28"/>
                <w:szCs w:val="28"/>
              </w:rPr>
              <m:t>i</m:t>
            </m:r>
          </m:sub>
        </m:sSub>
      </m:oMath>
      <w:r>
        <w:rPr>
          <w:rFonts w:ascii="Times New Roman" w:eastAsiaTheme="minorEastAsia" w:hAnsi="Times New Roman" w:cs="Times New Roman"/>
          <w:sz w:val="28"/>
          <w:szCs w:val="28"/>
        </w:rPr>
        <w:t xml:space="preserve"> составляющих определим предсказанные по аддитивной модели уровни временного ряда (</w:t>
      </w:r>
      <w:r w:rsidR="008219C1" w:rsidRPr="008219C1">
        <w:rPr>
          <w:rFonts w:ascii="Times New Roman" w:eastAsiaTheme="minorEastAsia" w:hAnsi="Times New Roman" w:cs="Times New Roman"/>
          <w:sz w:val="28"/>
          <w:szCs w:val="28"/>
        </w:rPr>
        <w:t xml:space="preserve">рис. </w:t>
      </w:r>
      <w:r w:rsidR="00E43E8A">
        <w:rPr>
          <w:rFonts w:ascii="Times New Roman" w:eastAsiaTheme="minorEastAsia" w:hAnsi="Times New Roman" w:cs="Times New Roman"/>
          <w:sz w:val="28"/>
          <w:szCs w:val="28"/>
        </w:rPr>
        <w:t>18</w:t>
      </w:r>
      <w:r>
        <w:rPr>
          <w:rFonts w:ascii="Times New Roman" w:eastAsiaTheme="minorEastAsia" w:hAnsi="Times New Roman" w:cs="Times New Roman"/>
          <w:sz w:val="28"/>
          <w:szCs w:val="28"/>
        </w:rPr>
        <w:t>).</w:t>
      </w:r>
      <w:proofErr w:type="gramEnd"/>
    </w:p>
    <w:p w:rsidR="002F57F4" w:rsidRDefault="00D051EA" w:rsidP="002F57F4">
      <w:pPr>
        <w:spacing w:after="0" w:line="360" w:lineRule="auto"/>
        <w:jc w:val="center"/>
        <w:rPr>
          <w:rFonts w:ascii="Times New Roman" w:hAnsi="Times New Roman" w:cs="Times New Roman"/>
          <w:i/>
          <w:sz w:val="25"/>
          <w:szCs w:val="25"/>
        </w:rPr>
      </w:pPr>
      <w:r w:rsidRPr="00D051EA">
        <w:rPr>
          <w:rFonts w:ascii="Times New Roman" w:hAnsi="Times New Roman" w:cs="Times New Roman"/>
          <w:i/>
          <w:noProof/>
          <w:sz w:val="25"/>
          <w:szCs w:val="25"/>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7F4" w:rsidRPr="009F00A4" w:rsidRDefault="002F57F4" w:rsidP="002F57F4">
      <w:pPr>
        <w:spacing w:after="0" w:line="360" w:lineRule="auto"/>
        <w:jc w:val="center"/>
        <w:rPr>
          <w:rFonts w:ascii="Times New Roman" w:hAnsi="Times New Roman" w:cs="Times New Roman"/>
          <w:i/>
          <w:sz w:val="26"/>
          <w:szCs w:val="26"/>
        </w:rPr>
      </w:pPr>
      <w:r w:rsidRPr="009F00A4">
        <w:rPr>
          <w:rFonts w:ascii="Times New Roman" w:hAnsi="Times New Roman" w:cs="Times New Roman"/>
          <w:i/>
          <w:sz w:val="26"/>
          <w:szCs w:val="26"/>
        </w:rPr>
        <w:t xml:space="preserve">Рис. </w:t>
      </w:r>
      <w:r w:rsidR="00E43E8A" w:rsidRPr="009F00A4">
        <w:rPr>
          <w:rFonts w:ascii="Times New Roman" w:hAnsi="Times New Roman" w:cs="Times New Roman"/>
          <w:i/>
          <w:sz w:val="26"/>
          <w:szCs w:val="26"/>
        </w:rPr>
        <w:t>18</w:t>
      </w:r>
      <w:r w:rsidRPr="009F00A4">
        <w:rPr>
          <w:rFonts w:ascii="Times New Roman" w:hAnsi="Times New Roman" w:cs="Times New Roman"/>
          <w:i/>
          <w:sz w:val="26"/>
          <w:szCs w:val="26"/>
        </w:rPr>
        <w:t>. Исходные и предсказанные по модели значения показателя</w:t>
      </w:r>
    </w:p>
    <w:p w:rsidR="00BF49CC" w:rsidRDefault="002F57F4" w:rsidP="002F57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Проанализируем качество построенной модели. О</w:t>
      </w:r>
      <w:r w:rsidR="00BF49CC">
        <w:rPr>
          <w:rFonts w:ascii="Times New Roman" w:hAnsi="Times New Roman" w:cs="Times New Roman"/>
          <w:sz w:val="28"/>
          <w:szCs w:val="28"/>
        </w:rPr>
        <w:t>б</w:t>
      </w:r>
      <w:r>
        <w:rPr>
          <w:rFonts w:ascii="Times New Roman" w:hAnsi="Times New Roman" w:cs="Times New Roman"/>
          <w:sz w:val="28"/>
          <w:szCs w:val="28"/>
        </w:rPr>
        <w:t xml:space="preserve"> </w:t>
      </w:r>
      <w:r w:rsidR="00BF49CC">
        <w:rPr>
          <w:rFonts w:ascii="Times New Roman" w:hAnsi="Times New Roman" w:cs="Times New Roman"/>
          <w:sz w:val="28"/>
          <w:szCs w:val="28"/>
        </w:rPr>
        <w:t xml:space="preserve">ее </w:t>
      </w:r>
      <w:r>
        <w:rPr>
          <w:rFonts w:ascii="Times New Roman" w:hAnsi="Times New Roman" w:cs="Times New Roman"/>
          <w:sz w:val="28"/>
          <w:szCs w:val="28"/>
        </w:rPr>
        <w:t xml:space="preserve">точности можно судить по </w:t>
      </w:r>
      <w:r w:rsidR="00BF49CC">
        <w:rPr>
          <w:rFonts w:ascii="Times New Roman" w:hAnsi="Times New Roman" w:cs="Times New Roman"/>
          <w:sz w:val="28"/>
          <w:szCs w:val="28"/>
        </w:rPr>
        <w:t xml:space="preserve">среднему </w:t>
      </w:r>
      <w:r>
        <w:rPr>
          <w:rFonts w:ascii="Times New Roman" w:hAnsi="Times New Roman" w:cs="Times New Roman"/>
          <w:sz w:val="28"/>
          <w:szCs w:val="28"/>
        </w:rPr>
        <w:t>значению ошибки (погрешности) прогноза, характер</w:t>
      </w:r>
      <w:r>
        <w:rPr>
          <w:rFonts w:ascii="Times New Roman" w:hAnsi="Times New Roman" w:cs="Times New Roman"/>
          <w:sz w:val="28"/>
          <w:szCs w:val="28"/>
        </w:rPr>
        <w:t>и</w:t>
      </w:r>
      <w:r>
        <w:rPr>
          <w:rFonts w:ascii="Times New Roman" w:hAnsi="Times New Roman" w:cs="Times New Roman"/>
          <w:sz w:val="28"/>
          <w:szCs w:val="28"/>
        </w:rPr>
        <w:t xml:space="preserve">зующей величину расхождения между фактическим и прогнозным значением показателя. </w:t>
      </w:r>
    </w:p>
    <w:p w:rsidR="002F57F4" w:rsidRDefault="002F57F4" w:rsidP="002F57F4">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Для аддитивной модели </w:t>
      </w:r>
      <w:r w:rsidR="00BF49CC">
        <w:rPr>
          <w:rFonts w:ascii="Times New Roman" w:hAnsi="Times New Roman" w:cs="Times New Roman"/>
          <w:sz w:val="28"/>
          <w:szCs w:val="28"/>
        </w:rPr>
        <w:t xml:space="preserve">исследуемого временного ряда </w:t>
      </w:r>
      <w:r>
        <w:rPr>
          <w:rFonts w:ascii="Times New Roman" w:hAnsi="Times New Roman" w:cs="Times New Roman"/>
          <w:sz w:val="28"/>
          <w:szCs w:val="28"/>
        </w:rPr>
        <w:t>средняя абс</w:t>
      </w:r>
      <w:r>
        <w:rPr>
          <w:rFonts w:ascii="Times New Roman" w:hAnsi="Times New Roman" w:cs="Times New Roman"/>
          <w:sz w:val="28"/>
          <w:szCs w:val="28"/>
        </w:rPr>
        <w:t>о</w:t>
      </w:r>
      <w:r>
        <w:rPr>
          <w:rFonts w:ascii="Times New Roman" w:hAnsi="Times New Roman" w:cs="Times New Roman"/>
          <w:sz w:val="28"/>
          <w:szCs w:val="28"/>
        </w:rPr>
        <w:t xml:space="preserve">лютная ошибка прогноза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m:t>
                </m:r>
              </m:e>
            </m:acc>
          </m:e>
          <m:sub>
            <m:r>
              <w:rPr>
                <w:rFonts w:ascii="Cambria Math" w:hAnsi="Cambria Math" w:cs="Times New Roman"/>
                <w:sz w:val="28"/>
                <w:szCs w:val="28"/>
              </w:rPr>
              <m:t>абс.</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GB"/>
              </w:rPr>
              <m:t>n</m:t>
            </m:r>
          </m:den>
        </m:f>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i</m:t>
                    </m:r>
                  </m:sub>
                </m:sSub>
              </m:e>
            </m:d>
          </m:e>
        </m:nary>
      </m:oMath>
      <w:r>
        <w:rPr>
          <w:rFonts w:ascii="Times New Roman" w:eastAsiaTheme="minorEastAsia" w:hAnsi="Times New Roman" w:cs="Times New Roman"/>
          <w:sz w:val="28"/>
          <w:szCs w:val="28"/>
        </w:rPr>
        <w:t>=</w:t>
      </w:r>
      <w:r w:rsidR="00A648DA">
        <w:rPr>
          <w:rFonts w:ascii="Times New Roman" w:eastAsiaTheme="minorEastAsia" w:hAnsi="Times New Roman" w:cs="Times New Roman"/>
          <w:sz w:val="28"/>
          <w:szCs w:val="28"/>
        </w:rPr>
        <w:t>31</w:t>
      </w:r>
      <w:r>
        <w:rPr>
          <w:rFonts w:ascii="Times New Roman" w:eastAsiaTheme="minorEastAsia" w:hAnsi="Times New Roman" w:cs="Times New Roman"/>
          <w:sz w:val="28"/>
          <w:szCs w:val="28"/>
          <w:lang w:val="en-GB"/>
        </w:rPr>
        <w:t> </w:t>
      </w:r>
      <w:r w:rsidR="00A648DA">
        <w:rPr>
          <w:rFonts w:ascii="Times New Roman" w:eastAsiaTheme="minorEastAsia" w:hAnsi="Times New Roman" w:cs="Times New Roman"/>
          <w:sz w:val="28"/>
          <w:szCs w:val="28"/>
        </w:rPr>
        <w:t>144</w:t>
      </w:r>
      <w:r>
        <w:rPr>
          <w:rFonts w:ascii="Times New Roman" w:eastAsiaTheme="minorEastAsia" w:hAnsi="Times New Roman" w:cs="Times New Roman"/>
          <w:sz w:val="28"/>
          <w:szCs w:val="28"/>
        </w:rPr>
        <w:t>,4</w:t>
      </w:r>
      <w:r w:rsidR="00D957AB">
        <w:rPr>
          <w:rFonts w:ascii="Times New Roman" w:eastAsiaTheme="minorEastAsia" w:hAnsi="Times New Roman" w:cs="Times New Roman"/>
          <w:sz w:val="28"/>
          <w:szCs w:val="28"/>
        </w:rPr>
        <w:t xml:space="preserve"> тыс. руб.</w:t>
      </w:r>
      <w:r>
        <w:rPr>
          <w:rFonts w:ascii="Times New Roman" w:eastAsiaTheme="minorEastAsia" w:hAnsi="Times New Roman" w:cs="Times New Roman"/>
          <w:sz w:val="28"/>
          <w:szCs w:val="28"/>
        </w:rPr>
        <w:t xml:space="preserve">; средняя квадратическая ошибка </w:t>
      </w:r>
      <m:oMath>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m:t>
                </m:r>
              </m:e>
            </m:acc>
          </m:e>
          <m:sub>
            <m:r>
              <w:rPr>
                <w:rFonts w:ascii="Cambria Math" w:hAnsi="Cambria Math" w:cs="Times New Roman"/>
                <w:sz w:val="28"/>
                <w:szCs w:val="28"/>
              </w:rPr>
              <m:t>квад.</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GB"/>
                      </w:rPr>
                      <m:t>i</m:t>
                    </m:r>
                    <m:r>
                      <w:rPr>
                        <w:rFonts w:ascii="Cambria Math" w:hAnsi="Cambria Math" w:cs="Times New Roman"/>
                        <w:sz w:val="28"/>
                        <w:szCs w:val="28"/>
                      </w:rPr>
                      <m:t>=1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i</m:t>
                                </m:r>
                              </m:sub>
                            </m:sSub>
                          </m:e>
                        </m:d>
                      </m:e>
                      <m:sup>
                        <m:r>
                          <w:rPr>
                            <w:rFonts w:ascii="Cambria Math" w:hAnsi="Cambria Math" w:cs="Times New Roman"/>
                            <w:sz w:val="28"/>
                            <w:szCs w:val="28"/>
                          </w:rPr>
                          <m:t>2</m:t>
                        </m:r>
                      </m:sup>
                    </m:sSup>
                  </m:e>
                </m:nary>
              </m:num>
              <m:den>
                <m:r>
                  <w:rPr>
                    <w:rFonts w:ascii="Cambria Math" w:hAnsi="Cambria Math" w:cs="Times New Roman"/>
                    <w:sz w:val="28"/>
                    <w:szCs w:val="28"/>
                  </w:rPr>
                  <m:t>n</m:t>
                </m:r>
              </m:den>
            </m:f>
          </m:e>
        </m:rad>
      </m:oMath>
      <w:r>
        <w:rPr>
          <w:rFonts w:ascii="Times New Roman" w:eastAsiaTheme="minorEastAsia" w:hAnsi="Times New Roman" w:cs="Times New Roman"/>
          <w:sz w:val="28"/>
          <w:szCs w:val="28"/>
        </w:rPr>
        <w:t>=</w:t>
      </w:r>
      <w:r w:rsidRPr="00E811F8">
        <w:rPr>
          <w:rFonts w:ascii="Times New Roman" w:eastAsiaTheme="minorEastAsia" w:hAnsi="Times New Roman" w:cs="Times New Roman"/>
          <w:sz w:val="28"/>
          <w:szCs w:val="28"/>
        </w:rPr>
        <w:t>3</w:t>
      </w:r>
      <w:r w:rsidR="00A648DA">
        <w:rPr>
          <w:rFonts w:ascii="Times New Roman" w:eastAsiaTheme="minorEastAsia" w:hAnsi="Times New Roman" w:cs="Times New Roman"/>
          <w:sz w:val="28"/>
          <w:szCs w:val="28"/>
        </w:rPr>
        <w:t>8</w:t>
      </w:r>
      <w:r>
        <w:rPr>
          <w:rFonts w:ascii="Times New Roman" w:eastAsiaTheme="minorEastAsia" w:hAnsi="Times New Roman" w:cs="Times New Roman"/>
          <w:sz w:val="28"/>
          <w:szCs w:val="28"/>
          <w:lang w:val="en-GB"/>
        </w:rPr>
        <w:t> </w:t>
      </w:r>
      <w:r w:rsidR="00A648DA">
        <w:rPr>
          <w:rFonts w:ascii="Times New Roman" w:eastAsiaTheme="minorEastAsia" w:hAnsi="Times New Roman" w:cs="Times New Roman"/>
          <w:sz w:val="28"/>
          <w:szCs w:val="28"/>
        </w:rPr>
        <w:t>347,8</w:t>
      </w:r>
      <w:r w:rsidR="00D957AB">
        <w:rPr>
          <w:rFonts w:ascii="Times New Roman" w:eastAsiaTheme="minorEastAsia" w:hAnsi="Times New Roman" w:cs="Times New Roman"/>
          <w:sz w:val="28"/>
          <w:szCs w:val="28"/>
        </w:rPr>
        <w:t xml:space="preserve"> тыс. руб.</w:t>
      </w:r>
      <w:r>
        <w:rPr>
          <w:rFonts w:ascii="Times New Roman" w:eastAsiaTheme="minorEastAsia" w:hAnsi="Times New Roman" w:cs="Times New Roman"/>
          <w:sz w:val="28"/>
          <w:szCs w:val="28"/>
        </w:rPr>
        <w:t>; средняя о</w:t>
      </w:r>
      <w:r>
        <w:rPr>
          <w:rFonts w:ascii="Times New Roman" w:eastAsiaTheme="minorEastAsia" w:hAnsi="Times New Roman" w:cs="Times New Roman"/>
          <w:sz w:val="28"/>
          <w:szCs w:val="28"/>
        </w:rPr>
        <w:t>т</w:t>
      </w:r>
      <w:r>
        <w:rPr>
          <w:rFonts w:ascii="Times New Roman" w:eastAsiaTheme="minorEastAsia" w:hAnsi="Times New Roman" w:cs="Times New Roman"/>
          <w:sz w:val="28"/>
          <w:szCs w:val="28"/>
        </w:rPr>
        <w:t xml:space="preserve">носительная ошибка прогноза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δ</m:t>
            </m:r>
          </m:e>
        </m:acc>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lang w:val="en-GB"/>
              </w:rPr>
              <m:t>n</m:t>
            </m:r>
          </m:den>
        </m:f>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den>
                </m:f>
              </m:e>
            </m:d>
            <m:r>
              <w:rPr>
                <w:rFonts w:ascii="Cambria Math" w:eastAsiaTheme="minorEastAsia" w:hAnsi="Cambria Math" w:cs="Times New Roman"/>
                <w:sz w:val="28"/>
                <w:szCs w:val="28"/>
              </w:rPr>
              <m:t>∙100%</m:t>
            </m:r>
          </m:e>
        </m:nary>
      </m:oMath>
      <w:r w:rsidRPr="00E811F8">
        <w:rPr>
          <w:rFonts w:ascii="Times New Roman" w:eastAsiaTheme="minorEastAsia" w:hAnsi="Times New Roman" w:cs="Times New Roman"/>
          <w:sz w:val="28"/>
          <w:szCs w:val="28"/>
        </w:rPr>
        <w:t>=</w:t>
      </w:r>
      <w:r w:rsidR="00A648DA">
        <w:rPr>
          <w:rFonts w:ascii="Times New Roman" w:eastAsiaTheme="minorEastAsia" w:hAnsi="Times New Roman" w:cs="Times New Roman"/>
          <w:sz w:val="28"/>
          <w:szCs w:val="28"/>
        </w:rPr>
        <w:t>2,26</w:t>
      </w:r>
      <w:r w:rsidRPr="00E811F8">
        <w:rPr>
          <w:rFonts w:ascii="Times New Roman" w:eastAsiaTheme="minorEastAsia" w:hAnsi="Times New Roman" w:cs="Times New Roman"/>
          <w:sz w:val="28"/>
          <w:szCs w:val="28"/>
        </w:rPr>
        <w:t>%</w:t>
      </w:r>
      <w:r w:rsidR="00D30F44" w:rsidRPr="00D30F44">
        <w:rPr>
          <w:rFonts w:ascii="Times New Roman" w:eastAsiaTheme="minorEastAsia" w:hAnsi="Times New Roman" w:cs="Times New Roman"/>
          <w:sz w:val="28"/>
          <w:szCs w:val="28"/>
        </w:rPr>
        <w:t>&lt;10</w:t>
      </w:r>
      <w:r w:rsidR="00D30F44">
        <w:rPr>
          <w:rFonts w:ascii="Times New Roman" w:eastAsiaTheme="minorEastAsia" w:hAnsi="Times New Roman" w:cs="Times New Roman"/>
          <w:sz w:val="28"/>
          <w:szCs w:val="28"/>
        </w:rPr>
        <w:t>%</w:t>
      </w:r>
      <w:r w:rsidR="00D30F44" w:rsidRPr="00D30F44">
        <w:rPr>
          <w:rFonts w:ascii="Times New Roman" w:eastAsiaTheme="minorEastAsia" w:hAnsi="Times New Roman" w:cs="Times New Roman"/>
          <w:sz w:val="28"/>
          <w:szCs w:val="28"/>
        </w:rPr>
        <w:t xml:space="preserve">, </w:t>
      </w:r>
      <w:r w:rsidR="00D30F44">
        <w:rPr>
          <w:rFonts w:ascii="Times New Roman" w:eastAsiaTheme="minorEastAsia" w:hAnsi="Times New Roman" w:cs="Times New Roman"/>
          <w:sz w:val="28"/>
          <w:szCs w:val="28"/>
        </w:rPr>
        <w:t>что св</w:t>
      </w:r>
      <w:r w:rsidR="00D30F44">
        <w:rPr>
          <w:rFonts w:ascii="Times New Roman" w:eastAsiaTheme="minorEastAsia" w:hAnsi="Times New Roman" w:cs="Times New Roman"/>
          <w:sz w:val="28"/>
          <w:szCs w:val="28"/>
        </w:rPr>
        <w:t>и</w:t>
      </w:r>
      <w:r w:rsidR="00D30F44">
        <w:rPr>
          <w:rFonts w:ascii="Times New Roman" w:eastAsiaTheme="minorEastAsia" w:hAnsi="Times New Roman" w:cs="Times New Roman"/>
          <w:sz w:val="28"/>
          <w:szCs w:val="28"/>
        </w:rPr>
        <w:t xml:space="preserve">детельствует о высокой точности построенной модели. </w:t>
      </w:r>
      <w:r>
        <w:rPr>
          <w:rFonts w:ascii="Times New Roman" w:eastAsiaTheme="minorEastAsia" w:hAnsi="Times New Roman" w:cs="Times New Roman"/>
          <w:sz w:val="28"/>
          <w:szCs w:val="28"/>
        </w:rPr>
        <w:t>Для сравнения</w:t>
      </w:r>
      <w:r w:rsidR="00A0260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ан</w:t>
      </w:r>
      <w:r>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 xml:space="preserve">логичные показатели мультипликативной </w:t>
      </w:r>
      <w:proofErr w:type="spellStart"/>
      <w:proofErr w:type="gramStart"/>
      <w:r>
        <w:rPr>
          <w:rFonts w:ascii="Times New Roman" w:eastAsiaTheme="minorEastAsia" w:hAnsi="Times New Roman" w:cs="Times New Roman"/>
          <w:sz w:val="28"/>
          <w:szCs w:val="28"/>
        </w:rPr>
        <w:t>тренд-сезонной</w:t>
      </w:r>
      <w:proofErr w:type="spellEnd"/>
      <w:proofErr w:type="gramEnd"/>
      <w:r>
        <w:rPr>
          <w:rFonts w:ascii="Times New Roman" w:eastAsiaTheme="minorEastAsia" w:hAnsi="Times New Roman" w:cs="Times New Roman"/>
          <w:sz w:val="28"/>
          <w:szCs w:val="28"/>
        </w:rPr>
        <w:t xml:space="preserve"> модели составляют соответственно: </w:t>
      </w:r>
      <w:r w:rsidRPr="00E811F8">
        <w:rPr>
          <w:rFonts w:ascii="Times New Roman" w:eastAsiaTheme="minorEastAsia" w:hAnsi="Times New Roman" w:cs="Times New Roman"/>
          <w:bCs/>
          <w:sz w:val="28"/>
          <w:szCs w:val="28"/>
        </w:rPr>
        <w:t>3</w:t>
      </w:r>
      <w:r w:rsidR="00A648DA">
        <w:rPr>
          <w:rFonts w:ascii="Times New Roman" w:eastAsiaTheme="minorEastAsia" w:hAnsi="Times New Roman" w:cs="Times New Roman"/>
          <w:bCs/>
          <w:sz w:val="28"/>
          <w:szCs w:val="28"/>
        </w:rPr>
        <w:t>5</w:t>
      </w:r>
      <w:r w:rsidRPr="00E811F8">
        <w:rPr>
          <w:rFonts w:ascii="Times New Roman" w:eastAsiaTheme="minorEastAsia" w:hAnsi="Times New Roman" w:cs="Times New Roman"/>
          <w:bCs/>
          <w:sz w:val="28"/>
          <w:szCs w:val="28"/>
        </w:rPr>
        <w:t> </w:t>
      </w:r>
      <w:r w:rsidR="00A648DA">
        <w:rPr>
          <w:rFonts w:ascii="Times New Roman" w:eastAsiaTheme="minorEastAsia" w:hAnsi="Times New Roman" w:cs="Times New Roman"/>
          <w:bCs/>
          <w:sz w:val="28"/>
          <w:szCs w:val="28"/>
        </w:rPr>
        <w:t>401,8</w:t>
      </w:r>
      <w:r w:rsidR="00D957AB">
        <w:rPr>
          <w:rFonts w:ascii="Times New Roman" w:eastAsiaTheme="minorEastAsia" w:hAnsi="Times New Roman" w:cs="Times New Roman"/>
          <w:bCs/>
          <w:sz w:val="28"/>
          <w:szCs w:val="28"/>
        </w:rPr>
        <w:t xml:space="preserve"> руб.</w:t>
      </w:r>
      <w:r>
        <w:rPr>
          <w:rFonts w:ascii="Times New Roman" w:eastAsiaTheme="minorEastAsia" w:hAnsi="Times New Roman" w:cs="Times New Roman"/>
          <w:bCs/>
          <w:sz w:val="28"/>
          <w:szCs w:val="28"/>
        </w:rPr>
        <w:t xml:space="preserve">, </w:t>
      </w:r>
      <w:r w:rsidR="00A648DA">
        <w:rPr>
          <w:rFonts w:ascii="Times New Roman" w:eastAsiaTheme="minorEastAsia" w:hAnsi="Times New Roman" w:cs="Times New Roman"/>
          <w:bCs/>
          <w:sz w:val="28"/>
          <w:szCs w:val="28"/>
        </w:rPr>
        <w:t>42</w:t>
      </w:r>
      <w:r w:rsidRPr="00E811F8">
        <w:rPr>
          <w:rFonts w:ascii="Times New Roman" w:eastAsiaTheme="minorEastAsia" w:hAnsi="Times New Roman" w:cs="Times New Roman"/>
          <w:bCs/>
          <w:sz w:val="28"/>
          <w:szCs w:val="28"/>
        </w:rPr>
        <w:t> </w:t>
      </w:r>
      <w:r w:rsidR="00A648DA">
        <w:rPr>
          <w:rFonts w:ascii="Times New Roman" w:eastAsiaTheme="minorEastAsia" w:hAnsi="Times New Roman" w:cs="Times New Roman"/>
          <w:bCs/>
          <w:sz w:val="28"/>
          <w:szCs w:val="28"/>
        </w:rPr>
        <w:t>864</w:t>
      </w:r>
      <w:r w:rsidRPr="00E811F8">
        <w:rPr>
          <w:rFonts w:ascii="Times New Roman" w:eastAsiaTheme="minorEastAsia" w:hAnsi="Times New Roman" w:cs="Times New Roman"/>
          <w:bCs/>
          <w:sz w:val="28"/>
          <w:szCs w:val="28"/>
        </w:rPr>
        <w:t>,</w:t>
      </w:r>
      <w:r w:rsidR="00A648DA">
        <w:rPr>
          <w:rFonts w:ascii="Times New Roman" w:eastAsiaTheme="minorEastAsia" w:hAnsi="Times New Roman" w:cs="Times New Roman"/>
          <w:bCs/>
          <w:sz w:val="28"/>
          <w:szCs w:val="28"/>
        </w:rPr>
        <w:t>7</w:t>
      </w:r>
      <w:r>
        <w:rPr>
          <w:rFonts w:ascii="Times New Roman" w:eastAsiaTheme="minorEastAsia" w:hAnsi="Times New Roman" w:cs="Times New Roman"/>
          <w:bCs/>
          <w:sz w:val="28"/>
          <w:szCs w:val="28"/>
        </w:rPr>
        <w:t xml:space="preserve"> </w:t>
      </w:r>
      <w:r w:rsidR="00D957AB">
        <w:rPr>
          <w:rFonts w:ascii="Times New Roman" w:eastAsiaTheme="minorEastAsia" w:hAnsi="Times New Roman" w:cs="Times New Roman"/>
          <w:bCs/>
          <w:sz w:val="28"/>
          <w:szCs w:val="28"/>
        </w:rPr>
        <w:t xml:space="preserve">руб. </w:t>
      </w:r>
      <w:r>
        <w:rPr>
          <w:rFonts w:ascii="Times New Roman" w:eastAsiaTheme="minorEastAsia" w:hAnsi="Times New Roman" w:cs="Times New Roman"/>
          <w:bCs/>
          <w:sz w:val="28"/>
          <w:szCs w:val="28"/>
        </w:rPr>
        <w:t>и 2,</w:t>
      </w:r>
      <w:r w:rsidR="00A648DA">
        <w:rPr>
          <w:rFonts w:ascii="Times New Roman" w:eastAsiaTheme="minorEastAsia" w:hAnsi="Times New Roman" w:cs="Times New Roman"/>
          <w:bCs/>
          <w:sz w:val="28"/>
          <w:szCs w:val="28"/>
        </w:rPr>
        <w:t>57</w:t>
      </w:r>
      <w:r>
        <w:rPr>
          <w:rFonts w:ascii="Times New Roman" w:eastAsiaTheme="minorEastAsia" w:hAnsi="Times New Roman" w:cs="Times New Roman"/>
          <w:bCs/>
          <w:sz w:val="28"/>
          <w:szCs w:val="28"/>
        </w:rPr>
        <w:t>%</w:t>
      </w:r>
      <w:r w:rsidR="00DA3DCB" w:rsidRPr="00DA3DCB">
        <w:rPr>
          <w:rFonts w:ascii="Times New Roman" w:eastAsiaTheme="minorEastAsia" w:hAnsi="Times New Roman" w:cs="Times New Roman"/>
          <w:bCs/>
          <w:sz w:val="28"/>
          <w:szCs w:val="28"/>
        </w:rPr>
        <w:t xml:space="preserve"> [8]</w:t>
      </w:r>
      <w:r>
        <w:rPr>
          <w:rFonts w:ascii="Times New Roman" w:eastAsiaTheme="minorEastAsia" w:hAnsi="Times New Roman" w:cs="Times New Roman"/>
          <w:bCs/>
          <w:sz w:val="28"/>
          <w:szCs w:val="28"/>
        </w:rPr>
        <w:t>.</w:t>
      </w:r>
    </w:p>
    <w:p w:rsidR="002F57F4" w:rsidRDefault="002F57F4" w:rsidP="002F57F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Разделив дисперсию ошибок модели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trlPr>
                              <w:rPr>
                                <w:rFonts w:ascii="Cambria Math" w:hAnsi="Cambria Math" w:cs="Times New Roman"/>
                                <w:i/>
                                <w:sz w:val="28"/>
                                <w:szCs w:val="28"/>
                              </w:rPr>
                            </m:ctrlPr>
                          </m:accPr>
                          <m:e>
                            <m:r>
                              <w:rPr>
                                <w:rFonts w:ascii="Cambria Math" w:hAnsi="Cambria Math" w:cs="Times New Roman"/>
                                <w:sz w:val="28"/>
                                <w:szCs w:val="28"/>
                              </w:rPr>
                              <m:t>y</m:t>
                            </m:r>
                          </m:e>
                        </m:acc>
                      </m:e>
                      <m:sub>
                        <m:r>
                          <w:rPr>
                            <w:rFonts w:ascii="Cambria Math" w:hAnsi="Cambria Math" w:cs="Times New Roman"/>
                            <w:sz w:val="28"/>
                            <w:szCs w:val="28"/>
                          </w:rPr>
                          <m:t>i</m:t>
                        </m:r>
                      </m:sub>
                    </m:sSub>
                  </m:e>
                </m:d>
              </m:e>
              <m:sup>
                <m:r>
                  <w:rPr>
                    <w:rFonts w:ascii="Cambria Math" w:hAnsi="Cambria Math" w:cs="Times New Roman"/>
                    <w:sz w:val="28"/>
                    <w:szCs w:val="28"/>
                  </w:rPr>
                  <m:t>2</m:t>
                </m:r>
              </m:sup>
            </m:sSup>
          </m:e>
        </m:nary>
      </m:oMath>
      <w:r w:rsidRPr="00EE08D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 вариацию (ра</w:t>
      </w:r>
      <w:r>
        <w:rPr>
          <w:rFonts w:ascii="Times New Roman" w:eastAsiaTheme="minorEastAsia" w:hAnsi="Times New Roman" w:cs="Times New Roman"/>
          <w:sz w:val="28"/>
          <w:szCs w:val="28"/>
        </w:rPr>
        <w:t>з</w:t>
      </w:r>
      <w:r>
        <w:rPr>
          <w:rFonts w:ascii="Times New Roman" w:eastAsiaTheme="minorEastAsia" w:hAnsi="Times New Roman" w:cs="Times New Roman"/>
          <w:sz w:val="28"/>
          <w:szCs w:val="28"/>
        </w:rPr>
        <w:t xml:space="preserve">брос)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rPr>
              <m:t>n</m:t>
            </m:r>
          </m:sup>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lang w:val="en-GB"/>
                              </w:rPr>
                              <m:t>y</m:t>
                            </m:r>
                          </m:e>
                        </m:acc>
                      </m:e>
                      <m:sub>
                        <m:r>
                          <w:rPr>
                            <w:rFonts w:ascii="Cambria Math" w:hAnsi="Cambria Math" w:cs="Times New Roman"/>
                            <w:sz w:val="28"/>
                            <w:szCs w:val="28"/>
                          </w:rPr>
                          <m:t>i</m:t>
                        </m:r>
                      </m:sub>
                    </m:sSub>
                  </m:e>
                </m:d>
              </m:e>
              <m:sup>
                <m:r>
                  <w:rPr>
                    <w:rFonts w:ascii="Cambria Math" w:hAnsi="Cambria Math" w:cs="Times New Roman"/>
                    <w:sz w:val="28"/>
                    <w:szCs w:val="28"/>
                  </w:rPr>
                  <m:t>2</m:t>
                </m:r>
              </m:sup>
            </m:sSup>
          </m:e>
        </m:nary>
      </m:oMath>
      <w:r w:rsidRPr="00EE08D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значений</w:t>
      </w:r>
      <w:r w:rsidRPr="00EE08D4">
        <w:rPr>
          <w:rFonts w:ascii="Times New Roman" w:eastAsiaTheme="minorEastAsia" w:hAnsi="Times New Roman" w:cs="Times New Roman"/>
          <w:i/>
          <w:sz w:val="28"/>
          <w:szCs w:val="28"/>
        </w:rPr>
        <w:t xml:space="preserve"> </w:t>
      </w:r>
      <w:r w:rsidRPr="00EE08D4">
        <w:rPr>
          <w:rFonts w:ascii="Times New Roman" w:eastAsiaTheme="minorEastAsia" w:hAnsi="Times New Roman" w:cs="Times New Roman"/>
          <w:i/>
          <w:sz w:val="28"/>
          <w:szCs w:val="28"/>
          <w:lang w:val="en-GB"/>
        </w:rPr>
        <w:t>y</w:t>
      </w:r>
      <w:r w:rsidRPr="00EE08D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вокруг среднего значения</w:t>
      </w:r>
      <w:r w:rsidRPr="008279D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получаем, </w:t>
      </w:r>
      <w:r w:rsidRPr="006861D9">
        <w:rPr>
          <w:rFonts w:ascii="Times New Roman" w:eastAsiaTheme="minorEastAsia" w:hAnsi="Times New Roman" w:cs="Times New Roman"/>
          <w:sz w:val="28"/>
          <w:szCs w:val="28"/>
        </w:rPr>
        <w:t xml:space="preserve">что </w:t>
      </w:r>
      <w:r>
        <w:rPr>
          <w:rFonts w:ascii="Times New Roman" w:eastAsiaTheme="minorEastAsia" w:hAnsi="Times New Roman" w:cs="Times New Roman"/>
          <w:sz w:val="28"/>
          <w:szCs w:val="28"/>
        </w:rPr>
        <w:t>9</w:t>
      </w:r>
      <w:r w:rsidR="00A648DA">
        <w:rPr>
          <w:rFonts w:ascii="Times New Roman" w:eastAsiaTheme="minorEastAsia" w:hAnsi="Times New Roman" w:cs="Times New Roman"/>
          <w:sz w:val="28"/>
          <w:szCs w:val="28"/>
        </w:rPr>
        <w:t>2,2</w:t>
      </w:r>
      <w:r>
        <w:rPr>
          <w:rFonts w:ascii="Times New Roman" w:eastAsiaTheme="minorEastAsia" w:hAnsi="Times New Roman" w:cs="Times New Roman"/>
          <w:sz w:val="28"/>
          <w:szCs w:val="28"/>
        </w:rPr>
        <w:t>2</w:t>
      </w:r>
      <w:r w:rsidRPr="006861D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вариации страховых выплат анализируемой компании </w:t>
      </w:r>
      <w:r w:rsidRPr="006861D9">
        <w:rPr>
          <w:rFonts w:ascii="Times New Roman" w:eastAsiaTheme="minorEastAsia" w:hAnsi="Times New Roman" w:cs="Times New Roman"/>
          <w:sz w:val="28"/>
          <w:szCs w:val="28"/>
        </w:rPr>
        <w:t xml:space="preserve">обусловлено детерминированными факторами, воздействие которых в модели отражено в виде суммы тренда и сезонной компоненты, </w:t>
      </w:r>
      <w:r w:rsidR="00A648DA">
        <w:rPr>
          <w:rFonts w:ascii="Times New Roman" w:eastAsiaTheme="minorEastAsia" w:hAnsi="Times New Roman" w:cs="Times New Roman"/>
          <w:sz w:val="28"/>
          <w:szCs w:val="28"/>
        </w:rPr>
        <w:t>7,78</w:t>
      </w:r>
      <w:r w:rsidRPr="006861D9">
        <w:rPr>
          <w:rFonts w:ascii="Times New Roman" w:eastAsiaTheme="minorEastAsia" w:hAnsi="Times New Roman" w:cs="Times New Roman"/>
          <w:sz w:val="28"/>
          <w:szCs w:val="28"/>
        </w:rPr>
        <w:t>% вариации результиру</w:t>
      </w:r>
      <w:r w:rsidRPr="006861D9">
        <w:rPr>
          <w:rFonts w:ascii="Times New Roman" w:eastAsiaTheme="minorEastAsia" w:hAnsi="Times New Roman" w:cs="Times New Roman"/>
          <w:sz w:val="28"/>
          <w:szCs w:val="28"/>
        </w:rPr>
        <w:t>ю</w:t>
      </w:r>
      <w:r w:rsidRPr="006861D9">
        <w:rPr>
          <w:rFonts w:ascii="Times New Roman" w:eastAsiaTheme="minorEastAsia" w:hAnsi="Times New Roman" w:cs="Times New Roman"/>
          <w:sz w:val="28"/>
          <w:szCs w:val="28"/>
        </w:rPr>
        <w:t xml:space="preserve">щей переменной </w:t>
      </w:r>
      <w:r w:rsidRPr="006861D9">
        <w:rPr>
          <w:rFonts w:ascii="Times New Roman" w:eastAsiaTheme="minorEastAsia" w:hAnsi="Times New Roman" w:cs="Times New Roman"/>
          <w:i/>
          <w:sz w:val="28"/>
          <w:szCs w:val="28"/>
          <w:lang w:val="en-GB"/>
        </w:rPr>
        <w:t>y</w:t>
      </w:r>
      <w:r w:rsidRPr="006861D9">
        <w:rPr>
          <w:rFonts w:ascii="Times New Roman" w:eastAsiaTheme="minorEastAsia" w:hAnsi="Times New Roman" w:cs="Times New Roman"/>
          <w:sz w:val="28"/>
          <w:szCs w:val="28"/>
        </w:rPr>
        <w:t xml:space="preserve"> нельзя объяснить в рамках модели</w:t>
      </w:r>
      <w:r>
        <w:rPr>
          <w:rFonts w:ascii="Times New Roman" w:eastAsiaTheme="minorEastAsia" w:hAnsi="Times New Roman" w:cs="Times New Roman"/>
          <w:sz w:val="28"/>
          <w:szCs w:val="28"/>
        </w:rPr>
        <w:t>.</w:t>
      </w:r>
    </w:p>
    <w:p w:rsidR="00286A51" w:rsidRDefault="002F57F4" w:rsidP="002F57F4">
      <w:pPr>
        <w:spacing w:after="0" w:line="360" w:lineRule="auto"/>
        <w:ind w:firstLine="709"/>
        <w:jc w:val="both"/>
        <w:rPr>
          <w:rFonts w:ascii="Times New Roman" w:eastAsiaTheme="minorEastAsia" w:hAnsi="Times New Roman" w:cs="Times New Roman"/>
          <w:sz w:val="28"/>
          <w:szCs w:val="28"/>
        </w:rPr>
      </w:pPr>
      <w:r w:rsidRPr="008279DC">
        <w:rPr>
          <w:rFonts w:ascii="Times New Roman" w:eastAsiaTheme="minorEastAsia" w:hAnsi="Times New Roman" w:cs="Times New Roman"/>
          <w:sz w:val="28"/>
          <w:szCs w:val="28"/>
        </w:rPr>
        <w:t>Далее необходимо осуществить проверку выбранной модели на аде</w:t>
      </w:r>
      <w:r w:rsidRPr="008279DC">
        <w:rPr>
          <w:rFonts w:ascii="Times New Roman" w:eastAsiaTheme="minorEastAsia" w:hAnsi="Times New Roman" w:cs="Times New Roman"/>
          <w:sz w:val="28"/>
          <w:szCs w:val="28"/>
        </w:rPr>
        <w:t>к</w:t>
      </w:r>
      <w:r w:rsidRPr="008279DC">
        <w:rPr>
          <w:rFonts w:ascii="Times New Roman" w:eastAsiaTheme="minorEastAsia" w:hAnsi="Times New Roman" w:cs="Times New Roman"/>
          <w:sz w:val="28"/>
          <w:szCs w:val="28"/>
        </w:rPr>
        <w:t>ватность</w:t>
      </w:r>
      <w:r w:rsidR="008D2261" w:rsidRPr="008D2261">
        <w:rPr>
          <w:rFonts w:ascii="Times New Roman" w:eastAsiaTheme="minorEastAsia" w:hAnsi="Times New Roman" w:cs="Times New Roman"/>
          <w:sz w:val="28"/>
          <w:szCs w:val="28"/>
        </w:rPr>
        <w:t xml:space="preserve"> </w:t>
      </w:r>
      <w:r w:rsidR="00286A51">
        <w:rPr>
          <w:rFonts w:ascii="Times New Roman" w:eastAsiaTheme="minorEastAsia" w:hAnsi="Times New Roman" w:cs="Times New Roman"/>
          <w:sz w:val="28"/>
          <w:szCs w:val="28"/>
        </w:rPr>
        <w:t>(</w:t>
      </w:r>
      <w:r w:rsidR="008D2261">
        <w:rPr>
          <w:rFonts w:ascii="Times New Roman" w:eastAsiaTheme="minorEastAsia" w:hAnsi="Times New Roman" w:cs="Times New Roman"/>
          <w:sz w:val="28"/>
          <w:szCs w:val="28"/>
        </w:rPr>
        <w:t>т.е. на соответствие данной модели исследуемому процессу</w:t>
      </w:r>
      <w:r w:rsidR="00286A51">
        <w:rPr>
          <w:rFonts w:ascii="Times New Roman" w:eastAsiaTheme="minorEastAsia" w:hAnsi="Times New Roman" w:cs="Times New Roman"/>
          <w:sz w:val="28"/>
          <w:szCs w:val="28"/>
        </w:rPr>
        <w:t>)</w:t>
      </w:r>
      <w:r w:rsidR="008D2261">
        <w:rPr>
          <w:rFonts w:ascii="Times New Roman" w:eastAsiaTheme="minorEastAsia" w:hAnsi="Times New Roman" w:cs="Times New Roman"/>
          <w:sz w:val="28"/>
          <w:szCs w:val="28"/>
        </w:rPr>
        <w:t>, кот</w:t>
      </w:r>
      <w:r w:rsidR="008D2261">
        <w:rPr>
          <w:rFonts w:ascii="Times New Roman" w:eastAsiaTheme="minorEastAsia" w:hAnsi="Times New Roman" w:cs="Times New Roman"/>
          <w:sz w:val="28"/>
          <w:szCs w:val="28"/>
        </w:rPr>
        <w:t>о</w:t>
      </w:r>
      <w:r w:rsidR="008D2261">
        <w:rPr>
          <w:rFonts w:ascii="Times New Roman" w:eastAsiaTheme="minorEastAsia" w:hAnsi="Times New Roman" w:cs="Times New Roman"/>
          <w:sz w:val="28"/>
          <w:szCs w:val="28"/>
        </w:rPr>
        <w:t xml:space="preserve">рая строится на анализе </w:t>
      </w:r>
      <w:r w:rsidR="00286A51">
        <w:rPr>
          <w:rFonts w:ascii="Times New Roman" w:eastAsiaTheme="minorEastAsia" w:hAnsi="Times New Roman" w:cs="Times New Roman"/>
          <w:sz w:val="28"/>
          <w:szCs w:val="28"/>
        </w:rPr>
        <w:t xml:space="preserve">остатков </w:t>
      </w:r>
      <w:r w:rsidR="00304193">
        <w:rPr>
          <w:rFonts w:ascii="Times New Roman" w:eastAsiaTheme="minorEastAsia" w:hAnsi="Times New Roman" w:cs="Times New Roman"/>
          <w:sz w:val="28"/>
          <w:szCs w:val="28"/>
        </w:rPr>
        <w:t>модели</w:t>
      </w:r>
      <w:r w:rsidR="008D2261">
        <w:rPr>
          <w:rFonts w:ascii="Times New Roman" w:eastAsiaTheme="minorEastAsia" w:hAnsi="Times New Roman" w:cs="Times New Roman"/>
          <w:sz w:val="28"/>
          <w:szCs w:val="28"/>
        </w:rPr>
        <w:t>.</w:t>
      </w:r>
      <w:r w:rsidRPr="008279DC">
        <w:rPr>
          <w:rFonts w:ascii="Times New Roman" w:eastAsiaTheme="minorEastAsia" w:hAnsi="Times New Roman" w:cs="Times New Roman"/>
          <w:sz w:val="28"/>
          <w:szCs w:val="28"/>
        </w:rPr>
        <w:t xml:space="preserve"> </w:t>
      </w:r>
    </w:p>
    <w:p w:rsidR="008F66AC" w:rsidRPr="008F66AC" w:rsidRDefault="002F57F4" w:rsidP="008F66AC">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Проверим гипотезу об отсутствии тренда в динамике остатков </w:t>
      </w:r>
      <w:r w:rsidR="00304193">
        <w:rPr>
          <w:rFonts w:ascii="Times New Roman" w:eastAsiaTheme="minorEastAsia" w:hAnsi="Times New Roman" w:cs="Times New Roman"/>
          <w:sz w:val="28"/>
          <w:szCs w:val="28"/>
        </w:rPr>
        <w:t xml:space="preserve">модели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:M</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e(t)</m:t>
            </m:r>
          </m:e>
        </m:d>
        <m:r>
          <w:rPr>
            <w:rFonts w:ascii="Cambria Math" w:eastAsiaTheme="minorEastAsia" w:hAnsi="Cambria Math" w:cs="Times New Roman"/>
            <w:sz w:val="28"/>
            <w:szCs w:val="28"/>
          </w:rPr>
          <m:t>=const</m:t>
        </m:r>
      </m:oMath>
      <w:r w:rsidRPr="0094660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 помощью критерия «восходящих и нисходя</w:t>
      </w:r>
      <w:r w:rsidR="008F66AC">
        <w:rPr>
          <w:rFonts w:ascii="Times New Roman" w:eastAsiaTheme="minorEastAsia" w:hAnsi="Times New Roman" w:cs="Times New Roman"/>
          <w:sz w:val="28"/>
          <w:szCs w:val="28"/>
        </w:rPr>
        <w:t>щих» с</w:t>
      </w:r>
      <w:r w:rsidR="008F66AC">
        <w:rPr>
          <w:rFonts w:ascii="Times New Roman" w:eastAsiaTheme="minorEastAsia" w:hAnsi="Times New Roman" w:cs="Times New Roman"/>
          <w:sz w:val="28"/>
          <w:szCs w:val="28"/>
        </w:rPr>
        <w:t>е</w:t>
      </w:r>
      <w:r w:rsidR="008F66AC">
        <w:rPr>
          <w:rFonts w:ascii="Times New Roman" w:eastAsiaTheme="minorEastAsia" w:hAnsi="Times New Roman" w:cs="Times New Roman"/>
          <w:sz w:val="28"/>
          <w:szCs w:val="28"/>
        </w:rPr>
        <w:t>рий, в ходе которого для ряда ошибок определяется последовательность зн</w:t>
      </w:r>
      <w:r w:rsidR="008F66AC">
        <w:rPr>
          <w:rFonts w:ascii="Times New Roman" w:eastAsiaTheme="minorEastAsia" w:hAnsi="Times New Roman" w:cs="Times New Roman"/>
          <w:sz w:val="28"/>
          <w:szCs w:val="28"/>
        </w:rPr>
        <w:t>а</w:t>
      </w:r>
      <w:r w:rsidR="008F66AC">
        <w:rPr>
          <w:rFonts w:ascii="Times New Roman" w:eastAsiaTheme="minorEastAsia" w:hAnsi="Times New Roman" w:cs="Times New Roman"/>
          <w:sz w:val="28"/>
          <w:szCs w:val="28"/>
        </w:rPr>
        <w:t>ков</w:t>
      </w:r>
      <w:r w:rsidR="007D2D3E">
        <w:rPr>
          <w:rFonts w:ascii="Times New Roman" w:eastAsiaTheme="minorEastAsia" w:hAnsi="Times New Roman" w:cs="Times New Roman"/>
          <w:sz w:val="28"/>
          <w:szCs w:val="28"/>
        </w:rPr>
        <w:t xml:space="preserve"> «+» и</w:t>
      </w:r>
      <w:proofErr w:type="gramStart"/>
      <w:r w:rsidR="007D2D3E">
        <w:rPr>
          <w:rFonts w:ascii="Times New Roman" w:eastAsiaTheme="minorEastAsia" w:hAnsi="Times New Roman" w:cs="Times New Roman"/>
          <w:sz w:val="28"/>
          <w:szCs w:val="28"/>
        </w:rPr>
        <w:t xml:space="preserve"> «–»</w:t>
      </w:r>
      <w:r w:rsidR="008F66AC">
        <w:rPr>
          <w:rFonts w:ascii="Times New Roman" w:eastAsiaTheme="minorEastAsia" w:hAnsi="Times New Roman" w:cs="Times New Roman"/>
          <w:sz w:val="28"/>
          <w:szCs w:val="28"/>
        </w:rPr>
        <w:t xml:space="preserve">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lang w:val="en-GB"/>
                  </w:rPr>
                  <m:t>i</m:t>
                </m:r>
              </m:sub>
            </m:sSub>
          </m:e>
        </m:d>
      </m:oMath>
      <w:r w:rsidR="008F66AC" w:rsidRPr="008F66AC">
        <w:rPr>
          <w:rFonts w:ascii="Times New Roman" w:eastAsiaTheme="minorEastAsia" w:hAnsi="Times New Roman" w:cs="Times New Roman"/>
          <w:sz w:val="28"/>
          <w:szCs w:val="28"/>
        </w:rPr>
        <w:t>:</w:t>
      </w:r>
      <w:proofErr w:type="gramEnd"/>
    </w:p>
    <w:p w:rsidR="008F66AC" w:rsidRPr="008F66AC" w:rsidRDefault="005F2FF8" w:rsidP="008F66AC">
      <w:pPr>
        <w:spacing w:after="0" w:line="360" w:lineRule="auto"/>
        <w:jc w:val="center"/>
        <w:rPr>
          <w:rFonts w:ascii="Times New Roman" w:eastAsiaTheme="minorEastAsia" w:hAnsi="Times New Roman" w:cs="Times New Roman"/>
          <w:i/>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δ</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m>
              <m:mPr>
                <m:mcs>
                  <m:mc>
                    <m:mcPr>
                      <m:count m:val="2"/>
                      <m:mcJc m:val="center"/>
                    </m:mcPr>
                  </m:mc>
                </m:mcs>
                <m:ctrlPr>
                  <w:rPr>
                    <w:rFonts w:ascii="Cambria Math" w:eastAsiaTheme="minorEastAsia" w:hAnsi="Cambria Math" w:cs="Times New Roman"/>
                    <w:i/>
                    <w:sz w:val="28"/>
                    <w:szCs w:val="28"/>
                  </w:rPr>
                </m:ctrlPr>
              </m:mPr>
              <m:mr>
                <m:e>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&gt;0,   t=1,…,n-1</m:t>
                  </m:r>
                </m:e>
              </m:mr>
              <m:mr>
                <m:e>
                  <m:r>
                    <w:rPr>
                      <w:rFonts w:ascii="Cambria Math" w:eastAsiaTheme="minorEastAsia" w:hAnsi="Cambria Math" w:cs="Times New Roman"/>
                      <w:sz w:val="28"/>
                      <w:szCs w:val="28"/>
                    </w:rPr>
                    <m:t>-,</m:t>
                  </m:r>
                </m:e>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&lt;0    t=1,…,n-1</m:t>
                  </m:r>
                </m:e>
              </m:mr>
            </m:m>
          </m:e>
        </m:d>
      </m:oMath>
      <w:r w:rsidR="008F66AC" w:rsidRPr="008F66A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GB"/>
          </w:rPr>
          <m:t>i</m:t>
        </m:r>
        <m:r>
          <w:rPr>
            <w:rFonts w:ascii="Cambria Math" w:eastAsiaTheme="minorEastAsia" w:hAnsi="Cambria Math" w:cs="Times New Roman"/>
            <w:sz w:val="28"/>
            <w:szCs w:val="28"/>
          </w:rPr>
          <m:t>=1,…,k</m:t>
        </m:r>
      </m:oMath>
      <w:r w:rsidR="008F66AC" w:rsidRPr="008F66AC">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k≤n-1</m:t>
        </m:r>
      </m:oMath>
      <w:r w:rsidR="008F66AC" w:rsidRPr="008F66AC">
        <w:rPr>
          <w:rFonts w:ascii="Times New Roman" w:eastAsiaTheme="minorEastAsia" w:hAnsi="Times New Roman" w:cs="Times New Roman"/>
          <w:sz w:val="28"/>
          <w:szCs w:val="28"/>
        </w:rPr>
        <w:t>.</w:t>
      </w:r>
    </w:p>
    <w:p w:rsidR="002F57F4" w:rsidRPr="00946605" w:rsidRDefault="002F57F4" w:rsidP="002F57F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Проверка нулевой гипотезы основывается на том, что при условии сл</w:t>
      </w:r>
      <w:r>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 xml:space="preserve">чайности ряда (отсутствии </w:t>
      </w:r>
      <w:r w:rsidR="007D2D3E">
        <w:rPr>
          <w:rFonts w:ascii="Times New Roman" w:eastAsiaTheme="minorEastAsia" w:hAnsi="Times New Roman" w:cs="Times New Roman"/>
          <w:sz w:val="28"/>
          <w:szCs w:val="28"/>
        </w:rPr>
        <w:t xml:space="preserve">зависящей от времени </w:t>
      </w:r>
      <w:r>
        <w:rPr>
          <w:rFonts w:ascii="Times New Roman" w:eastAsiaTheme="minorEastAsia" w:hAnsi="Times New Roman" w:cs="Times New Roman"/>
          <w:sz w:val="28"/>
          <w:szCs w:val="28"/>
        </w:rPr>
        <w:t>систематической соста</w:t>
      </w:r>
      <w:r>
        <w:rPr>
          <w:rFonts w:ascii="Times New Roman" w:eastAsiaTheme="minorEastAsia" w:hAnsi="Times New Roman" w:cs="Times New Roman"/>
          <w:sz w:val="28"/>
          <w:szCs w:val="28"/>
        </w:rPr>
        <w:t>в</w:t>
      </w:r>
      <w:r>
        <w:rPr>
          <w:rFonts w:ascii="Times New Roman" w:eastAsiaTheme="minorEastAsia" w:hAnsi="Times New Roman" w:cs="Times New Roman"/>
          <w:sz w:val="28"/>
          <w:szCs w:val="28"/>
        </w:rPr>
        <w:lastRenderedPageBreak/>
        <w:t xml:space="preserve">ляющей), протяженность самой длинной серии </w:t>
      </w:r>
      <w:r w:rsidR="007D2D3E">
        <w:rPr>
          <w:rFonts w:ascii="Times New Roman" w:eastAsiaTheme="minorEastAsia" w:hAnsi="Times New Roman" w:cs="Times New Roman"/>
          <w:sz w:val="28"/>
          <w:szCs w:val="28"/>
        </w:rPr>
        <w:t xml:space="preserve">из плюсов или минусов </w:t>
      </w:r>
      <w:r>
        <w:rPr>
          <w:rFonts w:ascii="Times New Roman" w:eastAsiaTheme="minorEastAsia" w:hAnsi="Times New Roman" w:cs="Times New Roman"/>
          <w:sz w:val="28"/>
          <w:szCs w:val="28"/>
        </w:rPr>
        <w:t xml:space="preserve">не должна быть слишком большой, а число серий – слишком маленьким. </w:t>
      </w:r>
    </w:p>
    <w:p w:rsidR="002F57F4" w:rsidRPr="004C2F21" w:rsidRDefault="00030F2F" w:rsidP="002F57F4">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w:t>
      </w:r>
      <w:r w:rsidR="00591FA6">
        <w:rPr>
          <w:rFonts w:ascii="Times New Roman" w:eastAsiaTheme="minorEastAsia" w:hAnsi="Times New Roman" w:cs="Times New Roman"/>
          <w:sz w:val="28"/>
          <w:szCs w:val="28"/>
        </w:rPr>
        <w:t xml:space="preserve">улевая гипотеза о случайности ряда остатков </w:t>
      </w:r>
      <w:r w:rsidR="00304193">
        <w:rPr>
          <w:rFonts w:ascii="Times New Roman" w:eastAsiaTheme="minorEastAsia" w:hAnsi="Times New Roman" w:cs="Times New Roman"/>
          <w:sz w:val="28"/>
          <w:szCs w:val="28"/>
        </w:rPr>
        <w:t>модели</w:t>
      </w:r>
      <w:r w:rsidR="00591FA6">
        <w:rPr>
          <w:rFonts w:ascii="Times New Roman" w:eastAsiaTheme="minorEastAsia" w:hAnsi="Times New Roman" w:cs="Times New Roman"/>
          <w:sz w:val="28"/>
          <w:szCs w:val="28"/>
        </w:rPr>
        <w:t xml:space="preserve"> </w:t>
      </w:r>
      <w:r w:rsidR="002F57F4">
        <w:rPr>
          <w:rFonts w:ascii="Times New Roman" w:eastAsiaTheme="minorEastAsia" w:hAnsi="Times New Roman" w:cs="Times New Roman"/>
          <w:sz w:val="28"/>
          <w:szCs w:val="28"/>
        </w:rPr>
        <w:t xml:space="preserve">не </w:t>
      </w:r>
      <w:r w:rsidR="002F57F4" w:rsidRPr="008279DC">
        <w:rPr>
          <w:rFonts w:ascii="Times New Roman" w:eastAsiaTheme="minorEastAsia" w:hAnsi="Times New Roman" w:cs="Times New Roman"/>
          <w:sz w:val="28"/>
          <w:szCs w:val="28"/>
        </w:rPr>
        <w:t xml:space="preserve">отвергается на уровне значимости </w:t>
      </w:r>
      <m:oMath>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m:rPr>
                <m:sty m:val="p"/>
              </m:rPr>
              <w:rPr>
                <w:rFonts w:ascii="Cambria Math" w:eastAsiaTheme="minorEastAsia" w:hAnsi="Cambria Math" w:cs="Times New Roman"/>
                <w:sz w:val="28"/>
                <w:szCs w:val="28"/>
              </w:rPr>
              <m:t>0,05;0,0975</m:t>
            </m:r>
          </m:e>
        </m:d>
      </m:oMath>
      <w:r w:rsidR="002F57F4" w:rsidRPr="008279DC">
        <w:rPr>
          <w:rFonts w:ascii="Times New Roman" w:eastAsiaTheme="minorEastAsia" w:hAnsi="Times New Roman" w:cs="Times New Roman"/>
          <w:sz w:val="28"/>
          <w:szCs w:val="28"/>
        </w:rPr>
        <w:t xml:space="preserve">. Число серий в совокупности </w:t>
      </w:r>
      <m:oMath>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m:t>
        </m:r>
      </m:oMath>
      <w:r w:rsidR="00591FA6">
        <w:rPr>
          <w:rFonts w:ascii="Times New Roman" w:eastAsiaTheme="minorEastAsia" w:hAnsi="Times New Roman" w:cs="Times New Roman"/>
          <w:sz w:val="28"/>
          <w:szCs w:val="28"/>
        </w:rPr>
        <w:t>9</w:t>
      </w:r>
      <w:r w:rsidR="002F57F4" w:rsidRPr="008279DC">
        <w:rPr>
          <w:rFonts w:ascii="Times New Roman" w:eastAsiaTheme="minorEastAsia" w:hAnsi="Times New Roman" w:cs="Times New Roman"/>
          <w:sz w:val="28"/>
          <w:szCs w:val="28"/>
        </w:rPr>
        <w:t xml:space="preserve">, 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α</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2n-1</m:t>
                </m:r>
              </m:e>
            </m:d>
            <m:r>
              <w:rPr>
                <w:rFonts w:ascii="Cambria Math" w:eastAsiaTheme="minorEastAsia" w:hAnsi="Cambria Math" w:cs="Times New Roman"/>
                <w:sz w:val="28"/>
                <w:szCs w:val="28"/>
              </w:rPr>
              <m:t>-1,96</m:t>
            </m:r>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16n-29</m:t>
                    </m:r>
                  </m:num>
                  <m:den>
                    <m:r>
                      <w:rPr>
                        <w:rFonts w:ascii="Cambria Math" w:eastAsiaTheme="minorEastAsia" w:hAnsi="Cambria Math" w:cs="Times New Roman"/>
                        <w:sz w:val="28"/>
                        <w:szCs w:val="28"/>
                      </w:rPr>
                      <m:t>90</m:t>
                    </m:r>
                  </m:den>
                </m:f>
              </m:e>
            </m:rad>
          </m:e>
        </m:d>
      </m:oMath>
      <w:r w:rsidR="00591FA6" w:rsidRPr="00591FA6">
        <w:rPr>
          <w:rFonts w:ascii="Times New Roman" w:eastAsiaTheme="minorEastAsia" w:hAnsi="Times New Roman" w:cs="Times New Roman"/>
          <w:sz w:val="28"/>
          <w:szCs w:val="28"/>
        </w:rPr>
        <w:t>=7</w:t>
      </w:r>
      <w:r w:rsidR="002F57F4" w:rsidRPr="008279DC">
        <w:rPr>
          <w:rFonts w:ascii="Times New Roman" w:eastAsiaTheme="minorEastAsia" w:hAnsi="Times New Roman" w:cs="Times New Roman"/>
          <w:sz w:val="28"/>
          <w:szCs w:val="28"/>
        </w:rPr>
        <w:t xml:space="preserve">; неравенство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&gt;v</m:t>
            </m:r>
          </m:e>
          <m:sub>
            <m:r>
              <w:rPr>
                <w:rFonts w:ascii="Cambria Math" w:eastAsiaTheme="minorEastAsia" w:hAnsi="Cambria Math" w:cs="Times New Roman"/>
                <w:sz w:val="28"/>
                <w:szCs w:val="28"/>
              </w:rPr>
              <m:t>α</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oMath>
      <w:r w:rsidR="002F57F4" w:rsidRPr="008279DC">
        <w:rPr>
          <w:rFonts w:ascii="Times New Roman" w:eastAsiaTheme="minorEastAsia" w:hAnsi="Times New Roman" w:cs="Times New Roman"/>
          <w:sz w:val="28"/>
          <w:szCs w:val="28"/>
        </w:rPr>
        <w:t xml:space="preserve"> выполняется. Второе неравенство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τ</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r>
              <w:rPr>
                <w:rFonts w:ascii="Cambria Math" w:eastAsiaTheme="minorEastAsia" w:hAnsi="Cambria Math" w:cs="Times New Roman"/>
                <w:sz w:val="28"/>
                <w:szCs w:val="28"/>
              </w:rPr>
              <m:t>&lt;τ</m:t>
            </m:r>
          </m:e>
          <m:sub>
            <m:r>
              <w:rPr>
                <w:rFonts w:ascii="Cambria Math" w:eastAsiaTheme="minorEastAsia" w:hAnsi="Cambria Math" w:cs="Times New Roman"/>
                <w:sz w:val="28"/>
                <w:szCs w:val="28"/>
              </w:rPr>
              <m:t>0</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oMath>
      <w:r w:rsidR="00591FA6" w:rsidRPr="00591FA6">
        <w:rPr>
          <w:rFonts w:ascii="Times New Roman" w:eastAsiaTheme="minorEastAsia" w:hAnsi="Times New Roman" w:cs="Times New Roman"/>
          <w:sz w:val="28"/>
          <w:szCs w:val="28"/>
        </w:rPr>
        <w:t xml:space="preserve"> </w:t>
      </w:r>
      <w:r w:rsidR="002F57F4" w:rsidRPr="008279DC">
        <w:rPr>
          <w:rFonts w:ascii="Times New Roman" w:eastAsiaTheme="minorEastAsia" w:hAnsi="Times New Roman" w:cs="Times New Roman"/>
          <w:sz w:val="28"/>
          <w:szCs w:val="28"/>
        </w:rPr>
        <w:t>также выполняется: прот</w:t>
      </w:r>
      <w:r w:rsidR="002F57F4" w:rsidRPr="008279DC">
        <w:rPr>
          <w:rFonts w:ascii="Times New Roman" w:eastAsiaTheme="minorEastAsia" w:hAnsi="Times New Roman" w:cs="Times New Roman"/>
          <w:sz w:val="28"/>
          <w:szCs w:val="28"/>
        </w:rPr>
        <w:t>я</w:t>
      </w:r>
      <w:r w:rsidR="002F57F4" w:rsidRPr="008279DC">
        <w:rPr>
          <w:rFonts w:ascii="Times New Roman" w:eastAsiaTheme="minorEastAsia" w:hAnsi="Times New Roman" w:cs="Times New Roman"/>
          <w:sz w:val="28"/>
          <w:szCs w:val="28"/>
        </w:rPr>
        <w:t xml:space="preserve">женность самой длинной серии </w:t>
      </w:r>
      <m:oMath>
        <m:r>
          <w:rPr>
            <w:rFonts w:ascii="Cambria Math" w:eastAsiaTheme="minorEastAsia" w:hAnsi="Cambria Math" w:cs="Times New Roman"/>
            <w:sz w:val="28"/>
            <w:szCs w:val="28"/>
          </w:rPr>
          <m:t>τ</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oMath>
      <w:r w:rsidR="002F57F4" w:rsidRPr="008279DC">
        <w:rPr>
          <w:rFonts w:ascii="Times New Roman" w:eastAsiaTheme="minorEastAsia" w:hAnsi="Times New Roman" w:cs="Times New Roman"/>
          <w:sz w:val="28"/>
          <w:szCs w:val="28"/>
        </w:rPr>
        <w:t>=</w:t>
      </w:r>
      <w:r w:rsidR="00591FA6" w:rsidRPr="00B37B9A">
        <w:rPr>
          <w:rFonts w:ascii="Times New Roman" w:eastAsiaTheme="minorEastAsia" w:hAnsi="Times New Roman" w:cs="Times New Roman"/>
          <w:sz w:val="28"/>
          <w:szCs w:val="28"/>
        </w:rPr>
        <w:t>3</w:t>
      </w:r>
      <w:r w:rsidR="002F57F4" w:rsidRPr="008279DC">
        <w:rPr>
          <w:rFonts w:ascii="Times New Roman" w:eastAsiaTheme="minorEastAsia" w:hAnsi="Times New Roman" w:cs="Times New Roman"/>
          <w:sz w:val="28"/>
          <w:szCs w:val="28"/>
        </w:rPr>
        <w:t xml:space="preserve">, </w:t>
      </w:r>
      <w:r w:rsidR="007D2D3E">
        <w:rPr>
          <w:rFonts w:ascii="Times New Roman" w:eastAsiaTheme="minorEastAsia" w:hAnsi="Times New Roman" w:cs="Times New Roman"/>
          <w:sz w:val="28"/>
          <w:szCs w:val="28"/>
        </w:rPr>
        <w:t xml:space="preserve">табличное значение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τ</m:t>
            </m:r>
          </m:e>
          <m:sub>
            <m:r>
              <w:rPr>
                <w:rFonts w:ascii="Cambria Math" w:eastAsiaTheme="minorEastAsia" w:hAnsi="Cambria Math" w:cs="Times New Roman"/>
                <w:sz w:val="28"/>
                <w:szCs w:val="28"/>
              </w:rPr>
              <m:t>0</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m:t>
            </m:r>
          </m:e>
        </m:d>
      </m:oMath>
      <w:r w:rsidR="007D2D3E">
        <w:rPr>
          <w:rFonts w:ascii="Times New Roman" w:eastAsiaTheme="minorEastAsia" w:hAnsi="Times New Roman" w:cs="Times New Roman"/>
          <w:sz w:val="28"/>
          <w:szCs w:val="28"/>
        </w:rPr>
        <w:t xml:space="preserve">, зависящее от длины временного ряда, равняется </w:t>
      </w:r>
      <w:r w:rsidR="00B37B9A" w:rsidRPr="00B37B9A">
        <w:rPr>
          <w:rFonts w:ascii="Times New Roman" w:eastAsiaTheme="minorEastAsia" w:hAnsi="Times New Roman" w:cs="Times New Roman"/>
          <w:sz w:val="28"/>
          <w:szCs w:val="28"/>
        </w:rPr>
        <w:t>5</w:t>
      </w:r>
      <w:r w:rsidR="002F57F4" w:rsidRPr="008279DC">
        <w:rPr>
          <w:rFonts w:ascii="Times New Roman" w:eastAsiaTheme="minorEastAsia" w:hAnsi="Times New Roman" w:cs="Times New Roman"/>
          <w:sz w:val="28"/>
          <w:szCs w:val="28"/>
        </w:rPr>
        <w:t>.</w:t>
      </w:r>
    </w:p>
    <w:p w:rsidR="00AD5F9E" w:rsidRPr="00E0368F" w:rsidRDefault="00AD5F9E" w:rsidP="00AD5F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Статистика </w:t>
      </w:r>
      <w:proofErr w:type="spellStart"/>
      <w:r>
        <w:rPr>
          <w:rFonts w:ascii="Times New Roman" w:eastAsiaTheme="minorEastAsia" w:hAnsi="Times New Roman" w:cs="Times New Roman"/>
          <w:sz w:val="28"/>
          <w:szCs w:val="28"/>
        </w:rPr>
        <w:t>Дарбина-Уотсона</w:t>
      </w:r>
      <w:proofErr w:type="spellEnd"/>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DW=</m:t>
        </m:r>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t=2</m:t>
                </m:r>
              </m:sub>
              <m:sup>
                <m:r>
                  <w:rPr>
                    <w:rFonts w:ascii="Cambria Math" w:eastAsiaTheme="minorEastAsia" w:hAnsi="Cambria Math" w:cs="Times New Roman"/>
                    <w:sz w:val="28"/>
                    <w:szCs w:val="28"/>
                  </w:rPr>
                  <m:t>n</m:t>
                </m:r>
              </m:sup>
              <m:e>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t-1</m:t>
                            </m:r>
                          </m:sub>
                        </m:sSub>
                      </m:e>
                    </m:d>
                  </m:e>
                  <m:sup>
                    <m:r>
                      <w:rPr>
                        <w:rFonts w:ascii="Cambria Math" w:eastAsiaTheme="minorEastAsia" w:hAnsi="Cambria Math" w:cs="Times New Roman"/>
                        <w:sz w:val="28"/>
                        <w:szCs w:val="28"/>
                      </w:rPr>
                      <m:t>2</m:t>
                    </m:r>
                  </m:sup>
                </m:sSup>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t=1</m:t>
                </m:r>
              </m:sub>
              <m:sup>
                <m:r>
                  <w:rPr>
                    <w:rFonts w:ascii="Cambria Math" w:eastAsiaTheme="minorEastAsia" w:hAnsi="Cambria Math" w:cs="Times New Roman"/>
                    <w:sz w:val="28"/>
                    <w:szCs w:val="28"/>
                  </w:rPr>
                  <m:t>n</m:t>
                </m:r>
              </m:sup>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t</m:t>
                    </m:r>
                  </m:sub>
                  <m:sup>
                    <m:r>
                      <w:rPr>
                        <w:rFonts w:ascii="Cambria Math" w:eastAsiaTheme="minorEastAsia" w:hAnsi="Cambria Math" w:cs="Times New Roman"/>
                        <w:sz w:val="28"/>
                        <w:szCs w:val="28"/>
                      </w:rPr>
                      <m:t>2</m:t>
                    </m:r>
                  </m:sup>
                </m:sSubSup>
              </m:e>
            </m:nary>
          </m:den>
        </m:f>
      </m:oMath>
      <w:r w:rsidRPr="00AD5F9E">
        <w:rPr>
          <w:rFonts w:ascii="Times New Roman" w:eastAsiaTheme="minorEastAsia" w:hAnsi="Times New Roman" w:cs="Times New Roman"/>
          <w:sz w:val="28"/>
          <w:szCs w:val="28"/>
        </w:rPr>
        <w:t>=2,</w:t>
      </w:r>
      <w:r w:rsidR="00BC41F2">
        <w:rPr>
          <w:rFonts w:ascii="Times New Roman" w:eastAsiaTheme="minorEastAsia" w:hAnsi="Times New Roman" w:cs="Times New Roman"/>
          <w:sz w:val="28"/>
          <w:szCs w:val="28"/>
        </w:rPr>
        <w:t>422</w:t>
      </w:r>
      <w:r w:rsidR="00E0368F" w:rsidRPr="00E0368F">
        <w:rPr>
          <w:rFonts w:ascii="Times New Roman" w:eastAsiaTheme="minorEastAsia" w:hAnsi="Times New Roman" w:cs="Times New Roman"/>
          <w:sz w:val="28"/>
          <w:szCs w:val="28"/>
        </w:rPr>
        <w:t xml:space="preserve">, </w:t>
      </w:r>
      <w:r w:rsidR="00E0368F">
        <w:rPr>
          <w:rFonts w:ascii="Times New Roman" w:eastAsiaTheme="minorEastAsia" w:hAnsi="Times New Roman" w:cs="Times New Roman"/>
          <w:sz w:val="28"/>
          <w:szCs w:val="28"/>
        </w:rPr>
        <w:t xml:space="preserve">пороговые значения для числа наблюдений в выборке </w:t>
      </w:r>
      <w:r w:rsidR="00E0368F" w:rsidRPr="00E0368F">
        <w:rPr>
          <w:rFonts w:ascii="Times New Roman" w:eastAsiaTheme="minorEastAsia" w:hAnsi="Times New Roman" w:cs="Times New Roman"/>
          <w:i/>
          <w:sz w:val="28"/>
          <w:szCs w:val="28"/>
          <w:lang w:val="en-GB"/>
        </w:rPr>
        <w:t>n</w:t>
      </w:r>
      <w:r w:rsidR="00E0368F" w:rsidRPr="00E0368F">
        <w:rPr>
          <w:rFonts w:ascii="Times New Roman" w:eastAsiaTheme="minorEastAsia" w:hAnsi="Times New Roman" w:cs="Times New Roman"/>
          <w:sz w:val="28"/>
          <w:szCs w:val="28"/>
        </w:rPr>
        <w:t>=16</w:t>
      </w:r>
      <w:r w:rsidR="00E0368F">
        <w:rPr>
          <w:rFonts w:ascii="Times New Roman" w:eastAsiaTheme="minorEastAsia" w:hAnsi="Times New Roman" w:cs="Times New Roman"/>
          <w:sz w:val="28"/>
          <w:szCs w:val="28"/>
        </w:rPr>
        <w:t xml:space="preserve"> и числа объясняющих пер</w:t>
      </w:r>
      <w:r w:rsidR="00E0368F">
        <w:rPr>
          <w:rFonts w:ascii="Times New Roman" w:eastAsiaTheme="minorEastAsia" w:hAnsi="Times New Roman" w:cs="Times New Roman"/>
          <w:sz w:val="28"/>
          <w:szCs w:val="28"/>
        </w:rPr>
        <w:t>е</w:t>
      </w:r>
      <w:r w:rsidR="00E0368F">
        <w:rPr>
          <w:rFonts w:ascii="Times New Roman" w:eastAsiaTheme="minorEastAsia" w:hAnsi="Times New Roman" w:cs="Times New Roman"/>
          <w:sz w:val="28"/>
          <w:szCs w:val="28"/>
        </w:rPr>
        <w:t xml:space="preserve">менных </w:t>
      </w:r>
      <w:r w:rsidR="00E0368F">
        <w:rPr>
          <w:rFonts w:ascii="Times New Roman" w:eastAsiaTheme="minorEastAsia" w:hAnsi="Times New Roman" w:cs="Times New Roman"/>
          <w:i/>
          <w:sz w:val="28"/>
          <w:szCs w:val="28"/>
          <w:lang w:val="en-GB"/>
        </w:rPr>
        <w:t>m</w:t>
      </w:r>
      <w:r w:rsidR="00E0368F" w:rsidRPr="00E0368F">
        <w:rPr>
          <w:rFonts w:ascii="Times New Roman" w:eastAsiaTheme="minorEastAsia" w:hAnsi="Times New Roman" w:cs="Times New Roman"/>
          <w:sz w:val="28"/>
          <w:szCs w:val="28"/>
        </w:rPr>
        <w:t xml:space="preserve">=1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m:t>
        </m:r>
      </m:oMath>
      <w:r w:rsidR="00E0368F" w:rsidRPr="00E0368F">
        <w:rPr>
          <w:rFonts w:ascii="Times New Roman" w:eastAsiaTheme="minorEastAsia" w:hAnsi="Times New Roman" w:cs="Times New Roman"/>
          <w:sz w:val="28"/>
          <w:szCs w:val="28"/>
        </w:rPr>
        <w:t xml:space="preserve">0,844 </w:t>
      </w:r>
      <w:r w:rsidR="00E0368F">
        <w:rPr>
          <w:rFonts w:ascii="Times New Roman" w:eastAsiaTheme="minorEastAsia" w:hAnsi="Times New Roman" w:cs="Times New Roman"/>
          <w:sz w:val="28"/>
          <w:szCs w:val="28"/>
        </w:rPr>
        <w:t xml:space="preserve">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lang w:val="en-GB"/>
              </w:rPr>
              <m:t>U</m:t>
            </m:r>
          </m:sub>
        </m:sSub>
        <m:r>
          <w:rPr>
            <w:rFonts w:ascii="Cambria Math" w:eastAsiaTheme="minorEastAsia" w:hAnsi="Cambria Math" w:cs="Times New Roman"/>
            <w:sz w:val="28"/>
            <w:szCs w:val="28"/>
          </w:rPr>
          <m:t>=</m:t>
        </m:r>
      </m:oMath>
      <w:r w:rsidR="00E0368F" w:rsidRPr="00E0368F">
        <w:rPr>
          <w:rFonts w:ascii="Times New Roman" w:eastAsiaTheme="minorEastAsia" w:hAnsi="Times New Roman" w:cs="Times New Roman"/>
          <w:sz w:val="28"/>
          <w:szCs w:val="28"/>
        </w:rPr>
        <w:t xml:space="preserve">1,086. </w:t>
      </w:r>
      <w:r w:rsidR="00E0368F">
        <w:rPr>
          <w:rFonts w:ascii="Times New Roman" w:eastAsiaTheme="minorEastAsia" w:hAnsi="Times New Roman" w:cs="Times New Roman"/>
          <w:sz w:val="28"/>
          <w:szCs w:val="28"/>
        </w:rPr>
        <w:t xml:space="preserve">Поскольку </w:t>
      </w:r>
      <m:oMath>
        <m:r>
          <w:rPr>
            <w:rFonts w:ascii="Cambria Math" w:eastAsiaTheme="minorEastAsia" w:hAnsi="Cambria Math" w:cs="Times New Roman"/>
            <w:sz w:val="28"/>
            <w:szCs w:val="28"/>
          </w:rPr>
          <m:t>4-DW&gt;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U</m:t>
            </m:r>
          </m:sub>
        </m:sSub>
      </m:oMath>
      <w:r w:rsidR="00E0368F" w:rsidRPr="00E0368F">
        <w:rPr>
          <w:rFonts w:ascii="Times New Roman" w:eastAsiaTheme="minorEastAsia" w:hAnsi="Times New Roman" w:cs="Times New Roman"/>
          <w:sz w:val="28"/>
          <w:szCs w:val="28"/>
        </w:rPr>
        <w:t xml:space="preserve">, </w:t>
      </w:r>
      <w:r w:rsidR="00E0368F">
        <w:rPr>
          <w:rFonts w:ascii="Times New Roman" w:eastAsiaTheme="minorEastAsia" w:hAnsi="Times New Roman" w:cs="Times New Roman"/>
          <w:sz w:val="28"/>
          <w:szCs w:val="28"/>
        </w:rPr>
        <w:t>гипотеза об отсутствии автокорреляции первого порядка, т.е. автокорреляции между с</w:t>
      </w:r>
      <w:r w:rsidR="00E0368F">
        <w:rPr>
          <w:rFonts w:ascii="Times New Roman" w:eastAsiaTheme="minorEastAsia" w:hAnsi="Times New Roman" w:cs="Times New Roman"/>
          <w:sz w:val="28"/>
          <w:szCs w:val="28"/>
        </w:rPr>
        <w:t>о</w:t>
      </w:r>
      <w:r w:rsidR="00E0368F">
        <w:rPr>
          <w:rFonts w:ascii="Times New Roman" w:eastAsiaTheme="minorEastAsia" w:hAnsi="Times New Roman" w:cs="Times New Roman"/>
          <w:sz w:val="28"/>
          <w:szCs w:val="28"/>
        </w:rPr>
        <w:t>седними членами ряда остатков, не отвергается.</w:t>
      </w:r>
    </w:p>
    <w:p w:rsidR="00DB7C4D" w:rsidRPr="001C3B4A" w:rsidRDefault="00BC41F2" w:rsidP="0076794B">
      <w:pPr>
        <w:spacing w:after="0" w:line="360" w:lineRule="auto"/>
        <w:jc w:val="center"/>
        <w:rPr>
          <w:rFonts w:ascii="Times New Roman" w:eastAsiaTheme="minorEastAsia" w:hAnsi="Times New Roman" w:cs="Times New Roman"/>
          <w:sz w:val="28"/>
          <w:szCs w:val="28"/>
        </w:rPr>
      </w:pPr>
      <w:r w:rsidRPr="00BC41F2">
        <w:rPr>
          <w:rFonts w:ascii="Times New Roman" w:eastAsiaTheme="minorEastAsia" w:hAnsi="Times New Roman" w:cs="Times New Roman"/>
          <w:noProof/>
          <w:sz w:val="28"/>
          <w:szCs w:val="28"/>
          <w:lang w:eastAsia="ru-RU"/>
        </w:rPr>
        <w:drawing>
          <wp:inline distT="0" distB="0" distL="0" distR="0">
            <wp:extent cx="4572000" cy="29337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27EAB" w:rsidRPr="009F00A4" w:rsidRDefault="00233259" w:rsidP="00233259">
      <w:pPr>
        <w:spacing w:after="0" w:line="360" w:lineRule="auto"/>
        <w:jc w:val="center"/>
        <w:rPr>
          <w:rFonts w:ascii="Times New Roman" w:hAnsi="Times New Roman" w:cs="Times New Roman"/>
          <w:i/>
          <w:sz w:val="26"/>
          <w:szCs w:val="26"/>
        </w:rPr>
      </w:pPr>
      <w:r w:rsidRPr="009F00A4">
        <w:rPr>
          <w:rFonts w:ascii="Times New Roman" w:hAnsi="Times New Roman" w:cs="Times New Roman"/>
          <w:i/>
          <w:sz w:val="26"/>
          <w:szCs w:val="26"/>
        </w:rPr>
        <w:t xml:space="preserve">Рисунок </w:t>
      </w:r>
      <w:r w:rsidR="00E43E8A" w:rsidRPr="009F00A4">
        <w:rPr>
          <w:rFonts w:ascii="Times New Roman" w:hAnsi="Times New Roman" w:cs="Times New Roman"/>
          <w:i/>
          <w:sz w:val="26"/>
          <w:szCs w:val="26"/>
        </w:rPr>
        <w:t>19</w:t>
      </w:r>
      <w:r w:rsidRPr="009F00A4">
        <w:rPr>
          <w:rFonts w:ascii="Times New Roman" w:hAnsi="Times New Roman" w:cs="Times New Roman"/>
          <w:i/>
          <w:sz w:val="26"/>
          <w:szCs w:val="26"/>
        </w:rPr>
        <w:t xml:space="preserve">. Прогнозирование </w:t>
      </w:r>
      <w:r w:rsidR="00527EAB" w:rsidRPr="009F00A4">
        <w:rPr>
          <w:rFonts w:ascii="Times New Roman" w:hAnsi="Times New Roman" w:cs="Times New Roman"/>
          <w:i/>
          <w:sz w:val="26"/>
          <w:szCs w:val="26"/>
        </w:rPr>
        <w:t>суммарных выплат страховой компании</w:t>
      </w:r>
    </w:p>
    <w:p w:rsidR="00233259" w:rsidRPr="009F00A4" w:rsidRDefault="00233259" w:rsidP="00233259">
      <w:pPr>
        <w:spacing w:after="0" w:line="360" w:lineRule="auto"/>
        <w:jc w:val="center"/>
        <w:rPr>
          <w:rFonts w:ascii="Times New Roman" w:hAnsi="Times New Roman" w:cs="Times New Roman"/>
          <w:i/>
          <w:sz w:val="26"/>
          <w:szCs w:val="26"/>
        </w:rPr>
      </w:pPr>
      <w:r w:rsidRPr="009F00A4">
        <w:rPr>
          <w:rFonts w:ascii="Times New Roman" w:hAnsi="Times New Roman" w:cs="Times New Roman"/>
          <w:i/>
          <w:sz w:val="26"/>
          <w:szCs w:val="26"/>
        </w:rPr>
        <w:t xml:space="preserve">с помощью </w:t>
      </w:r>
      <w:r w:rsidR="00112633" w:rsidRPr="009F00A4">
        <w:rPr>
          <w:rFonts w:ascii="Times New Roman" w:hAnsi="Times New Roman" w:cs="Times New Roman"/>
          <w:i/>
          <w:sz w:val="26"/>
          <w:szCs w:val="26"/>
        </w:rPr>
        <w:t>аддитивной модели</w:t>
      </w:r>
    </w:p>
    <w:p w:rsidR="00DA3DCB" w:rsidRDefault="00DA3DCB" w:rsidP="00DA3DC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w:t>
      </w:r>
      <w:r w:rsidRPr="00757775">
        <w:rPr>
          <w:rFonts w:ascii="Times New Roman" w:eastAsiaTheme="minorEastAsia" w:hAnsi="Times New Roman" w:cs="Times New Roman"/>
          <w:sz w:val="28"/>
          <w:szCs w:val="28"/>
        </w:rPr>
        <w:t xml:space="preserve">ритерий Колмогорова-Смирнова </w:t>
      </w:r>
      <w:r>
        <w:rPr>
          <w:rFonts w:ascii="Times New Roman" w:eastAsiaTheme="minorEastAsia" w:hAnsi="Times New Roman" w:cs="Times New Roman"/>
          <w:sz w:val="28"/>
          <w:szCs w:val="28"/>
        </w:rPr>
        <w:t>не отвергает гипотезу о нормальном законе распределения ряда остатков модели</w:t>
      </w:r>
      <w:r w:rsidRPr="00757775">
        <w:rPr>
          <w:rFonts w:ascii="Times New Roman" w:eastAsiaTheme="minorEastAsia" w:hAnsi="Times New Roman" w:cs="Times New Roman"/>
          <w:sz w:val="28"/>
          <w:szCs w:val="28"/>
        </w:rPr>
        <w:t xml:space="preserve">: </w:t>
      </w:r>
      <w:r w:rsidRPr="00757775">
        <w:rPr>
          <w:rFonts w:ascii="Times New Roman" w:eastAsiaTheme="minorEastAsia" w:hAnsi="Times New Roman" w:cs="Times New Roman"/>
          <w:sz w:val="28"/>
          <w:szCs w:val="28"/>
          <w:lang w:val="en-GB"/>
        </w:rPr>
        <w:t>p</w:t>
      </w:r>
      <w:r w:rsidRPr="0075777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значение</w:t>
      </w:r>
      <w:r w:rsidRPr="00757775">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903</w:t>
      </w:r>
      <w:r w:rsidRPr="00757775">
        <w:rPr>
          <w:rFonts w:ascii="Times New Roman" w:eastAsiaTheme="minorEastAsia" w:hAnsi="Times New Roman" w:cs="Times New Roman"/>
          <w:sz w:val="28"/>
          <w:szCs w:val="28"/>
        </w:rPr>
        <w:t xml:space="preserve">&gt;0,01. </w:t>
      </w:r>
      <w:r>
        <w:rPr>
          <w:rFonts w:ascii="Times New Roman" w:eastAsiaTheme="minorEastAsia" w:hAnsi="Times New Roman" w:cs="Times New Roman"/>
          <w:sz w:val="28"/>
          <w:szCs w:val="28"/>
        </w:rPr>
        <w:t>С п</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 xml:space="preserve">мощью критерия Жарка-Бера мы приходим к аналогичному выводу: </w:t>
      </w:r>
      <w:r w:rsidRPr="00757775">
        <w:rPr>
          <w:rFonts w:ascii="Times New Roman" w:eastAsiaTheme="minorEastAsia" w:hAnsi="Times New Roman" w:cs="Times New Roman"/>
          <w:sz w:val="28"/>
          <w:szCs w:val="28"/>
          <w:lang w:val="en-GB"/>
        </w:rPr>
        <w:t>p</w:t>
      </w:r>
      <w:r w:rsidRPr="0075777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lastRenderedPageBreak/>
        <w:t>значение</w:t>
      </w:r>
      <w:r w:rsidRPr="00757775">
        <w:rPr>
          <w:rFonts w:ascii="Times New Roman" w:eastAsiaTheme="minorEastAsia" w:hAnsi="Times New Roman" w:cs="Times New Roman"/>
          <w:sz w:val="28"/>
          <w:szCs w:val="28"/>
        </w:rPr>
        <w:t xml:space="preserve"> =0,</w:t>
      </w:r>
      <w:r>
        <w:rPr>
          <w:rFonts w:ascii="Times New Roman" w:eastAsiaTheme="minorEastAsia" w:hAnsi="Times New Roman" w:cs="Times New Roman"/>
          <w:sz w:val="28"/>
          <w:szCs w:val="28"/>
        </w:rPr>
        <w:t>566</w:t>
      </w:r>
      <w:r w:rsidRPr="00757775">
        <w:rPr>
          <w:rFonts w:ascii="Times New Roman" w:eastAsiaTheme="minorEastAsia" w:hAnsi="Times New Roman" w:cs="Times New Roman"/>
          <w:sz w:val="28"/>
          <w:szCs w:val="28"/>
        </w:rPr>
        <w:t>&gt;0,01</w:t>
      </w:r>
      <w:r>
        <w:rPr>
          <w:rFonts w:ascii="Times New Roman" w:eastAsiaTheme="minorEastAsia" w:hAnsi="Times New Roman" w:cs="Times New Roman"/>
          <w:sz w:val="28"/>
          <w:szCs w:val="28"/>
        </w:rPr>
        <w:t>, значения коэффициентов асимметрии и эксцесса ра</w:t>
      </w:r>
      <w:r>
        <w:rPr>
          <w:rFonts w:ascii="Times New Roman" w:eastAsiaTheme="minorEastAsia" w:hAnsi="Times New Roman" w:cs="Times New Roman"/>
          <w:sz w:val="28"/>
          <w:szCs w:val="28"/>
        </w:rPr>
        <w:t>с</w:t>
      </w:r>
      <w:r>
        <w:rPr>
          <w:rFonts w:ascii="Times New Roman" w:eastAsiaTheme="minorEastAsia" w:hAnsi="Times New Roman" w:cs="Times New Roman"/>
          <w:sz w:val="28"/>
          <w:szCs w:val="28"/>
        </w:rPr>
        <w:t>пределения близки к нулю</w:t>
      </w:r>
      <w:r w:rsidRPr="00757775">
        <w:rPr>
          <w:rFonts w:ascii="Times New Roman" w:eastAsiaTheme="minorEastAsia" w:hAnsi="Times New Roman" w:cs="Times New Roman"/>
          <w:sz w:val="28"/>
          <w:szCs w:val="28"/>
        </w:rPr>
        <w:t>.</w:t>
      </w:r>
    </w:p>
    <w:p w:rsidR="00E43E8A" w:rsidRDefault="00E43E8A" w:rsidP="00E43E8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Таким образом, мы получили модель, адекватно описывающую дин</w:t>
      </w:r>
      <w:r>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 xml:space="preserve">мику исследуемого показателя, поскольку последовательность ошибок </w:t>
      </w:r>
      <w:r w:rsidR="00304193">
        <w:rPr>
          <w:rFonts w:ascii="Times New Roman" w:eastAsiaTheme="minorEastAsia" w:hAnsi="Times New Roman" w:cs="Times New Roman"/>
          <w:sz w:val="28"/>
          <w:szCs w:val="28"/>
        </w:rPr>
        <w:t>мод</w:t>
      </w:r>
      <w:r w:rsidR="00304193">
        <w:rPr>
          <w:rFonts w:ascii="Times New Roman" w:eastAsiaTheme="minorEastAsia" w:hAnsi="Times New Roman" w:cs="Times New Roman"/>
          <w:sz w:val="28"/>
          <w:szCs w:val="28"/>
        </w:rPr>
        <w:t>е</w:t>
      </w:r>
      <w:r w:rsidR="00304193">
        <w:rPr>
          <w:rFonts w:ascii="Times New Roman" w:eastAsiaTheme="minorEastAsia" w:hAnsi="Times New Roman" w:cs="Times New Roman"/>
          <w:sz w:val="28"/>
          <w:szCs w:val="28"/>
        </w:rPr>
        <w:t xml:space="preserve">ли </w:t>
      </w:r>
      <w:r>
        <w:rPr>
          <w:rFonts w:ascii="Times New Roman" w:eastAsiaTheme="minorEastAsia" w:hAnsi="Times New Roman" w:cs="Times New Roman"/>
          <w:sz w:val="28"/>
          <w:szCs w:val="28"/>
        </w:rPr>
        <w:t>удовлетворяет свойствам случайности и независимости соседних знач</w:t>
      </w:r>
      <w:r>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ний уровней ряда. Кроме того, распределение остатков близко к нормальн</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му закону распределения с нулевым математическим ожиданием.</w:t>
      </w:r>
    </w:p>
    <w:p w:rsidR="00E43E8A" w:rsidRPr="00AD5F9E" w:rsidRDefault="00E43E8A" w:rsidP="00E43E8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Соответственно, данная модель может быть использована для прогн</w:t>
      </w:r>
      <w:r>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зирования будущих значений временного ряда (рис. 19).</w:t>
      </w:r>
    </w:p>
    <w:p w:rsidR="00DE306A" w:rsidRPr="00757775" w:rsidRDefault="00091CB4" w:rsidP="00E43E8A">
      <w:pPr>
        <w:spacing w:after="0" w:line="360" w:lineRule="auto"/>
        <w:ind w:firstLine="709"/>
        <w:jc w:val="both"/>
        <w:rPr>
          <w:rFonts w:ascii="Times New Roman" w:hAnsi="Times New Roman" w:cs="Times New Roman"/>
          <w:i/>
          <w:sz w:val="25"/>
          <w:szCs w:val="25"/>
        </w:rPr>
      </w:pPr>
      <w:r>
        <w:rPr>
          <w:rFonts w:ascii="Times New Roman" w:hAnsi="Times New Roman" w:cs="Times New Roman"/>
          <w:sz w:val="28"/>
          <w:szCs w:val="28"/>
        </w:rPr>
        <w:t xml:space="preserve">На основе найденных долей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GB"/>
              </w:rPr>
              <m:t>p</m:t>
            </m:r>
          </m:e>
          <m:sub>
            <m:r>
              <w:rPr>
                <w:rFonts w:ascii="Cambria Math" w:eastAsiaTheme="minorEastAsia" w:hAnsi="Cambria Math" w:cs="Times New Roman"/>
                <w:sz w:val="28"/>
                <w:szCs w:val="28"/>
                <w:lang w:val="en-GB"/>
              </w:rPr>
              <m:t>j</m:t>
            </m:r>
          </m:sub>
        </m:sSub>
      </m:oMath>
      <w:r>
        <w:rPr>
          <w:rFonts w:ascii="Times New Roman" w:eastAsiaTheme="minorEastAsia" w:hAnsi="Times New Roman" w:cs="Times New Roman"/>
          <w:sz w:val="28"/>
          <w:szCs w:val="28"/>
        </w:rPr>
        <w:t xml:space="preserve"> </w:t>
      </w:r>
      <w:r w:rsidR="00DE306A">
        <w:rPr>
          <w:rFonts w:ascii="Times New Roman" w:eastAsiaTheme="minorEastAsia" w:hAnsi="Times New Roman" w:cs="Times New Roman"/>
          <w:sz w:val="28"/>
          <w:szCs w:val="28"/>
        </w:rPr>
        <w:t xml:space="preserve">и </w:t>
      </w:r>
      <w:r>
        <w:rPr>
          <w:rFonts w:ascii="Times New Roman" w:eastAsiaTheme="minorEastAsia" w:hAnsi="Times New Roman" w:cs="Times New Roman"/>
          <w:sz w:val="28"/>
          <w:szCs w:val="28"/>
        </w:rPr>
        <w:t>ожидаемых значений суммарных в</w:t>
      </w:r>
      <w:r>
        <w:rPr>
          <w:rFonts w:ascii="Times New Roman" w:eastAsiaTheme="minorEastAsia" w:hAnsi="Times New Roman" w:cs="Times New Roman"/>
          <w:sz w:val="28"/>
          <w:szCs w:val="28"/>
        </w:rPr>
        <w:t>ы</w:t>
      </w:r>
      <w:r>
        <w:rPr>
          <w:rFonts w:ascii="Times New Roman" w:eastAsiaTheme="minorEastAsia" w:hAnsi="Times New Roman" w:cs="Times New Roman"/>
          <w:sz w:val="28"/>
          <w:szCs w:val="28"/>
        </w:rPr>
        <w:t xml:space="preserve">плат в </w:t>
      </w:r>
      <w:r w:rsidR="00DE306A">
        <w:rPr>
          <w:rFonts w:ascii="Times New Roman" w:eastAsiaTheme="minorEastAsia" w:hAnsi="Times New Roman" w:cs="Times New Roman"/>
          <w:sz w:val="28"/>
          <w:szCs w:val="28"/>
        </w:rPr>
        <w:t xml:space="preserve">2013-2017 гг. </w:t>
      </w:r>
      <m:oMath>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oMath>
      <w:r w:rsidR="00DE306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определяем недостающие элементы треугольника ра</w:t>
      </w:r>
      <w:r>
        <w:rPr>
          <w:rFonts w:ascii="Times New Roman" w:eastAsiaTheme="minorEastAsia" w:hAnsi="Times New Roman" w:cs="Times New Roman"/>
          <w:sz w:val="28"/>
          <w:szCs w:val="28"/>
        </w:rPr>
        <w:t>з</w:t>
      </w:r>
      <w:r>
        <w:rPr>
          <w:rFonts w:ascii="Times New Roman" w:eastAsiaTheme="minorEastAsia" w:hAnsi="Times New Roman" w:cs="Times New Roman"/>
          <w:sz w:val="28"/>
          <w:szCs w:val="28"/>
        </w:rPr>
        <w:t xml:space="preserve">вития </w:t>
      </w:r>
      <m:oMath>
        <m:sSub>
          <m:sSubPr>
            <m:ctrlPr>
              <w:rPr>
                <w:rFonts w:ascii="Cambria Math" w:hAnsi="Cambria Math" w:cs="Times New Roman"/>
                <w:i/>
                <w:sz w:val="28"/>
                <w:szCs w:val="28"/>
              </w:rPr>
            </m:ctrlPr>
          </m:sSubPr>
          <m:e>
            <m:acc>
              <m:accPr>
                <m:ctrlPr>
                  <w:rPr>
                    <w:rFonts w:ascii="Cambria Math" w:hAnsi="Cambria Math" w:cs="Times New Roman"/>
                    <w:sz w:val="28"/>
                    <w:szCs w:val="28"/>
                    <w:lang w:val="en-GB"/>
                  </w:rPr>
                </m:ctrlPr>
              </m:accPr>
              <m:e>
                <m:r>
                  <w:rPr>
                    <w:rFonts w:ascii="Cambria Math" w:hAnsi="Cambria Math" w:cs="Times New Roman"/>
                    <w:sz w:val="28"/>
                    <w:szCs w:val="28"/>
                    <w:lang w:val="en-GB"/>
                  </w:rPr>
                  <m:t>c</m:t>
                </m:r>
              </m:e>
            </m:acc>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GB"/>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DA3DCB" w:rsidRPr="00DA3DCB">
        <w:rPr>
          <w:rFonts w:ascii="Times New Roman" w:eastAsiaTheme="minorEastAsia" w:hAnsi="Times New Roman" w:cs="Times New Roman"/>
          <w:sz w:val="28"/>
          <w:szCs w:val="28"/>
        </w:rPr>
        <w:t xml:space="preserve"> (</w:t>
      </w:r>
      <w:r w:rsidR="00C32FD5">
        <w:rPr>
          <w:rFonts w:ascii="Times New Roman" w:eastAsiaTheme="minorEastAsia" w:hAnsi="Times New Roman" w:cs="Times New Roman"/>
          <w:sz w:val="28"/>
          <w:szCs w:val="28"/>
        </w:rPr>
        <w:t>прил. 9</w:t>
      </w:r>
      <w:r w:rsidR="00DA3DCB">
        <w:rPr>
          <w:rFonts w:ascii="Times New Roman" w:eastAsiaTheme="minorEastAsia" w:hAnsi="Times New Roman" w:cs="Times New Roman"/>
          <w:sz w:val="28"/>
          <w:szCs w:val="28"/>
        </w:rPr>
        <w:t>)</w:t>
      </w:r>
      <w:r w:rsidRPr="00757775">
        <w:rPr>
          <w:rFonts w:ascii="Times New Roman" w:eastAsiaTheme="minorEastAsia" w:hAnsi="Times New Roman" w:cs="Times New Roman"/>
          <w:sz w:val="28"/>
          <w:szCs w:val="28"/>
        </w:rPr>
        <w:t>.</w:t>
      </w:r>
      <w:r w:rsidR="00DE306A">
        <w:rPr>
          <w:rFonts w:ascii="Times New Roman" w:eastAsiaTheme="minorEastAsia" w:hAnsi="Times New Roman" w:cs="Times New Roman"/>
          <w:sz w:val="28"/>
          <w:szCs w:val="28"/>
        </w:rPr>
        <w:t xml:space="preserve"> </w:t>
      </w:r>
      <w:r w:rsidR="00DE306A" w:rsidRPr="00757775">
        <w:rPr>
          <w:rFonts w:ascii="Times New Roman" w:eastAsiaTheme="minorEastAsia" w:hAnsi="Times New Roman" w:cs="Times New Roman"/>
          <w:sz w:val="28"/>
          <w:szCs w:val="28"/>
        </w:rPr>
        <w:t>Суммирование этих величин по строкам позволяет нам оценить размер р</w:t>
      </w:r>
      <w:r w:rsidR="00DE306A" w:rsidRPr="00757775">
        <w:rPr>
          <w:rFonts w:ascii="Times New Roman" w:hAnsi="Times New Roman" w:cs="Times New Roman"/>
          <w:sz w:val="28"/>
          <w:szCs w:val="28"/>
        </w:rPr>
        <w:t xml:space="preserve">езерва для неурегулированных страховых случаев по каждому периоду </w:t>
      </w:r>
      <w:r w:rsidR="00F97B1A">
        <w:rPr>
          <w:rFonts w:ascii="Times New Roman" w:hAnsi="Times New Roman" w:cs="Times New Roman"/>
          <w:sz w:val="28"/>
          <w:szCs w:val="28"/>
        </w:rPr>
        <w:t>зарождения</w:t>
      </w:r>
      <w:r w:rsidR="00DE306A" w:rsidRPr="00757775">
        <w:rPr>
          <w:rFonts w:ascii="Times New Roman" w:hAnsi="Times New Roman" w:cs="Times New Roman"/>
          <w:sz w:val="28"/>
          <w:szCs w:val="28"/>
        </w:rPr>
        <w:t xml:space="preserve"> (</w:t>
      </w:r>
      <w:r w:rsidR="00DE306A" w:rsidRPr="008918AD">
        <w:rPr>
          <w:rFonts w:ascii="Times New Roman" w:hAnsi="Times New Roman" w:cs="Times New Roman"/>
          <w:sz w:val="28"/>
          <w:szCs w:val="28"/>
        </w:rPr>
        <w:t xml:space="preserve">табл. </w:t>
      </w:r>
      <w:r w:rsidR="00146C26">
        <w:rPr>
          <w:rFonts w:ascii="Times New Roman" w:hAnsi="Times New Roman" w:cs="Times New Roman"/>
          <w:sz w:val="28"/>
          <w:szCs w:val="28"/>
        </w:rPr>
        <w:t>25</w:t>
      </w:r>
      <w:r w:rsidR="00DE306A" w:rsidRPr="00757775">
        <w:rPr>
          <w:rFonts w:ascii="Times New Roman" w:hAnsi="Times New Roman" w:cs="Times New Roman"/>
          <w:sz w:val="28"/>
          <w:szCs w:val="28"/>
        </w:rPr>
        <w:t xml:space="preserve">). </w:t>
      </w:r>
      <w:r w:rsidR="00396953">
        <w:rPr>
          <w:rFonts w:ascii="Times New Roman" w:hAnsi="Times New Roman" w:cs="Times New Roman"/>
          <w:sz w:val="28"/>
          <w:szCs w:val="28"/>
        </w:rPr>
        <w:t>Следует отметить, что</w:t>
      </w:r>
      <w:r w:rsidR="00ED5D51">
        <w:rPr>
          <w:rFonts w:ascii="Times New Roman" w:hAnsi="Times New Roman" w:cs="Times New Roman"/>
          <w:sz w:val="28"/>
          <w:szCs w:val="28"/>
        </w:rPr>
        <w:t>,</w:t>
      </w:r>
      <w:r w:rsidR="00396953">
        <w:rPr>
          <w:rFonts w:ascii="Times New Roman" w:hAnsi="Times New Roman" w:cs="Times New Roman"/>
          <w:sz w:val="28"/>
          <w:szCs w:val="28"/>
        </w:rPr>
        <w:t xml:space="preserve"> в отличие от предыдущих методов</w:t>
      </w:r>
      <w:r w:rsidR="00ED5D51">
        <w:rPr>
          <w:rFonts w:ascii="Times New Roman" w:hAnsi="Times New Roman" w:cs="Times New Roman"/>
          <w:sz w:val="28"/>
          <w:szCs w:val="28"/>
        </w:rPr>
        <w:t>,</w:t>
      </w:r>
      <w:r w:rsidR="00396953">
        <w:rPr>
          <w:rFonts w:ascii="Times New Roman" w:hAnsi="Times New Roman" w:cs="Times New Roman"/>
          <w:sz w:val="28"/>
          <w:szCs w:val="28"/>
        </w:rPr>
        <w:t xml:space="preserve"> в данном случае оценки резервов убытков </w:t>
      </w:r>
      <w:r w:rsidR="00396953" w:rsidRPr="00757775">
        <w:rPr>
          <w:rFonts w:ascii="Times New Roman" w:hAnsi="Times New Roman" w:cs="Times New Roman"/>
          <w:sz w:val="28"/>
          <w:szCs w:val="28"/>
        </w:rPr>
        <w:t xml:space="preserve">для первых трех кварталов наступления </w:t>
      </w:r>
      <w:r w:rsidR="00396953">
        <w:rPr>
          <w:rFonts w:ascii="Times New Roman" w:hAnsi="Times New Roman" w:cs="Times New Roman"/>
          <w:sz w:val="28"/>
          <w:szCs w:val="28"/>
        </w:rPr>
        <w:t>страховых случаев отличны от нуля</w:t>
      </w:r>
      <w:r w:rsidR="00ED5D51">
        <w:rPr>
          <w:rFonts w:ascii="Times New Roman" w:hAnsi="Times New Roman" w:cs="Times New Roman"/>
          <w:sz w:val="28"/>
          <w:szCs w:val="28"/>
        </w:rPr>
        <w:t>. Это</w:t>
      </w:r>
      <w:r w:rsidR="00396953">
        <w:rPr>
          <w:rFonts w:ascii="Times New Roman" w:hAnsi="Times New Roman" w:cs="Times New Roman"/>
          <w:sz w:val="28"/>
          <w:szCs w:val="28"/>
        </w:rPr>
        <w:t xml:space="preserve"> являе</w:t>
      </w:r>
      <w:r w:rsidR="00396953">
        <w:rPr>
          <w:rFonts w:ascii="Times New Roman" w:hAnsi="Times New Roman" w:cs="Times New Roman"/>
          <w:sz w:val="28"/>
          <w:szCs w:val="28"/>
        </w:rPr>
        <w:t>т</w:t>
      </w:r>
      <w:r w:rsidR="00396953">
        <w:rPr>
          <w:rFonts w:ascii="Times New Roman" w:hAnsi="Times New Roman" w:cs="Times New Roman"/>
          <w:sz w:val="28"/>
          <w:szCs w:val="28"/>
        </w:rPr>
        <w:t xml:space="preserve">ся прямым следствием принятого </w:t>
      </w:r>
      <w:r w:rsidR="00ED5D51">
        <w:rPr>
          <w:rFonts w:ascii="Times New Roman" w:hAnsi="Times New Roman" w:cs="Times New Roman"/>
          <w:sz w:val="28"/>
          <w:szCs w:val="28"/>
        </w:rPr>
        <w:t xml:space="preserve">нами </w:t>
      </w:r>
      <w:r w:rsidR="00396953">
        <w:rPr>
          <w:rFonts w:ascii="Times New Roman" w:hAnsi="Times New Roman" w:cs="Times New Roman"/>
          <w:sz w:val="28"/>
          <w:szCs w:val="28"/>
        </w:rPr>
        <w:t xml:space="preserve">предположения о том, что в том или ином </w:t>
      </w:r>
      <w:r w:rsidR="00ED5D51">
        <w:rPr>
          <w:rFonts w:ascii="Times New Roman" w:hAnsi="Times New Roman" w:cs="Times New Roman"/>
          <w:sz w:val="28"/>
          <w:szCs w:val="28"/>
        </w:rPr>
        <w:t xml:space="preserve">календарном </w:t>
      </w:r>
      <w:r w:rsidR="00396953">
        <w:rPr>
          <w:rFonts w:ascii="Times New Roman" w:hAnsi="Times New Roman" w:cs="Times New Roman"/>
          <w:sz w:val="28"/>
          <w:szCs w:val="28"/>
        </w:rPr>
        <w:t xml:space="preserve">периоде </w:t>
      </w:r>
      <w:r w:rsidR="00ED5D51">
        <w:rPr>
          <w:rFonts w:ascii="Times New Roman" w:hAnsi="Times New Roman" w:cs="Times New Roman"/>
          <w:sz w:val="28"/>
          <w:szCs w:val="28"/>
        </w:rPr>
        <w:t xml:space="preserve">страховой компанией </w:t>
      </w:r>
      <w:r w:rsidR="00396953">
        <w:rPr>
          <w:rFonts w:ascii="Times New Roman" w:hAnsi="Times New Roman" w:cs="Times New Roman"/>
          <w:sz w:val="28"/>
          <w:szCs w:val="28"/>
        </w:rPr>
        <w:t xml:space="preserve">могут урегулироваться убытки </w:t>
      </w:r>
      <w:r w:rsidR="00ED5D51">
        <w:rPr>
          <w:rFonts w:ascii="Times New Roman" w:hAnsi="Times New Roman" w:cs="Times New Roman"/>
          <w:sz w:val="28"/>
          <w:szCs w:val="28"/>
        </w:rPr>
        <w:t>весьма отдаленных во времени периодов происшествий</w:t>
      </w:r>
      <w:r w:rsidR="00964D2C">
        <w:rPr>
          <w:rFonts w:ascii="Times New Roman" w:hAnsi="Times New Roman" w:cs="Times New Roman"/>
          <w:sz w:val="28"/>
          <w:szCs w:val="28"/>
        </w:rPr>
        <w:t xml:space="preserve">, выходящих за рамки треугольника развития. </w:t>
      </w:r>
    </w:p>
    <w:p w:rsidR="00DE306A" w:rsidRPr="009F00A4" w:rsidRDefault="00DE306A" w:rsidP="00DE306A">
      <w:pPr>
        <w:spacing w:after="0" w:line="360" w:lineRule="auto"/>
        <w:jc w:val="right"/>
        <w:rPr>
          <w:rFonts w:ascii="Times New Roman" w:hAnsi="Times New Roman" w:cs="Times New Roman"/>
          <w:i/>
          <w:sz w:val="26"/>
          <w:szCs w:val="26"/>
        </w:rPr>
      </w:pPr>
      <w:r w:rsidRPr="009F00A4">
        <w:rPr>
          <w:rFonts w:ascii="Times New Roman" w:hAnsi="Times New Roman" w:cs="Times New Roman"/>
          <w:i/>
          <w:sz w:val="26"/>
          <w:szCs w:val="26"/>
        </w:rPr>
        <w:t xml:space="preserve">Таблица </w:t>
      </w:r>
      <w:r w:rsidR="00146C26" w:rsidRPr="009F00A4">
        <w:rPr>
          <w:rFonts w:ascii="Times New Roman" w:hAnsi="Times New Roman" w:cs="Times New Roman"/>
          <w:i/>
          <w:sz w:val="26"/>
          <w:szCs w:val="26"/>
        </w:rPr>
        <w:t>2</w:t>
      </w:r>
      <w:r w:rsidRPr="009F00A4">
        <w:rPr>
          <w:rFonts w:ascii="Times New Roman" w:hAnsi="Times New Roman" w:cs="Times New Roman"/>
          <w:i/>
          <w:sz w:val="26"/>
          <w:szCs w:val="26"/>
        </w:rPr>
        <w:t>5</w:t>
      </w:r>
    </w:p>
    <w:p w:rsidR="00DA3DCB" w:rsidRDefault="00DE306A" w:rsidP="00DE306A">
      <w:pPr>
        <w:spacing w:after="0" w:line="360" w:lineRule="auto"/>
        <w:jc w:val="center"/>
        <w:rPr>
          <w:rFonts w:ascii="Times New Roman" w:hAnsi="Times New Roman" w:cs="Times New Roman"/>
          <w:i/>
          <w:sz w:val="26"/>
          <w:szCs w:val="26"/>
        </w:rPr>
      </w:pPr>
      <w:r w:rsidRPr="009F00A4">
        <w:rPr>
          <w:rFonts w:ascii="Times New Roman" w:hAnsi="Times New Roman" w:cs="Times New Roman"/>
          <w:i/>
          <w:sz w:val="26"/>
          <w:szCs w:val="26"/>
        </w:rPr>
        <w:t xml:space="preserve">Оцененные резервы убытков для каждого </w:t>
      </w:r>
      <w:proofErr w:type="spellStart"/>
      <w:r w:rsidRPr="009F00A4">
        <w:rPr>
          <w:rFonts w:ascii="Times New Roman" w:hAnsi="Times New Roman" w:cs="Times New Roman"/>
          <w:i/>
          <w:sz w:val="26"/>
          <w:szCs w:val="26"/>
          <w:lang w:val="en-GB"/>
        </w:rPr>
        <w:t>i</w:t>
      </w:r>
      <w:proofErr w:type="spellEnd"/>
      <w:r w:rsidRPr="009F00A4">
        <w:rPr>
          <w:rFonts w:ascii="Times New Roman" w:hAnsi="Times New Roman" w:cs="Times New Roman"/>
          <w:i/>
          <w:sz w:val="26"/>
          <w:szCs w:val="26"/>
        </w:rPr>
        <w:t>-го квартала инцидента</w:t>
      </w:r>
      <w:r w:rsidR="00DA3DCB">
        <w:rPr>
          <w:rFonts w:ascii="Times New Roman" w:hAnsi="Times New Roman" w:cs="Times New Roman"/>
          <w:i/>
          <w:sz w:val="26"/>
          <w:szCs w:val="26"/>
        </w:rPr>
        <w:t xml:space="preserve"> </w:t>
      </w:r>
    </w:p>
    <w:p w:rsidR="00DE306A" w:rsidRPr="009F00A4" w:rsidRDefault="00DA3DCB" w:rsidP="00DE306A">
      <w:pPr>
        <w:spacing w:after="0" w:line="360" w:lineRule="auto"/>
        <w:jc w:val="center"/>
        <w:rPr>
          <w:rFonts w:ascii="Times New Roman" w:hAnsi="Times New Roman" w:cs="Times New Roman"/>
          <w:i/>
          <w:sz w:val="26"/>
          <w:szCs w:val="26"/>
        </w:rPr>
      </w:pPr>
      <w:r>
        <w:rPr>
          <w:rFonts w:ascii="Times New Roman" w:hAnsi="Times New Roman" w:cs="Times New Roman"/>
          <w:i/>
          <w:sz w:val="26"/>
          <w:szCs w:val="26"/>
        </w:rPr>
        <w:t>согласно методу на основании финансовых потоков</w:t>
      </w:r>
    </w:p>
    <w:tbl>
      <w:tblPr>
        <w:tblW w:w="9641" w:type="dxa"/>
        <w:jc w:val="right"/>
        <w:tblInd w:w="103" w:type="dxa"/>
        <w:tblLook w:val="04A0"/>
      </w:tblPr>
      <w:tblGrid>
        <w:gridCol w:w="960"/>
        <w:gridCol w:w="1011"/>
        <w:gridCol w:w="1240"/>
        <w:gridCol w:w="1240"/>
        <w:gridCol w:w="1240"/>
        <w:gridCol w:w="1393"/>
        <w:gridCol w:w="1421"/>
        <w:gridCol w:w="1136"/>
      </w:tblGrid>
      <w:tr w:rsidR="00F97B1A" w:rsidRPr="00F97B1A" w:rsidTr="00D71C74">
        <w:trPr>
          <w:trHeight w:val="345"/>
          <w:jc w:val="right"/>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Calibri" w:eastAsia="Times New Roman" w:hAnsi="Calibri" w:cs="Times New Roman"/>
                <w:color w:val="000000"/>
                <w:lang w:eastAsia="ru-RU"/>
              </w:rPr>
            </w:pPr>
          </w:p>
        </w:tc>
        <w:tc>
          <w:tcPr>
            <w:tcW w:w="8681" w:type="dxa"/>
            <w:gridSpan w:val="7"/>
            <w:tcBorders>
              <w:top w:val="single" w:sz="4" w:space="0" w:color="auto"/>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b/>
                <w:bCs/>
                <w:color w:val="000000"/>
                <w:sz w:val="24"/>
                <w:szCs w:val="24"/>
                <w:lang w:eastAsia="ru-RU"/>
              </w:rPr>
            </w:pPr>
            <w:r w:rsidRPr="00F97B1A">
              <w:rPr>
                <w:rFonts w:ascii="Times New Roman" w:eastAsia="Times New Roman" w:hAnsi="Times New Roman" w:cs="Times New Roman"/>
                <w:b/>
                <w:bCs/>
                <w:color w:val="000000"/>
                <w:sz w:val="24"/>
                <w:szCs w:val="24"/>
                <w:lang w:eastAsia="ru-RU"/>
              </w:rPr>
              <w:t xml:space="preserve">Квартал наступления убытков, </w:t>
            </w:r>
            <w:proofErr w:type="spellStart"/>
            <w:r w:rsidRPr="00F97B1A">
              <w:rPr>
                <w:rFonts w:ascii="Times New Roman" w:eastAsia="Times New Roman" w:hAnsi="Times New Roman" w:cs="Times New Roman"/>
                <w:b/>
                <w:bCs/>
                <w:color w:val="000000"/>
                <w:sz w:val="24"/>
                <w:szCs w:val="24"/>
                <w:lang w:eastAsia="ru-RU"/>
              </w:rPr>
              <w:t>i</w:t>
            </w:r>
            <w:proofErr w:type="spellEnd"/>
          </w:p>
        </w:tc>
      </w:tr>
      <w:tr w:rsidR="00F97B1A" w:rsidRPr="00F97B1A" w:rsidTr="00D71C74">
        <w:trPr>
          <w:trHeight w:val="345"/>
          <w:jc w:val="right"/>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F97B1A" w:rsidRPr="00F97B1A" w:rsidRDefault="00F97B1A" w:rsidP="00F97B1A">
            <w:pPr>
              <w:spacing w:after="0" w:line="240" w:lineRule="auto"/>
              <w:jc w:val="center"/>
              <w:rPr>
                <w:rFonts w:ascii="Calibri" w:eastAsia="Times New Roman" w:hAnsi="Calibri" w:cs="Times New Roman"/>
                <w:color w:val="000000"/>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2</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3</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4</w:t>
            </w:r>
          </w:p>
        </w:tc>
        <w:tc>
          <w:tcPr>
            <w:tcW w:w="1393"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5</w:t>
            </w:r>
          </w:p>
        </w:tc>
        <w:tc>
          <w:tcPr>
            <w:tcW w:w="1421"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6</w:t>
            </w:r>
          </w:p>
        </w:tc>
        <w:tc>
          <w:tcPr>
            <w:tcW w:w="1136"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7</w:t>
            </w:r>
          </w:p>
        </w:tc>
      </w:tr>
      <w:tr w:rsidR="00F97B1A" w:rsidRPr="00F97B1A"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b/>
                <w:bCs/>
                <w:color w:val="000000"/>
                <w:sz w:val="23"/>
                <w:szCs w:val="23"/>
                <w:lang w:eastAsia="ru-RU"/>
              </w:rPr>
            </w:pPr>
            <w:r w:rsidRPr="00F97B1A">
              <w:rPr>
                <w:rFonts w:ascii="Times New Roman" w:eastAsia="Times New Roman" w:hAnsi="Times New Roman" w:cs="Times New Roman"/>
                <w:b/>
                <w:bCs/>
                <w:color w:val="000000"/>
                <w:sz w:val="23"/>
                <w:szCs w:val="23"/>
                <w:lang w:eastAsia="ru-RU"/>
              </w:rPr>
              <w:t>R</w:t>
            </w:r>
            <w:r w:rsidRPr="00F97B1A">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121 226</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123 352</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140 132</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162 262</w:t>
            </w:r>
          </w:p>
        </w:tc>
        <w:tc>
          <w:tcPr>
            <w:tcW w:w="1393"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153 084</w:t>
            </w:r>
          </w:p>
        </w:tc>
        <w:tc>
          <w:tcPr>
            <w:tcW w:w="1421"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159 279</w:t>
            </w:r>
          </w:p>
        </w:tc>
        <w:tc>
          <w:tcPr>
            <w:tcW w:w="1136"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176 110</w:t>
            </w:r>
          </w:p>
        </w:tc>
      </w:tr>
      <w:tr w:rsidR="00F97B1A" w:rsidRPr="00F97B1A" w:rsidTr="00D71C74">
        <w:trPr>
          <w:trHeight w:val="345"/>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8</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9</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10</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11</w:t>
            </w:r>
          </w:p>
        </w:tc>
        <w:tc>
          <w:tcPr>
            <w:tcW w:w="1393"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12</w:t>
            </w:r>
          </w:p>
        </w:tc>
        <w:tc>
          <w:tcPr>
            <w:tcW w:w="1421"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13</w:t>
            </w:r>
          </w:p>
        </w:tc>
        <w:tc>
          <w:tcPr>
            <w:tcW w:w="1136"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14</w:t>
            </w:r>
          </w:p>
        </w:tc>
      </w:tr>
      <w:tr w:rsidR="00F97B1A" w:rsidRPr="00F97B1A"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b/>
                <w:bCs/>
                <w:color w:val="000000"/>
                <w:sz w:val="23"/>
                <w:szCs w:val="23"/>
                <w:lang w:eastAsia="ru-RU"/>
              </w:rPr>
            </w:pPr>
            <w:r w:rsidRPr="00F97B1A">
              <w:rPr>
                <w:rFonts w:ascii="Times New Roman" w:eastAsia="Times New Roman" w:hAnsi="Times New Roman" w:cs="Times New Roman"/>
                <w:b/>
                <w:bCs/>
                <w:color w:val="000000"/>
                <w:sz w:val="23"/>
                <w:szCs w:val="23"/>
                <w:lang w:eastAsia="ru-RU"/>
              </w:rPr>
              <w:t>R</w:t>
            </w:r>
            <w:r w:rsidRPr="00F97B1A">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173 013</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162 180</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168 386</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197 801</w:t>
            </w:r>
          </w:p>
        </w:tc>
        <w:tc>
          <w:tcPr>
            <w:tcW w:w="1393"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210 296</w:t>
            </w:r>
          </w:p>
        </w:tc>
        <w:tc>
          <w:tcPr>
            <w:tcW w:w="1421"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227 547</w:t>
            </w:r>
          </w:p>
        </w:tc>
        <w:tc>
          <w:tcPr>
            <w:tcW w:w="1136"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265 385</w:t>
            </w:r>
          </w:p>
        </w:tc>
      </w:tr>
      <w:tr w:rsidR="00F97B1A" w:rsidRPr="00F97B1A" w:rsidTr="00D71C74">
        <w:trPr>
          <w:trHeight w:val="300"/>
          <w:jc w:val="right"/>
        </w:trPr>
        <w:tc>
          <w:tcPr>
            <w:tcW w:w="960" w:type="dxa"/>
            <w:tcBorders>
              <w:top w:val="nil"/>
              <w:left w:val="single" w:sz="4" w:space="0" w:color="auto"/>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p>
        </w:tc>
        <w:tc>
          <w:tcPr>
            <w:tcW w:w="1011"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15</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16</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17</w:t>
            </w:r>
          </w:p>
        </w:tc>
        <w:tc>
          <w:tcPr>
            <w:tcW w:w="1240"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18</w:t>
            </w:r>
          </w:p>
        </w:tc>
        <w:tc>
          <w:tcPr>
            <w:tcW w:w="1393"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19</w:t>
            </w:r>
          </w:p>
        </w:tc>
        <w:tc>
          <w:tcPr>
            <w:tcW w:w="1421" w:type="dxa"/>
            <w:tcBorders>
              <w:top w:val="nil"/>
              <w:left w:val="nil"/>
              <w:bottom w:val="single" w:sz="4" w:space="0" w:color="auto"/>
              <w:right w:val="single" w:sz="4" w:space="0" w:color="auto"/>
            </w:tcBorders>
            <w:shd w:val="clear" w:color="000000" w:fill="E5FFFF"/>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20</w:t>
            </w:r>
          </w:p>
        </w:tc>
        <w:tc>
          <w:tcPr>
            <w:tcW w:w="11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 </w:t>
            </w:r>
          </w:p>
        </w:tc>
      </w:tr>
      <w:tr w:rsidR="00F97B1A" w:rsidRPr="00F97B1A" w:rsidTr="00D71C74">
        <w:trPr>
          <w:trHeight w:val="345"/>
          <w:jc w:val="right"/>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b/>
                <w:bCs/>
                <w:color w:val="000000"/>
                <w:sz w:val="23"/>
                <w:szCs w:val="23"/>
                <w:lang w:eastAsia="ru-RU"/>
              </w:rPr>
            </w:pPr>
            <w:r w:rsidRPr="00F97B1A">
              <w:rPr>
                <w:rFonts w:ascii="Times New Roman" w:eastAsia="Times New Roman" w:hAnsi="Times New Roman" w:cs="Times New Roman"/>
                <w:b/>
                <w:bCs/>
                <w:color w:val="000000"/>
                <w:sz w:val="23"/>
                <w:szCs w:val="23"/>
                <w:lang w:eastAsia="ru-RU"/>
              </w:rPr>
              <w:t>R</w:t>
            </w:r>
            <w:r w:rsidRPr="00F97B1A">
              <w:rPr>
                <w:rFonts w:ascii="Times New Roman" w:eastAsia="Times New Roman" w:hAnsi="Times New Roman" w:cs="Times New Roman"/>
                <w:b/>
                <w:bCs/>
                <w:color w:val="000000"/>
                <w:sz w:val="23"/>
                <w:szCs w:val="23"/>
                <w:vertAlign w:val="subscript"/>
                <w:lang w:eastAsia="ru-RU"/>
              </w:rPr>
              <w:t>i</w:t>
            </w:r>
          </w:p>
        </w:tc>
        <w:tc>
          <w:tcPr>
            <w:tcW w:w="1011"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322 641</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1 652 920</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5 936 324</w:t>
            </w:r>
          </w:p>
        </w:tc>
        <w:tc>
          <w:tcPr>
            <w:tcW w:w="1240"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8 344 061</w:t>
            </w:r>
          </w:p>
        </w:tc>
        <w:tc>
          <w:tcPr>
            <w:tcW w:w="1393"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27 011 018</w:t>
            </w:r>
          </w:p>
        </w:tc>
        <w:tc>
          <w:tcPr>
            <w:tcW w:w="1421" w:type="dxa"/>
            <w:tcBorders>
              <w:top w:val="nil"/>
              <w:left w:val="nil"/>
              <w:bottom w:val="single" w:sz="4" w:space="0" w:color="auto"/>
              <w:right w:val="single" w:sz="4" w:space="0" w:color="auto"/>
            </w:tcBorders>
            <w:shd w:val="clear" w:color="auto" w:fill="auto"/>
            <w:noWrap/>
            <w:vAlign w:val="center"/>
            <w:hideMark/>
          </w:tcPr>
          <w:p w:rsidR="00F97B1A" w:rsidRPr="00F97B1A" w:rsidRDefault="00F97B1A" w:rsidP="00F97B1A">
            <w:pPr>
              <w:spacing w:after="0" w:line="240" w:lineRule="auto"/>
              <w:jc w:val="center"/>
              <w:rPr>
                <w:rFonts w:ascii="Times New Roman" w:eastAsia="Times New Roman" w:hAnsi="Times New Roman" w:cs="Times New Roman"/>
                <w:color w:val="000000"/>
                <w:sz w:val="23"/>
                <w:szCs w:val="23"/>
                <w:lang w:eastAsia="ru-RU"/>
              </w:rPr>
            </w:pPr>
            <w:r w:rsidRPr="00F97B1A">
              <w:rPr>
                <w:rFonts w:ascii="Times New Roman" w:eastAsia="Times New Roman" w:hAnsi="Times New Roman" w:cs="Times New Roman"/>
                <w:color w:val="000000"/>
                <w:sz w:val="23"/>
                <w:szCs w:val="23"/>
                <w:lang w:eastAsia="ru-RU"/>
              </w:rPr>
              <w:t>439 513 466</w:t>
            </w:r>
          </w:p>
        </w:tc>
        <w:tc>
          <w:tcPr>
            <w:tcW w:w="1136" w:type="dxa"/>
            <w:vMerge/>
            <w:tcBorders>
              <w:top w:val="nil"/>
              <w:left w:val="single" w:sz="4" w:space="0" w:color="auto"/>
              <w:bottom w:val="single" w:sz="4" w:space="0" w:color="auto"/>
              <w:right w:val="single" w:sz="4" w:space="0" w:color="auto"/>
            </w:tcBorders>
            <w:vAlign w:val="center"/>
            <w:hideMark/>
          </w:tcPr>
          <w:p w:rsidR="00F97B1A" w:rsidRPr="00F97B1A" w:rsidRDefault="00F97B1A" w:rsidP="00F97B1A">
            <w:pPr>
              <w:spacing w:after="0" w:line="240" w:lineRule="auto"/>
              <w:rPr>
                <w:rFonts w:ascii="Times New Roman" w:eastAsia="Times New Roman" w:hAnsi="Times New Roman" w:cs="Times New Roman"/>
                <w:color w:val="000000"/>
                <w:sz w:val="23"/>
                <w:szCs w:val="23"/>
                <w:lang w:eastAsia="ru-RU"/>
              </w:rPr>
            </w:pPr>
          </w:p>
        </w:tc>
      </w:tr>
    </w:tbl>
    <w:p w:rsidR="00F97B1A" w:rsidRPr="00F97B1A" w:rsidRDefault="00DA3DCB" w:rsidP="00DA3DCB">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Денежные суммы, которые рекомендуется зарезервировать под убытки второго и третьего кварталов 2012 г.,</w:t>
      </w:r>
      <w:r w:rsidRPr="00964D2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составляют соответственно 5,59</w:t>
      </w:r>
      <w:r w:rsidRPr="0075777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и 90,58% </w:t>
      </w:r>
      <w:r w:rsidRPr="00757775">
        <w:rPr>
          <w:rFonts w:ascii="Times New Roman" w:eastAsiaTheme="minorEastAsia" w:hAnsi="Times New Roman" w:cs="Times New Roman"/>
          <w:sz w:val="28"/>
          <w:szCs w:val="28"/>
        </w:rPr>
        <w:t>от общей величины РПНУ на отчетную дату</w:t>
      </w:r>
      <w:r>
        <w:rPr>
          <w:rFonts w:ascii="Times New Roman" w:eastAsiaTheme="minorEastAsia" w:hAnsi="Times New Roman" w:cs="Times New Roman"/>
          <w:sz w:val="28"/>
          <w:szCs w:val="28"/>
        </w:rPr>
        <w:t xml:space="preserve">. </w:t>
      </w:r>
      <w:r w:rsidR="00DE306A" w:rsidRPr="00757775">
        <w:rPr>
          <w:rFonts w:ascii="Times New Roman" w:eastAsiaTheme="minorEastAsia" w:hAnsi="Times New Roman" w:cs="Times New Roman"/>
          <w:sz w:val="28"/>
          <w:szCs w:val="28"/>
        </w:rPr>
        <w:t xml:space="preserve">Общий размер РПНУ к концу третьего квартала 2012 г. согласно оценке </w:t>
      </w:r>
      <w:r w:rsidR="00F97B1A">
        <w:rPr>
          <w:rFonts w:ascii="Times New Roman" w:eastAsiaTheme="minorEastAsia" w:hAnsi="Times New Roman" w:cs="Times New Roman"/>
          <w:sz w:val="28"/>
          <w:szCs w:val="28"/>
        </w:rPr>
        <w:t>методом на основе фина</w:t>
      </w:r>
      <w:r w:rsidR="00F97B1A">
        <w:rPr>
          <w:rFonts w:ascii="Times New Roman" w:eastAsiaTheme="minorEastAsia" w:hAnsi="Times New Roman" w:cs="Times New Roman"/>
          <w:sz w:val="28"/>
          <w:szCs w:val="28"/>
        </w:rPr>
        <w:t>н</w:t>
      </w:r>
      <w:r w:rsidR="00F97B1A">
        <w:rPr>
          <w:rFonts w:ascii="Times New Roman" w:eastAsiaTheme="minorEastAsia" w:hAnsi="Times New Roman" w:cs="Times New Roman"/>
          <w:sz w:val="28"/>
          <w:szCs w:val="28"/>
        </w:rPr>
        <w:t xml:space="preserve">совых потоков по календарным </w:t>
      </w:r>
      <w:r w:rsidR="00AE69CD">
        <w:rPr>
          <w:rFonts w:ascii="Times New Roman" w:eastAsiaTheme="minorEastAsia" w:hAnsi="Times New Roman" w:cs="Times New Roman"/>
          <w:sz w:val="28"/>
          <w:szCs w:val="28"/>
        </w:rPr>
        <w:t>периодам</w:t>
      </w:r>
      <w:r w:rsidR="00DE306A" w:rsidRPr="00757775">
        <w:rPr>
          <w:rFonts w:ascii="Times New Roman" w:eastAsiaTheme="minorEastAsia" w:hAnsi="Times New Roman" w:cs="Times New Roman"/>
          <w:sz w:val="28"/>
          <w:szCs w:val="28"/>
        </w:rPr>
        <w:t xml:space="preserve"> должен составлять </w:t>
      </w:r>
      <w:r w:rsidR="00F97B1A" w:rsidRPr="00F97B1A">
        <w:rPr>
          <w:rFonts w:ascii="Times New Roman" w:hAnsi="Times New Roman" w:cs="Times New Roman"/>
          <w:b/>
          <w:sz w:val="28"/>
          <w:szCs w:val="28"/>
        </w:rPr>
        <w:t>485 220 482,6 руб.</w:t>
      </w:r>
    </w:p>
    <w:p w:rsidR="00964D2C" w:rsidRDefault="008B7622" w:rsidP="008B7622">
      <w:pPr>
        <w:spacing w:before="24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F57F4">
        <w:rPr>
          <w:rFonts w:ascii="Times New Roman" w:hAnsi="Times New Roman" w:cs="Times New Roman"/>
          <w:b/>
          <w:sz w:val="28"/>
          <w:szCs w:val="28"/>
        </w:rPr>
        <w:t>3</w:t>
      </w:r>
      <w:r w:rsidRPr="00757775">
        <w:rPr>
          <w:rFonts w:ascii="Times New Roman" w:hAnsi="Times New Roman" w:cs="Times New Roman"/>
          <w:b/>
          <w:sz w:val="28"/>
          <w:szCs w:val="28"/>
        </w:rPr>
        <w:t>.</w:t>
      </w:r>
      <w:r>
        <w:rPr>
          <w:rFonts w:ascii="Times New Roman" w:hAnsi="Times New Roman" w:cs="Times New Roman"/>
          <w:b/>
          <w:sz w:val="28"/>
          <w:szCs w:val="28"/>
        </w:rPr>
        <w:t>5</w:t>
      </w:r>
      <w:r w:rsidRPr="002F57F4">
        <w:rPr>
          <w:rFonts w:ascii="Times New Roman" w:hAnsi="Times New Roman" w:cs="Times New Roman"/>
          <w:b/>
          <w:sz w:val="28"/>
          <w:szCs w:val="28"/>
        </w:rPr>
        <w:t>.</w:t>
      </w:r>
      <w:r w:rsidRPr="00757775">
        <w:rPr>
          <w:rFonts w:ascii="Times New Roman" w:hAnsi="Times New Roman" w:cs="Times New Roman"/>
          <w:b/>
          <w:sz w:val="28"/>
          <w:szCs w:val="28"/>
        </w:rPr>
        <w:t xml:space="preserve"> </w:t>
      </w:r>
      <w:r>
        <w:rPr>
          <w:rFonts w:ascii="Times New Roman" w:hAnsi="Times New Roman" w:cs="Times New Roman"/>
          <w:b/>
          <w:sz w:val="28"/>
          <w:szCs w:val="28"/>
        </w:rPr>
        <w:t>Сопоставление полученных различными методами оценок резерва произошедших, но незаявленных убытков</w:t>
      </w:r>
    </w:p>
    <w:p w:rsidR="007669C7" w:rsidRDefault="005F7494" w:rsidP="005F7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из табл. 26, наиболее консервативная оценка величины р</w:t>
      </w:r>
      <w:r>
        <w:rPr>
          <w:rFonts w:ascii="Times New Roman" w:hAnsi="Times New Roman" w:cs="Times New Roman"/>
          <w:sz w:val="28"/>
          <w:szCs w:val="28"/>
        </w:rPr>
        <w:t>е</w:t>
      </w:r>
      <w:r>
        <w:rPr>
          <w:rFonts w:ascii="Times New Roman" w:hAnsi="Times New Roman" w:cs="Times New Roman"/>
          <w:sz w:val="28"/>
          <w:szCs w:val="28"/>
        </w:rPr>
        <w:t>зерва произошедших, но незаявленных убытков для рассматриваемой стр</w:t>
      </w:r>
      <w:r>
        <w:rPr>
          <w:rFonts w:ascii="Times New Roman" w:hAnsi="Times New Roman" w:cs="Times New Roman"/>
          <w:sz w:val="28"/>
          <w:szCs w:val="28"/>
        </w:rPr>
        <w:t>а</w:t>
      </w:r>
      <w:r>
        <w:rPr>
          <w:rFonts w:ascii="Times New Roman" w:hAnsi="Times New Roman" w:cs="Times New Roman"/>
          <w:sz w:val="28"/>
          <w:szCs w:val="28"/>
        </w:rPr>
        <w:t>ховой организации была получена с помощью базового метода цепной лес</w:t>
      </w:r>
      <w:r>
        <w:rPr>
          <w:rFonts w:ascii="Times New Roman" w:hAnsi="Times New Roman" w:cs="Times New Roman"/>
          <w:sz w:val="28"/>
          <w:szCs w:val="28"/>
        </w:rPr>
        <w:t>т</w:t>
      </w:r>
      <w:r>
        <w:rPr>
          <w:rFonts w:ascii="Times New Roman" w:hAnsi="Times New Roman" w:cs="Times New Roman"/>
          <w:sz w:val="28"/>
          <w:szCs w:val="28"/>
        </w:rPr>
        <w:t>ницы, наименее – с помощь</w:t>
      </w:r>
      <w:r w:rsidR="00451FC3">
        <w:rPr>
          <w:rFonts w:ascii="Times New Roman" w:hAnsi="Times New Roman" w:cs="Times New Roman"/>
          <w:sz w:val="28"/>
          <w:szCs w:val="28"/>
        </w:rPr>
        <w:t xml:space="preserve">ю метода Борнхуеттера-Фергюсона. </w:t>
      </w:r>
    </w:p>
    <w:p w:rsidR="00964D2C" w:rsidRDefault="00451FC3" w:rsidP="005F74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рассматриваемом временном промежутке </w:t>
      </w:r>
      <w:r w:rsidR="00631211">
        <w:rPr>
          <w:rFonts w:ascii="Times New Roman" w:hAnsi="Times New Roman" w:cs="Times New Roman"/>
          <w:sz w:val="28"/>
          <w:szCs w:val="28"/>
        </w:rPr>
        <w:t>имели место</w:t>
      </w:r>
      <w:r>
        <w:rPr>
          <w:rFonts w:ascii="Times New Roman" w:hAnsi="Times New Roman" w:cs="Times New Roman"/>
          <w:sz w:val="28"/>
          <w:szCs w:val="28"/>
        </w:rPr>
        <w:t xml:space="preserve"> значител</w:t>
      </w:r>
      <w:r>
        <w:rPr>
          <w:rFonts w:ascii="Times New Roman" w:hAnsi="Times New Roman" w:cs="Times New Roman"/>
          <w:sz w:val="28"/>
          <w:szCs w:val="28"/>
        </w:rPr>
        <w:t>ь</w:t>
      </w:r>
      <w:r>
        <w:rPr>
          <w:rFonts w:ascii="Times New Roman" w:hAnsi="Times New Roman" w:cs="Times New Roman"/>
          <w:sz w:val="28"/>
          <w:szCs w:val="28"/>
        </w:rPr>
        <w:t xml:space="preserve">ные </w:t>
      </w:r>
      <w:r w:rsidR="00DF5F48">
        <w:rPr>
          <w:rFonts w:ascii="Times New Roman" w:hAnsi="Times New Roman" w:cs="Times New Roman"/>
          <w:sz w:val="28"/>
          <w:szCs w:val="28"/>
        </w:rPr>
        <w:t>искажения</w:t>
      </w:r>
      <w:r>
        <w:rPr>
          <w:rFonts w:ascii="Times New Roman" w:hAnsi="Times New Roman" w:cs="Times New Roman"/>
          <w:sz w:val="28"/>
          <w:szCs w:val="28"/>
        </w:rPr>
        <w:t xml:space="preserve"> структуры конечного убытка по кварталам его урегулиров</w:t>
      </w:r>
      <w:r>
        <w:rPr>
          <w:rFonts w:ascii="Times New Roman" w:hAnsi="Times New Roman" w:cs="Times New Roman"/>
          <w:sz w:val="28"/>
          <w:szCs w:val="28"/>
        </w:rPr>
        <w:t>а</w:t>
      </w:r>
      <w:r>
        <w:rPr>
          <w:rFonts w:ascii="Times New Roman" w:hAnsi="Times New Roman" w:cs="Times New Roman"/>
          <w:sz w:val="28"/>
          <w:szCs w:val="28"/>
        </w:rPr>
        <w:t xml:space="preserve">ния. </w:t>
      </w:r>
      <w:proofErr w:type="gramStart"/>
      <w:r>
        <w:rPr>
          <w:rFonts w:ascii="Times New Roman" w:hAnsi="Times New Roman" w:cs="Times New Roman"/>
          <w:sz w:val="28"/>
          <w:szCs w:val="28"/>
        </w:rPr>
        <w:t xml:space="preserve">Так, например, </w:t>
      </w:r>
      <w:r w:rsidR="0088113A">
        <w:rPr>
          <w:rFonts w:ascii="Times New Roman" w:hAnsi="Times New Roman" w:cs="Times New Roman"/>
          <w:sz w:val="28"/>
          <w:szCs w:val="28"/>
        </w:rPr>
        <w:t>по страховым случаям первого квартала 2009 г. совоку</w:t>
      </w:r>
      <w:r w:rsidR="0088113A">
        <w:rPr>
          <w:rFonts w:ascii="Times New Roman" w:hAnsi="Times New Roman" w:cs="Times New Roman"/>
          <w:sz w:val="28"/>
          <w:szCs w:val="28"/>
        </w:rPr>
        <w:t>п</w:t>
      </w:r>
      <w:r w:rsidR="0088113A">
        <w:rPr>
          <w:rFonts w:ascii="Times New Roman" w:hAnsi="Times New Roman" w:cs="Times New Roman"/>
          <w:sz w:val="28"/>
          <w:szCs w:val="28"/>
        </w:rPr>
        <w:t>ная стоимость претензий во втором квартале развития увели</w:t>
      </w:r>
      <w:r w:rsidR="00631211">
        <w:rPr>
          <w:rFonts w:ascii="Times New Roman" w:hAnsi="Times New Roman" w:cs="Times New Roman"/>
          <w:sz w:val="28"/>
          <w:szCs w:val="28"/>
        </w:rPr>
        <w:t>чила</w:t>
      </w:r>
      <w:r w:rsidR="0088113A">
        <w:rPr>
          <w:rFonts w:ascii="Times New Roman" w:hAnsi="Times New Roman" w:cs="Times New Roman"/>
          <w:sz w:val="28"/>
          <w:szCs w:val="28"/>
        </w:rPr>
        <w:t>сь по сра</w:t>
      </w:r>
      <w:r w:rsidR="0088113A">
        <w:rPr>
          <w:rFonts w:ascii="Times New Roman" w:hAnsi="Times New Roman" w:cs="Times New Roman"/>
          <w:sz w:val="28"/>
          <w:szCs w:val="28"/>
        </w:rPr>
        <w:t>в</w:t>
      </w:r>
      <w:r w:rsidR="0088113A">
        <w:rPr>
          <w:rFonts w:ascii="Times New Roman" w:hAnsi="Times New Roman" w:cs="Times New Roman"/>
          <w:sz w:val="28"/>
          <w:szCs w:val="28"/>
        </w:rPr>
        <w:t xml:space="preserve">нению с первым в 18,34 раза, тогда как для четвертого квартала 2008 г. темп прироста соответствующего показателя составил всего 7,39%. </w:t>
      </w:r>
      <w:r>
        <w:rPr>
          <w:rFonts w:ascii="Times New Roman" w:hAnsi="Times New Roman" w:cs="Times New Roman"/>
          <w:sz w:val="28"/>
          <w:szCs w:val="28"/>
        </w:rPr>
        <w:t>Поэтому то</w:t>
      </w:r>
      <w:r>
        <w:rPr>
          <w:rFonts w:ascii="Times New Roman" w:hAnsi="Times New Roman" w:cs="Times New Roman"/>
          <w:sz w:val="28"/>
          <w:szCs w:val="28"/>
        </w:rPr>
        <w:t>ч</w:t>
      </w:r>
      <w:r>
        <w:rPr>
          <w:rFonts w:ascii="Times New Roman" w:hAnsi="Times New Roman" w:cs="Times New Roman"/>
          <w:sz w:val="28"/>
          <w:szCs w:val="28"/>
        </w:rPr>
        <w:t>ность оценки общего размера РПНУ на отчетную дату, полученн</w:t>
      </w:r>
      <w:r w:rsidR="0036239C">
        <w:rPr>
          <w:rFonts w:ascii="Times New Roman" w:hAnsi="Times New Roman" w:cs="Times New Roman"/>
          <w:sz w:val="28"/>
          <w:szCs w:val="28"/>
        </w:rPr>
        <w:t>ой</w:t>
      </w:r>
      <w:r>
        <w:rPr>
          <w:rFonts w:ascii="Times New Roman" w:hAnsi="Times New Roman" w:cs="Times New Roman"/>
          <w:sz w:val="28"/>
          <w:szCs w:val="28"/>
        </w:rPr>
        <w:t xml:space="preserve"> методом цепной лестницы, ставится под сомнение.</w:t>
      </w:r>
      <w:r w:rsidR="007669C7">
        <w:rPr>
          <w:rFonts w:ascii="Times New Roman" w:hAnsi="Times New Roman" w:cs="Times New Roman"/>
          <w:sz w:val="28"/>
          <w:szCs w:val="28"/>
        </w:rPr>
        <w:t xml:space="preserve"> </w:t>
      </w:r>
      <w:proofErr w:type="gramEnd"/>
    </w:p>
    <w:p w:rsidR="001F7174" w:rsidRPr="009F00A4" w:rsidRDefault="001F7174" w:rsidP="001F7174">
      <w:pPr>
        <w:spacing w:after="0" w:line="360" w:lineRule="auto"/>
        <w:jc w:val="right"/>
        <w:rPr>
          <w:rFonts w:ascii="Times New Roman" w:hAnsi="Times New Roman" w:cs="Times New Roman"/>
          <w:i/>
          <w:sz w:val="26"/>
          <w:szCs w:val="26"/>
        </w:rPr>
      </w:pPr>
      <w:r w:rsidRPr="009F00A4">
        <w:rPr>
          <w:rFonts w:ascii="Times New Roman" w:hAnsi="Times New Roman" w:cs="Times New Roman"/>
          <w:i/>
          <w:sz w:val="26"/>
          <w:szCs w:val="26"/>
        </w:rPr>
        <w:t>Таблица 26</w:t>
      </w:r>
    </w:p>
    <w:p w:rsidR="001F7174" w:rsidRPr="009F00A4" w:rsidRDefault="001F7174" w:rsidP="001F7174">
      <w:pPr>
        <w:spacing w:after="0" w:line="360" w:lineRule="auto"/>
        <w:jc w:val="center"/>
        <w:rPr>
          <w:rFonts w:ascii="Times New Roman" w:hAnsi="Times New Roman" w:cs="Times New Roman"/>
          <w:i/>
          <w:sz w:val="26"/>
          <w:szCs w:val="26"/>
        </w:rPr>
      </w:pPr>
      <w:r w:rsidRPr="009F00A4">
        <w:rPr>
          <w:rFonts w:ascii="Times New Roman" w:hAnsi="Times New Roman" w:cs="Times New Roman"/>
          <w:i/>
          <w:sz w:val="26"/>
          <w:szCs w:val="26"/>
        </w:rPr>
        <w:t>Результаты оценивания величины РПНУ анализируемой страховой компании</w:t>
      </w:r>
    </w:p>
    <w:p w:rsidR="001F7174" w:rsidRPr="009F00A4" w:rsidRDefault="001F7174" w:rsidP="001F7174">
      <w:pPr>
        <w:spacing w:after="0" w:line="360" w:lineRule="auto"/>
        <w:jc w:val="center"/>
        <w:rPr>
          <w:rFonts w:ascii="Times New Roman" w:hAnsi="Times New Roman" w:cs="Times New Roman"/>
          <w:i/>
          <w:sz w:val="26"/>
          <w:szCs w:val="26"/>
        </w:rPr>
      </w:pPr>
      <w:r w:rsidRPr="009F00A4">
        <w:rPr>
          <w:rFonts w:ascii="Times New Roman" w:hAnsi="Times New Roman" w:cs="Times New Roman"/>
          <w:i/>
          <w:sz w:val="26"/>
          <w:szCs w:val="26"/>
        </w:rPr>
        <w:t>различными методами</w:t>
      </w:r>
    </w:p>
    <w:tbl>
      <w:tblPr>
        <w:tblW w:w="9002" w:type="dxa"/>
        <w:jc w:val="center"/>
        <w:tblInd w:w="-289" w:type="dxa"/>
        <w:tblLook w:val="04A0"/>
      </w:tblPr>
      <w:tblGrid>
        <w:gridCol w:w="3602"/>
        <w:gridCol w:w="2718"/>
        <w:gridCol w:w="2682"/>
      </w:tblGrid>
      <w:tr w:rsidR="001F7174" w:rsidRPr="005E03CC" w:rsidTr="00E75178">
        <w:trPr>
          <w:trHeight w:val="300"/>
          <w:jc w:val="center"/>
        </w:trPr>
        <w:tc>
          <w:tcPr>
            <w:tcW w:w="36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7174" w:rsidRPr="005E03CC" w:rsidRDefault="001F7174" w:rsidP="00E75178">
            <w:pPr>
              <w:spacing w:after="0" w:line="240" w:lineRule="auto"/>
              <w:jc w:val="center"/>
              <w:rPr>
                <w:rFonts w:ascii="Times New Roman" w:eastAsia="Times New Roman" w:hAnsi="Times New Roman" w:cs="Times New Roman"/>
                <w:b/>
                <w:bCs/>
                <w:color w:val="000000"/>
                <w:sz w:val="24"/>
                <w:szCs w:val="24"/>
                <w:lang w:eastAsia="ru-RU"/>
              </w:rPr>
            </w:pPr>
            <w:r w:rsidRPr="005E03CC">
              <w:rPr>
                <w:rFonts w:ascii="Times New Roman" w:eastAsia="Times New Roman" w:hAnsi="Times New Roman" w:cs="Times New Roman"/>
                <w:b/>
                <w:bCs/>
                <w:color w:val="000000"/>
                <w:sz w:val="24"/>
                <w:szCs w:val="24"/>
                <w:lang w:eastAsia="ru-RU"/>
              </w:rPr>
              <w:t>Метод резервирования</w:t>
            </w:r>
          </w:p>
        </w:tc>
        <w:tc>
          <w:tcPr>
            <w:tcW w:w="5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center"/>
              <w:rPr>
                <w:rFonts w:ascii="Times New Roman" w:eastAsia="Times New Roman" w:hAnsi="Times New Roman" w:cs="Times New Roman"/>
                <w:b/>
                <w:bCs/>
                <w:color w:val="000000"/>
                <w:sz w:val="24"/>
                <w:szCs w:val="24"/>
                <w:lang w:eastAsia="ru-RU"/>
              </w:rPr>
            </w:pPr>
            <w:r w:rsidRPr="005E03CC">
              <w:rPr>
                <w:rFonts w:ascii="Times New Roman" w:eastAsia="Times New Roman" w:hAnsi="Times New Roman" w:cs="Times New Roman"/>
                <w:b/>
                <w:bCs/>
                <w:color w:val="000000"/>
                <w:sz w:val="24"/>
                <w:szCs w:val="24"/>
                <w:lang w:eastAsia="ru-RU"/>
              </w:rPr>
              <w:t xml:space="preserve">Оценка РПНУ </w:t>
            </w:r>
            <w:proofErr w:type="gramStart"/>
            <w:r w:rsidRPr="005E03CC">
              <w:rPr>
                <w:rFonts w:ascii="Times New Roman" w:eastAsia="Times New Roman" w:hAnsi="Times New Roman" w:cs="Times New Roman"/>
                <w:b/>
                <w:bCs/>
                <w:color w:val="000000"/>
                <w:sz w:val="24"/>
                <w:szCs w:val="24"/>
                <w:lang w:eastAsia="ru-RU"/>
              </w:rPr>
              <w:t>на конец</w:t>
            </w:r>
            <w:proofErr w:type="gramEnd"/>
            <w:r w:rsidRPr="005E03CC">
              <w:rPr>
                <w:rFonts w:ascii="Times New Roman" w:eastAsia="Times New Roman" w:hAnsi="Times New Roman" w:cs="Times New Roman"/>
                <w:b/>
                <w:bCs/>
                <w:color w:val="000000"/>
                <w:sz w:val="24"/>
                <w:szCs w:val="24"/>
                <w:lang w:eastAsia="ru-RU"/>
              </w:rPr>
              <w:t xml:space="preserve"> 3 квартала 2012 г., руб.</w:t>
            </w:r>
          </w:p>
        </w:tc>
      </w:tr>
      <w:tr w:rsidR="001F7174" w:rsidRPr="005E03CC" w:rsidTr="00E75178">
        <w:trPr>
          <w:trHeight w:val="300"/>
          <w:jc w:val="center"/>
        </w:trPr>
        <w:tc>
          <w:tcPr>
            <w:tcW w:w="3602" w:type="dxa"/>
            <w:vMerge/>
            <w:tcBorders>
              <w:top w:val="single" w:sz="4" w:space="0" w:color="auto"/>
              <w:left w:val="single" w:sz="4" w:space="0" w:color="auto"/>
              <w:bottom w:val="single" w:sz="4" w:space="0" w:color="000000"/>
              <w:right w:val="single" w:sz="4" w:space="0" w:color="auto"/>
            </w:tcBorders>
            <w:vAlign w:val="center"/>
            <w:hideMark/>
          </w:tcPr>
          <w:p w:rsidR="001F7174" w:rsidRPr="005E03CC" w:rsidRDefault="001F7174" w:rsidP="00E75178">
            <w:pPr>
              <w:spacing w:after="0" w:line="240" w:lineRule="auto"/>
              <w:rPr>
                <w:rFonts w:ascii="Times New Roman" w:eastAsia="Times New Roman" w:hAnsi="Times New Roman" w:cs="Times New Roman"/>
                <w:b/>
                <w:bCs/>
                <w:color w:val="000000"/>
                <w:sz w:val="24"/>
                <w:szCs w:val="24"/>
                <w:lang w:eastAsia="ru-RU"/>
              </w:rPr>
            </w:pPr>
          </w:p>
        </w:tc>
        <w:tc>
          <w:tcPr>
            <w:tcW w:w="2718"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center"/>
              <w:rPr>
                <w:rFonts w:ascii="Times New Roman" w:eastAsia="Times New Roman" w:hAnsi="Times New Roman" w:cs="Times New Roman"/>
                <w:i/>
                <w:iCs/>
                <w:color w:val="000000"/>
                <w:sz w:val="24"/>
                <w:szCs w:val="24"/>
                <w:lang w:eastAsia="ru-RU"/>
              </w:rPr>
            </w:pPr>
            <w:r w:rsidRPr="005E03CC">
              <w:rPr>
                <w:rFonts w:ascii="Times New Roman" w:eastAsia="Times New Roman" w:hAnsi="Times New Roman" w:cs="Times New Roman"/>
                <w:i/>
                <w:iCs/>
                <w:color w:val="000000"/>
                <w:sz w:val="24"/>
                <w:szCs w:val="24"/>
                <w:lang w:eastAsia="ru-RU"/>
              </w:rPr>
              <w:t>Без учета инфляции</w:t>
            </w:r>
          </w:p>
        </w:tc>
        <w:tc>
          <w:tcPr>
            <w:tcW w:w="2682"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center"/>
              <w:rPr>
                <w:rFonts w:ascii="Times New Roman" w:eastAsia="Times New Roman" w:hAnsi="Times New Roman" w:cs="Times New Roman"/>
                <w:i/>
                <w:iCs/>
                <w:color w:val="000000"/>
                <w:sz w:val="24"/>
                <w:szCs w:val="24"/>
                <w:lang w:eastAsia="ru-RU"/>
              </w:rPr>
            </w:pPr>
            <w:r w:rsidRPr="005E03CC">
              <w:rPr>
                <w:rFonts w:ascii="Times New Roman" w:eastAsia="Times New Roman" w:hAnsi="Times New Roman" w:cs="Times New Roman"/>
                <w:i/>
                <w:iCs/>
                <w:color w:val="000000"/>
                <w:sz w:val="24"/>
                <w:szCs w:val="24"/>
                <w:lang w:eastAsia="ru-RU"/>
              </w:rPr>
              <w:t>С учетом инфляции</w:t>
            </w:r>
          </w:p>
        </w:tc>
      </w:tr>
      <w:tr w:rsidR="001F7174" w:rsidRPr="005E03CC" w:rsidTr="00E75178">
        <w:trPr>
          <w:trHeight w:val="300"/>
          <w:jc w:val="center"/>
        </w:trPr>
        <w:tc>
          <w:tcPr>
            <w:tcW w:w="3602" w:type="dxa"/>
            <w:tcBorders>
              <w:top w:val="nil"/>
              <w:left w:val="single" w:sz="4" w:space="0" w:color="auto"/>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Цепной лестницы</w:t>
            </w:r>
          </w:p>
        </w:tc>
        <w:tc>
          <w:tcPr>
            <w:tcW w:w="2718"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right"/>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489 178 014,27</w:t>
            </w:r>
          </w:p>
        </w:tc>
        <w:tc>
          <w:tcPr>
            <w:tcW w:w="2682"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right"/>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493 855 839,52</w:t>
            </w:r>
          </w:p>
        </w:tc>
      </w:tr>
      <w:tr w:rsidR="001F7174" w:rsidRPr="005E03CC" w:rsidTr="00E75178">
        <w:trPr>
          <w:trHeight w:val="300"/>
          <w:jc w:val="center"/>
        </w:trPr>
        <w:tc>
          <w:tcPr>
            <w:tcW w:w="3602" w:type="dxa"/>
            <w:tcBorders>
              <w:top w:val="nil"/>
              <w:left w:val="single" w:sz="4" w:space="0" w:color="auto"/>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Борнхуеттера-Фергюсона</w:t>
            </w:r>
          </w:p>
        </w:tc>
        <w:tc>
          <w:tcPr>
            <w:tcW w:w="2718"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right"/>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424 990 326,90</w:t>
            </w:r>
          </w:p>
        </w:tc>
        <w:tc>
          <w:tcPr>
            <w:tcW w:w="2682"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center"/>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w:t>
            </w:r>
          </w:p>
        </w:tc>
      </w:tr>
      <w:tr w:rsidR="001F7174" w:rsidRPr="005E03CC" w:rsidTr="00E75178">
        <w:trPr>
          <w:trHeight w:val="300"/>
          <w:jc w:val="center"/>
        </w:trPr>
        <w:tc>
          <w:tcPr>
            <w:tcW w:w="3602" w:type="dxa"/>
            <w:tcBorders>
              <w:top w:val="nil"/>
              <w:left w:val="single" w:sz="4" w:space="0" w:color="auto"/>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Мультипликативный</w:t>
            </w:r>
          </w:p>
        </w:tc>
        <w:tc>
          <w:tcPr>
            <w:tcW w:w="2718"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right"/>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428 682 331,24</w:t>
            </w:r>
          </w:p>
        </w:tc>
        <w:tc>
          <w:tcPr>
            <w:tcW w:w="2682"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right"/>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435 343 788,16</w:t>
            </w:r>
          </w:p>
        </w:tc>
      </w:tr>
      <w:tr w:rsidR="001F7174" w:rsidRPr="005E03CC" w:rsidTr="00E75178">
        <w:trPr>
          <w:trHeight w:val="300"/>
          <w:jc w:val="center"/>
        </w:trPr>
        <w:tc>
          <w:tcPr>
            <w:tcW w:w="3602" w:type="dxa"/>
            <w:tcBorders>
              <w:top w:val="nil"/>
              <w:left w:val="single" w:sz="4" w:space="0" w:color="auto"/>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На основе финансовых потоков</w:t>
            </w:r>
          </w:p>
        </w:tc>
        <w:tc>
          <w:tcPr>
            <w:tcW w:w="2718"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right"/>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485 220 482,62</w:t>
            </w:r>
          </w:p>
        </w:tc>
        <w:tc>
          <w:tcPr>
            <w:tcW w:w="2682" w:type="dxa"/>
            <w:tcBorders>
              <w:top w:val="nil"/>
              <w:left w:val="nil"/>
              <w:bottom w:val="single" w:sz="4" w:space="0" w:color="auto"/>
              <w:right w:val="single" w:sz="4" w:space="0" w:color="auto"/>
            </w:tcBorders>
            <w:shd w:val="clear" w:color="auto" w:fill="auto"/>
            <w:noWrap/>
            <w:vAlign w:val="center"/>
            <w:hideMark/>
          </w:tcPr>
          <w:p w:rsidR="001F7174" w:rsidRPr="005E03CC" w:rsidRDefault="001F7174" w:rsidP="00E75178">
            <w:pPr>
              <w:spacing w:after="0" w:line="240" w:lineRule="auto"/>
              <w:jc w:val="center"/>
              <w:rPr>
                <w:rFonts w:ascii="Times New Roman" w:eastAsia="Times New Roman" w:hAnsi="Times New Roman" w:cs="Times New Roman"/>
                <w:color w:val="000000"/>
                <w:sz w:val="24"/>
                <w:szCs w:val="24"/>
                <w:lang w:eastAsia="ru-RU"/>
              </w:rPr>
            </w:pPr>
            <w:r w:rsidRPr="005E03CC">
              <w:rPr>
                <w:rFonts w:ascii="Times New Roman" w:eastAsia="Times New Roman" w:hAnsi="Times New Roman" w:cs="Times New Roman"/>
                <w:color w:val="000000"/>
                <w:sz w:val="24"/>
                <w:szCs w:val="24"/>
                <w:lang w:eastAsia="ru-RU"/>
              </w:rPr>
              <w:t>–</w:t>
            </w:r>
          </w:p>
        </w:tc>
      </w:tr>
    </w:tbl>
    <w:p w:rsidR="00091769" w:rsidRDefault="00091769" w:rsidP="00091769">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и оценка резерва убытков методом Борнхуеттера-Фергюсона, основанная на усредненном по все кварталам зарождения</w:t>
      </w:r>
      <w:r w:rsidRPr="00757775">
        <w:rPr>
          <w:rFonts w:ascii="Times New Roman" w:hAnsi="Times New Roman" w:cs="Times New Roman"/>
          <w:sz w:val="28"/>
          <w:szCs w:val="28"/>
        </w:rPr>
        <w:t xml:space="preserve"> значении коэфф</w:t>
      </w:r>
      <w:r w:rsidRPr="00757775">
        <w:rPr>
          <w:rFonts w:ascii="Times New Roman" w:hAnsi="Times New Roman" w:cs="Times New Roman"/>
          <w:sz w:val="28"/>
          <w:szCs w:val="28"/>
        </w:rPr>
        <w:t>и</w:t>
      </w:r>
      <w:r w:rsidRPr="00757775">
        <w:rPr>
          <w:rFonts w:ascii="Times New Roman" w:hAnsi="Times New Roman" w:cs="Times New Roman"/>
          <w:sz w:val="28"/>
          <w:szCs w:val="28"/>
        </w:rPr>
        <w:t xml:space="preserve">циента </w:t>
      </w:r>
      <w:r>
        <w:rPr>
          <w:rFonts w:ascii="Times New Roman" w:hAnsi="Times New Roman" w:cs="Times New Roman"/>
          <w:sz w:val="28"/>
          <w:szCs w:val="28"/>
        </w:rPr>
        <w:t xml:space="preserve">ожидаемой </w:t>
      </w:r>
      <w:r w:rsidRPr="00757775">
        <w:rPr>
          <w:rFonts w:ascii="Times New Roman" w:hAnsi="Times New Roman" w:cs="Times New Roman"/>
          <w:sz w:val="28"/>
          <w:szCs w:val="28"/>
        </w:rPr>
        <w:t>убыточно</w:t>
      </w:r>
      <w:r>
        <w:rPr>
          <w:rFonts w:ascii="Times New Roman" w:hAnsi="Times New Roman" w:cs="Times New Roman"/>
          <w:sz w:val="28"/>
          <w:szCs w:val="28"/>
        </w:rPr>
        <w:t>сти, представляется слишком заниженной.</w:t>
      </w:r>
    </w:p>
    <w:p w:rsidR="007669C7" w:rsidRPr="007669C7" w:rsidRDefault="00132657" w:rsidP="0009176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Поскольку цены на услуги лечебных учреждений в Российской Фед</w:t>
      </w:r>
      <w:r>
        <w:rPr>
          <w:rFonts w:ascii="Times New Roman" w:hAnsi="Times New Roman" w:cs="Times New Roman"/>
          <w:sz w:val="28"/>
          <w:szCs w:val="28"/>
        </w:rPr>
        <w:t>е</w:t>
      </w:r>
      <w:r>
        <w:rPr>
          <w:rFonts w:ascii="Times New Roman" w:hAnsi="Times New Roman" w:cs="Times New Roman"/>
          <w:sz w:val="28"/>
          <w:szCs w:val="28"/>
        </w:rPr>
        <w:t>рации подвержены непрерывному росту из квартала в квартал, о</w:t>
      </w:r>
      <w:r w:rsidR="007669C7">
        <w:rPr>
          <w:rFonts w:ascii="Times New Roman" w:hAnsi="Times New Roman" w:cs="Times New Roman"/>
          <w:sz w:val="28"/>
          <w:szCs w:val="28"/>
        </w:rPr>
        <w:t>ценки стр</w:t>
      </w:r>
      <w:r w:rsidR="007669C7">
        <w:rPr>
          <w:rFonts w:ascii="Times New Roman" w:hAnsi="Times New Roman" w:cs="Times New Roman"/>
          <w:sz w:val="28"/>
          <w:szCs w:val="28"/>
        </w:rPr>
        <w:t>а</w:t>
      </w:r>
      <w:r w:rsidR="007669C7">
        <w:rPr>
          <w:rFonts w:ascii="Times New Roman" w:hAnsi="Times New Roman" w:cs="Times New Roman"/>
          <w:sz w:val="28"/>
          <w:szCs w:val="28"/>
        </w:rPr>
        <w:t>ховых резервов, полученные с помощью скорректированных с учетом и</w:t>
      </w:r>
      <w:r w:rsidR="007669C7">
        <w:rPr>
          <w:rFonts w:ascii="Times New Roman" w:hAnsi="Times New Roman" w:cs="Times New Roman"/>
          <w:sz w:val="28"/>
          <w:szCs w:val="28"/>
        </w:rPr>
        <w:t>н</w:t>
      </w:r>
      <w:r w:rsidR="007669C7">
        <w:rPr>
          <w:rFonts w:ascii="Times New Roman" w:hAnsi="Times New Roman" w:cs="Times New Roman"/>
          <w:sz w:val="28"/>
          <w:szCs w:val="28"/>
        </w:rPr>
        <w:t>фляции метода пошагового восхождения и мультипликативного метода, пр</w:t>
      </w:r>
      <w:r w:rsidR="007669C7">
        <w:rPr>
          <w:rFonts w:ascii="Times New Roman" w:hAnsi="Times New Roman" w:cs="Times New Roman"/>
          <w:sz w:val="28"/>
          <w:szCs w:val="28"/>
        </w:rPr>
        <w:t>е</w:t>
      </w:r>
      <w:r w:rsidR="007669C7">
        <w:rPr>
          <w:rFonts w:ascii="Times New Roman" w:hAnsi="Times New Roman" w:cs="Times New Roman"/>
          <w:sz w:val="28"/>
          <w:szCs w:val="28"/>
        </w:rPr>
        <w:t>вышают аналогичные оценки, рассчитанные без учета воздействия инфляц</w:t>
      </w:r>
      <w:r w:rsidR="007669C7">
        <w:rPr>
          <w:rFonts w:ascii="Times New Roman" w:hAnsi="Times New Roman" w:cs="Times New Roman"/>
          <w:sz w:val="28"/>
          <w:szCs w:val="28"/>
        </w:rPr>
        <w:t>и</w:t>
      </w:r>
      <w:r w:rsidR="007669C7">
        <w:rPr>
          <w:rFonts w:ascii="Times New Roman" w:hAnsi="Times New Roman" w:cs="Times New Roman"/>
          <w:sz w:val="28"/>
          <w:szCs w:val="28"/>
        </w:rPr>
        <w:t xml:space="preserve">онного фактора на </w:t>
      </w:r>
      <w:r>
        <w:rPr>
          <w:rFonts w:ascii="Times New Roman" w:hAnsi="Times New Roman" w:cs="Times New Roman"/>
          <w:sz w:val="28"/>
          <w:szCs w:val="28"/>
        </w:rPr>
        <w:t>стоимость конечного убытка.</w:t>
      </w:r>
      <w:proofErr w:type="gramEnd"/>
    </w:p>
    <w:p w:rsidR="00964D2C" w:rsidRDefault="00E75178" w:rsidP="00E75178">
      <w:pPr>
        <w:spacing w:after="0" w:line="360" w:lineRule="auto"/>
        <w:ind w:firstLine="709"/>
        <w:jc w:val="both"/>
        <w:rPr>
          <w:rFonts w:ascii="Times New Roman" w:hAnsi="Times New Roman" w:cs="Times New Roman"/>
          <w:sz w:val="28"/>
          <w:szCs w:val="28"/>
        </w:rPr>
      </w:pPr>
      <w:r w:rsidRPr="00E75178">
        <w:rPr>
          <w:rFonts w:ascii="Times New Roman" w:hAnsi="Times New Roman" w:cs="Times New Roman"/>
          <w:sz w:val="28"/>
          <w:szCs w:val="28"/>
        </w:rPr>
        <w:t xml:space="preserve">Величина РПНУ, определенная </w:t>
      </w:r>
      <w:r>
        <w:rPr>
          <w:rFonts w:ascii="Times New Roman" w:hAnsi="Times New Roman" w:cs="Times New Roman"/>
          <w:sz w:val="28"/>
          <w:szCs w:val="28"/>
        </w:rPr>
        <w:t>посредством методики</w:t>
      </w:r>
      <w:r w:rsidRPr="00E75178">
        <w:rPr>
          <w:rFonts w:ascii="Times New Roman" w:hAnsi="Times New Roman" w:cs="Times New Roman"/>
          <w:sz w:val="28"/>
          <w:szCs w:val="28"/>
        </w:rPr>
        <w:t xml:space="preserve"> на основе </w:t>
      </w:r>
      <w:r>
        <w:rPr>
          <w:rFonts w:ascii="Times New Roman" w:hAnsi="Times New Roman" w:cs="Times New Roman"/>
          <w:sz w:val="28"/>
          <w:szCs w:val="28"/>
        </w:rPr>
        <w:t>ф</w:t>
      </w:r>
      <w:r>
        <w:rPr>
          <w:rFonts w:ascii="Times New Roman" w:hAnsi="Times New Roman" w:cs="Times New Roman"/>
          <w:sz w:val="28"/>
          <w:szCs w:val="28"/>
        </w:rPr>
        <w:t>и</w:t>
      </w:r>
      <w:r>
        <w:rPr>
          <w:rFonts w:ascii="Times New Roman" w:hAnsi="Times New Roman" w:cs="Times New Roman"/>
          <w:sz w:val="28"/>
          <w:szCs w:val="28"/>
        </w:rPr>
        <w:t xml:space="preserve">нансовых </w:t>
      </w:r>
      <w:r w:rsidRPr="00E75178">
        <w:rPr>
          <w:rFonts w:ascii="Times New Roman" w:hAnsi="Times New Roman" w:cs="Times New Roman"/>
          <w:sz w:val="28"/>
          <w:szCs w:val="28"/>
        </w:rPr>
        <w:t xml:space="preserve">потоков </w:t>
      </w:r>
      <w:r>
        <w:rPr>
          <w:rFonts w:ascii="Times New Roman" w:hAnsi="Times New Roman" w:cs="Times New Roman"/>
          <w:sz w:val="28"/>
          <w:szCs w:val="28"/>
        </w:rPr>
        <w:t>страховой компании по календарным кварталам</w:t>
      </w:r>
      <w:r w:rsidR="00010AF6">
        <w:rPr>
          <w:rFonts w:ascii="Times New Roman" w:hAnsi="Times New Roman" w:cs="Times New Roman"/>
          <w:sz w:val="28"/>
          <w:szCs w:val="28"/>
        </w:rPr>
        <w:t>,</w:t>
      </w:r>
      <w:r>
        <w:rPr>
          <w:rFonts w:ascii="Times New Roman" w:hAnsi="Times New Roman" w:cs="Times New Roman"/>
          <w:sz w:val="28"/>
          <w:szCs w:val="28"/>
        </w:rPr>
        <w:t xml:space="preserve"> также высока, что объясняется характерным и для рынка добровольного медици</w:t>
      </w:r>
      <w:r>
        <w:rPr>
          <w:rFonts w:ascii="Times New Roman" w:hAnsi="Times New Roman" w:cs="Times New Roman"/>
          <w:sz w:val="28"/>
          <w:szCs w:val="28"/>
        </w:rPr>
        <w:t>н</w:t>
      </w:r>
      <w:r>
        <w:rPr>
          <w:rFonts w:ascii="Times New Roman" w:hAnsi="Times New Roman" w:cs="Times New Roman"/>
          <w:sz w:val="28"/>
          <w:szCs w:val="28"/>
        </w:rPr>
        <w:t>ского страхования</w:t>
      </w:r>
      <w:r w:rsidR="0031271C" w:rsidRPr="0031271C">
        <w:rPr>
          <w:rFonts w:ascii="Times New Roman" w:hAnsi="Times New Roman" w:cs="Times New Roman"/>
          <w:sz w:val="28"/>
          <w:szCs w:val="28"/>
        </w:rPr>
        <w:t xml:space="preserve"> </w:t>
      </w:r>
      <w:r w:rsidR="0031271C">
        <w:rPr>
          <w:rFonts w:ascii="Times New Roman" w:hAnsi="Times New Roman" w:cs="Times New Roman"/>
          <w:sz w:val="28"/>
          <w:szCs w:val="28"/>
        </w:rPr>
        <w:t>в целом</w:t>
      </w:r>
      <w:r>
        <w:rPr>
          <w:rFonts w:ascii="Times New Roman" w:hAnsi="Times New Roman" w:cs="Times New Roman"/>
          <w:sz w:val="28"/>
          <w:szCs w:val="28"/>
        </w:rPr>
        <w:t>, и для конкретного страховщика устойчивым ро</w:t>
      </w:r>
      <w:r>
        <w:rPr>
          <w:rFonts w:ascii="Times New Roman" w:hAnsi="Times New Roman" w:cs="Times New Roman"/>
          <w:sz w:val="28"/>
          <w:szCs w:val="28"/>
        </w:rPr>
        <w:t>с</w:t>
      </w:r>
      <w:r>
        <w:rPr>
          <w:rFonts w:ascii="Times New Roman" w:hAnsi="Times New Roman" w:cs="Times New Roman"/>
          <w:sz w:val="28"/>
          <w:szCs w:val="28"/>
        </w:rPr>
        <w:t>том страховых выплат. Этой тенденции в первую очередь способствует пр</w:t>
      </w:r>
      <w:r>
        <w:rPr>
          <w:rFonts w:ascii="Times New Roman" w:hAnsi="Times New Roman" w:cs="Times New Roman"/>
          <w:sz w:val="28"/>
          <w:szCs w:val="28"/>
        </w:rPr>
        <w:t>и</w:t>
      </w:r>
      <w:r>
        <w:rPr>
          <w:rFonts w:ascii="Times New Roman" w:hAnsi="Times New Roman" w:cs="Times New Roman"/>
          <w:sz w:val="28"/>
          <w:szCs w:val="28"/>
        </w:rPr>
        <w:t>вле</w:t>
      </w:r>
      <w:r w:rsidR="00010AF6">
        <w:rPr>
          <w:rFonts w:ascii="Times New Roman" w:hAnsi="Times New Roman" w:cs="Times New Roman"/>
          <w:sz w:val="28"/>
          <w:szCs w:val="28"/>
        </w:rPr>
        <w:t>чение новых клиентов страховыми организациями в силу того, что поп</w:t>
      </w:r>
      <w:r w:rsidR="00010AF6">
        <w:rPr>
          <w:rFonts w:ascii="Times New Roman" w:hAnsi="Times New Roman" w:cs="Times New Roman"/>
          <w:sz w:val="28"/>
          <w:szCs w:val="28"/>
        </w:rPr>
        <w:t>у</w:t>
      </w:r>
      <w:r w:rsidR="00010AF6">
        <w:rPr>
          <w:rFonts w:ascii="Times New Roman" w:hAnsi="Times New Roman" w:cs="Times New Roman"/>
          <w:sz w:val="28"/>
          <w:szCs w:val="28"/>
        </w:rPr>
        <w:t xml:space="preserve">лярность ДМС в нашей стране с течением времени увеличивается, а также систематическое повышение </w:t>
      </w:r>
      <w:r w:rsidR="0031271C">
        <w:rPr>
          <w:rFonts w:ascii="Times New Roman" w:hAnsi="Times New Roman" w:cs="Times New Roman"/>
          <w:sz w:val="28"/>
          <w:szCs w:val="28"/>
        </w:rPr>
        <w:t xml:space="preserve">лечебными учреждениями </w:t>
      </w:r>
      <w:r w:rsidR="00010AF6">
        <w:rPr>
          <w:rFonts w:ascii="Times New Roman" w:hAnsi="Times New Roman" w:cs="Times New Roman"/>
          <w:sz w:val="28"/>
          <w:szCs w:val="28"/>
        </w:rPr>
        <w:t>стоимости медици</w:t>
      </w:r>
      <w:r w:rsidR="00010AF6">
        <w:rPr>
          <w:rFonts w:ascii="Times New Roman" w:hAnsi="Times New Roman" w:cs="Times New Roman"/>
          <w:sz w:val="28"/>
          <w:szCs w:val="28"/>
        </w:rPr>
        <w:t>н</w:t>
      </w:r>
      <w:r w:rsidR="0031271C">
        <w:rPr>
          <w:rFonts w:ascii="Times New Roman" w:hAnsi="Times New Roman" w:cs="Times New Roman"/>
          <w:sz w:val="28"/>
          <w:szCs w:val="28"/>
        </w:rPr>
        <w:t>ского обслуживания.</w:t>
      </w:r>
    </w:p>
    <w:p w:rsidR="00010AF6" w:rsidRDefault="00010AF6" w:rsidP="00E75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свете всего вышесказанного наиболее оптимальной оценкой резерва произошедших, но незаявленных убытков на конец третьего квартала 2012 г. представляется оценка в </w:t>
      </w:r>
      <w:r w:rsidRPr="00010AF6">
        <w:rPr>
          <w:rFonts w:ascii="Times New Roman" w:hAnsi="Times New Roman" w:cs="Times New Roman"/>
          <w:b/>
          <w:sz w:val="28"/>
          <w:szCs w:val="28"/>
        </w:rPr>
        <w:t>435 343 788,16 руб</w:t>
      </w:r>
      <w:r>
        <w:rPr>
          <w:rFonts w:ascii="Times New Roman" w:eastAsia="Times New Roman" w:hAnsi="Times New Roman" w:cs="Times New Roman"/>
          <w:color w:val="000000"/>
          <w:sz w:val="24"/>
          <w:szCs w:val="24"/>
          <w:lang w:eastAsia="ru-RU"/>
        </w:rPr>
        <w:t>.</w:t>
      </w:r>
      <w:r>
        <w:rPr>
          <w:rFonts w:ascii="Times New Roman" w:hAnsi="Times New Roman" w:cs="Times New Roman"/>
          <w:sz w:val="28"/>
          <w:szCs w:val="28"/>
        </w:rPr>
        <w:t>, полученная скорректированным на фактор «медицинской инфляции» мультипликативным методом.</w:t>
      </w:r>
    </w:p>
    <w:p w:rsidR="00993AB7" w:rsidRDefault="00D159A1" w:rsidP="00E7517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Проведем так называемый </w:t>
      </w:r>
      <w:r>
        <w:rPr>
          <w:rFonts w:ascii="Times New Roman" w:hAnsi="Times New Roman" w:cs="Times New Roman"/>
          <w:sz w:val="28"/>
          <w:szCs w:val="28"/>
          <w:lang w:val="en-US"/>
        </w:rPr>
        <w:t>run</w:t>
      </w:r>
      <w:r w:rsidRPr="00D159A1">
        <w:rPr>
          <w:rFonts w:ascii="Times New Roman" w:hAnsi="Times New Roman" w:cs="Times New Roman"/>
          <w:sz w:val="28"/>
          <w:szCs w:val="28"/>
        </w:rPr>
        <w:t>-</w:t>
      </w:r>
      <w:r>
        <w:rPr>
          <w:rFonts w:ascii="Times New Roman" w:hAnsi="Times New Roman" w:cs="Times New Roman"/>
          <w:sz w:val="28"/>
          <w:szCs w:val="28"/>
          <w:lang w:val="en-US"/>
        </w:rPr>
        <w:t>off</w:t>
      </w:r>
      <w:r w:rsidRPr="00D159A1">
        <w:rPr>
          <w:rFonts w:ascii="Times New Roman" w:hAnsi="Times New Roman" w:cs="Times New Roman"/>
          <w:sz w:val="28"/>
          <w:szCs w:val="28"/>
        </w:rPr>
        <w:t xml:space="preserve"> </w:t>
      </w:r>
      <w:r>
        <w:rPr>
          <w:rFonts w:ascii="Times New Roman" w:hAnsi="Times New Roman" w:cs="Times New Roman"/>
          <w:sz w:val="28"/>
          <w:szCs w:val="28"/>
        </w:rPr>
        <w:t>анализ</w:t>
      </w:r>
      <w:r w:rsidR="00EA3682">
        <w:rPr>
          <w:rFonts w:ascii="Times New Roman" w:hAnsi="Times New Roman" w:cs="Times New Roman"/>
          <w:sz w:val="28"/>
          <w:szCs w:val="28"/>
        </w:rPr>
        <w:t xml:space="preserve"> </w:t>
      </w:r>
      <w:r w:rsidR="009F00A4">
        <w:rPr>
          <w:rFonts w:ascii="Times New Roman" w:hAnsi="Times New Roman" w:cs="Times New Roman"/>
          <w:sz w:val="28"/>
          <w:szCs w:val="28"/>
        </w:rPr>
        <w:t xml:space="preserve">(табл. 27) </w:t>
      </w:r>
      <w:r w:rsidR="00EA3682">
        <w:rPr>
          <w:rFonts w:ascii="Times New Roman" w:hAnsi="Times New Roman" w:cs="Times New Roman"/>
          <w:sz w:val="28"/>
          <w:szCs w:val="28"/>
        </w:rPr>
        <w:t>– анализ достато</w:t>
      </w:r>
      <w:r w:rsidR="00EA3682">
        <w:rPr>
          <w:rFonts w:ascii="Times New Roman" w:hAnsi="Times New Roman" w:cs="Times New Roman"/>
          <w:sz w:val="28"/>
          <w:szCs w:val="28"/>
        </w:rPr>
        <w:t>ч</w:t>
      </w:r>
      <w:r w:rsidR="00EA3682">
        <w:rPr>
          <w:rFonts w:ascii="Times New Roman" w:hAnsi="Times New Roman" w:cs="Times New Roman"/>
          <w:sz w:val="28"/>
          <w:szCs w:val="28"/>
        </w:rPr>
        <w:t>ности сформированных в прошлом резервов</w:t>
      </w:r>
      <w:r>
        <w:rPr>
          <w:rFonts w:ascii="Times New Roman" w:hAnsi="Times New Roman" w:cs="Times New Roman"/>
          <w:sz w:val="28"/>
          <w:szCs w:val="28"/>
        </w:rPr>
        <w:t>, рассчитав оценки РПНУ по фрагменту исходного треугольника развития для периода времени с четве</w:t>
      </w:r>
      <w:r>
        <w:rPr>
          <w:rFonts w:ascii="Times New Roman" w:hAnsi="Times New Roman" w:cs="Times New Roman"/>
          <w:sz w:val="28"/>
          <w:szCs w:val="28"/>
        </w:rPr>
        <w:t>р</w:t>
      </w:r>
      <w:r>
        <w:rPr>
          <w:rFonts w:ascii="Times New Roman" w:hAnsi="Times New Roman" w:cs="Times New Roman"/>
          <w:sz w:val="28"/>
          <w:szCs w:val="28"/>
        </w:rPr>
        <w:t>того квартала 2007 г.</w:t>
      </w:r>
      <w:r w:rsidR="00846FEB">
        <w:rPr>
          <w:rFonts w:ascii="Times New Roman" w:hAnsi="Times New Roman" w:cs="Times New Roman"/>
          <w:sz w:val="28"/>
          <w:szCs w:val="28"/>
        </w:rPr>
        <w:t xml:space="preserve"> по первый квартал 2010 г.</w:t>
      </w:r>
      <w:r w:rsidR="009B3961">
        <w:rPr>
          <w:rFonts w:ascii="Times New Roman" w:hAnsi="Times New Roman" w:cs="Times New Roman"/>
          <w:sz w:val="28"/>
          <w:szCs w:val="28"/>
        </w:rPr>
        <w:t xml:space="preserve"> и сопостави</w:t>
      </w:r>
      <w:r w:rsidR="00890440">
        <w:rPr>
          <w:rFonts w:ascii="Times New Roman" w:hAnsi="Times New Roman" w:cs="Times New Roman"/>
          <w:sz w:val="28"/>
          <w:szCs w:val="28"/>
        </w:rPr>
        <w:t>в</w:t>
      </w:r>
      <w:r w:rsidR="009B3961">
        <w:rPr>
          <w:rFonts w:ascii="Times New Roman" w:hAnsi="Times New Roman" w:cs="Times New Roman"/>
          <w:sz w:val="28"/>
          <w:szCs w:val="28"/>
        </w:rPr>
        <w:t xml:space="preserve"> полученные оценки с фактически оплаченными после отчетной даты – первого квартала 2010 г. –</w:t>
      </w:r>
      <w:r w:rsidR="00D246EF">
        <w:rPr>
          <w:rFonts w:ascii="Times New Roman" w:hAnsi="Times New Roman" w:cs="Times New Roman"/>
          <w:sz w:val="28"/>
          <w:szCs w:val="28"/>
        </w:rPr>
        <w:t xml:space="preserve"> убытками по страховым случаям, произошедшим за анализируемый период. </w:t>
      </w:r>
      <w:proofErr w:type="gramEnd"/>
    </w:p>
    <w:p w:rsidR="000647F6" w:rsidRDefault="00D246EF" w:rsidP="00E7517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Наиболее высокую точность оценивания демонстрирует метод Борнх</w:t>
      </w:r>
      <w:r>
        <w:rPr>
          <w:rFonts w:ascii="Times New Roman" w:hAnsi="Times New Roman" w:cs="Times New Roman"/>
          <w:sz w:val="28"/>
          <w:szCs w:val="28"/>
        </w:rPr>
        <w:t>у</w:t>
      </w:r>
      <w:r>
        <w:rPr>
          <w:rFonts w:ascii="Times New Roman" w:hAnsi="Times New Roman" w:cs="Times New Roman"/>
          <w:sz w:val="28"/>
          <w:szCs w:val="28"/>
        </w:rPr>
        <w:t xml:space="preserve">еттера-Фергюсона; относительная ошибка прогноза </w:t>
      </w:r>
      <m:oMath>
        <m:r>
          <w:rPr>
            <w:rFonts w:ascii="Cambria Math" w:hAnsi="Cambria Math" w:cs="Times New Roman"/>
            <w:sz w:val="28"/>
            <w:szCs w:val="28"/>
          </w:rPr>
          <m:t>δ</m:t>
        </m:r>
      </m:oMath>
      <w:r>
        <w:rPr>
          <w:rFonts w:ascii="Times New Roman" w:eastAsiaTheme="minorEastAsia" w:hAnsi="Times New Roman" w:cs="Times New Roman"/>
          <w:sz w:val="28"/>
          <w:szCs w:val="28"/>
        </w:rPr>
        <w:t xml:space="preserve"> </w:t>
      </w:r>
      <w:r>
        <w:rPr>
          <w:rFonts w:ascii="Times New Roman" w:hAnsi="Times New Roman" w:cs="Times New Roman"/>
          <w:sz w:val="28"/>
          <w:szCs w:val="28"/>
        </w:rPr>
        <w:t xml:space="preserve">составляет всего лишь </w:t>
      </w:r>
      <w:r w:rsidR="005E4B12">
        <w:rPr>
          <w:rFonts w:ascii="Times New Roman" w:hAnsi="Times New Roman" w:cs="Times New Roman"/>
          <w:sz w:val="28"/>
          <w:szCs w:val="28"/>
        </w:rPr>
        <w:t>–</w:t>
      </w:r>
      <w:r>
        <w:rPr>
          <w:rFonts w:ascii="Times New Roman" w:hAnsi="Times New Roman" w:cs="Times New Roman"/>
          <w:sz w:val="28"/>
          <w:szCs w:val="28"/>
        </w:rPr>
        <w:t xml:space="preserve">0,02%. </w:t>
      </w:r>
      <w:r w:rsidR="00F740D4">
        <w:rPr>
          <w:rFonts w:ascii="Times New Roman" w:hAnsi="Times New Roman" w:cs="Times New Roman"/>
          <w:sz w:val="28"/>
          <w:szCs w:val="28"/>
        </w:rPr>
        <w:t xml:space="preserve">Однако мы получили заниженную относительно фактической суммы </w:t>
      </w:r>
      <w:r w:rsidR="000647F6">
        <w:rPr>
          <w:rFonts w:ascii="Times New Roman" w:hAnsi="Times New Roman" w:cs="Times New Roman"/>
          <w:sz w:val="28"/>
          <w:szCs w:val="28"/>
        </w:rPr>
        <w:t xml:space="preserve">понесенных после отчетной даты </w:t>
      </w:r>
      <w:r w:rsidR="00F740D4">
        <w:rPr>
          <w:rFonts w:ascii="Times New Roman" w:hAnsi="Times New Roman" w:cs="Times New Roman"/>
          <w:sz w:val="28"/>
          <w:szCs w:val="28"/>
        </w:rPr>
        <w:t>убытков оценку страховых резервов</w:t>
      </w:r>
      <w:r w:rsidR="000647F6">
        <w:rPr>
          <w:rFonts w:ascii="Times New Roman" w:hAnsi="Times New Roman" w:cs="Times New Roman"/>
          <w:sz w:val="28"/>
          <w:szCs w:val="28"/>
        </w:rPr>
        <w:t>, т.е. денежных средств, зарезервированных по методу Борнхуеттера-Фергюсона под еще незаявленные страховщику убытки десяти рассматриваемых кварт</w:t>
      </w:r>
      <w:r w:rsidR="000647F6">
        <w:rPr>
          <w:rFonts w:ascii="Times New Roman" w:hAnsi="Times New Roman" w:cs="Times New Roman"/>
          <w:sz w:val="28"/>
          <w:szCs w:val="28"/>
        </w:rPr>
        <w:t>а</w:t>
      </w:r>
      <w:r w:rsidR="000647F6">
        <w:rPr>
          <w:rFonts w:ascii="Times New Roman" w:hAnsi="Times New Roman" w:cs="Times New Roman"/>
          <w:sz w:val="28"/>
          <w:szCs w:val="28"/>
        </w:rPr>
        <w:t>лов</w:t>
      </w:r>
      <w:r w:rsidR="005A7349">
        <w:rPr>
          <w:rFonts w:ascii="Times New Roman" w:hAnsi="Times New Roman" w:cs="Times New Roman"/>
          <w:sz w:val="28"/>
          <w:szCs w:val="28"/>
        </w:rPr>
        <w:t>,</w:t>
      </w:r>
      <w:r w:rsidR="00F740D4">
        <w:rPr>
          <w:rFonts w:ascii="Times New Roman" w:hAnsi="Times New Roman" w:cs="Times New Roman"/>
          <w:sz w:val="28"/>
          <w:szCs w:val="28"/>
        </w:rPr>
        <w:t xml:space="preserve"> </w:t>
      </w:r>
      <w:r w:rsidR="000647F6">
        <w:rPr>
          <w:rFonts w:ascii="Times New Roman" w:hAnsi="Times New Roman" w:cs="Times New Roman"/>
          <w:sz w:val="28"/>
          <w:szCs w:val="28"/>
        </w:rPr>
        <w:t xml:space="preserve">было бы недостаточно для покрытия обязательств </w:t>
      </w:r>
      <w:r w:rsidR="00874874">
        <w:rPr>
          <w:rFonts w:ascii="Times New Roman" w:hAnsi="Times New Roman" w:cs="Times New Roman"/>
          <w:sz w:val="28"/>
          <w:szCs w:val="28"/>
        </w:rPr>
        <w:t xml:space="preserve">страховщика </w:t>
      </w:r>
      <w:r w:rsidR="000647F6">
        <w:rPr>
          <w:rFonts w:ascii="Times New Roman" w:hAnsi="Times New Roman" w:cs="Times New Roman"/>
          <w:sz w:val="28"/>
          <w:szCs w:val="28"/>
        </w:rPr>
        <w:t>по стр</w:t>
      </w:r>
      <w:r w:rsidR="000647F6">
        <w:rPr>
          <w:rFonts w:ascii="Times New Roman" w:hAnsi="Times New Roman" w:cs="Times New Roman"/>
          <w:sz w:val="28"/>
          <w:szCs w:val="28"/>
        </w:rPr>
        <w:t>а</w:t>
      </w:r>
      <w:r w:rsidR="000647F6">
        <w:rPr>
          <w:rFonts w:ascii="Times New Roman" w:hAnsi="Times New Roman" w:cs="Times New Roman"/>
          <w:sz w:val="28"/>
          <w:szCs w:val="28"/>
        </w:rPr>
        <w:t>ховым выплатам.</w:t>
      </w:r>
      <w:proofErr w:type="gramEnd"/>
      <w:r w:rsidR="000647F6">
        <w:rPr>
          <w:rFonts w:ascii="Times New Roman" w:hAnsi="Times New Roman" w:cs="Times New Roman"/>
          <w:sz w:val="28"/>
          <w:szCs w:val="28"/>
        </w:rPr>
        <w:t xml:space="preserve"> Подобная систематическ</w:t>
      </w:r>
      <w:r w:rsidR="00874874">
        <w:rPr>
          <w:rFonts w:ascii="Times New Roman" w:hAnsi="Times New Roman" w:cs="Times New Roman"/>
          <w:sz w:val="28"/>
          <w:szCs w:val="28"/>
        </w:rPr>
        <w:t>и повторяющаяся</w:t>
      </w:r>
      <w:r w:rsidR="000647F6">
        <w:rPr>
          <w:rFonts w:ascii="Times New Roman" w:hAnsi="Times New Roman" w:cs="Times New Roman"/>
          <w:sz w:val="28"/>
          <w:szCs w:val="28"/>
        </w:rPr>
        <w:t xml:space="preserve"> недооценка в</w:t>
      </w:r>
      <w:r w:rsidR="000647F6">
        <w:rPr>
          <w:rFonts w:ascii="Times New Roman" w:hAnsi="Times New Roman" w:cs="Times New Roman"/>
          <w:sz w:val="28"/>
          <w:szCs w:val="28"/>
        </w:rPr>
        <w:t>е</w:t>
      </w:r>
      <w:r w:rsidR="000647F6">
        <w:rPr>
          <w:rFonts w:ascii="Times New Roman" w:hAnsi="Times New Roman" w:cs="Times New Roman"/>
          <w:sz w:val="28"/>
          <w:szCs w:val="28"/>
        </w:rPr>
        <w:t xml:space="preserve">личины </w:t>
      </w:r>
      <w:r w:rsidR="00874874">
        <w:rPr>
          <w:rFonts w:ascii="Times New Roman" w:hAnsi="Times New Roman" w:cs="Times New Roman"/>
          <w:sz w:val="28"/>
          <w:szCs w:val="28"/>
        </w:rPr>
        <w:t xml:space="preserve">произошедших, но незаявленных убытков </w:t>
      </w:r>
      <w:r w:rsidR="000647F6">
        <w:rPr>
          <w:rFonts w:ascii="Times New Roman" w:hAnsi="Times New Roman" w:cs="Times New Roman"/>
          <w:sz w:val="28"/>
          <w:szCs w:val="28"/>
        </w:rPr>
        <w:t>может представлять угр</w:t>
      </w:r>
      <w:r w:rsidR="000647F6">
        <w:rPr>
          <w:rFonts w:ascii="Times New Roman" w:hAnsi="Times New Roman" w:cs="Times New Roman"/>
          <w:sz w:val="28"/>
          <w:szCs w:val="28"/>
        </w:rPr>
        <w:t>о</w:t>
      </w:r>
      <w:r w:rsidR="000647F6">
        <w:rPr>
          <w:rFonts w:ascii="Times New Roman" w:hAnsi="Times New Roman" w:cs="Times New Roman"/>
          <w:sz w:val="28"/>
          <w:szCs w:val="28"/>
        </w:rPr>
        <w:t>зу финансовой устойчивости и стабильности развития страховой компании.</w:t>
      </w:r>
    </w:p>
    <w:p w:rsidR="0032237B" w:rsidRDefault="00D246EF" w:rsidP="00E7517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Оценка общего размера РПНУ, полученная скорректированным с уч</w:t>
      </w:r>
      <w:r>
        <w:rPr>
          <w:rFonts w:ascii="Times New Roman" w:hAnsi="Times New Roman" w:cs="Times New Roman"/>
          <w:sz w:val="28"/>
          <w:szCs w:val="28"/>
        </w:rPr>
        <w:t>е</w:t>
      </w:r>
      <w:r>
        <w:rPr>
          <w:rFonts w:ascii="Times New Roman" w:hAnsi="Times New Roman" w:cs="Times New Roman"/>
          <w:sz w:val="28"/>
          <w:szCs w:val="28"/>
        </w:rPr>
        <w:t>том инфляции мультипликативным методов</w:t>
      </w:r>
      <w:r w:rsidR="0032237B">
        <w:rPr>
          <w:rFonts w:ascii="Times New Roman" w:hAnsi="Times New Roman" w:cs="Times New Roman"/>
          <w:sz w:val="28"/>
          <w:szCs w:val="28"/>
        </w:rPr>
        <w:t>,</w:t>
      </w:r>
      <w:r>
        <w:rPr>
          <w:rFonts w:ascii="Times New Roman" w:hAnsi="Times New Roman" w:cs="Times New Roman"/>
          <w:sz w:val="28"/>
          <w:szCs w:val="28"/>
        </w:rPr>
        <w:t xml:space="preserve"> сильнее всего </w:t>
      </w:r>
      <w:r w:rsidR="00902D47">
        <w:rPr>
          <w:rFonts w:ascii="Times New Roman" w:hAnsi="Times New Roman" w:cs="Times New Roman"/>
          <w:sz w:val="28"/>
          <w:szCs w:val="28"/>
        </w:rPr>
        <w:t>(</w:t>
      </w:r>
      <m:oMath>
        <m:r>
          <w:rPr>
            <w:rFonts w:ascii="Cambria Math" w:hAnsi="Cambria Math" w:cs="Times New Roman"/>
            <w:sz w:val="28"/>
            <w:szCs w:val="28"/>
          </w:rPr>
          <m:t>δ=</m:t>
        </m:r>
      </m:oMath>
      <w:r w:rsidR="00993AB7">
        <w:rPr>
          <w:rFonts w:ascii="Times New Roman" w:eastAsiaTheme="minorEastAsia" w:hAnsi="Times New Roman" w:cs="Times New Roman"/>
          <w:sz w:val="28"/>
          <w:szCs w:val="28"/>
        </w:rPr>
        <w:t>–</w:t>
      </w:r>
      <w:r w:rsidR="00902D47">
        <w:rPr>
          <w:rFonts w:ascii="Times New Roman" w:eastAsiaTheme="minorEastAsia" w:hAnsi="Times New Roman" w:cs="Times New Roman"/>
          <w:sz w:val="28"/>
          <w:szCs w:val="28"/>
        </w:rPr>
        <w:t xml:space="preserve">11,33%) </w:t>
      </w:r>
      <w:r>
        <w:rPr>
          <w:rFonts w:ascii="Times New Roman" w:hAnsi="Times New Roman" w:cs="Times New Roman"/>
          <w:sz w:val="28"/>
          <w:szCs w:val="28"/>
        </w:rPr>
        <w:t>о</w:t>
      </w:r>
      <w:r>
        <w:rPr>
          <w:rFonts w:ascii="Times New Roman" w:hAnsi="Times New Roman" w:cs="Times New Roman"/>
          <w:sz w:val="28"/>
          <w:szCs w:val="28"/>
        </w:rPr>
        <w:t>т</w:t>
      </w:r>
      <w:r>
        <w:rPr>
          <w:rFonts w:ascii="Times New Roman" w:hAnsi="Times New Roman" w:cs="Times New Roman"/>
          <w:sz w:val="28"/>
          <w:szCs w:val="28"/>
        </w:rPr>
        <w:t>клоняется от суммарной величины фактически произведенных выплат</w:t>
      </w:r>
      <w:r w:rsidR="0032237B">
        <w:rPr>
          <w:rFonts w:ascii="Times New Roman" w:hAnsi="Times New Roman" w:cs="Times New Roman"/>
          <w:sz w:val="28"/>
          <w:szCs w:val="28"/>
        </w:rPr>
        <w:t>.</w:t>
      </w:r>
      <w:proofErr w:type="gramEnd"/>
    </w:p>
    <w:p w:rsidR="00D159A1" w:rsidRDefault="00902D47" w:rsidP="00E75178">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Стоит отметить, что</w:t>
      </w:r>
      <w:r w:rsidR="00870A4D" w:rsidRPr="00870A4D">
        <w:rPr>
          <w:rFonts w:ascii="Times New Roman" w:eastAsiaTheme="minorEastAsia" w:hAnsi="Times New Roman" w:cs="Times New Roman"/>
          <w:sz w:val="28"/>
          <w:szCs w:val="28"/>
        </w:rPr>
        <w:t xml:space="preserve"> </w:t>
      </w:r>
      <w:r w:rsidR="00870A4D">
        <w:rPr>
          <w:rFonts w:ascii="Times New Roman" w:eastAsiaTheme="minorEastAsia" w:hAnsi="Times New Roman" w:cs="Times New Roman"/>
          <w:sz w:val="28"/>
          <w:szCs w:val="28"/>
        </w:rPr>
        <w:t>коэффициенты развития убытков, рассчитанные в ходе реализации модифицированного с учетом фактора «медицинской и</w:t>
      </w:r>
      <w:r w:rsidR="00870A4D">
        <w:rPr>
          <w:rFonts w:ascii="Times New Roman" w:eastAsiaTheme="minorEastAsia" w:hAnsi="Times New Roman" w:cs="Times New Roman"/>
          <w:sz w:val="28"/>
          <w:szCs w:val="28"/>
        </w:rPr>
        <w:t>н</w:t>
      </w:r>
      <w:r w:rsidR="00870A4D">
        <w:rPr>
          <w:rFonts w:ascii="Times New Roman" w:eastAsiaTheme="minorEastAsia" w:hAnsi="Times New Roman" w:cs="Times New Roman"/>
          <w:sz w:val="28"/>
          <w:szCs w:val="28"/>
        </w:rPr>
        <w:t xml:space="preserve">фляции» метода цепной лестницы, вновь </w:t>
      </w:r>
      <w:r w:rsidR="00D21074">
        <w:rPr>
          <w:rFonts w:ascii="Times New Roman" w:eastAsiaTheme="minorEastAsia" w:hAnsi="Times New Roman" w:cs="Times New Roman"/>
          <w:sz w:val="28"/>
          <w:szCs w:val="28"/>
        </w:rPr>
        <w:t xml:space="preserve">значительно </w:t>
      </w:r>
      <w:r w:rsidR="00870A4D">
        <w:rPr>
          <w:rFonts w:ascii="Times New Roman" w:eastAsiaTheme="minorEastAsia" w:hAnsi="Times New Roman" w:cs="Times New Roman"/>
          <w:sz w:val="28"/>
          <w:szCs w:val="28"/>
        </w:rPr>
        <w:t>сократились для ра</w:t>
      </w:r>
      <w:r w:rsidR="00870A4D">
        <w:rPr>
          <w:rFonts w:ascii="Times New Roman" w:eastAsiaTheme="minorEastAsia" w:hAnsi="Times New Roman" w:cs="Times New Roman"/>
          <w:sz w:val="28"/>
          <w:szCs w:val="28"/>
        </w:rPr>
        <w:t>н</w:t>
      </w:r>
      <w:r w:rsidR="00870A4D">
        <w:rPr>
          <w:rFonts w:ascii="Times New Roman" w:eastAsiaTheme="minorEastAsia" w:hAnsi="Times New Roman" w:cs="Times New Roman"/>
          <w:sz w:val="28"/>
          <w:szCs w:val="28"/>
        </w:rPr>
        <w:t>них кварталов урегулирования убытков</w:t>
      </w:r>
      <w:r w:rsidR="00D21074">
        <w:rPr>
          <w:rFonts w:ascii="Times New Roman" w:eastAsiaTheme="minorEastAsia" w:hAnsi="Times New Roman" w:cs="Times New Roman"/>
          <w:sz w:val="28"/>
          <w:szCs w:val="28"/>
        </w:rPr>
        <w:t>, что свидетельствует о том, что пр</w:t>
      </w:r>
      <w:r w:rsidR="00D21074">
        <w:rPr>
          <w:rFonts w:ascii="Times New Roman" w:eastAsiaTheme="minorEastAsia" w:hAnsi="Times New Roman" w:cs="Times New Roman"/>
          <w:sz w:val="28"/>
          <w:szCs w:val="28"/>
        </w:rPr>
        <w:t>и</w:t>
      </w:r>
      <w:r w:rsidR="00D21074">
        <w:rPr>
          <w:rFonts w:ascii="Times New Roman" w:eastAsiaTheme="minorEastAsia" w:hAnsi="Times New Roman" w:cs="Times New Roman"/>
          <w:sz w:val="28"/>
          <w:szCs w:val="28"/>
        </w:rPr>
        <w:t xml:space="preserve">рост совокупной стоимости претензий от одного квартала развития к другому был в определенной степени обусловлен </w:t>
      </w:r>
      <w:r w:rsidR="00E51057">
        <w:rPr>
          <w:rFonts w:ascii="Times New Roman" w:eastAsiaTheme="minorEastAsia" w:hAnsi="Times New Roman" w:cs="Times New Roman"/>
          <w:sz w:val="28"/>
          <w:szCs w:val="28"/>
        </w:rPr>
        <w:t>воздействием</w:t>
      </w:r>
      <w:r w:rsidR="00D21074">
        <w:rPr>
          <w:rFonts w:ascii="Times New Roman" w:eastAsiaTheme="minorEastAsia" w:hAnsi="Times New Roman" w:cs="Times New Roman"/>
          <w:sz w:val="28"/>
          <w:szCs w:val="28"/>
        </w:rPr>
        <w:t xml:space="preserve"> инфляции.</w:t>
      </w:r>
      <w:r w:rsidR="00870A4D">
        <w:rPr>
          <w:rFonts w:ascii="Times New Roman" w:eastAsiaTheme="minorEastAsia" w:hAnsi="Times New Roman" w:cs="Times New Roman"/>
          <w:sz w:val="28"/>
          <w:szCs w:val="28"/>
        </w:rPr>
        <w:t xml:space="preserve"> Так, темп </w:t>
      </w:r>
      <w:r w:rsidR="00DD66AB">
        <w:rPr>
          <w:rFonts w:ascii="Times New Roman" w:eastAsiaTheme="minorEastAsia" w:hAnsi="Times New Roman" w:cs="Times New Roman"/>
          <w:sz w:val="28"/>
          <w:szCs w:val="28"/>
        </w:rPr>
        <w:t xml:space="preserve">прироста </w:t>
      </w:r>
      <w:r w:rsidR="002D5895">
        <w:rPr>
          <w:rFonts w:ascii="Times New Roman" w:eastAsiaTheme="minorEastAsia" w:hAnsi="Times New Roman" w:cs="Times New Roman"/>
          <w:sz w:val="28"/>
          <w:szCs w:val="28"/>
        </w:rPr>
        <w:t>рассматриваемого показателя</w:t>
      </w:r>
      <w:r w:rsidR="00FD08F8">
        <w:rPr>
          <w:rFonts w:ascii="Times New Roman" w:eastAsiaTheme="minorEastAsia" w:hAnsi="Times New Roman" w:cs="Times New Roman"/>
          <w:sz w:val="28"/>
          <w:szCs w:val="28"/>
        </w:rPr>
        <w:t xml:space="preserve"> во втором квартале </w:t>
      </w:r>
      <w:r w:rsidR="00DD66AB">
        <w:rPr>
          <w:rFonts w:ascii="Times New Roman" w:eastAsiaTheme="minorEastAsia" w:hAnsi="Times New Roman" w:cs="Times New Roman"/>
          <w:sz w:val="28"/>
          <w:szCs w:val="28"/>
        </w:rPr>
        <w:t xml:space="preserve">развития </w:t>
      </w:r>
      <w:r w:rsidR="00FD08F8">
        <w:rPr>
          <w:rFonts w:ascii="Times New Roman" w:eastAsiaTheme="minorEastAsia" w:hAnsi="Times New Roman" w:cs="Times New Roman"/>
          <w:sz w:val="28"/>
          <w:szCs w:val="28"/>
        </w:rPr>
        <w:t>по сра</w:t>
      </w:r>
      <w:r w:rsidR="00FD08F8">
        <w:rPr>
          <w:rFonts w:ascii="Times New Roman" w:eastAsiaTheme="minorEastAsia" w:hAnsi="Times New Roman" w:cs="Times New Roman"/>
          <w:sz w:val="28"/>
          <w:szCs w:val="28"/>
        </w:rPr>
        <w:t>в</w:t>
      </w:r>
      <w:r w:rsidR="00FD08F8">
        <w:rPr>
          <w:rFonts w:ascii="Times New Roman" w:eastAsiaTheme="minorEastAsia" w:hAnsi="Times New Roman" w:cs="Times New Roman"/>
          <w:sz w:val="28"/>
          <w:szCs w:val="28"/>
        </w:rPr>
        <w:t>нению с первым</w:t>
      </w:r>
      <w:r w:rsidR="00DD66AB">
        <w:rPr>
          <w:rFonts w:ascii="Times New Roman" w:eastAsiaTheme="minorEastAsia" w:hAnsi="Times New Roman" w:cs="Times New Roman"/>
          <w:sz w:val="28"/>
          <w:szCs w:val="28"/>
        </w:rPr>
        <w:t xml:space="preserve">, </w:t>
      </w:r>
      <w:r w:rsidR="001955C6">
        <w:rPr>
          <w:rFonts w:ascii="Times New Roman" w:eastAsiaTheme="minorEastAsia" w:hAnsi="Times New Roman" w:cs="Times New Roman"/>
          <w:sz w:val="28"/>
          <w:szCs w:val="28"/>
        </w:rPr>
        <w:t>вычислен</w:t>
      </w:r>
      <w:r w:rsidR="002D5895">
        <w:rPr>
          <w:rFonts w:ascii="Times New Roman" w:eastAsiaTheme="minorEastAsia" w:hAnsi="Times New Roman" w:cs="Times New Roman"/>
          <w:sz w:val="28"/>
          <w:szCs w:val="28"/>
        </w:rPr>
        <w:t xml:space="preserve">ный по выраженным </w:t>
      </w:r>
      <w:r w:rsidR="001955C6">
        <w:rPr>
          <w:rFonts w:ascii="Times New Roman" w:eastAsiaTheme="minorEastAsia" w:hAnsi="Times New Roman" w:cs="Times New Roman"/>
          <w:sz w:val="28"/>
          <w:szCs w:val="28"/>
        </w:rPr>
        <w:t>в постоянных ценах</w:t>
      </w:r>
      <w:r w:rsidR="002D5895">
        <w:rPr>
          <w:rFonts w:ascii="Times New Roman" w:eastAsiaTheme="minorEastAsia" w:hAnsi="Times New Roman" w:cs="Times New Roman"/>
          <w:sz w:val="28"/>
          <w:szCs w:val="28"/>
        </w:rPr>
        <w:t xml:space="preserve"> убы</w:t>
      </w:r>
      <w:r w:rsidR="002D5895">
        <w:rPr>
          <w:rFonts w:ascii="Times New Roman" w:eastAsiaTheme="minorEastAsia" w:hAnsi="Times New Roman" w:cs="Times New Roman"/>
          <w:sz w:val="28"/>
          <w:szCs w:val="28"/>
        </w:rPr>
        <w:t>т</w:t>
      </w:r>
      <w:r w:rsidR="002D5895">
        <w:rPr>
          <w:rFonts w:ascii="Times New Roman" w:eastAsiaTheme="minorEastAsia" w:hAnsi="Times New Roman" w:cs="Times New Roman"/>
          <w:sz w:val="28"/>
          <w:szCs w:val="28"/>
        </w:rPr>
        <w:t>кам</w:t>
      </w:r>
      <w:r w:rsidR="001955C6">
        <w:rPr>
          <w:rFonts w:ascii="Times New Roman" w:eastAsiaTheme="minorEastAsia" w:hAnsi="Times New Roman" w:cs="Times New Roman"/>
          <w:sz w:val="28"/>
          <w:szCs w:val="28"/>
        </w:rPr>
        <w:t xml:space="preserve">, составил 56,50% (в текущих ценах – 59,66%), </w:t>
      </w:r>
      <w:proofErr w:type="gramStart"/>
      <w:r w:rsidR="001955C6">
        <w:rPr>
          <w:rFonts w:ascii="Times New Roman" w:eastAsiaTheme="minorEastAsia" w:hAnsi="Times New Roman" w:cs="Times New Roman"/>
          <w:sz w:val="28"/>
          <w:szCs w:val="28"/>
        </w:rPr>
        <w:t>во</w:t>
      </w:r>
      <w:proofErr w:type="gramEnd"/>
      <w:r w:rsidR="001955C6">
        <w:rPr>
          <w:rFonts w:ascii="Times New Roman" w:eastAsiaTheme="minorEastAsia" w:hAnsi="Times New Roman" w:cs="Times New Roman"/>
          <w:sz w:val="28"/>
          <w:szCs w:val="28"/>
        </w:rPr>
        <w:t xml:space="preserve"> третьем квартале отн</w:t>
      </w:r>
      <w:r w:rsidR="001955C6">
        <w:rPr>
          <w:rFonts w:ascii="Times New Roman" w:eastAsiaTheme="minorEastAsia" w:hAnsi="Times New Roman" w:cs="Times New Roman"/>
          <w:sz w:val="28"/>
          <w:szCs w:val="28"/>
        </w:rPr>
        <w:t>о</w:t>
      </w:r>
      <w:r w:rsidR="001955C6">
        <w:rPr>
          <w:rFonts w:ascii="Times New Roman" w:eastAsiaTheme="minorEastAsia" w:hAnsi="Times New Roman" w:cs="Times New Roman"/>
          <w:sz w:val="28"/>
          <w:szCs w:val="28"/>
        </w:rPr>
        <w:t xml:space="preserve">сительно второго – 1,55% (в текущих ценах – 1,61%). Однако снижение доли неоплаченных на отчетную дату убытков не компенсируется </w:t>
      </w:r>
      <w:r w:rsidR="00E51057">
        <w:rPr>
          <w:rFonts w:ascii="Times New Roman" w:eastAsiaTheme="minorEastAsia" w:hAnsi="Times New Roman" w:cs="Times New Roman"/>
          <w:sz w:val="28"/>
          <w:szCs w:val="28"/>
        </w:rPr>
        <w:t>соответству</w:t>
      </w:r>
      <w:r w:rsidR="00E51057">
        <w:rPr>
          <w:rFonts w:ascii="Times New Roman" w:eastAsiaTheme="minorEastAsia" w:hAnsi="Times New Roman" w:cs="Times New Roman"/>
          <w:sz w:val="28"/>
          <w:szCs w:val="28"/>
        </w:rPr>
        <w:t>ю</w:t>
      </w:r>
      <w:r w:rsidR="00E51057">
        <w:rPr>
          <w:rFonts w:ascii="Times New Roman" w:eastAsiaTheme="minorEastAsia" w:hAnsi="Times New Roman" w:cs="Times New Roman"/>
          <w:sz w:val="28"/>
          <w:szCs w:val="28"/>
        </w:rPr>
        <w:t xml:space="preserve">щим </w:t>
      </w:r>
      <w:r w:rsidR="001955C6">
        <w:rPr>
          <w:rFonts w:ascii="Times New Roman" w:eastAsiaTheme="minorEastAsia" w:hAnsi="Times New Roman" w:cs="Times New Roman"/>
          <w:sz w:val="28"/>
          <w:szCs w:val="28"/>
        </w:rPr>
        <w:t>повышением совокупной стоимости претензий по каждому периоду з</w:t>
      </w:r>
      <w:r w:rsidR="001955C6">
        <w:rPr>
          <w:rFonts w:ascii="Times New Roman" w:eastAsiaTheme="minorEastAsia" w:hAnsi="Times New Roman" w:cs="Times New Roman"/>
          <w:sz w:val="28"/>
          <w:szCs w:val="28"/>
        </w:rPr>
        <w:t>а</w:t>
      </w:r>
      <w:r w:rsidR="001955C6">
        <w:rPr>
          <w:rFonts w:ascii="Times New Roman" w:eastAsiaTheme="minorEastAsia" w:hAnsi="Times New Roman" w:cs="Times New Roman"/>
          <w:sz w:val="28"/>
          <w:szCs w:val="28"/>
        </w:rPr>
        <w:t>рождения под влиянием инфляции, что обуславливает более низкую оценку РПНУ</w:t>
      </w:r>
      <w:r w:rsidR="00883342">
        <w:rPr>
          <w:rFonts w:ascii="Times New Roman" w:eastAsiaTheme="minorEastAsia" w:hAnsi="Times New Roman" w:cs="Times New Roman"/>
          <w:sz w:val="28"/>
          <w:szCs w:val="28"/>
        </w:rPr>
        <w:t xml:space="preserve"> по методу пошагового восхождения, принимающему во внимание н</w:t>
      </w:r>
      <w:r w:rsidR="00883342">
        <w:rPr>
          <w:rFonts w:ascii="Times New Roman" w:eastAsiaTheme="minorEastAsia" w:hAnsi="Times New Roman" w:cs="Times New Roman"/>
          <w:sz w:val="28"/>
          <w:szCs w:val="28"/>
        </w:rPr>
        <w:t>е</w:t>
      </w:r>
      <w:r w:rsidR="00883342">
        <w:rPr>
          <w:rFonts w:ascii="Times New Roman" w:eastAsiaTheme="minorEastAsia" w:hAnsi="Times New Roman" w:cs="Times New Roman"/>
          <w:sz w:val="28"/>
          <w:szCs w:val="28"/>
        </w:rPr>
        <w:t>прерывный рост цен на медицинские услуги, по сравнению со стандартным методом.</w:t>
      </w:r>
    </w:p>
    <w:p w:rsidR="00E51057" w:rsidRPr="00D159A1" w:rsidRDefault="00E51057" w:rsidP="00E7517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Таким образом, </w:t>
      </w:r>
      <w:r w:rsidR="0048755B">
        <w:rPr>
          <w:rFonts w:ascii="Times New Roman" w:hAnsi="Times New Roman" w:cs="Times New Roman"/>
          <w:sz w:val="28"/>
          <w:szCs w:val="28"/>
        </w:rPr>
        <w:t>исходя из результатов</w:t>
      </w:r>
      <w:r w:rsidR="00EA3682">
        <w:rPr>
          <w:rFonts w:ascii="Times New Roman" w:hAnsi="Times New Roman" w:cs="Times New Roman"/>
          <w:sz w:val="28"/>
          <w:szCs w:val="28"/>
        </w:rPr>
        <w:t xml:space="preserve"> ретроспективного </w:t>
      </w:r>
      <w:r w:rsidR="00EA3682">
        <w:rPr>
          <w:rFonts w:ascii="Times New Roman" w:hAnsi="Times New Roman" w:cs="Times New Roman"/>
          <w:sz w:val="28"/>
          <w:szCs w:val="28"/>
          <w:lang w:val="en-GB"/>
        </w:rPr>
        <w:t>run</w:t>
      </w:r>
      <w:r w:rsidR="00EA3682" w:rsidRPr="00EA3682">
        <w:rPr>
          <w:rFonts w:ascii="Times New Roman" w:hAnsi="Times New Roman" w:cs="Times New Roman"/>
          <w:sz w:val="28"/>
          <w:szCs w:val="28"/>
        </w:rPr>
        <w:t>-</w:t>
      </w:r>
      <w:r w:rsidR="00EA3682">
        <w:rPr>
          <w:rFonts w:ascii="Times New Roman" w:hAnsi="Times New Roman" w:cs="Times New Roman"/>
          <w:sz w:val="28"/>
          <w:szCs w:val="28"/>
          <w:lang w:val="en-GB"/>
        </w:rPr>
        <w:t>off</w:t>
      </w:r>
      <w:r w:rsidR="00EA3682" w:rsidRPr="00EA3682">
        <w:rPr>
          <w:rFonts w:ascii="Times New Roman" w:hAnsi="Times New Roman" w:cs="Times New Roman"/>
          <w:sz w:val="28"/>
          <w:szCs w:val="28"/>
        </w:rPr>
        <w:t xml:space="preserve"> </w:t>
      </w:r>
      <w:r w:rsidR="00EA3682">
        <w:rPr>
          <w:rFonts w:ascii="Times New Roman" w:hAnsi="Times New Roman" w:cs="Times New Roman"/>
          <w:sz w:val="28"/>
          <w:szCs w:val="28"/>
        </w:rPr>
        <w:t>анал</w:t>
      </w:r>
      <w:r w:rsidR="00EA3682">
        <w:rPr>
          <w:rFonts w:ascii="Times New Roman" w:hAnsi="Times New Roman" w:cs="Times New Roman"/>
          <w:sz w:val="28"/>
          <w:szCs w:val="28"/>
        </w:rPr>
        <w:t>и</w:t>
      </w:r>
      <w:r w:rsidR="00EA3682">
        <w:rPr>
          <w:rFonts w:ascii="Times New Roman" w:hAnsi="Times New Roman" w:cs="Times New Roman"/>
          <w:sz w:val="28"/>
          <w:szCs w:val="28"/>
        </w:rPr>
        <w:t xml:space="preserve">за можно сделать вывод о том, что </w:t>
      </w:r>
      <w:r>
        <w:rPr>
          <w:rFonts w:ascii="Times New Roman" w:hAnsi="Times New Roman" w:cs="Times New Roman"/>
          <w:sz w:val="28"/>
          <w:szCs w:val="28"/>
        </w:rPr>
        <w:t xml:space="preserve">наиболее предпочтительной оценкой </w:t>
      </w:r>
      <w:r w:rsidR="00EA3682">
        <w:rPr>
          <w:rFonts w:ascii="Times New Roman" w:hAnsi="Times New Roman" w:cs="Times New Roman"/>
          <w:sz w:val="28"/>
          <w:szCs w:val="28"/>
        </w:rPr>
        <w:t>в</w:t>
      </w:r>
      <w:r w:rsidR="00EA3682">
        <w:rPr>
          <w:rFonts w:ascii="Times New Roman" w:hAnsi="Times New Roman" w:cs="Times New Roman"/>
          <w:sz w:val="28"/>
          <w:szCs w:val="28"/>
        </w:rPr>
        <w:t>е</w:t>
      </w:r>
      <w:r w:rsidR="00EA3682">
        <w:rPr>
          <w:rFonts w:ascii="Times New Roman" w:hAnsi="Times New Roman" w:cs="Times New Roman"/>
          <w:sz w:val="28"/>
          <w:szCs w:val="28"/>
        </w:rPr>
        <w:t>личины РПНУ по страховым случаям, произошедшим в период с четвертого квартала 2007 г. по первый квартал 2010 г., была бы оценка по скорректир</w:t>
      </w:r>
      <w:r w:rsidR="00EA3682">
        <w:rPr>
          <w:rFonts w:ascii="Times New Roman" w:hAnsi="Times New Roman" w:cs="Times New Roman"/>
          <w:sz w:val="28"/>
          <w:szCs w:val="28"/>
        </w:rPr>
        <w:t>о</w:t>
      </w:r>
      <w:r w:rsidR="00EA3682">
        <w:rPr>
          <w:rFonts w:ascii="Times New Roman" w:hAnsi="Times New Roman" w:cs="Times New Roman"/>
          <w:sz w:val="28"/>
          <w:szCs w:val="28"/>
        </w:rPr>
        <w:t>ванному с учетом инфляции методу цепной лестницы – наиболее точная ср</w:t>
      </w:r>
      <w:r w:rsidR="00EA3682">
        <w:rPr>
          <w:rFonts w:ascii="Times New Roman" w:hAnsi="Times New Roman" w:cs="Times New Roman"/>
          <w:sz w:val="28"/>
          <w:szCs w:val="28"/>
        </w:rPr>
        <w:t>е</w:t>
      </w:r>
      <w:r w:rsidR="00EA3682">
        <w:rPr>
          <w:rFonts w:ascii="Times New Roman" w:hAnsi="Times New Roman" w:cs="Times New Roman"/>
          <w:sz w:val="28"/>
          <w:szCs w:val="28"/>
        </w:rPr>
        <w:t>ди всех завышенных прогнозных оценок (</w:t>
      </w:r>
      <m:oMath>
        <m:r>
          <w:rPr>
            <w:rFonts w:ascii="Cambria Math" w:hAnsi="Cambria Math" w:cs="Times New Roman"/>
            <w:sz w:val="28"/>
            <w:szCs w:val="28"/>
          </w:rPr>
          <m:t>δ=</m:t>
        </m:r>
      </m:oMath>
      <w:r w:rsidR="00EA3682">
        <w:rPr>
          <w:rFonts w:ascii="Times New Roman" w:eastAsiaTheme="minorEastAsia" w:hAnsi="Times New Roman" w:cs="Times New Roman"/>
          <w:sz w:val="28"/>
          <w:szCs w:val="28"/>
        </w:rPr>
        <w:t>5,52%)</w:t>
      </w:r>
      <w:r w:rsidR="0048755B">
        <w:rPr>
          <w:rFonts w:ascii="Times New Roman" w:eastAsiaTheme="minorEastAsia" w:hAnsi="Times New Roman" w:cs="Times New Roman"/>
          <w:sz w:val="28"/>
          <w:szCs w:val="28"/>
        </w:rPr>
        <w:t>.</w:t>
      </w:r>
      <w:proofErr w:type="gramEnd"/>
    </w:p>
    <w:p w:rsidR="00964D2C" w:rsidRDefault="00964D2C" w:rsidP="00233259">
      <w:pPr>
        <w:spacing w:after="0" w:line="360" w:lineRule="auto"/>
        <w:jc w:val="center"/>
        <w:rPr>
          <w:rFonts w:ascii="Times New Roman" w:hAnsi="Times New Roman" w:cs="Times New Roman"/>
          <w:b/>
          <w:sz w:val="28"/>
          <w:szCs w:val="28"/>
        </w:rPr>
      </w:pPr>
    </w:p>
    <w:p w:rsidR="00382B30" w:rsidRDefault="00382B30" w:rsidP="00233259">
      <w:pPr>
        <w:spacing w:after="0" w:line="360" w:lineRule="auto"/>
        <w:jc w:val="center"/>
        <w:rPr>
          <w:rFonts w:ascii="Times New Roman" w:hAnsi="Times New Roman" w:cs="Times New Roman"/>
          <w:b/>
          <w:sz w:val="28"/>
          <w:szCs w:val="28"/>
        </w:rPr>
        <w:sectPr w:rsidR="00382B30" w:rsidSect="00864DCC">
          <w:pgSz w:w="11906" w:h="16838"/>
          <w:pgMar w:top="1134" w:right="567" w:bottom="1134" w:left="1985" w:header="709" w:footer="709" w:gutter="0"/>
          <w:cols w:space="708"/>
          <w:titlePg/>
          <w:docGrid w:linePitch="360"/>
        </w:sectPr>
      </w:pPr>
    </w:p>
    <w:p w:rsidR="000455B0" w:rsidRPr="009F00A4" w:rsidRDefault="000455B0" w:rsidP="000455B0">
      <w:pPr>
        <w:spacing w:after="0" w:line="360" w:lineRule="auto"/>
        <w:jc w:val="right"/>
        <w:rPr>
          <w:rFonts w:ascii="Times New Roman" w:hAnsi="Times New Roman" w:cs="Times New Roman"/>
          <w:i/>
          <w:sz w:val="26"/>
          <w:szCs w:val="26"/>
        </w:rPr>
      </w:pPr>
      <w:r w:rsidRPr="009F00A4">
        <w:rPr>
          <w:rFonts w:ascii="Times New Roman" w:hAnsi="Times New Roman" w:cs="Times New Roman"/>
          <w:i/>
          <w:sz w:val="26"/>
          <w:szCs w:val="26"/>
        </w:rPr>
        <w:lastRenderedPageBreak/>
        <w:t xml:space="preserve">Таблица </w:t>
      </w:r>
      <w:r w:rsidR="00335959" w:rsidRPr="009F00A4">
        <w:rPr>
          <w:rFonts w:ascii="Times New Roman" w:hAnsi="Times New Roman" w:cs="Times New Roman"/>
          <w:i/>
          <w:sz w:val="26"/>
          <w:szCs w:val="26"/>
        </w:rPr>
        <w:t>27</w:t>
      </w:r>
    </w:p>
    <w:p w:rsidR="000455B0" w:rsidRPr="009F00A4" w:rsidRDefault="000455B0" w:rsidP="000455B0">
      <w:pPr>
        <w:spacing w:after="0" w:line="360" w:lineRule="auto"/>
        <w:jc w:val="center"/>
        <w:rPr>
          <w:sz w:val="26"/>
          <w:szCs w:val="26"/>
        </w:rPr>
      </w:pPr>
      <w:r w:rsidRPr="009F00A4">
        <w:rPr>
          <w:rFonts w:ascii="Times New Roman" w:hAnsi="Times New Roman" w:cs="Times New Roman"/>
          <w:i/>
          <w:sz w:val="26"/>
          <w:szCs w:val="26"/>
        </w:rPr>
        <w:t>Результаты оценивания величины РПНУ анализируемой страховой компании</w:t>
      </w:r>
    </w:p>
    <w:tbl>
      <w:tblPr>
        <w:tblpPr w:leftFromText="180" w:rightFromText="180" w:vertAnchor="text" w:tblpXSpec="center" w:tblpY="1"/>
        <w:tblOverlap w:val="never"/>
        <w:tblW w:w="0" w:type="auto"/>
        <w:tblLook w:val="04A0"/>
      </w:tblPr>
      <w:tblGrid>
        <w:gridCol w:w="598"/>
        <w:gridCol w:w="684"/>
        <w:gridCol w:w="769"/>
        <w:gridCol w:w="769"/>
        <w:gridCol w:w="769"/>
        <w:gridCol w:w="769"/>
        <w:gridCol w:w="896"/>
        <w:gridCol w:w="981"/>
        <w:gridCol w:w="981"/>
        <w:gridCol w:w="981"/>
        <w:gridCol w:w="1066"/>
        <w:gridCol w:w="1066"/>
        <w:gridCol w:w="1011"/>
      </w:tblGrid>
      <w:tr w:rsidR="00382B30" w:rsidRPr="00382B30" w:rsidTr="00944F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i</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color w:val="000000"/>
                <w:lang w:eastAsia="ru-RU"/>
              </w:rPr>
            </w:pPr>
            <w:r w:rsidRPr="00382B30">
              <w:rPr>
                <w:rFonts w:ascii="Times New Roman" w:eastAsia="Times New Roman" w:hAnsi="Times New Roman" w:cs="Times New Roman"/>
                <w:b/>
                <w:color w:val="000000"/>
                <w:lang w:eastAsia="ru-RU"/>
              </w:rPr>
              <w:t>10</w:t>
            </w:r>
          </w:p>
        </w:tc>
        <w:tc>
          <w:tcPr>
            <w:tcW w:w="0" w:type="auto"/>
            <w:tcBorders>
              <w:top w:val="single" w:sz="4" w:space="0" w:color="auto"/>
              <w:left w:val="nil"/>
              <w:bottom w:val="nil"/>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Итого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Вывод</w:t>
            </w:r>
          </w:p>
        </w:tc>
      </w:tr>
      <w:tr w:rsidR="00382B30" w:rsidRPr="00382B30" w:rsidTr="00944F77">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382B30" w:rsidRPr="00382B30" w:rsidRDefault="00382B30" w:rsidP="00944F77">
            <w:pPr>
              <w:spacing w:after="0" w:line="240" w:lineRule="auto"/>
              <w:jc w:val="center"/>
              <w:rPr>
                <w:rFonts w:ascii="Times New Roman" w:eastAsia="Times New Roman" w:hAnsi="Times New Roman" w:cs="Times New Roman"/>
                <w:color w:val="000000"/>
                <w:sz w:val="16"/>
                <w:szCs w:val="16"/>
                <w:lang w:eastAsia="ru-RU"/>
              </w:rPr>
            </w:pPr>
            <w:r w:rsidRPr="00382B30">
              <w:rPr>
                <w:rFonts w:ascii="Times New Roman" w:eastAsia="Times New Roman" w:hAnsi="Times New Roman" w:cs="Times New Roman"/>
                <w:color w:val="000000"/>
                <w:sz w:val="16"/>
                <w:szCs w:val="16"/>
                <w:lang w:eastAsia="ru-RU"/>
              </w:rPr>
              <w:t> </w:t>
            </w:r>
          </w:p>
        </w:tc>
        <w:tc>
          <w:tcPr>
            <w:tcW w:w="0" w:type="auto"/>
            <w:gridSpan w:val="11"/>
            <w:tcBorders>
              <w:top w:val="single" w:sz="4" w:space="0" w:color="auto"/>
              <w:left w:val="nil"/>
              <w:bottom w:val="single" w:sz="4" w:space="0" w:color="auto"/>
              <w:right w:val="single" w:sz="4" w:space="0" w:color="000000"/>
            </w:tcBorders>
            <w:shd w:val="clear" w:color="000000" w:fill="EAF1DD"/>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Фактические данные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2B30" w:rsidRPr="00382B30" w:rsidRDefault="00382B30" w:rsidP="00944F77">
            <w:pPr>
              <w:spacing w:after="0" w:line="240" w:lineRule="auto"/>
              <w:rPr>
                <w:rFonts w:ascii="Times New Roman" w:eastAsia="Times New Roman" w:hAnsi="Times New Roman" w:cs="Times New Roman"/>
                <w:b/>
                <w:bCs/>
                <w:color w:val="000000"/>
                <w:sz w:val="16"/>
                <w:szCs w:val="16"/>
                <w:lang w:eastAsia="ru-RU"/>
              </w:rPr>
            </w:pPr>
          </w:p>
        </w:tc>
      </w:tr>
      <w:tr w:rsidR="00382B30" w:rsidRPr="00382B30" w:rsidTr="00944F77">
        <w:trPr>
          <w:trHeight w:val="300"/>
        </w:trPr>
        <w:tc>
          <w:tcPr>
            <w:tcW w:w="0" w:type="auto"/>
            <w:vMerge/>
            <w:tcBorders>
              <w:top w:val="nil"/>
              <w:left w:val="single" w:sz="4" w:space="0" w:color="auto"/>
              <w:bottom w:val="single" w:sz="4" w:space="0" w:color="auto"/>
              <w:right w:val="single" w:sz="4" w:space="0" w:color="auto"/>
            </w:tcBorders>
            <w:vAlign w:val="center"/>
            <w:hideMark/>
          </w:tcPr>
          <w:p w:rsidR="00382B30" w:rsidRPr="00382B30" w:rsidRDefault="00382B30" w:rsidP="00944F77">
            <w:pPr>
              <w:spacing w:after="0" w:line="240" w:lineRule="auto"/>
              <w:rPr>
                <w:rFonts w:ascii="Times New Roman" w:eastAsia="Times New Roman" w:hAnsi="Times New Roman" w:cs="Times New Roman"/>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164 924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116 830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48 390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74 890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137 066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32 367 770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38 853 565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37 193 778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463 219 040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572 261 362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82B30" w:rsidRPr="00382B30" w:rsidRDefault="00382B30" w:rsidP="00944F77">
            <w:pPr>
              <w:spacing w:after="0" w:line="240" w:lineRule="auto"/>
              <w:rPr>
                <w:rFonts w:ascii="Times New Roman" w:eastAsia="Times New Roman" w:hAnsi="Times New Roman" w:cs="Times New Roman"/>
                <w:b/>
                <w:bCs/>
                <w:color w:val="000000"/>
                <w:sz w:val="16"/>
                <w:szCs w:val="16"/>
                <w:lang w:eastAsia="ru-RU"/>
              </w:rPr>
            </w:pPr>
          </w:p>
        </w:tc>
      </w:tr>
      <w:tr w:rsidR="00382B30" w:rsidRPr="00382B30" w:rsidTr="00944F7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Метод цепной лестницы</w:t>
            </w:r>
          </w:p>
        </w:tc>
      </w:tr>
      <w:tr w:rsidR="00382B30" w:rsidRPr="00382B30" w:rsidTr="00944F77">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R</w:t>
            </w:r>
            <w:r w:rsidRPr="00382B30">
              <w:rPr>
                <w:rFonts w:ascii="Times New Roman" w:eastAsia="Times New Roman" w:hAnsi="Times New Roman" w:cs="Times New Roman"/>
                <w:b/>
                <w:bCs/>
                <w:color w:val="000000"/>
                <w:vertAlign w:val="subscript"/>
                <w:lang w:eastAsia="ru-RU"/>
              </w:rPr>
              <w:t>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14 764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140 026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227 083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333 682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990 926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1 613 350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4 196 485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27 234 836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590 289 353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625 040 504</w:t>
            </w:r>
          </w:p>
        </w:tc>
        <w:tc>
          <w:tcPr>
            <w:tcW w:w="0" w:type="auto"/>
            <w:tcBorders>
              <w:top w:val="nil"/>
              <w:left w:val="nil"/>
              <w:bottom w:val="single" w:sz="4" w:space="0" w:color="auto"/>
              <w:right w:val="single" w:sz="4" w:space="0" w:color="auto"/>
            </w:tcBorders>
            <w:shd w:val="clear" w:color="000000" w:fill="EAF1DD"/>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завышена</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seR</w:t>
            </w:r>
            <w:r w:rsidRPr="00382B30">
              <w:rPr>
                <w:rFonts w:ascii="Times New Roman" w:eastAsia="Times New Roman" w:hAnsi="Times New Roman" w:cs="Times New Roman"/>
                <w:b/>
                <w:bCs/>
                <w:color w:val="000000"/>
                <w:vertAlign w:val="subscript"/>
                <w:lang w:eastAsia="ru-RU"/>
              </w:rPr>
              <w:t>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150 160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23 196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178 693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258 792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853 860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30 754 420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34 657 080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9 958 942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127 070 313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52 779 142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δ=9,22%</w:t>
            </w:r>
          </w:p>
        </w:tc>
      </w:tr>
      <w:tr w:rsidR="00382B30" w:rsidRPr="00382B30" w:rsidTr="00944F7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Метод Борнхуеттера-Фергюсона</w:t>
            </w:r>
          </w:p>
        </w:tc>
      </w:tr>
      <w:tr w:rsidR="00382B30" w:rsidRPr="00382B30" w:rsidTr="00944F77">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382B30" w:rsidRPr="00382B30" w:rsidRDefault="00944F77"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R</w:t>
            </w:r>
            <w:r w:rsidRPr="00382B30">
              <w:rPr>
                <w:rFonts w:ascii="Times New Roman" w:eastAsia="Times New Roman" w:hAnsi="Times New Roman" w:cs="Times New Roman"/>
                <w:b/>
                <w:bCs/>
                <w:color w:val="000000"/>
                <w:vertAlign w:val="subscript"/>
                <w:lang w:eastAsia="ru-RU"/>
              </w:rPr>
              <w:t>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16 069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147 178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246 057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351 036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1 026 581</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1 677 982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4 620 739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26 600 718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537 434 746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572 121 106</w:t>
            </w:r>
          </w:p>
        </w:tc>
        <w:tc>
          <w:tcPr>
            <w:tcW w:w="0" w:type="auto"/>
            <w:tcBorders>
              <w:top w:val="nil"/>
              <w:left w:val="nil"/>
              <w:bottom w:val="single" w:sz="4" w:space="0" w:color="auto"/>
              <w:right w:val="single" w:sz="4" w:space="0" w:color="auto"/>
            </w:tcBorders>
            <w:shd w:val="clear" w:color="000000" w:fill="F2DDDC"/>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занижена</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382B30" w:rsidRDefault="00944F77"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seR</w:t>
            </w:r>
            <w:r w:rsidRPr="00382B30">
              <w:rPr>
                <w:rFonts w:ascii="Times New Roman" w:eastAsia="Times New Roman" w:hAnsi="Times New Roman" w:cs="Times New Roman"/>
                <w:b/>
                <w:bCs/>
                <w:color w:val="000000"/>
                <w:vertAlign w:val="subscript"/>
                <w:lang w:eastAsia="ru-RU"/>
              </w:rPr>
              <w:t>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148 855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30 348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197 667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276 146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889 515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30 689 788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34 232 827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10 593 059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74 215 706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140 257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δ=</w:t>
            </w:r>
            <w:r w:rsidR="00890440" w:rsidRPr="00944F77">
              <w:rPr>
                <w:rFonts w:ascii="Times New Roman" w:eastAsia="Times New Roman" w:hAnsi="Times New Roman" w:cs="Times New Roman"/>
                <w:b/>
                <w:color w:val="000000"/>
                <w:sz w:val="17"/>
                <w:szCs w:val="17"/>
                <w:lang w:eastAsia="ru-RU"/>
              </w:rPr>
              <w:t>-</w:t>
            </w:r>
            <w:r w:rsidRPr="00944F77">
              <w:rPr>
                <w:rFonts w:ascii="Times New Roman" w:eastAsia="Times New Roman" w:hAnsi="Times New Roman" w:cs="Times New Roman"/>
                <w:b/>
                <w:color w:val="000000"/>
                <w:sz w:val="17"/>
                <w:szCs w:val="17"/>
                <w:lang w:eastAsia="ru-RU"/>
              </w:rPr>
              <w:t>0,02%</w:t>
            </w:r>
          </w:p>
        </w:tc>
      </w:tr>
      <w:tr w:rsidR="00382B30" w:rsidRPr="00382B30" w:rsidTr="00944F7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Мультипликативный метод</w:t>
            </w:r>
          </w:p>
        </w:tc>
      </w:tr>
      <w:tr w:rsidR="00382B30" w:rsidRPr="00382B30" w:rsidTr="00944F77">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382B30" w:rsidRPr="00382B30" w:rsidRDefault="00944F77"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R</w:t>
            </w:r>
            <w:r w:rsidRPr="00382B30">
              <w:rPr>
                <w:rFonts w:ascii="Times New Roman" w:eastAsia="Times New Roman" w:hAnsi="Times New Roman" w:cs="Times New Roman"/>
                <w:b/>
                <w:bCs/>
                <w:color w:val="000000"/>
                <w:vertAlign w:val="subscript"/>
                <w:lang w:eastAsia="ru-RU"/>
              </w:rPr>
              <w:t>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12 145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143 104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222 506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375 727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623 193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1 461 633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4 003 578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31 268 311</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507 876 603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545 986 800</w:t>
            </w:r>
          </w:p>
        </w:tc>
        <w:tc>
          <w:tcPr>
            <w:tcW w:w="0" w:type="auto"/>
            <w:tcBorders>
              <w:top w:val="nil"/>
              <w:left w:val="nil"/>
              <w:bottom w:val="single" w:sz="4" w:space="0" w:color="auto"/>
              <w:right w:val="single" w:sz="4" w:space="0" w:color="auto"/>
            </w:tcBorders>
            <w:shd w:val="clear" w:color="000000" w:fill="F2DDDC"/>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занижена</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382B30" w:rsidRDefault="00944F77"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seR</w:t>
            </w:r>
            <w:r w:rsidRPr="00382B30">
              <w:rPr>
                <w:rFonts w:ascii="Times New Roman" w:eastAsia="Times New Roman" w:hAnsi="Times New Roman" w:cs="Times New Roman"/>
                <w:b/>
                <w:bCs/>
                <w:color w:val="000000"/>
                <w:vertAlign w:val="subscript"/>
                <w:lang w:eastAsia="ru-RU"/>
              </w:rPr>
              <w:t>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152 779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26 274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174 116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300 837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486 127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30 906 137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34 849 987</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5 925 466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44 657 563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26 274 562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δ=</w:t>
            </w:r>
            <w:r w:rsidR="00890440" w:rsidRPr="00944F77">
              <w:rPr>
                <w:rFonts w:ascii="Times New Roman" w:eastAsia="Times New Roman" w:hAnsi="Times New Roman" w:cs="Times New Roman"/>
                <w:b/>
                <w:color w:val="000000"/>
                <w:sz w:val="17"/>
                <w:szCs w:val="17"/>
                <w:lang w:eastAsia="ru-RU"/>
              </w:rPr>
              <w:t>-</w:t>
            </w:r>
            <w:r w:rsidRPr="00944F77">
              <w:rPr>
                <w:rFonts w:ascii="Times New Roman" w:eastAsia="Times New Roman" w:hAnsi="Times New Roman" w:cs="Times New Roman"/>
                <w:b/>
                <w:color w:val="000000"/>
                <w:sz w:val="17"/>
                <w:szCs w:val="17"/>
                <w:lang w:eastAsia="ru-RU"/>
              </w:rPr>
              <w:t>4,59%</w:t>
            </w:r>
          </w:p>
        </w:tc>
      </w:tr>
      <w:tr w:rsidR="00382B30" w:rsidRPr="00382B30" w:rsidTr="00944F7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sz w:val="16"/>
                <w:szCs w:val="16"/>
                <w:lang w:eastAsia="ru-RU"/>
              </w:rPr>
            </w:pPr>
            <w:r w:rsidRPr="00382B30">
              <w:rPr>
                <w:rFonts w:ascii="Times New Roman" w:eastAsia="Times New Roman" w:hAnsi="Times New Roman" w:cs="Times New Roman"/>
                <w:b/>
                <w:bCs/>
                <w:color w:val="000000"/>
                <w:lang w:eastAsia="ru-RU"/>
              </w:rPr>
              <w:t>Скорректированный с учетом инфляции метод цепной лестницы</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E4A7E" w:rsidRDefault="00944F77"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R</w:t>
            </w:r>
            <w:r w:rsidRPr="00382B30">
              <w:rPr>
                <w:rFonts w:ascii="Times New Roman" w:eastAsia="Times New Roman" w:hAnsi="Times New Roman" w:cs="Times New Roman"/>
                <w:b/>
                <w:bCs/>
                <w:color w:val="000000"/>
                <w:vertAlign w:val="subscript"/>
                <w:lang w:eastAsia="ru-RU"/>
              </w:rPr>
              <w:t>i</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14 131</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136 995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217 344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316 936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901 174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1 492 024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4 073 304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27 234 972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569 470 752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603 857 632</w:t>
            </w:r>
          </w:p>
        </w:tc>
        <w:tc>
          <w:tcPr>
            <w:tcW w:w="0" w:type="auto"/>
            <w:tcBorders>
              <w:top w:val="nil"/>
              <w:left w:val="nil"/>
              <w:bottom w:val="single" w:sz="4" w:space="0" w:color="auto"/>
              <w:right w:val="single" w:sz="4" w:space="0" w:color="auto"/>
            </w:tcBorders>
            <w:shd w:val="clear" w:color="000000" w:fill="EAF1DD"/>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завышена</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E4A7E" w:rsidRDefault="00944F77"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seR</w:t>
            </w:r>
            <w:r w:rsidRPr="00382B30">
              <w:rPr>
                <w:rFonts w:ascii="Times New Roman" w:eastAsia="Times New Roman" w:hAnsi="Times New Roman" w:cs="Times New Roman"/>
                <w:b/>
                <w:bCs/>
                <w:color w:val="000000"/>
                <w:vertAlign w:val="subscript"/>
                <w:lang w:eastAsia="ru-RU"/>
              </w:rPr>
              <w:t>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150 793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20 165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168 954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242 046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764 108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30 875 746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34 780 261</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9 958 805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106 251 712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31 596 270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δ=5,52%</w:t>
            </w:r>
          </w:p>
        </w:tc>
      </w:tr>
      <w:tr w:rsidR="00382B30" w:rsidRPr="00382B30" w:rsidTr="00944F7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sz w:val="16"/>
                <w:szCs w:val="16"/>
                <w:lang w:eastAsia="ru-RU"/>
              </w:rPr>
            </w:pPr>
            <w:r w:rsidRPr="00382B30">
              <w:rPr>
                <w:rFonts w:ascii="Times New Roman" w:eastAsia="Times New Roman" w:hAnsi="Times New Roman" w:cs="Times New Roman"/>
                <w:b/>
                <w:bCs/>
                <w:color w:val="000000"/>
                <w:lang w:eastAsia="ru-RU"/>
              </w:rPr>
              <w:t>Скорректированный с учетом инфляции мультипликативный метод</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E4A7E" w:rsidRDefault="00944F77"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R</w:t>
            </w:r>
            <w:r w:rsidRPr="00382B30">
              <w:rPr>
                <w:rFonts w:ascii="Times New Roman" w:eastAsia="Times New Roman" w:hAnsi="Times New Roman" w:cs="Times New Roman"/>
                <w:b/>
                <w:bCs/>
                <w:color w:val="000000"/>
                <w:vertAlign w:val="subscript"/>
                <w:lang w:eastAsia="ru-RU"/>
              </w:rPr>
              <w:t>i</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11 436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141 302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209 066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352 618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511 599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1 282 216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3 814 479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31 678 330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469 425 083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507 426 127</w:t>
            </w:r>
          </w:p>
        </w:tc>
        <w:tc>
          <w:tcPr>
            <w:tcW w:w="0" w:type="auto"/>
            <w:tcBorders>
              <w:top w:val="nil"/>
              <w:left w:val="nil"/>
              <w:bottom w:val="single" w:sz="4" w:space="0" w:color="auto"/>
              <w:right w:val="single" w:sz="4" w:space="0" w:color="auto"/>
            </w:tcBorders>
            <w:shd w:val="clear" w:color="000000" w:fill="F2DDDC"/>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занижена</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E4A7E" w:rsidRDefault="00944F77"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seR</w:t>
            </w:r>
            <w:r w:rsidRPr="00382B30">
              <w:rPr>
                <w:rFonts w:ascii="Times New Roman" w:eastAsia="Times New Roman" w:hAnsi="Times New Roman" w:cs="Times New Roman"/>
                <w:b/>
                <w:bCs/>
                <w:color w:val="000000"/>
                <w:vertAlign w:val="subscript"/>
                <w:lang w:eastAsia="ru-RU"/>
              </w:rPr>
              <w:t>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153 488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24 472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160 676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277 728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374 533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31 085 554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35 039 086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5 515 448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6 206 043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64 835 235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δ=</w:t>
            </w:r>
            <w:r w:rsidR="00890440" w:rsidRPr="00944F77">
              <w:rPr>
                <w:rFonts w:ascii="Times New Roman" w:eastAsia="Times New Roman" w:hAnsi="Times New Roman" w:cs="Times New Roman"/>
                <w:b/>
                <w:color w:val="000000"/>
                <w:sz w:val="17"/>
                <w:szCs w:val="17"/>
                <w:lang w:eastAsia="ru-RU"/>
              </w:rPr>
              <w:t>-</w:t>
            </w:r>
            <w:r w:rsidRPr="00944F77">
              <w:rPr>
                <w:rFonts w:ascii="Times New Roman" w:eastAsia="Times New Roman" w:hAnsi="Times New Roman" w:cs="Times New Roman"/>
                <w:b/>
                <w:color w:val="000000"/>
                <w:sz w:val="17"/>
                <w:szCs w:val="17"/>
                <w:lang w:eastAsia="ru-RU"/>
              </w:rPr>
              <w:t>11,33%</w:t>
            </w:r>
          </w:p>
        </w:tc>
      </w:tr>
      <w:tr w:rsidR="00382B30" w:rsidRPr="00382B30" w:rsidTr="00944F77">
        <w:trPr>
          <w:trHeight w:val="300"/>
        </w:trPr>
        <w:tc>
          <w:tcPr>
            <w:tcW w:w="0" w:type="auto"/>
            <w:gridSpan w:val="13"/>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382B30" w:rsidRPr="00382B30" w:rsidRDefault="00382B30" w:rsidP="00944F77">
            <w:pPr>
              <w:spacing w:after="0" w:line="240" w:lineRule="auto"/>
              <w:jc w:val="center"/>
              <w:rPr>
                <w:rFonts w:ascii="Times New Roman" w:eastAsia="Times New Roman" w:hAnsi="Times New Roman" w:cs="Times New Roman"/>
                <w:b/>
                <w:bCs/>
                <w:color w:val="000000"/>
                <w:sz w:val="16"/>
                <w:szCs w:val="16"/>
                <w:lang w:eastAsia="ru-RU"/>
              </w:rPr>
            </w:pPr>
            <w:r w:rsidRPr="00382B30">
              <w:rPr>
                <w:rFonts w:ascii="Times New Roman" w:eastAsia="Times New Roman" w:hAnsi="Times New Roman" w:cs="Times New Roman"/>
                <w:b/>
                <w:bCs/>
                <w:color w:val="000000"/>
                <w:lang w:eastAsia="ru-RU"/>
              </w:rPr>
              <w:t>Метод на основе финансовых потоков по календарным кварталам</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E4A7E" w:rsidRDefault="00944F77" w:rsidP="00944F77">
            <w:pPr>
              <w:spacing w:after="0" w:line="240" w:lineRule="auto"/>
              <w:jc w:val="center"/>
              <w:rPr>
                <w:rFonts w:ascii="Times New Roman" w:eastAsia="Times New Roman" w:hAnsi="Times New Roman" w:cs="Times New Roman"/>
                <w:b/>
                <w:bCs/>
                <w:color w:val="000000"/>
                <w:lang w:eastAsia="ru-RU"/>
              </w:rPr>
            </w:pPr>
            <w:r w:rsidRPr="00382B30">
              <w:rPr>
                <w:rFonts w:ascii="Times New Roman" w:eastAsia="Times New Roman" w:hAnsi="Times New Roman" w:cs="Times New Roman"/>
                <w:b/>
                <w:bCs/>
                <w:color w:val="000000"/>
                <w:lang w:eastAsia="ru-RU"/>
              </w:rPr>
              <w:t>R</w:t>
            </w:r>
            <w:r w:rsidRPr="00382B30">
              <w:rPr>
                <w:rFonts w:ascii="Times New Roman" w:eastAsia="Times New Roman" w:hAnsi="Times New Roman" w:cs="Times New Roman"/>
                <w:b/>
                <w:bCs/>
                <w:color w:val="000000"/>
                <w:vertAlign w:val="subscript"/>
                <w:lang w:eastAsia="ru-RU"/>
              </w:rPr>
              <w:t>i</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right"/>
              <w:rPr>
                <w:rFonts w:ascii="Times New Roman" w:eastAsia="Times New Roman" w:hAnsi="Times New Roman" w:cs="Times New Roman"/>
                <w:color w:val="000000"/>
                <w:sz w:val="16"/>
                <w:szCs w:val="16"/>
                <w:lang w:eastAsia="ru-RU"/>
              </w:rPr>
            </w:pPr>
            <w:r w:rsidRPr="00382B30">
              <w:rPr>
                <w:rFonts w:ascii="Times New Roman" w:eastAsia="Times New Roman" w:hAnsi="Times New Roman" w:cs="Times New Roman"/>
                <w:color w:val="000000"/>
                <w:sz w:val="16"/>
                <w:szCs w:val="16"/>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22 119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191 033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280 874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360 840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1 040 994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1 683 675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5 014 866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30 388 602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581 700 202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620 683 205</w:t>
            </w:r>
          </w:p>
        </w:tc>
        <w:tc>
          <w:tcPr>
            <w:tcW w:w="0" w:type="auto"/>
            <w:tcBorders>
              <w:top w:val="nil"/>
              <w:left w:val="nil"/>
              <w:bottom w:val="single" w:sz="4" w:space="0" w:color="auto"/>
              <w:right w:val="single" w:sz="4" w:space="0" w:color="auto"/>
            </w:tcBorders>
            <w:shd w:val="clear" w:color="000000" w:fill="EAF1DD"/>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завышена</w:t>
            </w:r>
          </w:p>
        </w:tc>
      </w:tr>
      <w:tr w:rsidR="00382B30" w:rsidRPr="00382B30" w:rsidTr="00944F7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82B30" w:rsidRPr="009E4A7E" w:rsidRDefault="00944F77" w:rsidP="00944F77">
            <w:pPr>
              <w:spacing w:after="0" w:line="240" w:lineRule="auto"/>
              <w:jc w:val="center"/>
              <w:rPr>
                <w:rFonts w:ascii="Times New Roman" w:eastAsia="Times New Roman" w:hAnsi="Times New Roman" w:cs="Times New Roman"/>
                <w:b/>
                <w:bCs/>
                <w:color w:val="000000"/>
                <w:lang w:eastAsia="ru-RU"/>
              </w:rPr>
            </w:pPr>
            <w:proofErr w:type="spellStart"/>
            <w:r w:rsidRPr="00382B30">
              <w:rPr>
                <w:rFonts w:ascii="Times New Roman" w:eastAsia="Times New Roman" w:hAnsi="Times New Roman" w:cs="Times New Roman"/>
                <w:b/>
                <w:bCs/>
                <w:color w:val="000000"/>
                <w:lang w:eastAsia="ru-RU"/>
              </w:rPr>
              <w:t>seR</w:t>
            </w:r>
            <w:r w:rsidRPr="00382B30">
              <w:rPr>
                <w:rFonts w:ascii="Times New Roman" w:eastAsia="Times New Roman" w:hAnsi="Times New Roman" w:cs="Times New Roman"/>
                <w:b/>
                <w:bCs/>
                <w:color w:val="000000"/>
                <w:vertAlign w:val="subscript"/>
                <w:lang w:eastAsia="ru-RU"/>
              </w:rPr>
              <w:t>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82B30" w:rsidRPr="00382B30" w:rsidRDefault="00382B30" w:rsidP="00944F77">
            <w:pPr>
              <w:spacing w:after="0" w:line="240" w:lineRule="auto"/>
              <w:jc w:val="right"/>
              <w:rPr>
                <w:rFonts w:ascii="Times New Roman" w:eastAsia="Times New Roman" w:hAnsi="Times New Roman" w:cs="Times New Roman"/>
                <w:color w:val="000000"/>
                <w:sz w:val="16"/>
                <w:szCs w:val="16"/>
                <w:lang w:eastAsia="ru-RU"/>
              </w:rPr>
            </w:pPr>
            <w:r w:rsidRPr="00382B30">
              <w:rPr>
                <w:rFonts w:ascii="Times New Roman" w:eastAsia="Times New Roman" w:hAnsi="Times New Roman" w:cs="Times New Roman"/>
                <w:color w:val="000000"/>
                <w:sz w:val="16"/>
                <w:szCs w:val="16"/>
                <w:lang w:eastAsia="ru-RU"/>
              </w:rPr>
              <w:t>85 110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142 805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74 203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232 484</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285 950</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903 928</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30 684 095</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33 838 699</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6 805 176</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color w:val="000000"/>
                <w:sz w:val="17"/>
                <w:szCs w:val="17"/>
                <w:lang w:eastAsia="ru-RU"/>
              </w:rPr>
            </w:pPr>
            <w:r w:rsidRPr="00944F77">
              <w:rPr>
                <w:rFonts w:ascii="Times New Roman" w:eastAsia="Times New Roman" w:hAnsi="Times New Roman" w:cs="Times New Roman"/>
                <w:color w:val="000000"/>
                <w:sz w:val="17"/>
                <w:szCs w:val="17"/>
                <w:lang w:eastAsia="ru-RU"/>
              </w:rPr>
              <w:t>118 481 162</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right"/>
              <w:rPr>
                <w:rFonts w:ascii="Times New Roman" w:eastAsia="Times New Roman" w:hAnsi="Times New Roman" w:cs="Times New Roman"/>
                <w:b/>
                <w:bCs/>
                <w:color w:val="000000"/>
                <w:sz w:val="17"/>
                <w:szCs w:val="17"/>
                <w:lang w:eastAsia="ru-RU"/>
              </w:rPr>
            </w:pPr>
            <w:r w:rsidRPr="00944F77">
              <w:rPr>
                <w:rFonts w:ascii="Times New Roman" w:eastAsia="Times New Roman" w:hAnsi="Times New Roman" w:cs="Times New Roman"/>
                <w:b/>
                <w:bCs/>
                <w:color w:val="000000"/>
                <w:sz w:val="17"/>
                <w:szCs w:val="17"/>
                <w:lang w:eastAsia="ru-RU"/>
              </w:rPr>
              <w:t>48 421 843</w:t>
            </w:r>
          </w:p>
        </w:tc>
        <w:tc>
          <w:tcPr>
            <w:tcW w:w="0" w:type="auto"/>
            <w:tcBorders>
              <w:top w:val="nil"/>
              <w:left w:val="nil"/>
              <w:bottom w:val="single" w:sz="4" w:space="0" w:color="auto"/>
              <w:right w:val="single" w:sz="4" w:space="0" w:color="auto"/>
            </w:tcBorders>
            <w:shd w:val="clear" w:color="auto" w:fill="auto"/>
            <w:noWrap/>
            <w:vAlign w:val="center"/>
            <w:hideMark/>
          </w:tcPr>
          <w:p w:rsidR="00382B30" w:rsidRPr="00944F77" w:rsidRDefault="00382B30" w:rsidP="00944F77">
            <w:pPr>
              <w:spacing w:after="0" w:line="240" w:lineRule="auto"/>
              <w:jc w:val="center"/>
              <w:rPr>
                <w:rFonts w:ascii="Times New Roman" w:eastAsia="Times New Roman" w:hAnsi="Times New Roman" w:cs="Times New Roman"/>
                <w:b/>
                <w:color w:val="000000"/>
                <w:sz w:val="17"/>
                <w:szCs w:val="17"/>
                <w:lang w:eastAsia="ru-RU"/>
              </w:rPr>
            </w:pPr>
            <w:r w:rsidRPr="00944F77">
              <w:rPr>
                <w:rFonts w:ascii="Times New Roman" w:eastAsia="Times New Roman" w:hAnsi="Times New Roman" w:cs="Times New Roman"/>
                <w:b/>
                <w:color w:val="000000"/>
                <w:sz w:val="17"/>
                <w:szCs w:val="17"/>
                <w:lang w:eastAsia="ru-RU"/>
              </w:rPr>
              <w:t>δ=8,46%</w:t>
            </w:r>
          </w:p>
        </w:tc>
      </w:tr>
    </w:tbl>
    <w:p w:rsidR="00382B30" w:rsidRDefault="00944F77" w:rsidP="0023325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textWrapping" w:clear="all"/>
      </w:r>
    </w:p>
    <w:p w:rsidR="00382B30" w:rsidRDefault="00382B30" w:rsidP="00233259">
      <w:pPr>
        <w:spacing w:after="0" w:line="360" w:lineRule="auto"/>
        <w:jc w:val="center"/>
        <w:rPr>
          <w:rFonts w:ascii="Times New Roman" w:hAnsi="Times New Roman" w:cs="Times New Roman"/>
          <w:b/>
          <w:sz w:val="28"/>
          <w:szCs w:val="28"/>
        </w:rPr>
        <w:sectPr w:rsidR="00382B30" w:rsidSect="00382B30">
          <w:pgSz w:w="16838" w:h="11906" w:orient="landscape"/>
          <w:pgMar w:top="1985" w:right="1134" w:bottom="567" w:left="1134" w:header="709" w:footer="709" w:gutter="0"/>
          <w:cols w:space="708"/>
          <w:titlePg/>
          <w:docGrid w:linePitch="360"/>
        </w:sectPr>
      </w:pPr>
    </w:p>
    <w:p w:rsidR="0048755B" w:rsidRDefault="0048755B" w:rsidP="00EA35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Выводы по Главе 3</w:t>
      </w:r>
    </w:p>
    <w:p w:rsidR="00F847C3" w:rsidRPr="00533569" w:rsidRDefault="00304193" w:rsidP="00F847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моделирования «медицинской инфляции» в Российской Фед</w:t>
      </w:r>
      <w:r>
        <w:rPr>
          <w:rFonts w:ascii="Times New Roman" w:hAnsi="Times New Roman" w:cs="Times New Roman"/>
          <w:sz w:val="28"/>
          <w:szCs w:val="28"/>
        </w:rPr>
        <w:t>е</w:t>
      </w:r>
      <w:r>
        <w:rPr>
          <w:rFonts w:ascii="Times New Roman" w:hAnsi="Times New Roman" w:cs="Times New Roman"/>
          <w:sz w:val="28"/>
          <w:szCs w:val="28"/>
        </w:rPr>
        <w:t xml:space="preserve">рации было выявлено, что цены на медицинские услуги растут ускоренными </w:t>
      </w:r>
      <w:r w:rsidR="009A5EA1">
        <w:rPr>
          <w:rFonts w:ascii="Times New Roman" w:hAnsi="Times New Roman" w:cs="Times New Roman"/>
          <w:sz w:val="28"/>
          <w:szCs w:val="28"/>
        </w:rPr>
        <w:t xml:space="preserve">темпами </w:t>
      </w:r>
      <w:r>
        <w:rPr>
          <w:rFonts w:ascii="Times New Roman" w:hAnsi="Times New Roman" w:cs="Times New Roman"/>
          <w:sz w:val="28"/>
          <w:szCs w:val="28"/>
        </w:rPr>
        <w:t>в первом квартале в сравнении с темпам</w:t>
      </w:r>
      <w:r w:rsidR="009A5EA1">
        <w:rPr>
          <w:rFonts w:ascii="Times New Roman" w:hAnsi="Times New Roman" w:cs="Times New Roman"/>
          <w:sz w:val="28"/>
          <w:szCs w:val="28"/>
        </w:rPr>
        <w:t>и</w:t>
      </w:r>
      <w:r>
        <w:rPr>
          <w:rFonts w:ascii="Times New Roman" w:hAnsi="Times New Roman" w:cs="Times New Roman"/>
          <w:sz w:val="28"/>
          <w:szCs w:val="28"/>
        </w:rPr>
        <w:t xml:space="preserve"> прироста в летние месяцы и в конце года. Остатки</w:t>
      </w:r>
      <w:r w:rsidR="00AA5D35">
        <w:rPr>
          <w:rFonts w:ascii="Times New Roman" w:hAnsi="Times New Roman" w:cs="Times New Roman"/>
          <w:sz w:val="28"/>
          <w:szCs w:val="28"/>
        </w:rPr>
        <w:t xml:space="preserve"> построенной </w:t>
      </w:r>
      <w:r w:rsidR="009A5EA1">
        <w:rPr>
          <w:rFonts w:ascii="Times New Roman" w:hAnsi="Times New Roman" w:cs="Times New Roman"/>
          <w:sz w:val="28"/>
          <w:szCs w:val="28"/>
          <w:lang w:val="en-GB"/>
        </w:rPr>
        <w:t>ARIMA</w:t>
      </w:r>
      <w:r w:rsidR="009A5EA1" w:rsidRPr="009A5EA1">
        <w:rPr>
          <w:rFonts w:ascii="Times New Roman" w:hAnsi="Times New Roman" w:cs="Times New Roman"/>
          <w:sz w:val="28"/>
          <w:szCs w:val="28"/>
        </w:rPr>
        <w:t>-</w:t>
      </w:r>
      <w:r w:rsidR="00AA5D35">
        <w:rPr>
          <w:rFonts w:ascii="Times New Roman" w:hAnsi="Times New Roman" w:cs="Times New Roman"/>
          <w:sz w:val="28"/>
          <w:szCs w:val="28"/>
        </w:rPr>
        <w:t xml:space="preserve">модели временного </w:t>
      </w:r>
      <w:r w:rsidR="009A5EA1">
        <w:rPr>
          <w:rFonts w:ascii="Times New Roman" w:hAnsi="Times New Roman" w:cs="Times New Roman"/>
          <w:sz w:val="28"/>
          <w:szCs w:val="28"/>
        </w:rPr>
        <w:t xml:space="preserve">ряда </w:t>
      </w:r>
      <w:r w:rsidR="00AA5D35">
        <w:rPr>
          <w:rFonts w:ascii="Times New Roman" w:hAnsi="Times New Roman" w:cs="Times New Roman"/>
          <w:sz w:val="28"/>
          <w:szCs w:val="28"/>
        </w:rPr>
        <w:t>пре</w:t>
      </w:r>
      <w:r w:rsidR="00AA5D35">
        <w:rPr>
          <w:rFonts w:ascii="Times New Roman" w:hAnsi="Times New Roman" w:cs="Times New Roman"/>
          <w:sz w:val="28"/>
          <w:szCs w:val="28"/>
        </w:rPr>
        <w:t>д</w:t>
      </w:r>
      <w:r w:rsidR="00AA5D35">
        <w:rPr>
          <w:rFonts w:ascii="Times New Roman" w:hAnsi="Times New Roman" w:cs="Times New Roman"/>
          <w:sz w:val="28"/>
          <w:szCs w:val="28"/>
        </w:rPr>
        <w:t>ставляют собой реализацию белого</w:t>
      </w:r>
      <w:r w:rsidR="009C5075">
        <w:rPr>
          <w:rFonts w:ascii="Times New Roman" w:hAnsi="Times New Roman" w:cs="Times New Roman"/>
          <w:sz w:val="28"/>
          <w:szCs w:val="28"/>
        </w:rPr>
        <w:t xml:space="preserve"> шума, удовлетворяя требованиям</w:t>
      </w:r>
      <w:r w:rsidR="00AA5D35">
        <w:rPr>
          <w:rFonts w:ascii="Times New Roman" w:hAnsi="Times New Roman" w:cs="Times New Roman"/>
          <w:sz w:val="28"/>
          <w:szCs w:val="28"/>
        </w:rPr>
        <w:t xml:space="preserve"> стаци</w:t>
      </w:r>
      <w:r w:rsidR="00AA5D35">
        <w:rPr>
          <w:rFonts w:ascii="Times New Roman" w:hAnsi="Times New Roman" w:cs="Times New Roman"/>
          <w:sz w:val="28"/>
          <w:szCs w:val="28"/>
        </w:rPr>
        <w:t>о</w:t>
      </w:r>
      <w:r w:rsidR="00AA5D35">
        <w:rPr>
          <w:rFonts w:ascii="Times New Roman" w:hAnsi="Times New Roman" w:cs="Times New Roman"/>
          <w:sz w:val="28"/>
          <w:szCs w:val="28"/>
        </w:rPr>
        <w:t>нарности, нормальности и отсутствия автокорреляции.</w:t>
      </w:r>
      <w:r w:rsidR="00727E73">
        <w:rPr>
          <w:rFonts w:ascii="Times New Roman" w:hAnsi="Times New Roman" w:cs="Times New Roman"/>
          <w:sz w:val="28"/>
          <w:szCs w:val="28"/>
        </w:rPr>
        <w:t xml:space="preserve"> Оценки</w:t>
      </w:r>
      <w:r w:rsidR="009A5EA1">
        <w:rPr>
          <w:rFonts w:ascii="Times New Roman" w:hAnsi="Times New Roman" w:cs="Times New Roman"/>
          <w:sz w:val="28"/>
          <w:szCs w:val="28"/>
        </w:rPr>
        <w:t xml:space="preserve"> РПНУ, пол</w:t>
      </w:r>
      <w:r w:rsidR="009A5EA1">
        <w:rPr>
          <w:rFonts w:ascii="Times New Roman" w:hAnsi="Times New Roman" w:cs="Times New Roman"/>
          <w:sz w:val="28"/>
          <w:szCs w:val="28"/>
        </w:rPr>
        <w:t>у</w:t>
      </w:r>
      <w:r w:rsidR="009A5EA1">
        <w:rPr>
          <w:rFonts w:ascii="Times New Roman" w:hAnsi="Times New Roman" w:cs="Times New Roman"/>
          <w:sz w:val="28"/>
          <w:szCs w:val="28"/>
        </w:rPr>
        <w:t>ченные модифицированными с учетом инфляции методом цепной лестницы и мультипликативным методом, превышают соответствующие показатели, рассчитанные стандартными методами</w:t>
      </w:r>
      <w:r w:rsidR="00F847C3">
        <w:rPr>
          <w:rFonts w:ascii="Times New Roman" w:hAnsi="Times New Roman" w:cs="Times New Roman"/>
          <w:sz w:val="28"/>
          <w:szCs w:val="28"/>
        </w:rPr>
        <w:t>; удельный вес резервов убытков по двум последним кварталам инцидента в общей величине РПНУ на отчетную дату еще больше возрос, достигнув 96%.</w:t>
      </w:r>
    </w:p>
    <w:p w:rsidR="009A5EA1" w:rsidRDefault="009A5EA1" w:rsidP="007B2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Страховые выплаты по договорам ДМС исследуемой страховой комп</w:t>
      </w:r>
      <w:r>
        <w:rPr>
          <w:rFonts w:ascii="Times New Roman" w:hAnsi="Times New Roman" w:cs="Times New Roman"/>
          <w:sz w:val="28"/>
          <w:szCs w:val="28"/>
        </w:rPr>
        <w:t>а</w:t>
      </w:r>
      <w:r>
        <w:rPr>
          <w:rFonts w:ascii="Times New Roman" w:hAnsi="Times New Roman" w:cs="Times New Roman"/>
          <w:sz w:val="28"/>
          <w:szCs w:val="28"/>
        </w:rPr>
        <w:t>нии характеризуются ярко выраженной восходящей тенденцией</w:t>
      </w:r>
      <w:r w:rsidR="00F847C3">
        <w:rPr>
          <w:rFonts w:ascii="Times New Roman" w:hAnsi="Times New Roman" w:cs="Times New Roman"/>
          <w:sz w:val="28"/>
          <w:szCs w:val="28"/>
        </w:rPr>
        <w:t xml:space="preserve">. Кроме того, в колебаниях </w:t>
      </w:r>
      <w:r w:rsidR="00EE28AF">
        <w:rPr>
          <w:rFonts w:ascii="Times New Roman" w:hAnsi="Times New Roman" w:cs="Times New Roman"/>
          <w:sz w:val="28"/>
          <w:szCs w:val="28"/>
        </w:rPr>
        <w:t>страховых выплат прослеживается устойчивая годовая пери</w:t>
      </w:r>
      <w:r w:rsidR="00EE28AF">
        <w:rPr>
          <w:rFonts w:ascii="Times New Roman" w:hAnsi="Times New Roman" w:cs="Times New Roman"/>
          <w:sz w:val="28"/>
          <w:szCs w:val="28"/>
        </w:rPr>
        <w:t>о</w:t>
      </w:r>
      <w:r w:rsidR="00EE28AF">
        <w:rPr>
          <w:rFonts w:ascii="Times New Roman" w:hAnsi="Times New Roman" w:cs="Times New Roman"/>
          <w:sz w:val="28"/>
          <w:szCs w:val="28"/>
        </w:rPr>
        <w:t>дичность.</w:t>
      </w:r>
    </w:p>
    <w:p w:rsidR="00DD5CCC" w:rsidRPr="007B2E9D" w:rsidRDefault="00DD5CCC" w:rsidP="007B2E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сопоставлении оценок РПНУ,</w:t>
      </w:r>
      <w:r w:rsidRPr="00DD5CCC">
        <w:rPr>
          <w:rFonts w:ascii="Times New Roman" w:hAnsi="Times New Roman" w:cs="Times New Roman"/>
          <w:sz w:val="28"/>
          <w:szCs w:val="28"/>
        </w:rPr>
        <w:t xml:space="preserve"> </w:t>
      </w:r>
      <w:r>
        <w:rPr>
          <w:rFonts w:ascii="Times New Roman" w:hAnsi="Times New Roman" w:cs="Times New Roman"/>
          <w:sz w:val="28"/>
          <w:szCs w:val="28"/>
        </w:rPr>
        <w:t>полученных с помощью различных моделей резервирования, и анализа качества имеющихся данных об оплаченных страховой компанией на отчетную дату убытках выбор сд</w:t>
      </w:r>
      <w:r>
        <w:rPr>
          <w:rFonts w:ascii="Times New Roman" w:hAnsi="Times New Roman" w:cs="Times New Roman"/>
          <w:sz w:val="28"/>
          <w:szCs w:val="28"/>
        </w:rPr>
        <w:t>е</w:t>
      </w:r>
      <w:r>
        <w:rPr>
          <w:rFonts w:ascii="Times New Roman" w:hAnsi="Times New Roman" w:cs="Times New Roman"/>
          <w:sz w:val="28"/>
          <w:szCs w:val="28"/>
        </w:rPr>
        <w:t>лан в пользу оценки, полученной скорректированным на фактор инфляции мультипликативным методом.</w:t>
      </w: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48755B" w:rsidRDefault="0048755B" w:rsidP="00EA35AF">
      <w:pPr>
        <w:spacing w:after="0" w:line="360" w:lineRule="auto"/>
        <w:jc w:val="center"/>
        <w:rPr>
          <w:rFonts w:ascii="Times New Roman" w:hAnsi="Times New Roman" w:cs="Times New Roman"/>
          <w:b/>
          <w:sz w:val="28"/>
          <w:szCs w:val="28"/>
        </w:rPr>
      </w:pPr>
    </w:p>
    <w:p w:rsidR="00EA35AF" w:rsidRPr="008219C1" w:rsidRDefault="00EA35AF" w:rsidP="00EA35AF">
      <w:pPr>
        <w:spacing w:after="0" w:line="360" w:lineRule="auto"/>
        <w:jc w:val="center"/>
        <w:rPr>
          <w:rFonts w:ascii="Times New Roman" w:hAnsi="Times New Roman" w:cs="Times New Roman"/>
          <w:b/>
          <w:sz w:val="28"/>
          <w:szCs w:val="28"/>
        </w:rPr>
      </w:pPr>
      <w:r w:rsidRPr="008219C1">
        <w:rPr>
          <w:rFonts w:ascii="Times New Roman" w:hAnsi="Times New Roman" w:cs="Times New Roman"/>
          <w:b/>
          <w:sz w:val="28"/>
          <w:szCs w:val="28"/>
        </w:rPr>
        <w:lastRenderedPageBreak/>
        <w:t>Заключение</w:t>
      </w:r>
    </w:p>
    <w:p w:rsidR="00EA35AF" w:rsidRDefault="00EA35AF" w:rsidP="00EA35AF">
      <w:pPr>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В</w:t>
      </w:r>
      <w:r w:rsidRPr="000C230E">
        <w:rPr>
          <w:rFonts w:ascii="Times New Roman" w:hAnsi="Times New Roman" w:cs="Times New Roman"/>
          <w:bCs/>
          <w:iCs/>
          <w:sz w:val="28"/>
          <w:szCs w:val="28"/>
        </w:rPr>
        <w:t xml:space="preserve">ажность высокой точности оценивания </w:t>
      </w:r>
      <w:r>
        <w:rPr>
          <w:rFonts w:ascii="Times New Roman" w:hAnsi="Times New Roman" w:cs="Times New Roman"/>
          <w:bCs/>
          <w:iCs/>
          <w:sz w:val="28"/>
          <w:szCs w:val="28"/>
        </w:rPr>
        <w:t>резерва произошедших, но н</w:t>
      </w:r>
      <w:r>
        <w:rPr>
          <w:rFonts w:ascii="Times New Roman" w:hAnsi="Times New Roman" w:cs="Times New Roman"/>
          <w:bCs/>
          <w:iCs/>
          <w:sz w:val="28"/>
          <w:szCs w:val="28"/>
        </w:rPr>
        <w:t>е</w:t>
      </w:r>
      <w:r>
        <w:rPr>
          <w:rFonts w:ascii="Times New Roman" w:hAnsi="Times New Roman" w:cs="Times New Roman"/>
          <w:bCs/>
          <w:iCs/>
          <w:sz w:val="28"/>
          <w:szCs w:val="28"/>
        </w:rPr>
        <w:t>заявленных убытков</w:t>
      </w:r>
      <w:r w:rsidRPr="000C230E">
        <w:rPr>
          <w:rFonts w:ascii="Times New Roman" w:hAnsi="Times New Roman" w:cs="Times New Roman"/>
          <w:bCs/>
          <w:iCs/>
          <w:sz w:val="28"/>
          <w:szCs w:val="28"/>
        </w:rPr>
        <w:t xml:space="preserve"> для успешного функционирования страховой организ</w:t>
      </w:r>
      <w:r w:rsidRPr="000C230E">
        <w:rPr>
          <w:rFonts w:ascii="Times New Roman" w:hAnsi="Times New Roman" w:cs="Times New Roman"/>
          <w:bCs/>
          <w:iCs/>
          <w:sz w:val="28"/>
          <w:szCs w:val="28"/>
        </w:rPr>
        <w:t>а</w:t>
      </w:r>
      <w:r w:rsidRPr="000C230E">
        <w:rPr>
          <w:rFonts w:ascii="Times New Roman" w:hAnsi="Times New Roman" w:cs="Times New Roman"/>
          <w:bCs/>
          <w:iCs/>
          <w:sz w:val="28"/>
          <w:szCs w:val="28"/>
        </w:rPr>
        <w:t>ции</w:t>
      </w:r>
      <w:r>
        <w:rPr>
          <w:rFonts w:ascii="Times New Roman" w:hAnsi="Times New Roman" w:cs="Times New Roman"/>
          <w:bCs/>
          <w:iCs/>
          <w:sz w:val="28"/>
          <w:szCs w:val="28"/>
        </w:rPr>
        <w:t xml:space="preserve"> не вызывает сомнения.</w:t>
      </w:r>
      <w:r w:rsidRPr="000C230E">
        <w:rPr>
          <w:rFonts w:ascii="TT250o00" w:hAnsi="TT250o00" w:cs="TT250o00"/>
          <w:sz w:val="20"/>
          <w:szCs w:val="20"/>
        </w:rPr>
        <w:t xml:space="preserve"> </w:t>
      </w:r>
      <w:r w:rsidRPr="000C230E">
        <w:rPr>
          <w:rFonts w:ascii="Times New Roman" w:hAnsi="Times New Roman" w:cs="Times New Roman"/>
          <w:bCs/>
          <w:iCs/>
          <w:sz w:val="28"/>
          <w:szCs w:val="28"/>
        </w:rPr>
        <w:t>Завышенная</w:t>
      </w:r>
      <w:r>
        <w:rPr>
          <w:rFonts w:ascii="Times New Roman" w:hAnsi="Times New Roman" w:cs="Times New Roman"/>
          <w:bCs/>
          <w:iCs/>
          <w:sz w:val="28"/>
          <w:szCs w:val="28"/>
        </w:rPr>
        <w:t xml:space="preserve"> оценка размера РПНУ </w:t>
      </w:r>
      <w:r w:rsidRPr="000C230E">
        <w:rPr>
          <w:rFonts w:ascii="Times New Roman" w:hAnsi="Times New Roman" w:cs="Times New Roman"/>
          <w:bCs/>
          <w:iCs/>
          <w:sz w:val="28"/>
          <w:szCs w:val="28"/>
        </w:rPr>
        <w:t>требует аде</w:t>
      </w:r>
      <w:r w:rsidRPr="000C230E">
        <w:rPr>
          <w:rFonts w:ascii="Times New Roman" w:hAnsi="Times New Roman" w:cs="Times New Roman"/>
          <w:bCs/>
          <w:iCs/>
          <w:sz w:val="28"/>
          <w:szCs w:val="28"/>
        </w:rPr>
        <w:t>к</w:t>
      </w:r>
      <w:r w:rsidRPr="000C230E">
        <w:rPr>
          <w:rFonts w:ascii="Times New Roman" w:hAnsi="Times New Roman" w:cs="Times New Roman"/>
          <w:bCs/>
          <w:iCs/>
          <w:sz w:val="28"/>
          <w:szCs w:val="28"/>
        </w:rPr>
        <w:t>ватно</w:t>
      </w:r>
      <w:r>
        <w:rPr>
          <w:rFonts w:ascii="Times New Roman" w:hAnsi="Times New Roman" w:cs="Times New Roman"/>
          <w:bCs/>
          <w:iCs/>
          <w:sz w:val="28"/>
          <w:szCs w:val="28"/>
        </w:rPr>
        <w:t xml:space="preserve">й величины </w:t>
      </w:r>
      <w:r w:rsidRPr="000C230E">
        <w:rPr>
          <w:rFonts w:ascii="Times New Roman" w:hAnsi="Times New Roman" w:cs="Times New Roman"/>
          <w:bCs/>
          <w:iCs/>
          <w:sz w:val="28"/>
          <w:szCs w:val="28"/>
        </w:rPr>
        <w:t>актив</w:t>
      </w:r>
      <w:r>
        <w:rPr>
          <w:rFonts w:ascii="Times New Roman" w:hAnsi="Times New Roman" w:cs="Times New Roman"/>
          <w:bCs/>
          <w:iCs/>
          <w:sz w:val="28"/>
          <w:szCs w:val="28"/>
        </w:rPr>
        <w:t xml:space="preserve">ов </w:t>
      </w:r>
      <w:r w:rsidRPr="000C230E">
        <w:rPr>
          <w:rFonts w:ascii="Times New Roman" w:hAnsi="Times New Roman" w:cs="Times New Roman"/>
          <w:bCs/>
          <w:iCs/>
          <w:sz w:val="28"/>
          <w:szCs w:val="28"/>
        </w:rPr>
        <w:t>в покрытие резерва, заниженная</w:t>
      </w:r>
      <w:r>
        <w:rPr>
          <w:rFonts w:ascii="Times New Roman" w:hAnsi="Times New Roman" w:cs="Times New Roman"/>
          <w:bCs/>
          <w:iCs/>
          <w:sz w:val="28"/>
          <w:szCs w:val="28"/>
        </w:rPr>
        <w:t xml:space="preserve"> </w:t>
      </w:r>
      <w:r w:rsidRPr="000C230E">
        <w:rPr>
          <w:rFonts w:ascii="Times New Roman" w:hAnsi="Times New Roman" w:cs="Times New Roman"/>
          <w:bCs/>
          <w:iCs/>
          <w:sz w:val="28"/>
          <w:szCs w:val="28"/>
        </w:rPr>
        <w:t>оценка может привести к нехватке сре</w:t>
      </w:r>
      <w:proofErr w:type="gramStart"/>
      <w:r w:rsidRPr="000C230E">
        <w:rPr>
          <w:rFonts w:ascii="Times New Roman" w:hAnsi="Times New Roman" w:cs="Times New Roman"/>
          <w:bCs/>
          <w:iCs/>
          <w:sz w:val="28"/>
          <w:szCs w:val="28"/>
        </w:rPr>
        <w:t xml:space="preserve">дств </w:t>
      </w:r>
      <w:r>
        <w:rPr>
          <w:rFonts w:ascii="Times New Roman" w:hAnsi="Times New Roman" w:cs="Times New Roman"/>
          <w:bCs/>
          <w:iCs/>
          <w:sz w:val="28"/>
          <w:szCs w:val="28"/>
        </w:rPr>
        <w:t>дл</w:t>
      </w:r>
      <w:proofErr w:type="gramEnd"/>
      <w:r>
        <w:rPr>
          <w:rFonts w:ascii="Times New Roman" w:hAnsi="Times New Roman" w:cs="Times New Roman"/>
          <w:bCs/>
          <w:iCs/>
          <w:sz w:val="28"/>
          <w:szCs w:val="28"/>
        </w:rPr>
        <w:t>я осуществления будущих страховых</w:t>
      </w:r>
      <w:r w:rsidRPr="000C230E">
        <w:rPr>
          <w:rFonts w:ascii="Times New Roman" w:hAnsi="Times New Roman" w:cs="Times New Roman"/>
          <w:bCs/>
          <w:iCs/>
          <w:sz w:val="28"/>
          <w:szCs w:val="28"/>
        </w:rPr>
        <w:t xml:space="preserve"> выпла</w:t>
      </w:r>
      <w:r>
        <w:rPr>
          <w:rFonts w:ascii="Times New Roman" w:hAnsi="Times New Roman" w:cs="Times New Roman"/>
          <w:bCs/>
          <w:iCs/>
          <w:sz w:val="28"/>
          <w:szCs w:val="28"/>
        </w:rPr>
        <w:t>т и при наихудшем стечении обстоятельств к банкротству страховщика.</w:t>
      </w:r>
    </w:p>
    <w:p w:rsidR="00EA35AF" w:rsidRPr="00AE3392" w:rsidRDefault="00EA35AF" w:rsidP="00EA3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органы страхового надзора все большего числа стран требуют актуарного обоснования величины РПНУ – ранее такой порядок действовал только в отношении резерва на покрытие выплат в страховании жизни. Как результат, было разработано большое количество математич</w:t>
      </w:r>
      <w:r>
        <w:rPr>
          <w:rFonts w:ascii="Times New Roman" w:hAnsi="Times New Roman" w:cs="Times New Roman"/>
          <w:sz w:val="28"/>
          <w:szCs w:val="28"/>
        </w:rPr>
        <w:t>е</w:t>
      </w:r>
      <w:r>
        <w:rPr>
          <w:rFonts w:ascii="Times New Roman" w:hAnsi="Times New Roman" w:cs="Times New Roman"/>
          <w:sz w:val="28"/>
          <w:szCs w:val="28"/>
        </w:rPr>
        <w:t>ских методов оценки страховых резервов, в основе которых лежит проецир</w:t>
      </w:r>
      <w:r>
        <w:rPr>
          <w:rFonts w:ascii="Times New Roman" w:hAnsi="Times New Roman" w:cs="Times New Roman"/>
          <w:sz w:val="28"/>
          <w:szCs w:val="28"/>
        </w:rPr>
        <w:t>о</w:t>
      </w:r>
      <w:r>
        <w:rPr>
          <w:rFonts w:ascii="Times New Roman" w:hAnsi="Times New Roman" w:cs="Times New Roman"/>
          <w:sz w:val="28"/>
          <w:szCs w:val="28"/>
        </w:rPr>
        <w:t>вание опыта прошлых периодов наступления убытков на последующие п</w:t>
      </w:r>
      <w:r>
        <w:rPr>
          <w:rFonts w:ascii="Times New Roman" w:hAnsi="Times New Roman" w:cs="Times New Roman"/>
          <w:sz w:val="28"/>
          <w:szCs w:val="28"/>
        </w:rPr>
        <w:t>е</w:t>
      </w:r>
      <w:r>
        <w:rPr>
          <w:rFonts w:ascii="Times New Roman" w:hAnsi="Times New Roman" w:cs="Times New Roman"/>
          <w:sz w:val="28"/>
          <w:szCs w:val="28"/>
        </w:rPr>
        <w:t>риоды.</w:t>
      </w:r>
    </w:p>
    <w:p w:rsidR="00EA35AF" w:rsidRDefault="00EA35AF" w:rsidP="00EA35AF">
      <w:pPr>
        <w:spacing w:after="0" w:line="360" w:lineRule="auto"/>
        <w:ind w:firstLine="709"/>
        <w:jc w:val="both"/>
        <w:rPr>
          <w:rFonts w:ascii="Times New Roman" w:hAnsi="Times New Roman" w:cs="Times New Roman"/>
          <w:sz w:val="28"/>
          <w:szCs w:val="28"/>
        </w:rPr>
      </w:pPr>
      <w:r w:rsidRPr="006F309D">
        <w:rPr>
          <w:rFonts w:ascii="Times New Roman" w:hAnsi="Times New Roman" w:cs="Times New Roman"/>
          <w:sz w:val="28"/>
          <w:szCs w:val="28"/>
        </w:rPr>
        <w:t xml:space="preserve">Практическая значимость проведенного исследования определяется возможностью применения актуариями </w:t>
      </w:r>
      <w:r>
        <w:rPr>
          <w:rFonts w:ascii="Times New Roman" w:hAnsi="Times New Roman" w:cs="Times New Roman"/>
          <w:sz w:val="28"/>
          <w:szCs w:val="28"/>
        </w:rPr>
        <w:t xml:space="preserve">описанных в работе </w:t>
      </w:r>
      <w:r w:rsidRPr="006F309D">
        <w:rPr>
          <w:rFonts w:ascii="Times New Roman" w:hAnsi="Times New Roman" w:cs="Times New Roman"/>
          <w:sz w:val="28"/>
          <w:szCs w:val="28"/>
        </w:rPr>
        <w:t>модифицирова</w:t>
      </w:r>
      <w:r w:rsidRPr="006F309D">
        <w:rPr>
          <w:rFonts w:ascii="Times New Roman" w:hAnsi="Times New Roman" w:cs="Times New Roman"/>
          <w:sz w:val="28"/>
          <w:szCs w:val="28"/>
        </w:rPr>
        <w:t>н</w:t>
      </w:r>
      <w:r w:rsidRPr="006F309D">
        <w:rPr>
          <w:rFonts w:ascii="Times New Roman" w:hAnsi="Times New Roman" w:cs="Times New Roman"/>
          <w:sz w:val="28"/>
          <w:szCs w:val="28"/>
        </w:rPr>
        <w:t>ных методик расчета страховых резервов в добровольном медицинском стр</w:t>
      </w:r>
      <w:r w:rsidRPr="006F309D">
        <w:rPr>
          <w:rFonts w:ascii="Times New Roman" w:hAnsi="Times New Roman" w:cs="Times New Roman"/>
          <w:sz w:val="28"/>
          <w:szCs w:val="28"/>
        </w:rPr>
        <w:t>а</w:t>
      </w:r>
      <w:r w:rsidRPr="006F309D">
        <w:rPr>
          <w:rFonts w:ascii="Times New Roman" w:hAnsi="Times New Roman" w:cs="Times New Roman"/>
          <w:sz w:val="28"/>
          <w:szCs w:val="28"/>
        </w:rPr>
        <w:t>ховании с целью корректировки и уточнения оценок, полученных с помощью рекомендованного Министерством финансов РФ метода Борнхуеттера-Фергюсона.</w:t>
      </w:r>
      <w:r>
        <w:rPr>
          <w:rFonts w:ascii="Times New Roman" w:hAnsi="Times New Roman" w:cs="Times New Roman"/>
          <w:sz w:val="28"/>
          <w:szCs w:val="28"/>
        </w:rPr>
        <w:t xml:space="preserve"> Так, например, использование скорректированного с учетом «медицинской инфляции» метода цепной лестницы позволяет смягчить н</w:t>
      </w:r>
      <w:r>
        <w:rPr>
          <w:rFonts w:ascii="Times New Roman" w:hAnsi="Times New Roman" w:cs="Times New Roman"/>
          <w:sz w:val="28"/>
          <w:szCs w:val="28"/>
        </w:rPr>
        <w:t>е</w:t>
      </w:r>
      <w:r>
        <w:rPr>
          <w:rFonts w:ascii="Times New Roman" w:hAnsi="Times New Roman" w:cs="Times New Roman"/>
          <w:sz w:val="28"/>
          <w:szCs w:val="28"/>
        </w:rPr>
        <w:t>достаток стандартного метода, игнорирующего искажения треугольника ра</w:t>
      </w:r>
      <w:r>
        <w:rPr>
          <w:rFonts w:ascii="Times New Roman" w:hAnsi="Times New Roman" w:cs="Times New Roman"/>
          <w:sz w:val="28"/>
          <w:szCs w:val="28"/>
        </w:rPr>
        <w:t>з</w:t>
      </w:r>
      <w:r>
        <w:rPr>
          <w:rFonts w:ascii="Times New Roman" w:hAnsi="Times New Roman" w:cs="Times New Roman"/>
          <w:sz w:val="28"/>
          <w:szCs w:val="28"/>
        </w:rPr>
        <w:t>вития убытков под действием внешних факторов. Методика оценки РПНУ на основе финансовых потоков по календарным периодам в свою очередь уч</w:t>
      </w:r>
      <w:r>
        <w:rPr>
          <w:rFonts w:ascii="Times New Roman" w:hAnsi="Times New Roman" w:cs="Times New Roman"/>
          <w:sz w:val="28"/>
          <w:szCs w:val="28"/>
        </w:rPr>
        <w:t>и</w:t>
      </w:r>
      <w:r>
        <w:rPr>
          <w:rFonts w:ascii="Times New Roman" w:hAnsi="Times New Roman" w:cs="Times New Roman"/>
          <w:sz w:val="28"/>
          <w:szCs w:val="28"/>
        </w:rPr>
        <w:t>тывает сезонные колебания страховых выплат по договорам ДМС и прису</w:t>
      </w:r>
      <w:r>
        <w:rPr>
          <w:rFonts w:ascii="Times New Roman" w:hAnsi="Times New Roman" w:cs="Times New Roman"/>
          <w:sz w:val="28"/>
          <w:szCs w:val="28"/>
        </w:rPr>
        <w:t>т</w:t>
      </w:r>
      <w:r>
        <w:rPr>
          <w:rFonts w:ascii="Times New Roman" w:hAnsi="Times New Roman" w:cs="Times New Roman"/>
          <w:sz w:val="28"/>
          <w:szCs w:val="28"/>
        </w:rPr>
        <w:t>ствие в их динамике устойчивой тенденции развития.</w:t>
      </w:r>
    </w:p>
    <w:p w:rsidR="00EA35AF" w:rsidRDefault="00EA35AF" w:rsidP="00EA3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 пользу той или иной оценки РПНУ осуществляется актуарием на основе сравнительного анализа результатов, полученных различными м</w:t>
      </w:r>
      <w:r>
        <w:rPr>
          <w:rFonts w:ascii="Times New Roman" w:hAnsi="Times New Roman" w:cs="Times New Roman"/>
          <w:sz w:val="28"/>
          <w:szCs w:val="28"/>
        </w:rPr>
        <w:t>е</w:t>
      </w:r>
      <w:r>
        <w:rPr>
          <w:rFonts w:ascii="Times New Roman" w:hAnsi="Times New Roman" w:cs="Times New Roman"/>
          <w:sz w:val="28"/>
          <w:szCs w:val="28"/>
        </w:rPr>
        <w:t>тодами резервирования, и его экспертных суждений о требуемом уровне ко</w:t>
      </w:r>
      <w:r>
        <w:rPr>
          <w:rFonts w:ascii="Times New Roman" w:hAnsi="Times New Roman" w:cs="Times New Roman"/>
          <w:sz w:val="28"/>
          <w:szCs w:val="28"/>
        </w:rPr>
        <w:t>н</w:t>
      </w:r>
      <w:r>
        <w:rPr>
          <w:rFonts w:ascii="Times New Roman" w:hAnsi="Times New Roman" w:cs="Times New Roman"/>
          <w:sz w:val="28"/>
          <w:szCs w:val="28"/>
        </w:rPr>
        <w:t>сервативности оценки РПНУ и о степени соответствия лежащих в основе к</w:t>
      </w:r>
      <w:r>
        <w:rPr>
          <w:rFonts w:ascii="Times New Roman" w:hAnsi="Times New Roman" w:cs="Times New Roman"/>
          <w:sz w:val="28"/>
          <w:szCs w:val="28"/>
        </w:rPr>
        <w:t>а</w:t>
      </w:r>
      <w:r>
        <w:rPr>
          <w:rFonts w:ascii="Times New Roman" w:hAnsi="Times New Roman" w:cs="Times New Roman"/>
          <w:sz w:val="28"/>
          <w:szCs w:val="28"/>
        </w:rPr>
        <w:lastRenderedPageBreak/>
        <w:t>ждой из сопоставляемых методик предположений складывающейся в самой компании и на отраслевом рынке ситуации.</w:t>
      </w:r>
    </w:p>
    <w:p w:rsidR="00EA35AF" w:rsidRDefault="00EA35AF" w:rsidP="00EA3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эффективного рынка ДМС способствует росту социальной стабильности, снижению информационной асимметрии на рынке медици</w:t>
      </w:r>
      <w:r>
        <w:rPr>
          <w:rFonts w:ascii="Times New Roman" w:hAnsi="Times New Roman" w:cs="Times New Roman"/>
          <w:sz w:val="28"/>
          <w:szCs w:val="28"/>
        </w:rPr>
        <w:t>н</w:t>
      </w:r>
      <w:r>
        <w:rPr>
          <w:rFonts w:ascii="Times New Roman" w:hAnsi="Times New Roman" w:cs="Times New Roman"/>
          <w:sz w:val="28"/>
          <w:szCs w:val="28"/>
        </w:rPr>
        <w:t>ских услуг</w:t>
      </w:r>
      <w:r w:rsidR="00C60D1B" w:rsidRPr="00C60D1B">
        <w:rPr>
          <w:rFonts w:ascii="Times New Roman" w:hAnsi="Times New Roman" w:cs="Times New Roman"/>
          <w:sz w:val="28"/>
          <w:szCs w:val="28"/>
        </w:rPr>
        <w:t xml:space="preserve">, </w:t>
      </w:r>
      <w:r w:rsidR="00C60D1B">
        <w:rPr>
          <w:rFonts w:ascii="Times New Roman" w:hAnsi="Times New Roman" w:cs="Times New Roman"/>
          <w:sz w:val="28"/>
          <w:szCs w:val="28"/>
        </w:rPr>
        <w:t>сокращению</w:t>
      </w:r>
      <w:r>
        <w:rPr>
          <w:rFonts w:ascii="Times New Roman" w:hAnsi="Times New Roman" w:cs="Times New Roman"/>
          <w:sz w:val="28"/>
          <w:szCs w:val="28"/>
        </w:rPr>
        <w:t xml:space="preserve"> теневого финансирования системы здравоохран</w:t>
      </w:r>
      <w:r>
        <w:rPr>
          <w:rFonts w:ascii="Times New Roman" w:hAnsi="Times New Roman" w:cs="Times New Roman"/>
          <w:sz w:val="28"/>
          <w:szCs w:val="28"/>
        </w:rPr>
        <w:t>е</w:t>
      </w:r>
      <w:r>
        <w:rPr>
          <w:rFonts w:ascii="Times New Roman" w:hAnsi="Times New Roman" w:cs="Times New Roman"/>
          <w:sz w:val="28"/>
          <w:szCs w:val="28"/>
        </w:rPr>
        <w:t>ния, росту инвестиций в строительство медицинских центров. Однако его у</w:t>
      </w:r>
      <w:r>
        <w:rPr>
          <w:rFonts w:ascii="Times New Roman" w:hAnsi="Times New Roman" w:cs="Times New Roman"/>
          <w:sz w:val="28"/>
          <w:szCs w:val="28"/>
        </w:rPr>
        <w:t>с</w:t>
      </w:r>
      <w:r>
        <w:rPr>
          <w:rFonts w:ascii="Times New Roman" w:hAnsi="Times New Roman" w:cs="Times New Roman"/>
          <w:sz w:val="28"/>
          <w:szCs w:val="28"/>
        </w:rPr>
        <w:t>пешному развитию в нашей стране препятствует низкий уровень доходов н</w:t>
      </w:r>
      <w:r>
        <w:rPr>
          <w:rFonts w:ascii="Times New Roman" w:hAnsi="Times New Roman" w:cs="Times New Roman"/>
          <w:sz w:val="28"/>
          <w:szCs w:val="28"/>
        </w:rPr>
        <w:t>а</w:t>
      </w:r>
      <w:r>
        <w:rPr>
          <w:rFonts w:ascii="Times New Roman" w:hAnsi="Times New Roman" w:cs="Times New Roman"/>
          <w:sz w:val="28"/>
          <w:szCs w:val="28"/>
        </w:rPr>
        <w:t>селения, нехватка медицинских учреждений, обладающих высококвалиф</w:t>
      </w:r>
      <w:r>
        <w:rPr>
          <w:rFonts w:ascii="Times New Roman" w:hAnsi="Times New Roman" w:cs="Times New Roman"/>
          <w:sz w:val="28"/>
          <w:szCs w:val="28"/>
        </w:rPr>
        <w:t>и</w:t>
      </w:r>
      <w:r>
        <w:rPr>
          <w:rFonts w:ascii="Times New Roman" w:hAnsi="Times New Roman" w:cs="Times New Roman"/>
          <w:sz w:val="28"/>
          <w:szCs w:val="28"/>
        </w:rPr>
        <w:t>цированным персоналом и современным оборудованием, несовершенства з</w:t>
      </w:r>
      <w:r>
        <w:rPr>
          <w:rFonts w:ascii="Times New Roman" w:hAnsi="Times New Roman" w:cs="Times New Roman"/>
          <w:sz w:val="28"/>
          <w:szCs w:val="28"/>
        </w:rPr>
        <w:t>а</w:t>
      </w:r>
      <w:r>
        <w:rPr>
          <w:rFonts w:ascii="Times New Roman" w:hAnsi="Times New Roman" w:cs="Times New Roman"/>
          <w:sz w:val="28"/>
          <w:szCs w:val="28"/>
        </w:rPr>
        <w:t xml:space="preserve">конодательной базы в сфере медицинского страхования. </w:t>
      </w:r>
    </w:p>
    <w:p w:rsidR="009F1A30" w:rsidRDefault="009F1A30"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8219C1" w:rsidP="00A15A3C">
      <w:pPr>
        <w:spacing w:after="0" w:line="360" w:lineRule="auto"/>
        <w:jc w:val="center"/>
        <w:rPr>
          <w:rFonts w:ascii="Times New Roman" w:hAnsi="Times New Roman" w:cs="Times New Roman"/>
          <w:sz w:val="28"/>
          <w:szCs w:val="28"/>
        </w:rPr>
      </w:pPr>
    </w:p>
    <w:p w:rsidR="008219C1" w:rsidRDefault="00CC11F8" w:rsidP="00A15A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044383" w:rsidRPr="00096939" w:rsidRDefault="001D2CA3" w:rsidP="00044383">
      <w:pPr>
        <w:spacing w:after="0" w:line="360" w:lineRule="auto"/>
        <w:jc w:val="both"/>
        <w:rPr>
          <w:rFonts w:ascii="Times New Roman" w:hAnsi="Times New Roman"/>
          <w:sz w:val="28"/>
          <w:szCs w:val="28"/>
        </w:rPr>
      </w:pPr>
      <w:r>
        <w:rPr>
          <w:rFonts w:ascii="Times New Roman" w:hAnsi="Times New Roman"/>
          <w:sz w:val="28"/>
          <w:szCs w:val="28"/>
        </w:rPr>
        <w:t>1</w:t>
      </w:r>
      <w:r w:rsidR="00044383">
        <w:rPr>
          <w:rFonts w:ascii="Times New Roman" w:hAnsi="Times New Roman"/>
          <w:sz w:val="28"/>
          <w:szCs w:val="28"/>
        </w:rPr>
        <w:t>) Айвазян С.</w:t>
      </w:r>
      <w:r w:rsidR="00044383" w:rsidRPr="00096939">
        <w:rPr>
          <w:rFonts w:ascii="Times New Roman" w:hAnsi="Times New Roman"/>
          <w:sz w:val="28"/>
          <w:szCs w:val="28"/>
        </w:rPr>
        <w:t xml:space="preserve">А., </w:t>
      </w:r>
      <w:proofErr w:type="spellStart"/>
      <w:r w:rsidR="00044383" w:rsidRPr="00096939">
        <w:rPr>
          <w:rFonts w:ascii="Times New Roman" w:hAnsi="Times New Roman"/>
          <w:sz w:val="28"/>
          <w:szCs w:val="28"/>
        </w:rPr>
        <w:t>Мхитарян</w:t>
      </w:r>
      <w:proofErr w:type="spellEnd"/>
      <w:r w:rsidR="00044383" w:rsidRPr="00096939">
        <w:rPr>
          <w:rFonts w:ascii="Times New Roman" w:hAnsi="Times New Roman"/>
          <w:sz w:val="28"/>
          <w:szCs w:val="28"/>
        </w:rPr>
        <w:t xml:space="preserve"> В.С. Прикладная статистика. Основы экономе</w:t>
      </w:r>
      <w:r w:rsidR="00044383" w:rsidRPr="00096939">
        <w:rPr>
          <w:rFonts w:ascii="Times New Roman" w:hAnsi="Times New Roman"/>
          <w:sz w:val="28"/>
          <w:szCs w:val="28"/>
        </w:rPr>
        <w:t>т</w:t>
      </w:r>
      <w:r w:rsidR="00044383" w:rsidRPr="00096939">
        <w:rPr>
          <w:rFonts w:ascii="Times New Roman" w:hAnsi="Times New Roman"/>
          <w:sz w:val="28"/>
          <w:szCs w:val="28"/>
        </w:rPr>
        <w:t xml:space="preserve">рики. – Т.1: Теория вероятностей и прикладная статистика. </w:t>
      </w:r>
      <w:r w:rsidR="00044383">
        <w:rPr>
          <w:rFonts w:ascii="Times New Roman" w:hAnsi="Times New Roman"/>
          <w:sz w:val="28"/>
          <w:szCs w:val="28"/>
        </w:rPr>
        <w:t xml:space="preserve">– </w:t>
      </w:r>
      <w:r w:rsidR="00044383" w:rsidRPr="00096939">
        <w:rPr>
          <w:rFonts w:ascii="Times New Roman" w:hAnsi="Times New Roman"/>
          <w:sz w:val="28"/>
          <w:szCs w:val="28"/>
        </w:rPr>
        <w:t>М.: ЮНИТИ-ДАНА, 2001</w:t>
      </w:r>
      <w:r w:rsidR="00044383">
        <w:rPr>
          <w:rFonts w:ascii="Times New Roman" w:hAnsi="Times New Roman"/>
          <w:sz w:val="28"/>
          <w:szCs w:val="28"/>
        </w:rPr>
        <w:t>.</w:t>
      </w:r>
      <w:r w:rsidR="00044383" w:rsidRPr="00096939">
        <w:rPr>
          <w:rFonts w:ascii="Times New Roman" w:hAnsi="Times New Roman"/>
          <w:sz w:val="28"/>
          <w:szCs w:val="28"/>
        </w:rPr>
        <w:t xml:space="preserve"> – 656 с.</w:t>
      </w:r>
    </w:p>
    <w:p w:rsidR="00044383" w:rsidRDefault="001D2CA3" w:rsidP="00044383">
      <w:pPr>
        <w:spacing w:after="0" w:line="360" w:lineRule="auto"/>
        <w:jc w:val="both"/>
        <w:rPr>
          <w:rFonts w:ascii="Times New Roman" w:hAnsi="Times New Roman"/>
          <w:sz w:val="28"/>
          <w:szCs w:val="28"/>
        </w:rPr>
      </w:pPr>
      <w:r>
        <w:rPr>
          <w:rFonts w:ascii="Times New Roman" w:hAnsi="Times New Roman"/>
          <w:sz w:val="28"/>
          <w:szCs w:val="28"/>
        </w:rPr>
        <w:t>2</w:t>
      </w:r>
      <w:r w:rsidR="00044383">
        <w:rPr>
          <w:rFonts w:ascii="Times New Roman" w:hAnsi="Times New Roman"/>
          <w:sz w:val="28"/>
          <w:szCs w:val="28"/>
        </w:rPr>
        <w:t xml:space="preserve">) </w:t>
      </w:r>
      <w:proofErr w:type="spellStart"/>
      <w:r w:rsidR="00044383" w:rsidRPr="00981F38">
        <w:rPr>
          <w:rFonts w:ascii="Times New Roman" w:hAnsi="Times New Roman"/>
          <w:sz w:val="28"/>
          <w:szCs w:val="28"/>
        </w:rPr>
        <w:t>Алтынникова</w:t>
      </w:r>
      <w:proofErr w:type="spellEnd"/>
      <w:r w:rsidR="00044383" w:rsidRPr="00981F38">
        <w:rPr>
          <w:rFonts w:ascii="Times New Roman" w:hAnsi="Times New Roman"/>
          <w:sz w:val="28"/>
          <w:szCs w:val="28"/>
        </w:rPr>
        <w:t xml:space="preserve"> И.В., Яковлев М.К. Страховые резервы: порядок формир</w:t>
      </w:r>
      <w:r w:rsidR="00044383" w:rsidRPr="00981F38">
        <w:rPr>
          <w:rFonts w:ascii="Times New Roman" w:hAnsi="Times New Roman"/>
          <w:sz w:val="28"/>
          <w:szCs w:val="28"/>
        </w:rPr>
        <w:t>о</w:t>
      </w:r>
      <w:r w:rsidR="00044383" w:rsidRPr="00981F38">
        <w:rPr>
          <w:rFonts w:ascii="Times New Roman" w:hAnsi="Times New Roman"/>
          <w:sz w:val="28"/>
          <w:szCs w:val="28"/>
        </w:rPr>
        <w:t xml:space="preserve">вания. Бухгалтерский учет. Налогообложение. – М.: </w:t>
      </w:r>
      <w:proofErr w:type="spellStart"/>
      <w:r w:rsidR="00044383" w:rsidRPr="00981F38">
        <w:rPr>
          <w:rFonts w:ascii="Times New Roman" w:hAnsi="Times New Roman"/>
          <w:sz w:val="28"/>
          <w:szCs w:val="28"/>
        </w:rPr>
        <w:t>Анкил</w:t>
      </w:r>
      <w:proofErr w:type="spellEnd"/>
      <w:r w:rsidR="00044383" w:rsidRPr="00981F38">
        <w:rPr>
          <w:rFonts w:ascii="Times New Roman" w:hAnsi="Times New Roman"/>
          <w:sz w:val="28"/>
          <w:szCs w:val="28"/>
        </w:rPr>
        <w:t>, 2007. – 112 с.</w:t>
      </w:r>
    </w:p>
    <w:p w:rsidR="00451A88" w:rsidRDefault="00705646" w:rsidP="00451A88">
      <w:pPr>
        <w:spacing w:after="0" w:line="360" w:lineRule="auto"/>
        <w:jc w:val="both"/>
        <w:rPr>
          <w:rFonts w:ascii="Times New Roman" w:hAnsi="Times New Roman"/>
          <w:sz w:val="28"/>
          <w:szCs w:val="28"/>
        </w:rPr>
      </w:pPr>
      <w:r>
        <w:rPr>
          <w:rFonts w:ascii="Times New Roman" w:hAnsi="Times New Roman"/>
          <w:sz w:val="28"/>
          <w:szCs w:val="28"/>
        </w:rPr>
        <w:t>3</w:t>
      </w:r>
      <w:r w:rsidR="00451A88">
        <w:rPr>
          <w:rFonts w:ascii="Times New Roman" w:hAnsi="Times New Roman"/>
          <w:sz w:val="28"/>
          <w:szCs w:val="28"/>
        </w:rPr>
        <w:t>) Баженов А.М. Добровольное медицинское страхование в России, состо</w:t>
      </w:r>
      <w:r w:rsidR="00451A88">
        <w:rPr>
          <w:rFonts w:ascii="Times New Roman" w:hAnsi="Times New Roman"/>
          <w:sz w:val="28"/>
          <w:szCs w:val="28"/>
        </w:rPr>
        <w:t>я</w:t>
      </w:r>
      <w:r w:rsidR="00451A88">
        <w:rPr>
          <w:rFonts w:ascii="Times New Roman" w:hAnsi="Times New Roman"/>
          <w:sz w:val="28"/>
          <w:szCs w:val="28"/>
        </w:rPr>
        <w:t xml:space="preserve">ние и пути развития. </w:t>
      </w:r>
      <w:r w:rsidR="00451A88" w:rsidRPr="003F23F6">
        <w:rPr>
          <w:rFonts w:ascii="Times New Roman" w:hAnsi="Times New Roman"/>
          <w:sz w:val="28"/>
          <w:szCs w:val="28"/>
        </w:rPr>
        <w:t>–</w:t>
      </w:r>
      <w:r w:rsidR="00451A88">
        <w:rPr>
          <w:rFonts w:ascii="Times New Roman" w:hAnsi="Times New Roman"/>
          <w:sz w:val="28"/>
          <w:szCs w:val="28"/>
        </w:rPr>
        <w:t xml:space="preserve"> </w:t>
      </w:r>
      <w:r w:rsidR="00451A88">
        <w:rPr>
          <w:rFonts w:ascii="Times New Roman" w:hAnsi="Times New Roman"/>
          <w:i/>
          <w:sz w:val="28"/>
          <w:szCs w:val="28"/>
        </w:rPr>
        <w:t>Сибирский медицинский журнал</w:t>
      </w:r>
      <w:r w:rsidR="00451A88" w:rsidRPr="00D652FC">
        <w:rPr>
          <w:rFonts w:ascii="Times New Roman" w:hAnsi="Times New Roman"/>
          <w:sz w:val="28"/>
          <w:szCs w:val="28"/>
        </w:rPr>
        <w:t xml:space="preserve">, </w:t>
      </w:r>
      <w:r w:rsidR="00451A88">
        <w:rPr>
          <w:rFonts w:ascii="Times New Roman" w:hAnsi="Times New Roman"/>
          <w:sz w:val="28"/>
          <w:szCs w:val="28"/>
        </w:rPr>
        <w:t>2008, № 2</w:t>
      </w:r>
      <w:r w:rsidR="00451A88" w:rsidRPr="00D652FC">
        <w:rPr>
          <w:rFonts w:ascii="Times New Roman" w:hAnsi="Times New Roman"/>
          <w:sz w:val="28"/>
          <w:szCs w:val="28"/>
        </w:rPr>
        <w:t xml:space="preserve">. – </w:t>
      </w:r>
      <w:r w:rsidR="00451A88">
        <w:rPr>
          <w:rFonts w:ascii="Times New Roman" w:hAnsi="Times New Roman"/>
          <w:sz w:val="28"/>
          <w:szCs w:val="28"/>
        </w:rPr>
        <w:t>С. 60-61.</w:t>
      </w:r>
    </w:p>
    <w:p w:rsidR="001D2CA3" w:rsidRDefault="00705646" w:rsidP="001D2CA3">
      <w:pPr>
        <w:spacing w:after="0" w:line="360" w:lineRule="auto"/>
        <w:jc w:val="both"/>
        <w:rPr>
          <w:rFonts w:ascii="Times New Roman" w:hAnsi="Times New Roman"/>
          <w:sz w:val="28"/>
          <w:szCs w:val="28"/>
        </w:rPr>
      </w:pPr>
      <w:r>
        <w:rPr>
          <w:rFonts w:ascii="Times New Roman" w:hAnsi="Times New Roman"/>
          <w:sz w:val="28"/>
          <w:szCs w:val="28"/>
        </w:rPr>
        <w:t>4</w:t>
      </w:r>
      <w:r w:rsidR="001D2CA3">
        <w:rPr>
          <w:rFonts w:ascii="Times New Roman" w:hAnsi="Times New Roman"/>
          <w:sz w:val="28"/>
          <w:szCs w:val="28"/>
        </w:rPr>
        <w:t xml:space="preserve">) </w:t>
      </w:r>
      <w:proofErr w:type="spellStart"/>
      <w:r w:rsidR="001D2CA3" w:rsidRPr="000730E8">
        <w:rPr>
          <w:rFonts w:ascii="Times New Roman" w:hAnsi="Times New Roman"/>
          <w:sz w:val="28"/>
          <w:szCs w:val="28"/>
        </w:rPr>
        <w:t>Бауэрс</w:t>
      </w:r>
      <w:proofErr w:type="spellEnd"/>
      <w:r w:rsidR="001D2CA3" w:rsidRPr="000730E8">
        <w:rPr>
          <w:rFonts w:ascii="Times New Roman" w:hAnsi="Times New Roman"/>
          <w:sz w:val="28"/>
          <w:szCs w:val="28"/>
        </w:rPr>
        <w:t xml:space="preserve"> Н., Гербер Х., Джонс Д., </w:t>
      </w:r>
      <w:proofErr w:type="spellStart"/>
      <w:r w:rsidR="001D2CA3" w:rsidRPr="000730E8">
        <w:rPr>
          <w:rFonts w:ascii="Times New Roman" w:hAnsi="Times New Roman"/>
          <w:sz w:val="28"/>
          <w:szCs w:val="28"/>
        </w:rPr>
        <w:t>Несбитт</w:t>
      </w:r>
      <w:proofErr w:type="spellEnd"/>
      <w:r w:rsidR="001D2CA3" w:rsidRPr="000730E8">
        <w:rPr>
          <w:rFonts w:ascii="Times New Roman" w:hAnsi="Times New Roman"/>
          <w:sz w:val="28"/>
          <w:szCs w:val="28"/>
        </w:rPr>
        <w:t xml:space="preserve"> С., </w:t>
      </w:r>
      <w:proofErr w:type="spellStart"/>
      <w:r w:rsidR="001D2CA3" w:rsidRPr="000730E8">
        <w:rPr>
          <w:rFonts w:ascii="Times New Roman" w:hAnsi="Times New Roman"/>
          <w:sz w:val="28"/>
          <w:szCs w:val="28"/>
        </w:rPr>
        <w:t>Хикман</w:t>
      </w:r>
      <w:proofErr w:type="spellEnd"/>
      <w:r w:rsidR="001D2CA3" w:rsidRPr="000730E8">
        <w:rPr>
          <w:rFonts w:ascii="Times New Roman" w:hAnsi="Times New Roman"/>
          <w:sz w:val="28"/>
          <w:szCs w:val="28"/>
        </w:rPr>
        <w:t xml:space="preserve"> Дж. Актуарная мат</w:t>
      </w:r>
      <w:r w:rsidR="001D2CA3" w:rsidRPr="000730E8">
        <w:rPr>
          <w:rFonts w:ascii="Times New Roman" w:hAnsi="Times New Roman"/>
          <w:sz w:val="28"/>
          <w:szCs w:val="28"/>
        </w:rPr>
        <w:t>е</w:t>
      </w:r>
      <w:r w:rsidR="001D2CA3" w:rsidRPr="000730E8">
        <w:rPr>
          <w:rFonts w:ascii="Times New Roman" w:hAnsi="Times New Roman"/>
          <w:sz w:val="28"/>
          <w:szCs w:val="28"/>
        </w:rPr>
        <w:t>матика/ Пер. с англ</w:t>
      </w:r>
      <w:r w:rsidR="001D2CA3" w:rsidRPr="005057CA">
        <w:rPr>
          <w:rFonts w:ascii="Times New Roman" w:hAnsi="Times New Roman"/>
          <w:sz w:val="28"/>
          <w:szCs w:val="28"/>
        </w:rPr>
        <w:t>.</w:t>
      </w:r>
      <w:r w:rsidR="001D2CA3">
        <w:rPr>
          <w:rFonts w:ascii="Times New Roman" w:hAnsi="Times New Roman"/>
          <w:sz w:val="28"/>
          <w:szCs w:val="28"/>
        </w:rPr>
        <w:t xml:space="preserve"> – </w:t>
      </w:r>
      <w:r w:rsidR="001D2CA3" w:rsidRPr="005057CA">
        <w:rPr>
          <w:rFonts w:ascii="Times New Roman" w:hAnsi="Times New Roman"/>
          <w:sz w:val="28"/>
          <w:szCs w:val="28"/>
        </w:rPr>
        <w:t xml:space="preserve">М.: </w:t>
      </w:r>
      <w:r w:rsidR="001D2CA3" w:rsidRPr="000730E8">
        <w:rPr>
          <w:rFonts w:ascii="Times New Roman" w:hAnsi="Times New Roman"/>
          <w:sz w:val="28"/>
          <w:szCs w:val="28"/>
        </w:rPr>
        <w:t>Янус-К</w:t>
      </w:r>
      <w:r w:rsidR="001D2CA3">
        <w:rPr>
          <w:rFonts w:ascii="Times New Roman" w:hAnsi="Times New Roman"/>
          <w:sz w:val="28"/>
          <w:szCs w:val="28"/>
        </w:rPr>
        <w:t>,</w:t>
      </w:r>
      <w:r w:rsidR="001D2CA3" w:rsidRPr="000730E8">
        <w:rPr>
          <w:rFonts w:ascii="Times New Roman" w:hAnsi="Times New Roman"/>
          <w:sz w:val="28"/>
          <w:szCs w:val="28"/>
        </w:rPr>
        <w:t xml:space="preserve"> 2001</w:t>
      </w:r>
      <w:r w:rsidR="001D2CA3" w:rsidRPr="003E03A7">
        <w:rPr>
          <w:rFonts w:ascii="Times New Roman" w:hAnsi="Times New Roman"/>
          <w:sz w:val="28"/>
          <w:szCs w:val="28"/>
        </w:rPr>
        <w:t>.</w:t>
      </w:r>
      <w:r w:rsidR="001D2CA3">
        <w:rPr>
          <w:rFonts w:ascii="Times New Roman" w:hAnsi="Times New Roman"/>
          <w:sz w:val="28"/>
          <w:szCs w:val="28"/>
        </w:rPr>
        <w:t xml:space="preserve"> – 656 </w:t>
      </w:r>
      <w:proofErr w:type="gramStart"/>
      <w:r w:rsidR="001D2CA3">
        <w:rPr>
          <w:rFonts w:ascii="Times New Roman" w:hAnsi="Times New Roman"/>
          <w:sz w:val="28"/>
          <w:szCs w:val="28"/>
        </w:rPr>
        <w:t>с</w:t>
      </w:r>
      <w:proofErr w:type="gramEnd"/>
      <w:r w:rsidR="001D2CA3">
        <w:rPr>
          <w:rFonts w:ascii="Times New Roman" w:hAnsi="Times New Roman"/>
          <w:sz w:val="28"/>
          <w:szCs w:val="28"/>
        </w:rPr>
        <w:t>.</w:t>
      </w:r>
    </w:p>
    <w:p w:rsidR="00451A88" w:rsidRDefault="00705646" w:rsidP="00451A88">
      <w:pPr>
        <w:spacing w:after="0" w:line="360" w:lineRule="auto"/>
        <w:jc w:val="both"/>
        <w:rPr>
          <w:rFonts w:ascii="Times New Roman" w:hAnsi="Times New Roman"/>
          <w:sz w:val="28"/>
          <w:szCs w:val="28"/>
        </w:rPr>
      </w:pPr>
      <w:r>
        <w:rPr>
          <w:rFonts w:ascii="Times New Roman" w:hAnsi="Times New Roman"/>
          <w:sz w:val="28"/>
          <w:szCs w:val="28"/>
        </w:rPr>
        <w:t>5</w:t>
      </w:r>
      <w:r w:rsidR="00451A88">
        <w:rPr>
          <w:rFonts w:ascii="Times New Roman" w:hAnsi="Times New Roman"/>
          <w:sz w:val="28"/>
          <w:szCs w:val="28"/>
        </w:rPr>
        <w:t xml:space="preserve">) </w:t>
      </w:r>
      <w:proofErr w:type="spellStart"/>
      <w:r w:rsidR="00451A88">
        <w:rPr>
          <w:rFonts w:ascii="Times New Roman" w:hAnsi="Times New Roman"/>
          <w:sz w:val="28"/>
          <w:szCs w:val="28"/>
        </w:rPr>
        <w:t>Бова</w:t>
      </w:r>
      <w:proofErr w:type="spellEnd"/>
      <w:r w:rsidR="00451A88">
        <w:rPr>
          <w:rFonts w:ascii="Times New Roman" w:hAnsi="Times New Roman"/>
          <w:sz w:val="28"/>
          <w:szCs w:val="28"/>
        </w:rPr>
        <w:t xml:space="preserve"> Ф.С. Идентификация и характеристика источников финансирования ОМС и ДМС в России</w:t>
      </w:r>
      <w:r w:rsidR="00451A88" w:rsidRPr="003F23F6">
        <w:rPr>
          <w:rFonts w:ascii="Times New Roman" w:hAnsi="Times New Roman"/>
          <w:sz w:val="28"/>
          <w:szCs w:val="28"/>
        </w:rPr>
        <w:t>. –</w:t>
      </w:r>
      <w:r w:rsidR="00451A88">
        <w:rPr>
          <w:rFonts w:ascii="Times New Roman" w:hAnsi="Times New Roman"/>
          <w:sz w:val="28"/>
          <w:szCs w:val="28"/>
        </w:rPr>
        <w:t xml:space="preserve"> </w:t>
      </w:r>
      <w:proofErr w:type="gramStart"/>
      <w:r w:rsidR="00451A88">
        <w:rPr>
          <w:rFonts w:ascii="Times New Roman" w:hAnsi="Times New Roman"/>
          <w:i/>
          <w:sz w:val="28"/>
          <w:szCs w:val="28"/>
          <w:lang w:val="en-US"/>
        </w:rPr>
        <w:t>Terra</w:t>
      </w:r>
      <w:r w:rsidR="00451A88" w:rsidRPr="00F0334B">
        <w:rPr>
          <w:rFonts w:ascii="Times New Roman" w:hAnsi="Times New Roman"/>
          <w:i/>
          <w:sz w:val="28"/>
          <w:szCs w:val="28"/>
        </w:rPr>
        <w:t xml:space="preserve"> </w:t>
      </w:r>
      <w:proofErr w:type="spellStart"/>
      <w:r w:rsidR="00451A88">
        <w:rPr>
          <w:rFonts w:ascii="Times New Roman" w:hAnsi="Times New Roman"/>
          <w:i/>
          <w:sz w:val="28"/>
          <w:szCs w:val="28"/>
          <w:lang w:val="en-US"/>
        </w:rPr>
        <w:t>Economicus</w:t>
      </w:r>
      <w:proofErr w:type="spellEnd"/>
      <w:r w:rsidR="00451A88" w:rsidRPr="00D652FC">
        <w:rPr>
          <w:rFonts w:ascii="Times New Roman" w:hAnsi="Times New Roman"/>
          <w:sz w:val="28"/>
          <w:szCs w:val="28"/>
        </w:rPr>
        <w:t xml:space="preserve">, </w:t>
      </w:r>
      <w:r w:rsidR="00451A88">
        <w:rPr>
          <w:rFonts w:ascii="Times New Roman" w:hAnsi="Times New Roman"/>
          <w:sz w:val="28"/>
          <w:szCs w:val="28"/>
        </w:rPr>
        <w:t>Том 10, № 1, Часть 2, 2012.</w:t>
      </w:r>
      <w:proofErr w:type="gramEnd"/>
      <w:r w:rsidR="00451A88" w:rsidRPr="00D652FC">
        <w:rPr>
          <w:rFonts w:ascii="Times New Roman" w:hAnsi="Times New Roman"/>
          <w:sz w:val="28"/>
          <w:szCs w:val="28"/>
        </w:rPr>
        <w:t xml:space="preserve"> – </w:t>
      </w:r>
      <w:r w:rsidR="00451A88">
        <w:rPr>
          <w:rFonts w:ascii="Times New Roman" w:hAnsi="Times New Roman"/>
          <w:sz w:val="28"/>
          <w:szCs w:val="28"/>
        </w:rPr>
        <w:t>С. 88-90.</w:t>
      </w:r>
    </w:p>
    <w:p w:rsidR="00451A88" w:rsidRDefault="00705646" w:rsidP="00451A8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6</w:t>
      </w:r>
      <w:r w:rsidR="00451A88">
        <w:rPr>
          <w:rFonts w:ascii="Times New Roman" w:hAnsi="Times New Roman"/>
          <w:sz w:val="28"/>
          <w:szCs w:val="28"/>
        </w:rPr>
        <w:t xml:space="preserve">) </w:t>
      </w:r>
      <w:proofErr w:type="spellStart"/>
      <w:r w:rsidR="00451A88">
        <w:rPr>
          <w:rFonts w:ascii="Times New Roman" w:hAnsi="Times New Roman"/>
          <w:sz w:val="28"/>
          <w:szCs w:val="28"/>
        </w:rPr>
        <w:t>Бородинова</w:t>
      </w:r>
      <w:proofErr w:type="spellEnd"/>
      <w:r w:rsidR="00451A88">
        <w:rPr>
          <w:rFonts w:ascii="Times New Roman" w:hAnsi="Times New Roman"/>
          <w:sz w:val="28"/>
          <w:szCs w:val="28"/>
        </w:rPr>
        <w:t xml:space="preserve"> И.А. Модели оценки резерва произошедших, но незаявленных убытков</w:t>
      </w:r>
      <w:r w:rsidR="00451A88" w:rsidRPr="003F23F6">
        <w:rPr>
          <w:rFonts w:ascii="Times New Roman" w:hAnsi="Times New Roman"/>
          <w:sz w:val="28"/>
          <w:szCs w:val="28"/>
        </w:rPr>
        <w:t>. –</w:t>
      </w:r>
      <w:r w:rsidR="00451A88">
        <w:rPr>
          <w:rFonts w:ascii="Times New Roman" w:hAnsi="Times New Roman"/>
          <w:sz w:val="28"/>
          <w:szCs w:val="28"/>
        </w:rPr>
        <w:t xml:space="preserve"> </w:t>
      </w:r>
      <w:r w:rsidR="00451A88" w:rsidRPr="003F23F6">
        <w:rPr>
          <w:rFonts w:ascii="Times New Roman" w:hAnsi="Times New Roman"/>
          <w:i/>
          <w:sz w:val="28"/>
          <w:szCs w:val="28"/>
        </w:rPr>
        <w:t xml:space="preserve">Вестник </w:t>
      </w:r>
      <w:proofErr w:type="spellStart"/>
      <w:r w:rsidR="00451A88" w:rsidRPr="003F23F6">
        <w:rPr>
          <w:rFonts w:ascii="Times New Roman" w:hAnsi="Times New Roman"/>
          <w:i/>
          <w:sz w:val="28"/>
          <w:szCs w:val="28"/>
        </w:rPr>
        <w:t>СамГу</w:t>
      </w:r>
      <w:proofErr w:type="spellEnd"/>
      <w:r w:rsidR="00451A88" w:rsidRPr="00D652FC">
        <w:rPr>
          <w:rFonts w:ascii="Times New Roman" w:hAnsi="Times New Roman"/>
          <w:sz w:val="28"/>
          <w:szCs w:val="28"/>
        </w:rPr>
        <w:t xml:space="preserve">, </w:t>
      </w:r>
      <w:r w:rsidR="00451A88">
        <w:rPr>
          <w:rFonts w:ascii="Times New Roman" w:hAnsi="Times New Roman"/>
          <w:sz w:val="28"/>
          <w:szCs w:val="28"/>
        </w:rPr>
        <w:t>2011, № 1/1 (82).</w:t>
      </w:r>
      <w:r w:rsidR="00451A88" w:rsidRPr="00D652FC">
        <w:rPr>
          <w:rFonts w:ascii="Times New Roman" w:hAnsi="Times New Roman"/>
          <w:sz w:val="28"/>
          <w:szCs w:val="28"/>
        </w:rPr>
        <w:t xml:space="preserve"> – </w:t>
      </w:r>
      <w:r w:rsidR="00451A88">
        <w:rPr>
          <w:rFonts w:ascii="Times New Roman" w:hAnsi="Times New Roman"/>
          <w:sz w:val="28"/>
          <w:szCs w:val="28"/>
        </w:rPr>
        <w:t>С. 48-56.</w:t>
      </w:r>
    </w:p>
    <w:p w:rsidR="00451A88" w:rsidRDefault="00705646" w:rsidP="00451A88">
      <w:pPr>
        <w:spacing w:after="0" w:line="360" w:lineRule="auto"/>
        <w:jc w:val="both"/>
        <w:rPr>
          <w:rFonts w:ascii="Times New Roman" w:hAnsi="Times New Roman"/>
          <w:sz w:val="28"/>
          <w:szCs w:val="28"/>
        </w:rPr>
      </w:pPr>
      <w:r>
        <w:rPr>
          <w:rFonts w:ascii="Times New Roman" w:hAnsi="Times New Roman"/>
          <w:sz w:val="28"/>
          <w:szCs w:val="28"/>
        </w:rPr>
        <w:t>7</w:t>
      </w:r>
      <w:r w:rsidR="00451A88">
        <w:rPr>
          <w:rFonts w:ascii="Times New Roman" w:hAnsi="Times New Roman"/>
          <w:sz w:val="28"/>
          <w:szCs w:val="28"/>
        </w:rPr>
        <w:t xml:space="preserve">) Грищенко Н.Б., </w:t>
      </w:r>
      <w:proofErr w:type="spellStart"/>
      <w:r w:rsidR="00451A88">
        <w:rPr>
          <w:rFonts w:ascii="Times New Roman" w:hAnsi="Times New Roman"/>
          <w:sz w:val="28"/>
          <w:szCs w:val="28"/>
        </w:rPr>
        <w:t>Клевно</w:t>
      </w:r>
      <w:proofErr w:type="spellEnd"/>
      <w:r w:rsidR="00451A88">
        <w:rPr>
          <w:rFonts w:ascii="Times New Roman" w:hAnsi="Times New Roman"/>
          <w:sz w:val="28"/>
          <w:szCs w:val="28"/>
        </w:rPr>
        <w:t xml:space="preserve"> В.А., Мищенко В.В. Добровольное медицинское страхование: Основы современной практики</w:t>
      </w:r>
      <w:r w:rsidR="00451A88" w:rsidRPr="00D83389">
        <w:rPr>
          <w:rFonts w:ascii="Times New Roman" w:hAnsi="Times New Roman"/>
          <w:sz w:val="28"/>
          <w:szCs w:val="28"/>
        </w:rPr>
        <w:t xml:space="preserve">. </w:t>
      </w:r>
      <w:r w:rsidR="00451A88">
        <w:rPr>
          <w:rFonts w:ascii="Times New Roman" w:hAnsi="Times New Roman"/>
          <w:sz w:val="28"/>
          <w:szCs w:val="28"/>
        </w:rPr>
        <w:t>–</w:t>
      </w:r>
      <w:r w:rsidR="00451A88" w:rsidRPr="00490B75">
        <w:rPr>
          <w:rFonts w:ascii="Times New Roman" w:hAnsi="Times New Roman"/>
          <w:sz w:val="28"/>
          <w:szCs w:val="28"/>
        </w:rPr>
        <w:t xml:space="preserve"> </w:t>
      </w:r>
      <w:r w:rsidR="00451A88">
        <w:rPr>
          <w:rFonts w:ascii="Times New Roman" w:hAnsi="Times New Roman"/>
          <w:sz w:val="28"/>
          <w:szCs w:val="28"/>
        </w:rPr>
        <w:t>Барнаул</w:t>
      </w:r>
      <w:r w:rsidR="00451A88" w:rsidRPr="00D83389">
        <w:rPr>
          <w:rFonts w:ascii="Times New Roman" w:hAnsi="Times New Roman"/>
          <w:sz w:val="28"/>
          <w:szCs w:val="28"/>
        </w:rPr>
        <w:t>:</w:t>
      </w:r>
      <w:r w:rsidR="00451A88" w:rsidRPr="00490B75">
        <w:rPr>
          <w:rFonts w:ascii="Times New Roman" w:hAnsi="Times New Roman"/>
          <w:sz w:val="28"/>
          <w:szCs w:val="28"/>
        </w:rPr>
        <w:t xml:space="preserve"> </w:t>
      </w:r>
      <w:r w:rsidR="00451A88">
        <w:rPr>
          <w:rFonts w:ascii="Times New Roman" w:hAnsi="Times New Roman"/>
          <w:sz w:val="28"/>
          <w:szCs w:val="28"/>
        </w:rPr>
        <w:t xml:space="preserve">Изд-во </w:t>
      </w:r>
      <w:proofErr w:type="spellStart"/>
      <w:r w:rsidR="00451A88">
        <w:rPr>
          <w:rFonts w:ascii="Times New Roman" w:hAnsi="Times New Roman"/>
          <w:sz w:val="28"/>
          <w:szCs w:val="28"/>
        </w:rPr>
        <w:t>Алт</w:t>
      </w:r>
      <w:proofErr w:type="spellEnd"/>
      <w:r w:rsidR="00451A88">
        <w:rPr>
          <w:rFonts w:ascii="Times New Roman" w:hAnsi="Times New Roman"/>
          <w:sz w:val="28"/>
          <w:szCs w:val="28"/>
        </w:rPr>
        <w:t>. ун-та</w:t>
      </w:r>
      <w:r w:rsidR="00451A88" w:rsidRPr="00D83389">
        <w:rPr>
          <w:rFonts w:ascii="Times New Roman" w:hAnsi="Times New Roman"/>
          <w:sz w:val="28"/>
          <w:szCs w:val="28"/>
        </w:rPr>
        <w:t>,</w:t>
      </w:r>
      <w:r w:rsidR="00451A88">
        <w:rPr>
          <w:rFonts w:ascii="Times New Roman" w:hAnsi="Times New Roman"/>
          <w:sz w:val="28"/>
          <w:szCs w:val="28"/>
        </w:rPr>
        <w:t xml:space="preserve"> 2001</w:t>
      </w:r>
      <w:r w:rsidR="00451A88" w:rsidRPr="00490B75">
        <w:rPr>
          <w:rFonts w:ascii="Times New Roman" w:hAnsi="Times New Roman"/>
          <w:sz w:val="28"/>
          <w:szCs w:val="28"/>
        </w:rPr>
        <w:t xml:space="preserve">. </w:t>
      </w:r>
      <w:r w:rsidR="00451A88">
        <w:rPr>
          <w:rFonts w:ascii="Times New Roman" w:hAnsi="Times New Roman"/>
          <w:sz w:val="28"/>
          <w:szCs w:val="28"/>
        </w:rPr>
        <w:t>–</w:t>
      </w:r>
      <w:r w:rsidR="00451A88" w:rsidRPr="00D83389">
        <w:rPr>
          <w:rFonts w:ascii="Times New Roman" w:hAnsi="Times New Roman"/>
          <w:sz w:val="28"/>
          <w:szCs w:val="28"/>
        </w:rPr>
        <w:t xml:space="preserve"> 78 </w:t>
      </w:r>
      <w:proofErr w:type="gramStart"/>
      <w:r w:rsidR="00451A88" w:rsidRPr="00D83389">
        <w:rPr>
          <w:rFonts w:ascii="Times New Roman" w:hAnsi="Times New Roman"/>
          <w:sz w:val="28"/>
          <w:szCs w:val="28"/>
        </w:rPr>
        <w:t>с</w:t>
      </w:r>
      <w:proofErr w:type="gramEnd"/>
      <w:r w:rsidR="00451A88" w:rsidRPr="00D83389">
        <w:rPr>
          <w:rFonts w:ascii="Times New Roman" w:hAnsi="Times New Roman"/>
          <w:sz w:val="28"/>
          <w:szCs w:val="28"/>
        </w:rPr>
        <w:t>.</w:t>
      </w:r>
    </w:p>
    <w:p w:rsidR="00451A88" w:rsidRDefault="00705646" w:rsidP="00451A88">
      <w:pPr>
        <w:spacing w:after="0" w:line="360" w:lineRule="auto"/>
        <w:jc w:val="both"/>
        <w:rPr>
          <w:rFonts w:ascii="Times New Roman" w:hAnsi="Times New Roman"/>
          <w:sz w:val="28"/>
          <w:szCs w:val="28"/>
        </w:rPr>
      </w:pPr>
      <w:r>
        <w:rPr>
          <w:rFonts w:ascii="Times New Roman" w:hAnsi="Times New Roman"/>
          <w:sz w:val="28"/>
          <w:szCs w:val="28"/>
        </w:rPr>
        <w:t>8</w:t>
      </w:r>
      <w:r w:rsidR="00451A88">
        <w:rPr>
          <w:rFonts w:ascii="Times New Roman" w:hAnsi="Times New Roman"/>
          <w:sz w:val="28"/>
          <w:szCs w:val="28"/>
        </w:rPr>
        <w:t xml:space="preserve">) Дуброва Т.А. Статистические методы </w:t>
      </w:r>
      <w:proofErr w:type="spellStart"/>
      <w:r w:rsidR="00451A88">
        <w:rPr>
          <w:rFonts w:ascii="Times New Roman" w:hAnsi="Times New Roman"/>
          <w:sz w:val="28"/>
          <w:szCs w:val="28"/>
        </w:rPr>
        <w:t>пронозирования</w:t>
      </w:r>
      <w:proofErr w:type="spellEnd"/>
      <w:r w:rsidR="00451A88">
        <w:rPr>
          <w:rFonts w:ascii="Times New Roman" w:hAnsi="Times New Roman"/>
          <w:sz w:val="28"/>
          <w:szCs w:val="28"/>
        </w:rPr>
        <w:t>: Учеб</w:t>
      </w:r>
      <w:proofErr w:type="gramStart"/>
      <w:r w:rsidR="00451A88">
        <w:rPr>
          <w:rFonts w:ascii="Times New Roman" w:hAnsi="Times New Roman"/>
          <w:sz w:val="28"/>
          <w:szCs w:val="28"/>
        </w:rPr>
        <w:t>.</w:t>
      </w:r>
      <w:proofErr w:type="gramEnd"/>
      <w:r w:rsidR="00451A88">
        <w:rPr>
          <w:rFonts w:ascii="Times New Roman" w:hAnsi="Times New Roman"/>
          <w:sz w:val="28"/>
          <w:szCs w:val="28"/>
        </w:rPr>
        <w:t xml:space="preserve"> </w:t>
      </w:r>
      <w:proofErr w:type="gramStart"/>
      <w:r w:rsidR="00451A88">
        <w:rPr>
          <w:rFonts w:ascii="Times New Roman" w:hAnsi="Times New Roman"/>
          <w:sz w:val="28"/>
          <w:szCs w:val="28"/>
        </w:rPr>
        <w:t>п</w:t>
      </w:r>
      <w:proofErr w:type="gramEnd"/>
      <w:r w:rsidR="00451A88">
        <w:rPr>
          <w:rFonts w:ascii="Times New Roman" w:hAnsi="Times New Roman"/>
          <w:sz w:val="28"/>
          <w:szCs w:val="28"/>
        </w:rPr>
        <w:t>особие для вузов. –</w:t>
      </w:r>
      <w:r w:rsidR="00451A88" w:rsidRPr="00490B75">
        <w:rPr>
          <w:rFonts w:ascii="Times New Roman" w:hAnsi="Times New Roman"/>
          <w:sz w:val="28"/>
          <w:szCs w:val="28"/>
        </w:rPr>
        <w:t xml:space="preserve"> </w:t>
      </w:r>
      <w:r w:rsidR="00451A88">
        <w:rPr>
          <w:rFonts w:ascii="Times New Roman" w:hAnsi="Times New Roman"/>
          <w:sz w:val="28"/>
          <w:szCs w:val="28"/>
        </w:rPr>
        <w:t>М.: ЮНИТИ-ДАНА</w:t>
      </w:r>
      <w:r w:rsidR="00451A88" w:rsidRPr="00D83389">
        <w:rPr>
          <w:rFonts w:ascii="Times New Roman" w:hAnsi="Times New Roman"/>
          <w:sz w:val="28"/>
          <w:szCs w:val="28"/>
        </w:rPr>
        <w:t>,</w:t>
      </w:r>
      <w:r w:rsidR="00451A88">
        <w:rPr>
          <w:rFonts w:ascii="Times New Roman" w:hAnsi="Times New Roman"/>
          <w:sz w:val="28"/>
          <w:szCs w:val="28"/>
        </w:rPr>
        <w:t xml:space="preserve"> 2003</w:t>
      </w:r>
      <w:r w:rsidR="00451A88" w:rsidRPr="00490B75">
        <w:rPr>
          <w:rFonts w:ascii="Times New Roman" w:hAnsi="Times New Roman"/>
          <w:sz w:val="28"/>
          <w:szCs w:val="28"/>
        </w:rPr>
        <w:t xml:space="preserve">. </w:t>
      </w:r>
      <w:r w:rsidR="00451A88">
        <w:rPr>
          <w:rFonts w:ascii="Times New Roman" w:hAnsi="Times New Roman"/>
          <w:sz w:val="28"/>
          <w:szCs w:val="28"/>
        </w:rPr>
        <w:t>–</w:t>
      </w:r>
      <w:r w:rsidR="00451A88" w:rsidRPr="00D83389">
        <w:rPr>
          <w:rFonts w:ascii="Times New Roman" w:hAnsi="Times New Roman"/>
          <w:sz w:val="28"/>
          <w:szCs w:val="28"/>
        </w:rPr>
        <w:t xml:space="preserve"> </w:t>
      </w:r>
      <w:r w:rsidR="00451A88">
        <w:rPr>
          <w:rFonts w:ascii="Times New Roman" w:hAnsi="Times New Roman"/>
          <w:sz w:val="28"/>
          <w:szCs w:val="28"/>
        </w:rPr>
        <w:t>206</w:t>
      </w:r>
      <w:r w:rsidR="00451A88" w:rsidRPr="00D83389">
        <w:rPr>
          <w:rFonts w:ascii="Times New Roman" w:hAnsi="Times New Roman"/>
          <w:sz w:val="28"/>
          <w:szCs w:val="28"/>
        </w:rPr>
        <w:t xml:space="preserve"> с.</w:t>
      </w:r>
    </w:p>
    <w:p w:rsidR="001D2CA3" w:rsidRPr="001D2CA3" w:rsidRDefault="00705646" w:rsidP="001D2CA3">
      <w:pPr>
        <w:spacing w:after="0" w:line="360" w:lineRule="auto"/>
        <w:jc w:val="both"/>
      </w:pPr>
      <w:r>
        <w:rPr>
          <w:rFonts w:ascii="Times New Roman" w:hAnsi="Times New Roman"/>
          <w:sz w:val="28"/>
          <w:szCs w:val="28"/>
        </w:rPr>
        <w:t>9</w:t>
      </w:r>
      <w:r w:rsidR="001D2CA3">
        <w:rPr>
          <w:rFonts w:ascii="Times New Roman" w:hAnsi="Times New Roman"/>
          <w:sz w:val="28"/>
          <w:szCs w:val="28"/>
        </w:rPr>
        <w:t xml:space="preserve">) </w:t>
      </w:r>
      <w:r w:rsidR="001D2CA3" w:rsidRPr="003E03A7">
        <w:rPr>
          <w:rFonts w:ascii="Times New Roman" w:hAnsi="Times New Roman"/>
          <w:sz w:val="28"/>
          <w:szCs w:val="28"/>
        </w:rPr>
        <w:t>Иваницкий А.Ю. Теория риска в страховании.– М</w:t>
      </w:r>
      <w:r w:rsidR="001D2CA3" w:rsidRPr="001D2CA3">
        <w:rPr>
          <w:rFonts w:ascii="Times New Roman" w:hAnsi="Times New Roman"/>
          <w:sz w:val="28"/>
          <w:szCs w:val="28"/>
        </w:rPr>
        <w:t xml:space="preserve">.: </w:t>
      </w:r>
      <w:r w:rsidR="001D2CA3" w:rsidRPr="003E03A7">
        <w:rPr>
          <w:rFonts w:ascii="Times New Roman" w:hAnsi="Times New Roman"/>
          <w:sz w:val="28"/>
          <w:szCs w:val="28"/>
        </w:rPr>
        <w:t>Факториал</w:t>
      </w:r>
      <w:r w:rsidR="001D2CA3" w:rsidRPr="001D2CA3">
        <w:rPr>
          <w:rFonts w:ascii="Times New Roman" w:hAnsi="Times New Roman"/>
          <w:sz w:val="28"/>
          <w:szCs w:val="28"/>
        </w:rPr>
        <w:t xml:space="preserve"> </w:t>
      </w:r>
      <w:r w:rsidR="001D2CA3" w:rsidRPr="003E03A7">
        <w:rPr>
          <w:rFonts w:ascii="Times New Roman" w:hAnsi="Times New Roman"/>
          <w:sz w:val="28"/>
          <w:szCs w:val="28"/>
        </w:rPr>
        <w:t>пресс</w:t>
      </w:r>
      <w:r w:rsidR="001D2CA3" w:rsidRPr="001D2CA3">
        <w:rPr>
          <w:rFonts w:ascii="Times New Roman" w:hAnsi="Times New Roman"/>
          <w:sz w:val="28"/>
          <w:szCs w:val="28"/>
        </w:rPr>
        <w:t xml:space="preserve">, 2007. – 128 </w:t>
      </w:r>
      <w:proofErr w:type="gramStart"/>
      <w:r w:rsidR="001D2CA3" w:rsidRPr="003E03A7">
        <w:rPr>
          <w:rFonts w:ascii="Times New Roman" w:hAnsi="Times New Roman"/>
          <w:sz w:val="28"/>
          <w:szCs w:val="28"/>
        </w:rPr>
        <w:t>с</w:t>
      </w:r>
      <w:proofErr w:type="gramEnd"/>
      <w:r w:rsidR="001D2CA3" w:rsidRPr="001D2CA3">
        <w:rPr>
          <w:rFonts w:ascii="Times New Roman" w:hAnsi="Times New Roman"/>
          <w:sz w:val="28"/>
          <w:szCs w:val="28"/>
        </w:rPr>
        <w:t>.</w:t>
      </w:r>
    </w:p>
    <w:p w:rsidR="001D2CA3" w:rsidRPr="003E03A7" w:rsidRDefault="00705646" w:rsidP="001D2CA3">
      <w:pPr>
        <w:spacing w:after="0" w:line="360" w:lineRule="auto"/>
        <w:jc w:val="both"/>
        <w:rPr>
          <w:rFonts w:ascii="Times New Roman" w:hAnsi="Times New Roman"/>
          <w:sz w:val="28"/>
          <w:szCs w:val="28"/>
        </w:rPr>
      </w:pPr>
      <w:r>
        <w:rPr>
          <w:rFonts w:ascii="Times New Roman" w:hAnsi="Times New Roman"/>
          <w:sz w:val="28"/>
          <w:szCs w:val="28"/>
        </w:rPr>
        <w:t>10</w:t>
      </w:r>
      <w:r w:rsidR="001D2CA3">
        <w:rPr>
          <w:rFonts w:ascii="Times New Roman" w:hAnsi="Times New Roman"/>
          <w:sz w:val="28"/>
          <w:szCs w:val="28"/>
        </w:rPr>
        <w:t xml:space="preserve">) </w:t>
      </w:r>
      <w:r w:rsidR="001D2CA3" w:rsidRPr="003E03A7">
        <w:rPr>
          <w:rFonts w:ascii="Times New Roman" w:hAnsi="Times New Roman"/>
          <w:sz w:val="28"/>
          <w:szCs w:val="28"/>
        </w:rPr>
        <w:t xml:space="preserve">Иванов С.С., </w:t>
      </w:r>
      <w:proofErr w:type="gramStart"/>
      <w:r w:rsidR="001D2CA3" w:rsidRPr="003E03A7">
        <w:rPr>
          <w:rFonts w:ascii="Times New Roman" w:hAnsi="Times New Roman"/>
          <w:sz w:val="28"/>
          <w:szCs w:val="28"/>
        </w:rPr>
        <w:t>Голубев</w:t>
      </w:r>
      <w:proofErr w:type="gramEnd"/>
      <w:r w:rsidR="001D2CA3" w:rsidRPr="003E03A7">
        <w:rPr>
          <w:rFonts w:ascii="Times New Roman" w:hAnsi="Times New Roman"/>
          <w:sz w:val="28"/>
          <w:szCs w:val="28"/>
        </w:rPr>
        <w:t xml:space="preserve"> С.Д., Чёрная Л.А., </w:t>
      </w:r>
      <w:proofErr w:type="spellStart"/>
      <w:r w:rsidR="001D2CA3" w:rsidRPr="003E03A7">
        <w:rPr>
          <w:rFonts w:ascii="Times New Roman" w:hAnsi="Times New Roman"/>
          <w:sz w:val="28"/>
          <w:szCs w:val="28"/>
        </w:rPr>
        <w:t>Шарафутдинова</w:t>
      </w:r>
      <w:proofErr w:type="spellEnd"/>
      <w:r w:rsidR="001D2CA3" w:rsidRPr="003E03A7">
        <w:rPr>
          <w:rFonts w:ascii="Times New Roman" w:hAnsi="Times New Roman"/>
          <w:sz w:val="28"/>
          <w:szCs w:val="28"/>
        </w:rPr>
        <w:t xml:space="preserve"> Н.Е. Теория и практика рискового страхования.</w:t>
      </w:r>
      <w:r w:rsidR="001D2CA3">
        <w:rPr>
          <w:rFonts w:ascii="Times New Roman" w:hAnsi="Times New Roman"/>
          <w:sz w:val="28"/>
          <w:szCs w:val="28"/>
        </w:rPr>
        <w:t xml:space="preserve"> </w:t>
      </w:r>
      <w:r w:rsidR="001D2CA3" w:rsidRPr="003E03A7">
        <w:rPr>
          <w:rFonts w:ascii="Times New Roman" w:hAnsi="Times New Roman"/>
          <w:sz w:val="28"/>
          <w:szCs w:val="28"/>
        </w:rPr>
        <w:t>– М.:</w:t>
      </w:r>
      <w:r w:rsidR="001D2CA3">
        <w:rPr>
          <w:rFonts w:ascii="Times New Roman" w:hAnsi="Times New Roman"/>
          <w:sz w:val="28"/>
          <w:szCs w:val="28"/>
        </w:rPr>
        <w:t xml:space="preserve"> РОСНО: </w:t>
      </w:r>
      <w:proofErr w:type="spellStart"/>
      <w:r w:rsidR="001D2CA3" w:rsidRPr="003E03A7">
        <w:rPr>
          <w:rFonts w:ascii="Times New Roman" w:hAnsi="Times New Roman"/>
          <w:sz w:val="28"/>
          <w:szCs w:val="28"/>
        </w:rPr>
        <w:t>Анкил</w:t>
      </w:r>
      <w:proofErr w:type="spellEnd"/>
      <w:r w:rsidR="001D2CA3" w:rsidRPr="003E03A7">
        <w:rPr>
          <w:rFonts w:ascii="Times New Roman" w:hAnsi="Times New Roman"/>
          <w:sz w:val="28"/>
          <w:szCs w:val="28"/>
        </w:rPr>
        <w:t>, 2007.</w:t>
      </w:r>
      <w:r w:rsidR="001D2CA3">
        <w:rPr>
          <w:rFonts w:ascii="Times New Roman" w:hAnsi="Times New Roman"/>
          <w:sz w:val="28"/>
          <w:szCs w:val="28"/>
        </w:rPr>
        <w:t xml:space="preserve"> – 480 с.</w:t>
      </w:r>
    </w:p>
    <w:p w:rsidR="00451A88" w:rsidRPr="002534A3" w:rsidRDefault="00451A88" w:rsidP="00451A88">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1</w:t>
      </w:r>
      <w:r>
        <w:rPr>
          <w:rFonts w:ascii="Times New Roman" w:hAnsi="Times New Roman"/>
          <w:sz w:val="28"/>
          <w:szCs w:val="28"/>
        </w:rPr>
        <w:t>) Ильиных Ю.М. Современное состояние добровольного медицинского страховании в России, 2011. – С. 52-54.</w:t>
      </w:r>
      <w:r w:rsidRPr="002534A3">
        <w:rPr>
          <w:rFonts w:ascii="Times New Roman" w:hAnsi="Times New Roman"/>
          <w:sz w:val="28"/>
          <w:szCs w:val="28"/>
        </w:rPr>
        <w:t xml:space="preserve"> </w:t>
      </w:r>
      <w:r w:rsidRPr="00451A88">
        <w:rPr>
          <w:rFonts w:ascii="Times New Roman" w:hAnsi="Times New Roman"/>
          <w:sz w:val="28"/>
          <w:szCs w:val="28"/>
        </w:rPr>
        <w:t>[</w:t>
      </w:r>
      <w:r>
        <w:rPr>
          <w:rFonts w:ascii="Times New Roman" w:hAnsi="Times New Roman"/>
          <w:sz w:val="28"/>
          <w:szCs w:val="28"/>
        </w:rPr>
        <w:t>Электронный</w:t>
      </w:r>
      <w:r w:rsidRPr="00451A88">
        <w:rPr>
          <w:rFonts w:ascii="Times New Roman" w:hAnsi="Times New Roman"/>
          <w:sz w:val="28"/>
          <w:szCs w:val="28"/>
        </w:rPr>
        <w:t xml:space="preserve"> </w:t>
      </w:r>
      <w:r>
        <w:rPr>
          <w:rFonts w:ascii="Times New Roman" w:hAnsi="Times New Roman"/>
          <w:sz w:val="28"/>
          <w:szCs w:val="28"/>
        </w:rPr>
        <w:t>ресурс</w:t>
      </w:r>
      <w:r w:rsidRPr="00451A88">
        <w:rPr>
          <w:rFonts w:ascii="Times New Roman" w:hAnsi="Times New Roman"/>
          <w:sz w:val="28"/>
          <w:szCs w:val="28"/>
        </w:rPr>
        <w:t xml:space="preserve">] / </w:t>
      </w:r>
      <w:r>
        <w:rPr>
          <w:rFonts w:ascii="Times New Roman" w:hAnsi="Times New Roman"/>
          <w:sz w:val="28"/>
          <w:szCs w:val="28"/>
        </w:rPr>
        <w:t>Режим</w:t>
      </w:r>
      <w:r w:rsidRPr="00451A88">
        <w:rPr>
          <w:rFonts w:ascii="Times New Roman" w:hAnsi="Times New Roman"/>
          <w:sz w:val="28"/>
          <w:szCs w:val="28"/>
        </w:rPr>
        <w:t xml:space="preserve"> </w:t>
      </w:r>
      <w:r>
        <w:rPr>
          <w:rFonts w:ascii="Times New Roman" w:hAnsi="Times New Roman"/>
          <w:sz w:val="28"/>
          <w:szCs w:val="28"/>
        </w:rPr>
        <w:t>до</w:t>
      </w:r>
      <w:r>
        <w:rPr>
          <w:rFonts w:ascii="Times New Roman" w:hAnsi="Times New Roman"/>
          <w:sz w:val="28"/>
          <w:szCs w:val="28"/>
        </w:rPr>
        <w:t>с</w:t>
      </w:r>
      <w:r>
        <w:rPr>
          <w:rFonts w:ascii="Times New Roman" w:hAnsi="Times New Roman"/>
          <w:sz w:val="28"/>
          <w:szCs w:val="28"/>
        </w:rPr>
        <w:t>тупа</w:t>
      </w:r>
      <w:r w:rsidRPr="00451A88">
        <w:rPr>
          <w:rFonts w:ascii="Times New Roman" w:hAnsi="Times New Roman"/>
          <w:sz w:val="28"/>
          <w:szCs w:val="28"/>
        </w:rPr>
        <w:t>:</w:t>
      </w:r>
      <w:r>
        <w:rPr>
          <w:rFonts w:ascii="Times New Roman" w:hAnsi="Times New Roman"/>
          <w:sz w:val="28"/>
          <w:szCs w:val="28"/>
        </w:rPr>
        <w:t xml:space="preserve"> </w:t>
      </w:r>
      <w:r w:rsidRPr="002534A3">
        <w:rPr>
          <w:rFonts w:ascii="Times New Roman" w:hAnsi="Times New Roman"/>
          <w:sz w:val="28"/>
          <w:szCs w:val="28"/>
        </w:rPr>
        <w:t>http://www.gosbook.ru/node/39901</w:t>
      </w:r>
      <w:r>
        <w:rPr>
          <w:rFonts w:ascii="Times New Roman" w:hAnsi="Times New Roman"/>
          <w:sz w:val="28"/>
          <w:szCs w:val="28"/>
        </w:rPr>
        <w:t>.</w:t>
      </w:r>
    </w:p>
    <w:p w:rsidR="001D2CA3" w:rsidRDefault="00451A88" w:rsidP="001D2CA3">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2</w:t>
      </w:r>
      <w:r w:rsidR="001D2CA3">
        <w:rPr>
          <w:rFonts w:ascii="Times New Roman" w:hAnsi="Times New Roman"/>
          <w:sz w:val="28"/>
          <w:szCs w:val="28"/>
        </w:rPr>
        <w:t xml:space="preserve">) </w:t>
      </w:r>
      <w:proofErr w:type="spellStart"/>
      <w:r w:rsidR="001D2CA3" w:rsidRPr="005057CA">
        <w:rPr>
          <w:rFonts w:ascii="Times New Roman" w:hAnsi="Times New Roman"/>
          <w:sz w:val="28"/>
          <w:szCs w:val="28"/>
        </w:rPr>
        <w:t>Каас</w:t>
      </w:r>
      <w:proofErr w:type="spellEnd"/>
      <w:r w:rsidR="001D2CA3">
        <w:rPr>
          <w:rFonts w:ascii="Times New Roman" w:hAnsi="Times New Roman"/>
          <w:sz w:val="28"/>
          <w:szCs w:val="28"/>
        </w:rPr>
        <w:t xml:space="preserve"> Р.</w:t>
      </w:r>
      <w:r w:rsidR="001D2CA3" w:rsidRPr="005057CA">
        <w:rPr>
          <w:rFonts w:ascii="Times New Roman" w:hAnsi="Times New Roman"/>
          <w:sz w:val="28"/>
          <w:szCs w:val="28"/>
        </w:rPr>
        <w:t xml:space="preserve">, </w:t>
      </w:r>
      <w:proofErr w:type="spellStart"/>
      <w:r w:rsidR="001D2CA3" w:rsidRPr="005057CA">
        <w:rPr>
          <w:rFonts w:ascii="Times New Roman" w:hAnsi="Times New Roman"/>
          <w:sz w:val="28"/>
          <w:szCs w:val="28"/>
        </w:rPr>
        <w:t>Гувертс</w:t>
      </w:r>
      <w:proofErr w:type="spellEnd"/>
      <w:r w:rsidR="001D2CA3">
        <w:rPr>
          <w:rFonts w:ascii="Times New Roman" w:hAnsi="Times New Roman"/>
          <w:sz w:val="28"/>
          <w:szCs w:val="28"/>
        </w:rPr>
        <w:t xml:space="preserve"> М.</w:t>
      </w:r>
      <w:r w:rsidR="001D2CA3" w:rsidRPr="005057CA">
        <w:rPr>
          <w:rFonts w:ascii="Times New Roman" w:hAnsi="Times New Roman"/>
          <w:sz w:val="28"/>
          <w:szCs w:val="28"/>
        </w:rPr>
        <w:t xml:space="preserve">, </w:t>
      </w:r>
      <w:proofErr w:type="spellStart"/>
      <w:r w:rsidR="001D2CA3" w:rsidRPr="005057CA">
        <w:rPr>
          <w:rFonts w:ascii="Times New Roman" w:hAnsi="Times New Roman"/>
          <w:sz w:val="28"/>
          <w:szCs w:val="28"/>
        </w:rPr>
        <w:t>Дэнэ</w:t>
      </w:r>
      <w:proofErr w:type="spellEnd"/>
      <w:r w:rsidR="001D2CA3">
        <w:rPr>
          <w:rFonts w:ascii="Times New Roman" w:hAnsi="Times New Roman"/>
          <w:sz w:val="28"/>
          <w:szCs w:val="28"/>
        </w:rPr>
        <w:t xml:space="preserve"> Ж.</w:t>
      </w:r>
      <w:r w:rsidR="001D2CA3" w:rsidRPr="005057CA">
        <w:rPr>
          <w:rFonts w:ascii="Times New Roman" w:hAnsi="Times New Roman"/>
          <w:sz w:val="28"/>
          <w:szCs w:val="28"/>
        </w:rPr>
        <w:t>, Денут</w:t>
      </w:r>
      <w:r w:rsidR="001D2CA3">
        <w:rPr>
          <w:rFonts w:ascii="Times New Roman" w:hAnsi="Times New Roman"/>
          <w:sz w:val="28"/>
          <w:szCs w:val="28"/>
        </w:rPr>
        <w:t xml:space="preserve"> М</w:t>
      </w:r>
      <w:r w:rsidR="001D2CA3" w:rsidRPr="005057CA">
        <w:rPr>
          <w:rFonts w:ascii="Times New Roman" w:hAnsi="Times New Roman"/>
          <w:sz w:val="28"/>
          <w:szCs w:val="28"/>
        </w:rPr>
        <w:t>. Современная актуарная теория риска</w:t>
      </w:r>
      <w:r w:rsidR="001D2CA3" w:rsidRPr="001623B3">
        <w:rPr>
          <w:rFonts w:ascii="Times New Roman" w:hAnsi="Times New Roman"/>
          <w:sz w:val="28"/>
          <w:szCs w:val="28"/>
        </w:rPr>
        <w:t xml:space="preserve">/ </w:t>
      </w:r>
      <w:r w:rsidR="001D2CA3" w:rsidRPr="005057CA">
        <w:rPr>
          <w:rFonts w:ascii="Times New Roman" w:hAnsi="Times New Roman"/>
          <w:sz w:val="28"/>
          <w:szCs w:val="28"/>
        </w:rPr>
        <w:t>Пер. с англ.</w:t>
      </w:r>
      <w:r w:rsidR="001D2CA3">
        <w:rPr>
          <w:rFonts w:ascii="Times New Roman" w:hAnsi="Times New Roman"/>
          <w:sz w:val="28"/>
          <w:szCs w:val="28"/>
        </w:rPr>
        <w:t xml:space="preserve"> – </w:t>
      </w:r>
      <w:r w:rsidR="001D2CA3" w:rsidRPr="005057CA">
        <w:rPr>
          <w:rFonts w:ascii="Times New Roman" w:hAnsi="Times New Roman"/>
          <w:sz w:val="28"/>
          <w:szCs w:val="28"/>
        </w:rPr>
        <w:t xml:space="preserve">М.: Янус-К, 2007. – 376 </w:t>
      </w:r>
      <w:proofErr w:type="gramStart"/>
      <w:r w:rsidR="001D2CA3" w:rsidRPr="005057CA">
        <w:rPr>
          <w:rFonts w:ascii="Times New Roman" w:hAnsi="Times New Roman"/>
          <w:sz w:val="28"/>
          <w:szCs w:val="28"/>
        </w:rPr>
        <w:t>с</w:t>
      </w:r>
      <w:proofErr w:type="gramEnd"/>
      <w:r w:rsidR="001D2CA3" w:rsidRPr="005057CA">
        <w:rPr>
          <w:rFonts w:ascii="Times New Roman" w:hAnsi="Times New Roman"/>
          <w:sz w:val="28"/>
          <w:szCs w:val="28"/>
        </w:rPr>
        <w:t>.</w:t>
      </w:r>
    </w:p>
    <w:p w:rsidR="00451A88" w:rsidRDefault="00451A88" w:rsidP="00451A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705646">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Кайгородова</w:t>
      </w:r>
      <w:proofErr w:type="spellEnd"/>
      <w:r>
        <w:rPr>
          <w:rFonts w:ascii="Times New Roman" w:hAnsi="Times New Roman" w:cs="Times New Roman"/>
          <w:sz w:val="28"/>
          <w:szCs w:val="28"/>
        </w:rPr>
        <w:t xml:space="preserve"> Т.Ю. ДМС – в поисках рентабельности, 2013. </w:t>
      </w:r>
      <w:r w:rsidRPr="00F37CA3">
        <w:rPr>
          <w:rFonts w:ascii="Times New Roman" w:hAnsi="Times New Roman"/>
          <w:sz w:val="28"/>
          <w:szCs w:val="28"/>
        </w:rPr>
        <w:t>[</w:t>
      </w:r>
      <w:r>
        <w:rPr>
          <w:rFonts w:ascii="Times New Roman" w:hAnsi="Times New Roman"/>
          <w:sz w:val="28"/>
          <w:szCs w:val="28"/>
        </w:rPr>
        <w:t>Электронный</w:t>
      </w:r>
      <w:r w:rsidRPr="00F37CA3">
        <w:rPr>
          <w:rFonts w:ascii="Times New Roman" w:hAnsi="Times New Roman"/>
          <w:sz w:val="28"/>
          <w:szCs w:val="28"/>
        </w:rPr>
        <w:t xml:space="preserve"> </w:t>
      </w:r>
      <w:r>
        <w:rPr>
          <w:rFonts w:ascii="Times New Roman" w:hAnsi="Times New Roman"/>
          <w:sz w:val="28"/>
          <w:szCs w:val="28"/>
        </w:rPr>
        <w:t>ресурс</w:t>
      </w:r>
      <w:r w:rsidRPr="00F37CA3">
        <w:rPr>
          <w:rFonts w:ascii="Times New Roman" w:hAnsi="Times New Roman"/>
          <w:sz w:val="28"/>
          <w:szCs w:val="28"/>
        </w:rPr>
        <w:t xml:space="preserve">] / </w:t>
      </w:r>
      <w:r>
        <w:rPr>
          <w:rFonts w:ascii="Times New Roman" w:hAnsi="Times New Roman"/>
          <w:sz w:val="28"/>
          <w:szCs w:val="28"/>
        </w:rPr>
        <w:t>Режим</w:t>
      </w:r>
      <w:r w:rsidRPr="00F37CA3">
        <w:rPr>
          <w:rFonts w:ascii="Times New Roman" w:hAnsi="Times New Roman"/>
          <w:sz w:val="28"/>
          <w:szCs w:val="28"/>
        </w:rPr>
        <w:t xml:space="preserve"> </w:t>
      </w:r>
      <w:r>
        <w:rPr>
          <w:rFonts w:ascii="Times New Roman" w:hAnsi="Times New Roman"/>
          <w:sz w:val="28"/>
          <w:szCs w:val="28"/>
        </w:rPr>
        <w:t>доступа</w:t>
      </w:r>
      <w:r w:rsidRPr="00F37CA3">
        <w:rPr>
          <w:rFonts w:ascii="Times New Roman" w:hAnsi="Times New Roman"/>
          <w:sz w:val="28"/>
          <w:szCs w:val="28"/>
        </w:rPr>
        <w:t>:</w:t>
      </w:r>
      <w:r>
        <w:rPr>
          <w:rFonts w:ascii="Times New Roman" w:hAnsi="Times New Roman"/>
          <w:sz w:val="28"/>
          <w:szCs w:val="28"/>
        </w:rPr>
        <w:t xml:space="preserve"> </w:t>
      </w:r>
      <w:r w:rsidRPr="00F37CA3">
        <w:rPr>
          <w:rFonts w:ascii="Times New Roman" w:hAnsi="Times New Roman" w:cs="Times New Roman"/>
          <w:sz w:val="28"/>
          <w:szCs w:val="28"/>
        </w:rPr>
        <w:t>http:/</w:t>
      </w:r>
      <w:r>
        <w:rPr>
          <w:rFonts w:ascii="Times New Roman" w:hAnsi="Times New Roman" w:cs="Times New Roman"/>
          <w:sz w:val="28"/>
          <w:szCs w:val="28"/>
        </w:rPr>
        <w:t>/www.insur-info.ru/comments/871.</w:t>
      </w:r>
    </w:p>
    <w:p w:rsidR="00451A88" w:rsidRDefault="00451A88" w:rsidP="00451A88">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4</w:t>
      </w:r>
      <w:r>
        <w:rPr>
          <w:rFonts w:ascii="Times New Roman" w:hAnsi="Times New Roman"/>
          <w:sz w:val="28"/>
          <w:szCs w:val="28"/>
        </w:rPr>
        <w:t xml:space="preserve">) Канторович Г.Г. Анализ временных рядов. </w:t>
      </w:r>
      <w:r w:rsidRPr="003F23F6">
        <w:rPr>
          <w:rFonts w:ascii="Times New Roman" w:hAnsi="Times New Roman"/>
          <w:sz w:val="28"/>
          <w:szCs w:val="28"/>
        </w:rPr>
        <w:t>–</w:t>
      </w:r>
      <w:r>
        <w:rPr>
          <w:rFonts w:ascii="Times New Roman" w:hAnsi="Times New Roman"/>
          <w:sz w:val="28"/>
          <w:szCs w:val="28"/>
        </w:rPr>
        <w:t xml:space="preserve"> </w:t>
      </w:r>
      <w:r>
        <w:rPr>
          <w:rFonts w:ascii="Times New Roman" w:hAnsi="Times New Roman"/>
          <w:i/>
          <w:sz w:val="28"/>
          <w:szCs w:val="28"/>
        </w:rPr>
        <w:t>Экономический журнал ВШЭ</w:t>
      </w:r>
      <w:r w:rsidRPr="00D652FC">
        <w:rPr>
          <w:rFonts w:ascii="Times New Roman" w:hAnsi="Times New Roman"/>
          <w:sz w:val="28"/>
          <w:szCs w:val="28"/>
        </w:rPr>
        <w:t xml:space="preserve">, </w:t>
      </w:r>
      <w:r>
        <w:rPr>
          <w:rFonts w:ascii="Times New Roman" w:hAnsi="Times New Roman"/>
          <w:sz w:val="28"/>
          <w:szCs w:val="28"/>
        </w:rPr>
        <w:t>2002, № 1.</w:t>
      </w:r>
      <w:r w:rsidRPr="00D652FC">
        <w:rPr>
          <w:rFonts w:ascii="Times New Roman" w:hAnsi="Times New Roman"/>
          <w:sz w:val="28"/>
          <w:szCs w:val="28"/>
        </w:rPr>
        <w:t xml:space="preserve"> – </w:t>
      </w:r>
      <w:r>
        <w:rPr>
          <w:rFonts w:ascii="Times New Roman" w:hAnsi="Times New Roman"/>
          <w:sz w:val="28"/>
          <w:szCs w:val="28"/>
        </w:rPr>
        <w:t>С. 85-103.</w:t>
      </w:r>
    </w:p>
    <w:p w:rsidR="00451A88" w:rsidRPr="00F37CA3" w:rsidRDefault="00451A88" w:rsidP="00451A88">
      <w:pPr>
        <w:spacing w:after="0" w:line="360" w:lineRule="auto"/>
        <w:jc w:val="both"/>
        <w:rPr>
          <w:rFonts w:ascii="Times New Roman" w:hAnsi="Times New Roman"/>
          <w:sz w:val="28"/>
          <w:szCs w:val="28"/>
        </w:rPr>
      </w:pPr>
      <w:r>
        <w:rPr>
          <w:rFonts w:ascii="Times New Roman" w:hAnsi="Times New Roman" w:cs="Times New Roman"/>
          <w:sz w:val="28"/>
          <w:szCs w:val="28"/>
        </w:rPr>
        <w:t>1</w:t>
      </w:r>
      <w:r w:rsidR="00705646">
        <w:rPr>
          <w:rFonts w:ascii="Times New Roman" w:hAnsi="Times New Roman" w:cs="Times New Roman"/>
          <w:sz w:val="28"/>
          <w:szCs w:val="28"/>
        </w:rPr>
        <w:t>5</w:t>
      </w:r>
      <w:r w:rsidRPr="00F37CA3">
        <w:rPr>
          <w:rFonts w:ascii="Times New Roman" w:hAnsi="Times New Roman" w:cs="Times New Roman"/>
          <w:sz w:val="28"/>
          <w:szCs w:val="28"/>
        </w:rPr>
        <w:t xml:space="preserve">) </w:t>
      </w:r>
      <w:r>
        <w:rPr>
          <w:rFonts w:ascii="Times New Roman" w:hAnsi="Times New Roman" w:cs="Times New Roman"/>
          <w:sz w:val="28"/>
          <w:szCs w:val="28"/>
        </w:rPr>
        <w:t xml:space="preserve">Каюков С.С. Рынок ДМС в условиях кризиса, 2008. </w:t>
      </w:r>
      <w:r w:rsidRPr="00F37CA3">
        <w:rPr>
          <w:rFonts w:ascii="Times New Roman" w:hAnsi="Times New Roman"/>
          <w:sz w:val="28"/>
          <w:szCs w:val="28"/>
        </w:rPr>
        <w:t>[</w:t>
      </w:r>
      <w:r>
        <w:rPr>
          <w:rFonts w:ascii="Times New Roman" w:hAnsi="Times New Roman"/>
          <w:sz w:val="28"/>
          <w:szCs w:val="28"/>
        </w:rPr>
        <w:t>Электронный</w:t>
      </w:r>
      <w:r w:rsidRPr="00F37CA3">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е</w:t>
      </w:r>
      <w:r>
        <w:rPr>
          <w:rFonts w:ascii="Times New Roman" w:hAnsi="Times New Roman"/>
          <w:sz w:val="28"/>
          <w:szCs w:val="28"/>
        </w:rPr>
        <w:t>сурс</w:t>
      </w:r>
      <w:r w:rsidRPr="00F37CA3">
        <w:rPr>
          <w:rFonts w:ascii="Times New Roman" w:hAnsi="Times New Roman"/>
          <w:sz w:val="28"/>
          <w:szCs w:val="28"/>
        </w:rPr>
        <w:t xml:space="preserve">] / </w:t>
      </w:r>
      <w:r>
        <w:rPr>
          <w:rFonts w:ascii="Times New Roman" w:hAnsi="Times New Roman"/>
          <w:sz w:val="28"/>
          <w:szCs w:val="28"/>
        </w:rPr>
        <w:t>Режим</w:t>
      </w:r>
      <w:r w:rsidRPr="00F37CA3">
        <w:rPr>
          <w:rFonts w:ascii="Times New Roman" w:hAnsi="Times New Roman"/>
          <w:sz w:val="28"/>
          <w:szCs w:val="28"/>
        </w:rPr>
        <w:t xml:space="preserve"> </w:t>
      </w:r>
      <w:r>
        <w:rPr>
          <w:rFonts w:ascii="Times New Roman" w:hAnsi="Times New Roman"/>
          <w:sz w:val="28"/>
          <w:szCs w:val="28"/>
        </w:rPr>
        <w:t>доступа</w:t>
      </w:r>
      <w:r w:rsidRPr="00F37CA3">
        <w:rPr>
          <w:rFonts w:ascii="Times New Roman" w:hAnsi="Times New Roman"/>
          <w:sz w:val="28"/>
          <w:szCs w:val="28"/>
        </w:rPr>
        <w:t>:</w:t>
      </w:r>
      <w:r>
        <w:rPr>
          <w:rFonts w:ascii="Times New Roman" w:hAnsi="Times New Roman"/>
          <w:sz w:val="28"/>
          <w:szCs w:val="28"/>
        </w:rPr>
        <w:t xml:space="preserve"> </w:t>
      </w:r>
      <w:r w:rsidRPr="00F37CA3">
        <w:rPr>
          <w:rFonts w:ascii="Times New Roman" w:hAnsi="Times New Roman"/>
          <w:sz w:val="28"/>
          <w:szCs w:val="28"/>
        </w:rPr>
        <w:t>http:/</w:t>
      </w:r>
      <w:r>
        <w:rPr>
          <w:rFonts w:ascii="Times New Roman" w:hAnsi="Times New Roman"/>
          <w:sz w:val="28"/>
          <w:szCs w:val="28"/>
        </w:rPr>
        <w:t>/www.insur-info.ru/comments/529.</w:t>
      </w:r>
    </w:p>
    <w:p w:rsidR="001D2CA3" w:rsidRPr="003E03A7" w:rsidRDefault="00451A88" w:rsidP="001D2CA3">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6</w:t>
      </w:r>
      <w:r w:rsidR="001D2CA3">
        <w:rPr>
          <w:rFonts w:ascii="Times New Roman" w:hAnsi="Times New Roman"/>
          <w:sz w:val="28"/>
          <w:szCs w:val="28"/>
        </w:rPr>
        <w:t xml:space="preserve">) </w:t>
      </w:r>
      <w:r w:rsidR="001D2CA3" w:rsidRPr="003E03A7">
        <w:rPr>
          <w:rFonts w:ascii="Times New Roman" w:hAnsi="Times New Roman"/>
          <w:sz w:val="28"/>
          <w:szCs w:val="28"/>
        </w:rPr>
        <w:t xml:space="preserve">Корнилов И.А. Основы страховой математики. </w:t>
      </w:r>
      <w:r w:rsidR="001D2CA3">
        <w:rPr>
          <w:rFonts w:ascii="Times New Roman" w:hAnsi="Times New Roman"/>
          <w:sz w:val="28"/>
          <w:szCs w:val="28"/>
        </w:rPr>
        <w:t xml:space="preserve">– </w:t>
      </w:r>
      <w:r w:rsidR="001D2CA3" w:rsidRPr="003E03A7">
        <w:rPr>
          <w:rFonts w:ascii="Times New Roman" w:hAnsi="Times New Roman"/>
          <w:sz w:val="28"/>
          <w:szCs w:val="28"/>
        </w:rPr>
        <w:t>М.: ЮНИТИ-ДАНА, 2004. – 400 с.</w:t>
      </w:r>
    </w:p>
    <w:p w:rsidR="00044383" w:rsidRDefault="00AE7296" w:rsidP="00044383">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7</w:t>
      </w:r>
      <w:r w:rsidR="00044383">
        <w:rPr>
          <w:rFonts w:ascii="Times New Roman" w:hAnsi="Times New Roman"/>
          <w:sz w:val="28"/>
          <w:szCs w:val="28"/>
        </w:rPr>
        <w:t xml:space="preserve">) </w:t>
      </w:r>
      <w:proofErr w:type="spellStart"/>
      <w:r w:rsidR="00044383" w:rsidRPr="00981F38">
        <w:rPr>
          <w:rFonts w:ascii="Times New Roman" w:hAnsi="Times New Roman"/>
          <w:sz w:val="28"/>
          <w:szCs w:val="28"/>
        </w:rPr>
        <w:t>Лемер</w:t>
      </w:r>
      <w:proofErr w:type="spellEnd"/>
      <w:r w:rsidR="00044383" w:rsidRPr="00981F38">
        <w:rPr>
          <w:rFonts w:ascii="Times New Roman" w:hAnsi="Times New Roman"/>
          <w:sz w:val="28"/>
          <w:szCs w:val="28"/>
        </w:rPr>
        <w:t>. Ж. Автомобильное страхование. Актуарные модели</w:t>
      </w:r>
      <w:proofErr w:type="gramStart"/>
      <w:r w:rsidR="00044383" w:rsidRPr="00981F38">
        <w:rPr>
          <w:rFonts w:ascii="Times New Roman" w:hAnsi="Times New Roman"/>
          <w:sz w:val="28"/>
          <w:szCs w:val="28"/>
        </w:rPr>
        <w:t>/ П</w:t>
      </w:r>
      <w:proofErr w:type="gramEnd"/>
      <w:r w:rsidR="00044383" w:rsidRPr="00981F38">
        <w:rPr>
          <w:rFonts w:ascii="Times New Roman" w:hAnsi="Times New Roman"/>
          <w:sz w:val="28"/>
          <w:szCs w:val="28"/>
        </w:rPr>
        <w:t xml:space="preserve">ер. с англ. </w:t>
      </w:r>
      <w:r w:rsidR="00044383">
        <w:rPr>
          <w:rFonts w:ascii="Times New Roman" w:hAnsi="Times New Roman"/>
          <w:sz w:val="28"/>
          <w:szCs w:val="28"/>
        </w:rPr>
        <w:t>–</w:t>
      </w:r>
      <w:r w:rsidR="00044383" w:rsidRPr="00981F38">
        <w:rPr>
          <w:rFonts w:ascii="Times New Roman" w:hAnsi="Times New Roman"/>
          <w:sz w:val="28"/>
          <w:szCs w:val="28"/>
        </w:rPr>
        <w:t xml:space="preserve"> М.: Янус-К, 1998, 2003. – 319 (307) с.</w:t>
      </w:r>
    </w:p>
    <w:p w:rsidR="00451A88" w:rsidRDefault="00AE7296" w:rsidP="00451A88">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8</w:t>
      </w:r>
      <w:r w:rsidR="00451A88">
        <w:rPr>
          <w:rFonts w:ascii="Times New Roman" w:hAnsi="Times New Roman"/>
          <w:sz w:val="28"/>
          <w:szCs w:val="28"/>
        </w:rPr>
        <w:t xml:space="preserve">) </w:t>
      </w:r>
      <w:proofErr w:type="spellStart"/>
      <w:r w:rsidR="00451A88">
        <w:rPr>
          <w:rFonts w:ascii="Times New Roman" w:hAnsi="Times New Roman"/>
          <w:sz w:val="28"/>
          <w:szCs w:val="28"/>
        </w:rPr>
        <w:t>Магнус</w:t>
      </w:r>
      <w:proofErr w:type="spellEnd"/>
      <w:r w:rsidR="00451A88">
        <w:rPr>
          <w:rFonts w:ascii="Times New Roman" w:hAnsi="Times New Roman"/>
          <w:sz w:val="28"/>
          <w:szCs w:val="28"/>
        </w:rPr>
        <w:t xml:space="preserve"> Я.Р., Катышев П.К., </w:t>
      </w:r>
      <w:proofErr w:type="spellStart"/>
      <w:r w:rsidR="00451A88">
        <w:rPr>
          <w:rFonts w:ascii="Times New Roman" w:hAnsi="Times New Roman"/>
          <w:sz w:val="28"/>
          <w:szCs w:val="28"/>
        </w:rPr>
        <w:t>Пересецкий</w:t>
      </w:r>
      <w:proofErr w:type="spellEnd"/>
      <w:r w:rsidR="00451A88">
        <w:rPr>
          <w:rFonts w:ascii="Times New Roman" w:hAnsi="Times New Roman"/>
          <w:sz w:val="28"/>
          <w:szCs w:val="28"/>
        </w:rPr>
        <w:t xml:space="preserve"> А.А. Эконометрика. Начальный курс: Учеб. –</w:t>
      </w:r>
      <w:r w:rsidR="00451A88" w:rsidRPr="00490B75">
        <w:rPr>
          <w:rFonts w:ascii="Times New Roman" w:hAnsi="Times New Roman"/>
          <w:sz w:val="28"/>
          <w:szCs w:val="28"/>
        </w:rPr>
        <w:t xml:space="preserve"> </w:t>
      </w:r>
      <w:r w:rsidR="00451A88">
        <w:rPr>
          <w:rFonts w:ascii="Times New Roman" w:hAnsi="Times New Roman"/>
          <w:sz w:val="28"/>
          <w:szCs w:val="28"/>
        </w:rPr>
        <w:t>М.: Дело</w:t>
      </w:r>
      <w:r w:rsidR="00451A88" w:rsidRPr="00D83389">
        <w:rPr>
          <w:rFonts w:ascii="Times New Roman" w:hAnsi="Times New Roman"/>
          <w:sz w:val="28"/>
          <w:szCs w:val="28"/>
        </w:rPr>
        <w:t>,</w:t>
      </w:r>
      <w:r w:rsidR="00451A88">
        <w:rPr>
          <w:rFonts w:ascii="Times New Roman" w:hAnsi="Times New Roman"/>
          <w:sz w:val="28"/>
          <w:szCs w:val="28"/>
        </w:rPr>
        <w:t xml:space="preserve"> 2004</w:t>
      </w:r>
      <w:r w:rsidR="00451A88" w:rsidRPr="00490B75">
        <w:rPr>
          <w:rFonts w:ascii="Times New Roman" w:hAnsi="Times New Roman"/>
          <w:sz w:val="28"/>
          <w:szCs w:val="28"/>
        </w:rPr>
        <w:t xml:space="preserve">. </w:t>
      </w:r>
      <w:r w:rsidR="00451A88">
        <w:rPr>
          <w:rFonts w:ascii="Times New Roman" w:hAnsi="Times New Roman"/>
          <w:sz w:val="28"/>
          <w:szCs w:val="28"/>
        </w:rPr>
        <w:t>–</w:t>
      </w:r>
      <w:r w:rsidR="00451A88" w:rsidRPr="00D83389">
        <w:rPr>
          <w:rFonts w:ascii="Times New Roman" w:hAnsi="Times New Roman"/>
          <w:sz w:val="28"/>
          <w:szCs w:val="28"/>
        </w:rPr>
        <w:t xml:space="preserve"> </w:t>
      </w:r>
      <w:r w:rsidR="00451A88">
        <w:rPr>
          <w:rFonts w:ascii="Times New Roman" w:hAnsi="Times New Roman"/>
          <w:sz w:val="28"/>
          <w:szCs w:val="28"/>
        </w:rPr>
        <w:t>576</w:t>
      </w:r>
      <w:r w:rsidR="00451A88" w:rsidRPr="00D83389">
        <w:rPr>
          <w:rFonts w:ascii="Times New Roman" w:hAnsi="Times New Roman"/>
          <w:sz w:val="28"/>
          <w:szCs w:val="28"/>
        </w:rPr>
        <w:t xml:space="preserve"> </w:t>
      </w:r>
      <w:proofErr w:type="gramStart"/>
      <w:r w:rsidR="00451A88" w:rsidRPr="00D83389">
        <w:rPr>
          <w:rFonts w:ascii="Times New Roman" w:hAnsi="Times New Roman"/>
          <w:sz w:val="28"/>
          <w:szCs w:val="28"/>
        </w:rPr>
        <w:t>с</w:t>
      </w:r>
      <w:proofErr w:type="gramEnd"/>
      <w:r w:rsidR="00451A88" w:rsidRPr="00D83389">
        <w:rPr>
          <w:rFonts w:ascii="Times New Roman" w:hAnsi="Times New Roman"/>
          <w:sz w:val="28"/>
          <w:szCs w:val="28"/>
        </w:rPr>
        <w:t>.</w:t>
      </w:r>
    </w:p>
    <w:p w:rsidR="00044383" w:rsidRDefault="00AE7296" w:rsidP="00044383">
      <w:pPr>
        <w:spacing w:after="0" w:line="360" w:lineRule="auto"/>
        <w:jc w:val="both"/>
        <w:rPr>
          <w:rFonts w:ascii="Times New Roman" w:hAnsi="Times New Roman"/>
          <w:sz w:val="28"/>
          <w:szCs w:val="28"/>
        </w:rPr>
      </w:pPr>
      <w:r>
        <w:rPr>
          <w:rFonts w:ascii="Times New Roman" w:hAnsi="Times New Roman"/>
          <w:sz w:val="28"/>
          <w:szCs w:val="28"/>
        </w:rPr>
        <w:t>1</w:t>
      </w:r>
      <w:r w:rsidR="00705646">
        <w:rPr>
          <w:rFonts w:ascii="Times New Roman" w:hAnsi="Times New Roman"/>
          <w:sz w:val="28"/>
          <w:szCs w:val="28"/>
        </w:rPr>
        <w:t>9</w:t>
      </w:r>
      <w:r w:rsidR="00044383">
        <w:rPr>
          <w:rFonts w:ascii="Times New Roman" w:hAnsi="Times New Roman"/>
          <w:sz w:val="28"/>
          <w:szCs w:val="28"/>
        </w:rPr>
        <w:t>) Мак</w:t>
      </w:r>
      <w:r w:rsidR="00044383" w:rsidRPr="001623B3">
        <w:rPr>
          <w:rFonts w:ascii="Times New Roman" w:hAnsi="Times New Roman"/>
          <w:sz w:val="28"/>
          <w:szCs w:val="28"/>
        </w:rPr>
        <w:t xml:space="preserve"> Томас</w:t>
      </w:r>
      <w:r w:rsidR="00044383">
        <w:rPr>
          <w:rFonts w:ascii="Times New Roman" w:hAnsi="Times New Roman"/>
          <w:sz w:val="28"/>
          <w:szCs w:val="28"/>
        </w:rPr>
        <w:t xml:space="preserve">. </w:t>
      </w:r>
      <w:r w:rsidR="00044383" w:rsidRPr="001623B3">
        <w:rPr>
          <w:rFonts w:ascii="Times New Roman" w:hAnsi="Times New Roman"/>
          <w:sz w:val="28"/>
          <w:szCs w:val="28"/>
        </w:rPr>
        <w:t>Математика рискового страхования</w:t>
      </w:r>
      <w:proofErr w:type="gramStart"/>
      <w:r w:rsidR="00044383" w:rsidRPr="001623B3">
        <w:rPr>
          <w:rFonts w:ascii="Times New Roman" w:hAnsi="Times New Roman"/>
          <w:sz w:val="28"/>
          <w:szCs w:val="28"/>
        </w:rPr>
        <w:t>/ П</w:t>
      </w:r>
      <w:proofErr w:type="gramEnd"/>
      <w:r w:rsidR="00044383" w:rsidRPr="001623B3">
        <w:rPr>
          <w:rFonts w:ascii="Times New Roman" w:hAnsi="Times New Roman"/>
          <w:sz w:val="28"/>
          <w:szCs w:val="28"/>
        </w:rPr>
        <w:t xml:space="preserve">ер. с нем. </w:t>
      </w:r>
      <w:r w:rsidR="00044383">
        <w:rPr>
          <w:rFonts w:ascii="Times New Roman" w:hAnsi="Times New Roman"/>
          <w:sz w:val="28"/>
          <w:szCs w:val="28"/>
        </w:rPr>
        <w:t>–</w:t>
      </w:r>
      <w:r w:rsidR="00044383" w:rsidRPr="001623B3">
        <w:rPr>
          <w:rFonts w:ascii="Times New Roman" w:hAnsi="Times New Roman"/>
          <w:sz w:val="28"/>
          <w:szCs w:val="28"/>
        </w:rPr>
        <w:t xml:space="preserve"> М.: Олимп-Бизнес, 2005. – 432 с.</w:t>
      </w:r>
    </w:p>
    <w:p w:rsidR="001D2CA3" w:rsidRDefault="00705646" w:rsidP="001D2CA3">
      <w:pPr>
        <w:spacing w:after="0" w:line="360" w:lineRule="auto"/>
        <w:jc w:val="both"/>
        <w:rPr>
          <w:rFonts w:ascii="Times New Roman" w:hAnsi="Times New Roman"/>
          <w:sz w:val="28"/>
          <w:szCs w:val="28"/>
        </w:rPr>
      </w:pPr>
      <w:r>
        <w:rPr>
          <w:rFonts w:ascii="Times New Roman" w:hAnsi="Times New Roman"/>
          <w:sz w:val="28"/>
          <w:szCs w:val="28"/>
        </w:rPr>
        <w:t>20</w:t>
      </w:r>
      <w:r w:rsidR="001D2CA3" w:rsidRPr="00096939">
        <w:rPr>
          <w:rFonts w:ascii="Times New Roman" w:hAnsi="Times New Roman"/>
          <w:sz w:val="28"/>
          <w:szCs w:val="28"/>
        </w:rPr>
        <w:t xml:space="preserve">) </w:t>
      </w:r>
      <w:proofErr w:type="spellStart"/>
      <w:r w:rsidR="001D2CA3">
        <w:rPr>
          <w:rFonts w:ascii="Times New Roman" w:hAnsi="Times New Roman"/>
          <w:sz w:val="28"/>
          <w:szCs w:val="28"/>
        </w:rPr>
        <w:t>Мхитарян</w:t>
      </w:r>
      <w:proofErr w:type="spellEnd"/>
      <w:r w:rsidR="001D2CA3">
        <w:rPr>
          <w:rFonts w:ascii="Times New Roman" w:hAnsi="Times New Roman"/>
          <w:sz w:val="28"/>
          <w:szCs w:val="28"/>
        </w:rPr>
        <w:t xml:space="preserve"> В.</w:t>
      </w:r>
      <w:r w:rsidR="001D2CA3" w:rsidRPr="00096939">
        <w:rPr>
          <w:rFonts w:ascii="Times New Roman" w:hAnsi="Times New Roman"/>
          <w:sz w:val="28"/>
          <w:szCs w:val="28"/>
        </w:rPr>
        <w:t xml:space="preserve">С., Астафьева Е.В., Миронкина Ю.Н., </w:t>
      </w:r>
      <w:proofErr w:type="gramStart"/>
      <w:r w:rsidR="001D2CA3" w:rsidRPr="00096939">
        <w:rPr>
          <w:rFonts w:ascii="Times New Roman" w:hAnsi="Times New Roman"/>
          <w:sz w:val="28"/>
          <w:szCs w:val="28"/>
        </w:rPr>
        <w:t>Трошин</w:t>
      </w:r>
      <w:proofErr w:type="gramEnd"/>
      <w:r w:rsidR="001D2CA3" w:rsidRPr="00096939">
        <w:rPr>
          <w:rFonts w:ascii="Times New Roman" w:hAnsi="Times New Roman"/>
          <w:sz w:val="28"/>
          <w:szCs w:val="28"/>
        </w:rPr>
        <w:t xml:space="preserve"> Л.И. Теория вероятностей и математическая статистика</w:t>
      </w:r>
      <w:r w:rsidR="001D2CA3">
        <w:rPr>
          <w:rFonts w:ascii="Times New Roman" w:hAnsi="Times New Roman"/>
          <w:sz w:val="28"/>
          <w:szCs w:val="28"/>
        </w:rPr>
        <w:t xml:space="preserve">. Под ред. В.С. </w:t>
      </w:r>
      <w:proofErr w:type="spellStart"/>
      <w:r w:rsidR="001D2CA3">
        <w:rPr>
          <w:rFonts w:ascii="Times New Roman" w:hAnsi="Times New Roman"/>
          <w:sz w:val="28"/>
          <w:szCs w:val="28"/>
        </w:rPr>
        <w:t>Мхитаряна</w:t>
      </w:r>
      <w:proofErr w:type="spellEnd"/>
      <w:r w:rsidR="001D2CA3">
        <w:rPr>
          <w:rFonts w:ascii="Times New Roman" w:hAnsi="Times New Roman"/>
          <w:sz w:val="28"/>
          <w:szCs w:val="28"/>
        </w:rPr>
        <w:t>. – М.</w:t>
      </w:r>
      <w:r w:rsidR="001D2CA3" w:rsidRPr="007E0F8F">
        <w:rPr>
          <w:rFonts w:ascii="Times New Roman" w:hAnsi="Times New Roman"/>
          <w:sz w:val="28"/>
          <w:szCs w:val="28"/>
        </w:rPr>
        <w:t>:</w:t>
      </w:r>
      <w:r w:rsidR="001D2CA3" w:rsidRPr="00096939">
        <w:rPr>
          <w:rFonts w:ascii="Times New Roman" w:hAnsi="Times New Roman"/>
          <w:sz w:val="28"/>
          <w:szCs w:val="28"/>
        </w:rPr>
        <w:t xml:space="preserve"> </w:t>
      </w:r>
      <w:proofErr w:type="spellStart"/>
      <w:r w:rsidR="001D2CA3">
        <w:rPr>
          <w:rFonts w:ascii="Times New Roman" w:hAnsi="Times New Roman"/>
          <w:sz w:val="28"/>
          <w:szCs w:val="28"/>
        </w:rPr>
        <w:t>Маркет</w:t>
      </w:r>
      <w:proofErr w:type="spellEnd"/>
      <w:r w:rsidR="001D2CA3">
        <w:rPr>
          <w:rFonts w:ascii="Times New Roman" w:hAnsi="Times New Roman"/>
          <w:sz w:val="28"/>
          <w:szCs w:val="28"/>
        </w:rPr>
        <w:t xml:space="preserve"> ДС</w:t>
      </w:r>
      <w:r w:rsidR="001D2CA3" w:rsidRPr="00096939">
        <w:rPr>
          <w:rFonts w:ascii="Times New Roman" w:hAnsi="Times New Roman"/>
          <w:sz w:val="28"/>
          <w:szCs w:val="28"/>
        </w:rPr>
        <w:t>, 201</w:t>
      </w:r>
      <w:r w:rsidR="001D2CA3">
        <w:rPr>
          <w:rFonts w:ascii="Times New Roman" w:hAnsi="Times New Roman"/>
          <w:sz w:val="28"/>
          <w:szCs w:val="28"/>
        </w:rPr>
        <w:t>0.</w:t>
      </w:r>
      <w:r w:rsidR="001D2CA3" w:rsidRPr="00096939">
        <w:rPr>
          <w:rFonts w:ascii="Times New Roman" w:hAnsi="Times New Roman"/>
          <w:sz w:val="28"/>
          <w:szCs w:val="28"/>
        </w:rPr>
        <w:t xml:space="preserve"> – </w:t>
      </w:r>
      <w:r w:rsidR="001D2CA3">
        <w:rPr>
          <w:rFonts w:ascii="Times New Roman" w:hAnsi="Times New Roman"/>
          <w:sz w:val="28"/>
          <w:szCs w:val="28"/>
        </w:rPr>
        <w:t>240 с.</w:t>
      </w:r>
    </w:p>
    <w:p w:rsidR="00451A88" w:rsidRDefault="00451A88" w:rsidP="00451A88">
      <w:pPr>
        <w:spacing w:after="0" w:line="360" w:lineRule="auto"/>
        <w:jc w:val="both"/>
        <w:rPr>
          <w:rFonts w:ascii="Times New Roman" w:hAnsi="Times New Roman"/>
          <w:sz w:val="28"/>
          <w:szCs w:val="28"/>
        </w:rPr>
      </w:pPr>
      <w:r>
        <w:rPr>
          <w:rFonts w:ascii="Times New Roman" w:hAnsi="Times New Roman"/>
          <w:sz w:val="28"/>
          <w:szCs w:val="28"/>
        </w:rPr>
        <w:t>2</w:t>
      </w:r>
      <w:r w:rsidR="00705646">
        <w:rPr>
          <w:rFonts w:ascii="Times New Roman" w:hAnsi="Times New Roman"/>
          <w:sz w:val="28"/>
          <w:szCs w:val="28"/>
        </w:rPr>
        <w:t>1</w:t>
      </w:r>
      <w:r>
        <w:rPr>
          <w:rFonts w:ascii="Times New Roman" w:hAnsi="Times New Roman"/>
          <w:sz w:val="28"/>
          <w:szCs w:val="28"/>
        </w:rPr>
        <w:t xml:space="preserve">) </w:t>
      </w:r>
      <w:r w:rsidRPr="00F0334B">
        <w:rPr>
          <w:rFonts w:ascii="Times New Roman" w:hAnsi="Times New Roman"/>
          <w:sz w:val="28"/>
          <w:szCs w:val="28"/>
        </w:rPr>
        <w:t>Постановление Правительства Российской Федерации от</w:t>
      </w:r>
      <w:r>
        <w:rPr>
          <w:rFonts w:ascii="Times New Roman" w:hAnsi="Times New Roman"/>
          <w:sz w:val="28"/>
          <w:szCs w:val="28"/>
        </w:rPr>
        <w:t xml:space="preserve"> 22.10.2012 г.</w:t>
      </w:r>
      <w:r w:rsidRPr="00F0334B">
        <w:rPr>
          <w:rFonts w:ascii="Times New Roman" w:hAnsi="Times New Roman"/>
          <w:sz w:val="28"/>
          <w:szCs w:val="28"/>
        </w:rPr>
        <w:t xml:space="preserve"> №</w:t>
      </w:r>
      <w:r>
        <w:rPr>
          <w:rFonts w:ascii="Times New Roman" w:hAnsi="Times New Roman"/>
          <w:sz w:val="28"/>
          <w:szCs w:val="28"/>
        </w:rPr>
        <w:t xml:space="preserve"> 1074</w:t>
      </w:r>
      <w:r w:rsidRPr="00F0334B">
        <w:rPr>
          <w:rFonts w:ascii="Times New Roman" w:hAnsi="Times New Roman"/>
          <w:sz w:val="28"/>
          <w:szCs w:val="28"/>
        </w:rPr>
        <w:t xml:space="preserve"> «</w:t>
      </w:r>
      <w:r w:rsidRPr="002534A3">
        <w:rPr>
          <w:rFonts w:ascii="Times New Roman" w:hAnsi="Times New Roman"/>
          <w:sz w:val="28"/>
          <w:szCs w:val="28"/>
        </w:rPr>
        <w:t>О программе государственных гарантий бесплатного оказания гражд</w:t>
      </w:r>
      <w:r w:rsidRPr="002534A3">
        <w:rPr>
          <w:rFonts w:ascii="Times New Roman" w:hAnsi="Times New Roman"/>
          <w:sz w:val="28"/>
          <w:szCs w:val="28"/>
        </w:rPr>
        <w:t>а</w:t>
      </w:r>
      <w:r w:rsidRPr="002534A3">
        <w:rPr>
          <w:rFonts w:ascii="Times New Roman" w:hAnsi="Times New Roman"/>
          <w:sz w:val="28"/>
          <w:szCs w:val="28"/>
        </w:rPr>
        <w:t>нам медицинской помощи на 2013 год и на плановый период 2014 и 2015 г</w:t>
      </w:r>
      <w:r w:rsidRPr="002534A3">
        <w:rPr>
          <w:rFonts w:ascii="Times New Roman" w:hAnsi="Times New Roman"/>
          <w:sz w:val="28"/>
          <w:szCs w:val="28"/>
        </w:rPr>
        <w:t>о</w:t>
      </w:r>
      <w:r w:rsidRPr="002534A3">
        <w:rPr>
          <w:rFonts w:ascii="Times New Roman" w:hAnsi="Times New Roman"/>
          <w:sz w:val="28"/>
          <w:szCs w:val="28"/>
        </w:rPr>
        <w:t>дов</w:t>
      </w:r>
      <w:r w:rsidRPr="00F0334B">
        <w:rPr>
          <w:rFonts w:ascii="Times New Roman" w:hAnsi="Times New Roman"/>
          <w:sz w:val="28"/>
          <w:szCs w:val="28"/>
        </w:rPr>
        <w:t>».</w:t>
      </w:r>
    </w:p>
    <w:p w:rsidR="00044383" w:rsidRDefault="00AE7296" w:rsidP="00044383">
      <w:pPr>
        <w:spacing w:after="0" w:line="360" w:lineRule="auto"/>
        <w:jc w:val="both"/>
        <w:rPr>
          <w:rFonts w:ascii="Times New Roman" w:hAnsi="Times New Roman"/>
          <w:sz w:val="28"/>
          <w:szCs w:val="28"/>
        </w:rPr>
      </w:pPr>
      <w:r>
        <w:rPr>
          <w:rFonts w:ascii="Times New Roman" w:hAnsi="Times New Roman"/>
          <w:sz w:val="28"/>
          <w:szCs w:val="28"/>
        </w:rPr>
        <w:t>2</w:t>
      </w:r>
      <w:r w:rsidR="00705646">
        <w:rPr>
          <w:rFonts w:ascii="Times New Roman" w:hAnsi="Times New Roman"/>
          <w:sz w:val="28"/>
          <w:szCs w:val="28"/>
        </w:rPr>
        <w:t>2</w:t>
      </w:r>
      <w:r w:rsidR="00044383">
        <w:rPr>
          <w:rFonts w:ascii="Times New Roman" w:hAnsi="Times New Roman"/>
          <w:sz w:val="28"/>
          <w:szCs w:val="28"/>
        </w:rPr>
        <w:t xml:space="preserve">) </w:t>
      </w:r>
      <w:r w:rsidR="00044383" w:rsidRPr="00033A0F">
        <w:rPr>
          <w:rFonts w:ascii="Times New Roman" w:hAnsi="Times New Roman"/>
          <w:sz w:val="28"/>
          <w:szCs w:val="28"/>
        </w:rPr>
        <w:t xml:space="preserve">Приказ </w:t>
      </w:r>
      <w:r w:rsidR="00044383">
        <w:rPr>
          <w:rFonts w:ascii="Times New Roman" w:hAnsi="Times New Roman"/>
          <w:sz w:val="28"/>
          <w:szCs w:val="28"/>
        </w:rPr>
        <w:t>Минфина</w:t>
      </w:r>
      <w:r w:rsidR="00044383" w:rsidRPr="00033A0F">
        <w:rPr>
          <w:rFonts w:ascii="Times New Roman" w:hAnsi="Times New Roman"/>
          <w:sz w:val="28"/>
          <w:szCs w:val="28"/>
        </w:rPr>
        <w:t xml:space="preserve"> РФ от 11</w:t>
      </w:r>
      <w:r w:rsidR="00044383">
        <w:rPr>
          <w:rFonts w:ascii="Times New Roman" w:hAnsi="Times New Roman"/>
          <w:sz w:val="28"/>
          <w:szCs w:val="28"/>
        </w:rPr>
        <w:t>.06.</w:t>
      </w:r>
      <w:r w:rsidR="00044383" w:rsidRPr="00033A0F">
        <w:rPr>
          <w:rFonts w:ascii="Times New Roman" w:hAnsi="Times New Roman"/>
          <w:sz w:val="28"/>
          <w:szCs w:val="28"/>
        </w:rPr>
        <w:t>2002 г</w:t>
      </w:r>
      <w:r w:rsidR="00044383">
        <w:rPr>
          <w:rFonts w:ascii="Times New Roman" w:hAnsi="Times New Roman"/>
          <w:sz w:val="28"/>
          <w:szCs w:val="28"/>
        </w:rPr>
        <w:t>.</w:t>
      </w:r>
      <w:r w:rsidR="00044383" w:rsidRPr="00033A0F">
        <w:rPr>
          <w:rFonts w:ascii="Times New Roman" w:hAnsi="Times New Roman"/>
          <w:sz w:val="28"/>
          <w:szCs w:val="28"/>
        </w:rPr>
        <w:t xml:space="preserve"> № 51н «Об утверждении Правил формирования страховых резервов по страхованию иному, чем страхование жизни»</w:t>
      </w:r>
      <w:r w:rsidR="00044383">
        <w:rPr>
          <w:rFonts w:ascii="Times New Roman" w:hAnsi="Times New Roman"/>
          <w:sz w:val="28"/>
          <w:szCs w:val="28"/>
        </w:rPr>
        <w:t>.</w:t>
      </w:r>
    </w:p>
    <w:p w:rsidR="00451A88" w:rsidRPr="00DF73E1" w:rsidRDefault="00705646" w:rsidP="00451A88">
      <w:pPr>
        <w:spacing w:after="0" w:line="360" w:lineRule="auto"/>
        <w:jc w:val="both"/>
        <w:rPr>
          <w:rFonts w:ascii="Times New Roman" w:hAnsi="Times New Roman"/>
          <w:sz w:val="28"/>
          <w:szCs w:val="28"/>
        </w:rPr>
      </w:pPr>
      <w:r>
        <w:rPr>
          <w:rFonts w:ascii="Times New Roman" w:hAnsi="Times New Roman"/>
          <w:sz w:val="28"/>
          <w:szCs w:val="28"/>
        </w:rPr>
        <w:t>23</w:t>
      </w:r>
      <w:r w:rsidR="00451A88" w:rsidRPr="00DF73E1">
        <w:rPr>
          <w:rFonts w:ascii="Times New Roman" w:hAnsi="Times New Roman"/>
          <w:sz w:val="28"/>
          <w:szCs w:val="28"/>
        </w:rPr>
        <w:t xml:space="preserve">) </w:t>
      </w:r>
      <w:proofErr w:type="spellStart"/>
      <w:r w:rsidR="00451A88">
        <w:rPr>
          <w:rFonts w:ascii="Times New Roman" w:hAnsi="Times New Roman"/>
          <w:sz w:val="28"/>
          <w:szCs w:val="28"/>
        </w:rPr>
        <w:t>Рябикин</w:t>
      </w:r>
      <w:proofErr w:type="spellEnd"/>
      <w:r w:rsidR="00451A88">
        <w:rPr>
          <w:rFonts w:ascii="Times New Roman" w:hAnsi="Times New Roman"/>
          <w:sz w:val="28"/>
          <w:szCs w:val="28"/>
        </w:rPr>
        <w:t xml:space="preserve"> В.И., Тихомиров С.Н., Баскаков В.</w:t>
      </w:r>
      <w:r w:rsidR="00451A88" w:rsidRPr="00DF73E1">
        <w:rPr>
          <w:rFonts w:ascii="Times New Roman" w:hAnsi="Times New Roman"/>
          <w:sz w:val="28"/>
          <w:szCs w:val="28"/>
        </w:rPr>
        <w:t xml:space="preserve">Н. Страхование и актуарные расчёты. – М.: </w:t>
      </w:r>
      <w:proofErr w:type="spellStart"/>
      <w:r w:rsidR="00451A88" w:rsidRPr="00DF73E1">
        <w:rPr>
          <w:rFonts w:ascii="Times New Roman" w:hAnsi="Times New Roman"/>
          <w:sz w:val="28"/>
          <w:szCs w:val="28"/>
        </w:rPr>
        <w:t>Экономистъ</w:t>
      </w:r>
      <w:proofErr w:type="spellEnd"/>
      <w:r w:rsidR="00451A88" w:rsidRPr="00DF73E1">
        <w:rPr>
          <w:rFonts w:ascii="Times New Roman" w:hAnsi="Times New Roman"/>
          <w:sz w:val="28"/>
          <w:szCs w:val="28"/>
        </w:rPr>
        <w:t>, 2006. – 459 с.</w:t>
      </w:r>
    </w:p>
    <w:p w:rsidR="00044383" w:rsidRDefault="00705646" w:rsidP="00044383">
      <w:pPr>
        <w:spacing w:after="0" w:line="360" w:lineRule="auto"/>
        <w:jc w:val="both"/>
        <w:rPr>
          <w:rFonts w:ascii="Times New Roman" w:hAnsi="Times New Roman"/>
          <w:sz w:val="28"/>
          <w:szCs w:val="28"/>
        </w:rPr>
      </w:pPr>
      <w:r>
        <w:rPr>
          <w:rFonts w:ascii="Times New Roman" w:hAnsi="Times New Roman"/>
          <w:sz w:val="28"/>
          <w:szCs w:val="28"/>
        </w:rPr>
        <w:t>24</w:t>
      </w:r>
      <w:r w:rsidR="00044383">
        <w:rPr>
          <w:rFonts w:ascii="Times New Roman" w:hAnsi="Times New Roman"/>
          <w:sz w:val="28"/>
          <w:szCs w:val="28"/>
        </w:rPr>
        <w:t xml:space="preserve">) </w:t>
      </w:r>
      <w:proofErr w:type="spellStart"/>
      <w:r w:rsidR="00044383" w:rsidRPr="00F468DE">
        <w:rPr>
          <w:rFonts w:ascii="Times New Roman" w:hAnsi="Times New Roman"/>
          <w:sz w:val="28"/>
          <w:szCs w:val="28"/>
        </w:rPr>
        <w:t>Фалин</w:t>
      </w:r>
      <w:proofErr w:type="spellEnd"/>
      <w:r w:rsidR="00044383" w:rsidRPr="00F468DE">
        <w:rPr>
          <w:rFonts w:ascii="Times New Roman" w:hAnsi="Times New Roman"/>
          <w:sz w:val="28"/>
          <w:szCs w:val="28"/>
        </w:rPr>
        <w:t xml:space="preserve"> Г.И., </w:t>
      </w:r>
      <w:proofErr w:type="spellStart"/>
      <w:r w:rsidR="00044383" w:rsidRPr="00F468DE">
        <w:rPr>
          <w:rFonts w:ascii="Times New Roman" w:hAnsi="Times New Roman"/>
          <w:sz w:val="28"/>
          <w:szCs w:val="28"/>
        </w:rPr>
        <w:t>Фалин</w:t>
      </w:r>
      <w:proofErr w:type="spellEnd"/>
      <w:r w:rsidR="00044383" w:rsidRPr="00F468DE">
        <w:rPr>
          <w:rFonts w:ascii="Times New Roman" w:hAnsi="Times New Roman"/>
          <w:sz w:val="28"/>
          <w:szCs w:val="28"/>
        </w:rPr>
        <w:t xml:space="preserve"> А.И. Теория риска для актуариев в задачах. – М.: Мир, «Научный мир», 2004. – 240 </w:t>
      </w:r>
      <w:proofErr w:type="gramStart"/>
      <w:r w:rsidR="00044383" w:rsidRPr="00F468DE">
        <w:rPr>
          <w:rFonts w:ascii="Times New Roman" w:hAnsi="Times New Roman"/>
          <w:sz w:val="28"/>
          <w:szCs w:val="28"/>
        </w:rPr>
        <w:t>с</w:t>
      </w:r>
      <w:proofErr w:type="gramEnd"/>
      <w:r w:rsidR="00044383" w:rsidRPr="00F468DE">
        <w:rPr>
          <w:rFonts w:ascii="Times New Roman" w:hAnsi="Times New Roman"/>
          <w:sz w:val="28"/>
          <w:szCs w:val="28"/>
        </w:rPr>
        <w:t>.</w:t>
      </w:r>
    </w:p>
    <w:p w:rsidR="00451A88" w:rsidRPr="001D2CA3" w:rsidRDefault="00705646" w:rsidP="00451A88">
      <w:pPr>
        <w:spacing w:after="0" w:line="360" w:lineRule="auto"/>
        <w:jc w:val="both"/>
        <w:rPr>
          <w:rFonts w:ascii="Times New Roman" w:hAnsi="Times New Roman"/>
          <w:sz w:val="28"/>
          <w:szCs w:val="28"/>
        </w:rPr>
      </w:pPr>
      <w:r>
        <w:rPr>
          <w:rFonts w:ascii="Times New Roman" w:hAnsi="Times New Roman"/>
          <w:sz w:val="28"/>
          <w:szCs w:val="28"/>
        </w:rPr>
        <w:t>25</w:t>
      </w:r>
      <w:r w:rsidR="00451A88">
        <w:rPr>
          <w:rFonts w:ascii="Times New Roman" w:hAnsi="Times New Roman"/>
          <w:sz w:val="28"/>
          <w:szCs w:val="28"/>
        </w:rPr>
        <w:t xml:space="preserve">) Федеральная служба по финансовым рынкам. </w:t>
      </w:r>
      <w:r w:rsidR="00451A88" w:rsidRPr="00F37CA3">
        <w:rPr>
          <w:rFonts w:ascii="Times New Roman" w:hAnsi="Times New Roman"/>
          <w:sz w:val="28"/>
          <w:szCs w:val="28"/>
        </w:rPr>
        <w:t>[</w:t>
      </w:r>
      <w:r w:rsidR="00451A88">
        <w:rPr>
          <w:rFonts w:ascii="Times New Roman" w:hAnsi="Times New Roman"/>
          <w:sz w:val="28"/>
          <w:szCs w:val="28"/>
        </w:rPr>
        <w:t>Электронный</w:t>
      </w:r>
      <w:r w:rsidR="00451A88" w:rsidRPr="00F37CA3">
        <w:rPr>
          <w:rFonts w:ascii="Times New Roman" w:hAnsi="Times New Roman"/>
          <w:sz w:val="28"/>
          <w:szCs w:val="28"/>
        </w:rPr>
        <w:t xml:space="preserve"> </w:t>
      </w:r>
      <w:r w:rsidR="00451A88">
        <w:rPr>
          <w:rFonts w:ascii="Times New Roman" w:hAnsi="Times New Roman"/>
          <w:sz w:val="28"/>
          <w:szCs w:val="28"/>
        </w:rPr>
        <w:t>ресурс</w:t>
      </w:r>
      <w:r w:rsidR="00451A88" w:rsidRPr="00F37CA3">
        <w:rPr>
          <w:rFonts w:ascii="Times New Roman" w:hAnsi="Times New Roman"/>
          <w:sz w:val="28"/>
          <w:szCs w:val="28"/>
        </w:rPr>
        <w:t>] /</w:t>
      </w:r>
      <w:r w:rsidR="00451A88">
        <w:rPr>
          <w:rFonts w:ascii="Times New Roman" w:hAnsi="Times New Roman"/>
          <w:sz w:val="28"/>
          <w:szCs w:val="28"/>
        </w:rPr>
        <w:t>Режим</w:t>
      </w:r>
      <w:r w:rsidR="00451A88" w:rsidRPr="00F37CA3">
        <w:rPr>
          <w:rFonts w:ascii="Times New Roman" w:hAnsi="Times New Roman"/>
          <w:sz w:val="28"/>
          <w:szCs w:val="28"/>
        </w:rPr>
        <w:t xml:space="preserve"> </w:t>
      </w:r>
      <w:r w:rsidR="00451A88">
        <w:rPr>
          <w:rFonts w:ascii="Times New Roman" w:hAnsi="Times New Roman"/>
          <w:sz w:val="28"/>
          <w:szCs w:val="28"/>
        </w:rPr>
        <w:t>доступа</w:t>
      </w:r>
      <w:r w:rsidR="00451A88" w:rsidRPr="00F37CA3">
        <w:rPr>
          <w:rFonts w:ascii="Times New Roman" w:hAnsi="Times New Roman"/>
          <w:sz w:val="28"/>
          <w:szCs w:val="28"/>
        </w:rPr>
        <w:t>:</w:t>
      </w:r>
      <w:r w:rsidR="00451A88">
        <w:rPr>
          <w:rFonts w:ascii="Times New Roman" w:hAnsi="Times New Roman"/>
          <w:sz w:val="28"/>
          <w:szCs w:val="28"/>
        </w:rPr>
        <w:t xml:space="preserve"> http://www.fcsm.ru.</w:t>
      </w:r>
    </w:p>
    <w:p w:rsidR="00451A88" w:rsidRPr="003F23F6" w:rsidRDefault="00705646" w:rsidP="00451A8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26</w:t>
      </w:r>
      <w:r w:rsidR="00451A88" w:rsidRPr="003F23F6">
        <w:rPr>
          <w:rFonts w:ascii="Times New Roman" w:hAnsi="Times New Roman"/>
          <w:sz w:val="28"/>
          <w:szCs w:val="28"/>
        </w:rPr>
        <w:t>) Федеральный закон № 4015-1 от 27.11.1992 г. «Об организации страхов</w:t>
      </w:r>
      <w:r w:rsidR="00451A88" w:rsidRPr="003F23F6">
        <w:rPr>
          <w:rFonts w:ascii="Times New Roman" w:hAnsi="Times New Roman"/>
          <w:sz w:val="28"/>
          <w:szCs w:val="28"/>
        </w:rPr>
        <w:t>о</w:t>
      </w:r>
      <w:r w:rsidR="00451A88" w:rsidRPr="003F23F6">
        <w:rPr>
          <w:rFonts w:ascii="Times New Roman" w:hAnsi="Times New Roman"/>
          <w:sz w:val="28"/>
          <w:szCs w:val="28"/>
        </w:rPr>
        <w:t>го дела в РФ»</w:t>
      </w:r>
      <w:r w:rsidR="00451A88">
        <w:rPr>
          <w:rFonts w:ascii="Times New Roman" w:hAnsi="Times New Roman"/>
          <w:sz w:val="28"/>
          <w:szCs w:val="28"/>
        </w:rPr>
        <w:t xml:space="preserve"> </w:t>
      </w:r>
      <w:r w:rsidR="00451A88" w:rsidRPr="003F23F6">
        <w:rPr>
          <w:rFonts w:ascii="Times New Roman" w:hAnsi="Times New Roman"/>
          <w:sz w:val="28"/>
          <w:szCs w:val="28"/>
        </w:rPr>
        <w:t xml:space="preserve">с </w:t>
      </w:r>
      <w:proofErr w:type="spellStart"/>
      <w:r w:rsidR="00451A88" w:rsidRPr="003F23F6">
        <w:rPr>
          <w:rFonts w:ascii="Times New Roman" w:hAnsi="Times New Roman"/>
          <w:sz w:val="28"/>
          <w:szCs w:val="28"/>
        </w:rPr>
        <w:t>изм</w:t>
      </w:r>
      <w:proofErr w:type="spellEnd"/>
      <w:r w:rsidR="00451A88" w:rsidRPr="003F23F6">
        <w:rPr>
          <w:rFonts w:ascii="Times New Roman" w:hAnsi="Times New Roman"/>
          <w:sz w:val="28"/>
          <w:szCs w:val="28"/>
        </w:rPr>
        <w:t>., внесенными Федеральным законом от 21.06.2004 г. № 57-ФЗ, в ред. Федерального</w:t>
      </w:r>
      <w:r w:rsidR="00451A88">
        <w:rPr>
          <w:rFonts w:ascii="Times New Roman" w:hAnsi="Times New Roman"/>
          <w:sz w:val="28"/>
          <w:szCs w:val="28"/>
        </w:rPr>
        <w:t xml:space="preserve"> </w:t>
      </w:r>
      <w:r w:rsidR="00451A88" w:rsidRPr="003F23F6">
        <w:rPr>
          <w:rFonts w:ascii="Times New Roman" w:hAnsi="Times New Roman"/>
          <w:sz w:val="28"/>
          <w:szCs w:val="28"/>
        </w:rPr>
        <w:t>закона от 29.11.2007 г. № 287-ФЗ</w:t>
      </w:r>
      <w:r w:rsidR="00451A88">
        <w:rPr>
          <w:rFonts w:ascii="Times New Roman" w:hAnsi="Times New Roman"/>
          <w:sz w:val="28"/>
          <w:szCs w:val="28"/>
        </w:rPr>
        <w:t>.</w:t>
      </w:r>
    </w:p>
    <w:p w:rsidR="00451A88" w:rsidRDefault="00705646" w:rsidP="00451A88">
      <w:pPr>
        <w:spacing w:after="0" w:line="360" w:lineRule="auto"/>
        <w:jc w:val="both"/>
        <w:rPr>
          <w:rFonts w:ascii="Times New Roman" w:hAnsi="Times New Roman"/>
          <w:sz w:val="28"/>
          <w:szCs w:val="28"/>
        </w:rPr>
      </w:pPr>
      <w:r>
        <w:rPr>
          <w:rFonts w:ascii="Times New Roman" w:hAnsi="Times New Roman"/>
          <w:sz w:val="28"/>
          <w:szCs w:val="28"/>
        </w:rPr>
        <w:t>27</w:t>
      </w:r>
      <w:r w:rsidR="00451A88" w:rsidRPr="00D83389">
        <w:rPr>
          <w:rFonts w:ascii="Times New Roman" w:hAnsi="Times New Roman"/>
          <w:sz w:val="28"/>
          <w:szCs w:val="28"/>
        </w:rPr>
        <w:t xml:space="preserve">) Федорова Т.А. Основы страховой деятельности. </w:t>
      </w:r>
      <w:r w:rsidR="00451A88">
        <w:rPr>
          <w:rFonts w:ascii="Times New Roman" w:hAnsi="Times New Roman"/>
          <w:sz w:val="28"/>
          <w:szCs w:val="28"/>
        </w:rPr>
        <w:t>–</w:t>
      </w:r>
      <w:r w:rsidR="00451A88" w:rsidRPr="00490B75">
        <w:rPr>
          <w:rFonts w:ascii="Times New Roman" w:hAnsi="Times New Roman"/>
          <w:sz w:val="28"/>
          <w:szCs w:val="28"/>
        </w:rPr>
        <w:t xml:space="preserve"> </w:t>
      </w:r>
      <w:r w:rsidR="00451A88" w:rsidRPr="00D83389">
        <w:rPr>
          <w:rFonts w:ascii="Times New Roman" w:hAnsi="Times New Roman"/>
          <w:sz w:val="28"/>
          <w:szCs w:val="28"/>
        </w:rPr>
        <w:t>М.:</w:t>
      </w:r>
      <w:r w:rsidR="00451A88" w:rsidRPr="00490B75">
        <w:rPr>
          <w:rFonts w:ascii="Times New Roman" w:hAnsi="Times New Roman"/>
          <w:sz w:val="28"/>
          <w:szCs w:val="28"/>
        </w:rPr>
        <w:t xml:space="preserve"> </w:t>
      </w:r>
      <w:r w:rsidR="00451A88">
        <w:rPr>
          <w:rFonts w:ascii="Times New Roman" w:hAnsi="Times New Roman"/>
          <w:sz w:val="28"/>
          <w:szCs w:val="28"/>
        </w:rPr>
        <w:t xml:space="preserve">Изд-во </w:t>
      </w:r>
      <w:r w:rsidR="00451A88" w:rsidRPr="00490B75">
        <w:rPr>
          <w:rFonts w:ascii="Times New Roman" w:hAnsi="Times New Roman"/>
          <w:sz w:val="28"/>
          <w:szCs w:val="28"/>
        </w:rPr>
        <w:t>“</w:t>
      </w:r>
      <w:r w:rsidR="00451A88" w:rsidRPr="00D83389">
        <w:rPr>
          <w:rFonts w:ascii="Times New Roman" w:hAnsi="Times New Roman"/>
          <w:sz w:val="28"/>
          <w:szCs w:val="28"/>
        </w:rPr>
        <w:t>БЕК</w:t>
      </w:r>
      <w:r w:rsidR="00451A88" w:rsidRPr="00490B75">
        <w:rPr>
          <w:rFonts w:ascii="Times New Roman" w:hAnsi="Times New Roman"/>
          <w:sz w:val="28"/>
          <w:szCs w:val="28"/>
        </w:rPr>
        <w:t>”</w:t>
      </w:r>
      <w:r w:rsidR="00451A88" w:rsidRPr="00D83389">
        <w:rPr>
          <w:rFonts w:ascii="Times New Roman" w:hAnsi="Times New Roman"/>
          <w:sz w:val="28"/>
          <w:szCs w:val="28"/>
        </w:rPr>
        <w:t>,</w:t>
      </w:r>
      <w:r w:rsidR="00451A88">
        <w:rPr>
          <w:rFonts w:ascii="Times New Roman" w:hAnsi="Times New Roman"/>
          <w:sz w:val="28"/>
          <w:szCs w:val="28"/>
        </w:rPr>
        <w:t xml:space="preserve"> 2002</w:t>
      </w:r>
      <w:r w:rsidR="00451A88" w:rsidRPr="00490B75">
        <w:rPr>
          <w:rFonts w:ascii="Times New Roman" w:hAnsi="Times New Roman"/>
          <w:sz w:val="28"/>
          <w:szCs w:val="28"/>
        </w:rPr>
        <w:t xml:space="preserve">. </w:t>
      </w:r>
      <w:r w:rsidR="00451A88">
        <w:rPr>
          <w:rFonts w:ascii="Times New Roman" w:hAnsi="Times New Roman"/>
          <w:sz w:val="28"/>
          <w:szCs w:val="28"/>
        </w:rPr>
        <w:t>–</w:t>
      </w:r>
      <w:r w:rsidR="00451A88" w:rsidRPr="00D83389">
        <w:rPr>
          <w:rFonts w:ascii="Times New Roman" w:hAnsi="Times New Roman"/>
          <w:sz w:val="28"/>
          <w:szCs w:val="28"/>
        </w:rPr>
        <w:t xml:space="preserve"> 768 </w:t>
      </w:r>
      <w:proofErr w:type="gramStart"/>
      <w:r w:rsidR="00451A88" w:rsidRPr="00D83389">
        <w:rPr>
          <w:rFonts w:ascii="Times New Roman" w:hAnsi="Times New Roman"/>
          <w:sz w:val="28"/>
          <w:szCs w:val="28"/>
        </w:rPr>
        <w:t>с</w:t>
      </w:r>
      <w:proofErr w:type="gramEnd"/>
      <w:r w:rsidR="00451A88" w:rsidRPr="00D83389">
        <w:rPr>
          <w:rFonts w:ascii="Times New Roman" w:hAnsi="Times New Roman"/>
          <w:sz w:val="28"/>
          <w:szCs w:val="28"/>
        </w:rPr>
        <w:t xml:space="preserve">. </w:t>
      </w:r>
    </w:p>
    <w:p w:rsidR="00451A88" w:rsidRDefault="00705646" w:rsidP="00451A88">
      <w:pPr>
        <w:spacing w:after="0" w:line="360" w:lineRule="auto"/>
        <w:jc w:val="both"/>
        <w:rPr>
          <w:rFonts w:ascii="Times New Roman" w:hAnsi="Times New Roman"/>
          <w:sz w:val="28"/>
          <w:szCs w:val="28"/>
        </w:rPr>
      </w:pPr>
      <w:r>
        <w:rPr>
          <w:rFonts w:ascii="Times New Roman" w:hAnsi="Times New Roman" w:cs="Times New Roman"/>
          <w:sz w:val="28"/>
          <w:szCs w:val="28"/>
        </w:rPr>
        <w:t>28</w:t>
      </w:r>
      <w:r w:rsidR="00451A88">
        <w:rPr>
          <w:rFonts w:ascii="Times New Roman" w:hAnsi="Times New Roman" w:cs="Times New Roman"/>
          <w:sz w:val="28"/>
          <w:szCs w:val="28"/>
        </w:rPr>
        <w:t xml:space="preserve">) </w:t>
      </w:r>
      <w:proofErr w:type="spellStart"/>
      <w:r w:rsidR="00451A88">
        <w:rPr>
          <w:rFonts w:ascii="Times New Roman" w:hAnsi="Times New Roman" w:cs="Times New Roman"/>
          <w:sz w:val="28"/>
          <w:szCs w:val="28"/>
        </w:rPr>
        <w:t>Хаук</w:t>
      </w:r>
      <w:proofErr w:type="spellEnd"/>
      <w:r w:rsidR="00451A88">
        <w:rPr>
          <w:rFonts w:ascii="Times New Roman" w:hAnsi="Times New Roman" w:cs="Times New Roman"/>
          <w:sz w:val="28"/>
          <w:szCs w:val="28"/>
        </w:rPr>
        <w:t xml:space="preserve"> Г. Международная практика и тенденции медицинского страхов</w:t>
      </w:r>
      <w:r w:rsidR="00451A88">
        <w:rPr>
          <w:rFonts w:ascii="Times New Roman" w:hAnsi="Times New Roman" w:cs="Times New Roman"/>
          <w:sz w:val="28"/>
          <w:szCs w:val="28"/>
        </w:rPr>
        <w:t>а</w:t>
      </w:r>
      <w:r w:rsidR="00451A88">
        <w:rPr>
          <w:rFonts w:ascii="Times New Roman" w:hAnsi="Times New Roman" w:cs="Times New Roman"/>
          <w:sz w:val="28"/>
          <w:szCs w:val="28"/>
        </w:rPr>
        <w:t>ния, 2012.</w:t>
      </w:r>
      <w:r w:rsidR="00451A88" w:rsidRPr="00F37CA3">
        <w:rPr>
          <w:rFonts w:ascii="Times New Roman" w:hAnsi="Times New Roman"/>
          <w:sz w:val="28"/>
          <w:szCs w:val="28"/>
        </w:rPr>
        <w:t xml:space="preserve"> [</w:t>
      </w:r>
      <w:r w:rsidR="00451A88">
        <w:rPr>
          <w:rFonts w:ascii="Times New Roman" w:hAnsi="Times New Roman"/>
          <w:sz w:val="28"/>
          <w:szCs w:val="28"/>
        </w:rPr>
        <w:t>Электронный</w:t>
      </w:r>
      <w:r w:rsidR="00451A88" w:rsidRPr="00F37CA3">
        <w:rPr>
          <w:rFonts w:ascii="Times New Roman" w:hAnsi="Times New Roman"/>
          <w:sz w:val="28"/>
          <w:szCs w:val="28"/>
        </w:rPr>
        <w:t xml:space="preserve"> </w:t>
      </w:r>
      <w:r w:rsidR="00451A88">
        <w:rPr>
          <w:rFonts w:ascii="Times New Roman" w:hAnsi="Times New Roman"/>
          <w:sz w:val="28"/>
          <w:szCs w:val="28"/>
        </w:rPr>
        <w:t>ресурс</w:t>
      </w:r>
      <w:r w:rsidR="00451A88" w:rsidRPr="00F37CA3">
        <w:rPr>
          <w:rFonts w:ascii="Times New Roman" w:hAnsi="Times New Roman"/>
          <w:sz w:val="28"/>
          <w:szCs w:val="28"/>
        </w:rPr>
        <w:t xml:space="preserve">] / </w:t>
      </w:r>
      <w:r w:rsidR="00451A88">
        <w:rPr>
          <w:rFonts w:ascii="Times New Roman" w:hAnsi="Times New Roman"/>
          <w:sz w:val="28"/>
          <w:szCs w:val="28"/>
        </w:rPr>
        <w:t>Режим</w:t>
      </w:r>
      <w:r w:rsidR="00451A88" w:rsidRPr="00F37CA3">
        <w:rPr>
          <w:rFonts w:ascii="Times New Roman" w:hAnsi="Times New Roman"/>
          <w:sz w:val="28"/>
          <w:szCs w:val="28"/>
        </w:rPr>
        <w:t xml:space="preserve"> </w:t>
      </w:r>
      <w:r w:rsidR="00451A88">
        <w:rPr>
          <w:rFonts w:ascii="Times New Roman" w:hAnsi="Times New Roman"/>
          <w:sz w:val="28"/>
          <w:szCs w:val="28"/>
        </w:rPr>
        <w:t>доступа</w:t>
      </w:r>
      <w:r w:rsidR="00451A88" w:rsidRPr="00F37CA3">
        <w:rPr>
          <w:rFonts w:ascii="Times New Roman" w:hAnsi="Times New Roman"/>
          <w:sz w:val="28"/>
          <w:szCs w:val="28"/>
        </w:rPr>
        <w:t>:</w:t>
      </w:r>
      <w:r w:rsidR="00451A88">
        <w:rPr>
          <w:rFonts w:ascii="Times New Roman" w:hAnsi="Times New Roman"/>
          <w:sz w:val="28"/>
          <w:szCs w:val="28"/>
        </w:rPr>
        <w:t xml:space="preserve"> </w:t>
      </w:r>
    </w:p>
    <w:p w:rsidR="00451A88" w:rsidRDefault="00451A88" w:rsidP="00451A88">
      <w:pPr>
        <w:spacing w:after="0" w:line="360" w:lineRule="auto"/>
        <w:jc w:val="both"/>
        <w:rPr>
          <w:rFonts w:ascii="Times New Roman" w:hAnsi="Times New Roman" w:cs="Times New Roman"/>
          <w:sz w:val="28"/>
          <w:szCs w:val="28"/>
        </w:rPr>
      </w:pPr>
      <w:r w:rsidRPr="00F37CA3">
        <w:rPr>
          <w:rFonts w:ascii="Times New Roman" w:hAnsi="Times New Roman" w:cs="Times New Roman"/>
          <w:sz w:val="28"/>
          <w:szCs w:val="28"/>
        </w:rPr>
        <w:t>http:/</w:t>
      </w:r>
      <w:r>
        <w:rPr>
          <w:rFonts w:ascii="Times New Roman" w:hAnsi="Times New Roman" w:cs="Times New Roman"/>
          <w:sz w:val="28"/>
          <w:szCs w:val="28"/>
        </w:rPr>
        <w:t>/www.insur-info.ru/analysis/840.</w:t>
      </w:r>
    </w:p>
    <w:p w:rsidR="00451A88" w:rsidRDefault="00705646" w:rsidP="00451A88">
      <w:pPr>
        <w:spacing w:after="0" w:line="360" w:lineRule="auto"/>
        <w:jc w:val="both"/>
        <w:rPr>
          <w:rFonts w:ascii="Times New Roman" w:hAnsi="Times New Roman"/>
          <w:sz w:val="28"/>
          <w:szCs w:val="28"/>
        </w:rPr>
      </w:pPr>
      <w:r>
        <w:rPr>
          <w:rFonts w:ascii="Times New Roman" w:hAnsi="Times New Roman" w:cs="Times New Roman"/>
          <w:sz w:val="28"/>
          <w:szCs w:val="28"/>
        </w:rPr>
        <w:t>29</w:t>
      </w:r>
      <w:r w:rsidR="00451A88">
        <w:rPr>
          <w:rFonts w:ascii="Times New Roman" w:hAnsi="Times New Roman" w:cs="Times New Roman"/>
          <w:sz w:val="28"/>
          <w:szCs w:val="28"/>
        </w:rPr>
        <w:t>) Центральная база статистических данных – Федеральная служба госуда</w:t>
      </w:r>
      <w:r w:rsidR="00451A88">
        <w:rPr>
          <w:rFonts w:ascii="Times New Roman" w:hAnsi="Times New Roman" w:cs="Times New Roman"/>
          <w:sz w:val="28"/>
          <w:szCs w:val="28"/>
        </w:rPr>
        <w:t>р</w:t>
      </w:r>
      <w:r w:rsidR="00451A88">
        <w:rPr>
          <w:rFonts w:ascii="Times New Roman" w:hAnsi="Times New Roman" w:cs="Times New Roman"/>
          <w:sz w:val="28"/>
          <w:szCs w:val="28"/>
        </w:rPr>
        <w:t xml:space="preserve">ственной статистики. </w:t>
      </w:r>
      <w:r w:rsidR="00451A88" w:rsidRPr="00F37CA3">
        <w:rPr>
          <w:rFonts w:ascii="Times New Roman" w:hAnsi="Times New Roman"/>
          <w:sz w:val="28"/>
          <w:szCs w:val="28"/>
        </w:rPr>
        <w:t>[</w:t>
      </w:r>
      <w:r w:rsidR="00451A88">
        <w:rPr>
          <w:rFonts w:ascii="Times New Roman" w:hAnsi="Times New Roman"/>
          <w:sz w:val="28"/>
          <w:szCs w:val="28"/>
        </w:rPr>
        <w:t>Электронный</w:t>
      </w:r>
      <w:r w:rsidR="00451A88" w:rsidRPr="00F37CA3">
        <w:rPr>
          <w:rFonts w:ascii="Times New Roman" w:hAnsi="Times New Roman"/>
          <w:sz w:val="28"/>
          <w:szCs w:val="28"/>
        </w:rPr>
        <w:t xml:space="preserve"> </w:t>
      </w:r>
      <w:r w:rsidR="00451A88">
        <w:rPr>
          <w:rFonts w:ascii="Times New Roman" w:hAnsi="Times New Roman"/>
          <w:sz w:val="28"/>
          <w:szCs w:val="28"/>
        </w:rPr>
        <w:t>ресурс</w:t>
      </w:r>
      <w:r w:rsidR="00451A88" w:rsidRPr="00F37CA3">
        <w:rPr>
          <w:rFonts w:ascii="Times New Roman" w:hAnsi="Times New Roman"/>
          <w:sz w:val="28"/>
          <w:szCs w:val="28"/>
        </w:rPr>
        <w:t>] /</w:t>
      </w:r>
      <w:r w:rsidR="00451A88">
        <w:rPr>
          <w:rFonts w:ascii="Times New Roman" w:hAnsi="Times New Roman"/>
          <w:sz w:val="28"/>
          <w:szCs w:val="28"/>
        </w:rPr>
        <w:t>Режим</w:t>
      </w:r>
      <w:r w:rsidR="00451A88" w:rsidRPr="00F37CA3">
        <w:rPr>
          <w:rFonts w:ascii="Times New Roman" w:hAnsi="Times New Roman"/>
          <w:sz w:val="28"/>
          <w:szCs w:val="28"/>
        </w:rPr>
        <w:t xml:space="preserve"> </w:t>
      </w:r>
      <w:r w:rsidR="00451A88">
        <w:rPr>
          <w:rFonts w:ascii="Times New Roman" w:hAnsi="Times New Roman"/>
          <w:sz w:val="28"/>
          <w:szCs w:val="28"/>
        </w:rPr>
        <w:t>доступа</w:t>
      </w:r>
      <w:r w:rsidR="00451A88" w:rsidRPr="00F37CA3">
        <w:rPr>
          <w:rFonts w:ascii="Times New Roman" w:hAnsi="Times New Roman"/>
          <w:sz w:val="28"/>
          <w:szCs w:val="28"/>
        </w:rPr>
        <w:t>:</w:t>
      </w:r>
      <w:r w:rsidR="00451A88">
        <w:rPr>
          <w:rFonts w:ascii="Times New Roman" w:hAnsi="Times New Roman"/>
          <w:sz w:val="28"/>
          <w:szCs w:val="28"/>
        </w:rPr>
        <w:t xml:space="preserve"> </w:t>
      </w:r>
    </w:p>
    <w:p w:rsidR="00451A88" w:rsidRDefault="00451A88" w:rsidP="00451A88">
      <w:pPr>
        <w:spacing w:after="0" w:line="360" w:lineRule="auto"/>
        <w:jc w:val="both"/>
        <w:rPr>
          <w:rFonts w:ascii="Times New Roman" w:hAnsi="Times New Roman"/>
          <w:sz w:val="28"/>
          <w:szCs w:val="28"/>
        </w:rPr>
      </w:pPr>
      <w:r>
        <w:rPr>
          <w:rFonts w:ascii="Times New Roman" w:hAnsi="Times New Roman"/>
          <w:sz w:val="28"/>
          <w:szCs w:val="28"/>
        </w:rPr>
        <w:t>http://cbsd.gks.ru.</w:t>
      </w:r>
    </w:p>
    <w:p w:rsidR="00451A88" w:rsidRPr="00F37CA3" w:rsidRDefault="00705646" w:rsidP="00451A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451A88">
        <w:rPr>
          <w:rFonts w:ascii="Times New Roman" w:hAnsi="Times New Roman" w:cs="Times New Roman"/>
          <w:sz w:val="28"/>
          <w:szCs w:val="28"/>
        </w:rPr>
        <w:t xml:space="preserve">) </w:t>
      </w:r>
      <w:proofErr w:type="spellStart"/>
      <w:r w:rsidR="00451A88">
        <w:rPr>
          <w:rFonts w:ascii="Times New Roman" w:hAnsi="Times New Roman" w:cs="Times New Roman"/>
          <w:sz w:val="28"/>
          <w:szCs w:val="28"/>
        </w:rPr>
        <w:t>Цирер</w:t>
      </w:r>
      <w:proofErr w:type="spellEnd"/>
      <w:r w:rsidR="00451A88">
        <w:rPr>
          <w:rFonts w:ascii="Times New Roman" w:hAnsi="Times New Roman" w:cs="Times New Roman"/>
          <w:sz w:val="28"/>
          <w:szCs w:val="28"/>
        </w:rPr>
        <w:t xml:space="preserve"> В.П. Медицинское страхование остается востребованным, 2011. </w:t>
      </w:r>
      <w:r w:rsidR="00451A88" w:rsidRPr="00F37CA3">
        <w:rPr>
          <w:rFonts w:ascii="Times New Roman" w:hAnsi="Times New Roman"/>
          <w:sz w:val="28"/>
          <w:szCs w:val="28"/>
        </w:rPr>
        <w:t>[</w:t>
      </w:r>
      <w:r w:rsidR="00451A88">
        <w:rPr>
          <w:rFonts w:ascii="Times New Roman" w:hAnsi="Times New Roman"/>
          <w:sz w:val="28"/>
          <w:szCs w:val="28"/>
        </w:rPr>
        <w:t>Электронный</w:t>
      </w:r>
      <w:r w:rsidR="00451A88" w:rsidRPr="00F37CA3">
        <w:rPr>
          <w:rFonts w:ascii="Times New Roman" w:hAnsi="Times New Roman"/>
          <w:sz w:val="28"/>
          <w:szCs w:val="28"/>
        </w:rPr>
        <w:t xml:space="preserve"> </w:t>
      </w:r>
      <w:r w:rsidR="00451A88">
        <w:rPr>
          <w:rFonts w:ascii="Times New Roman" w:hAnsi="Times New Roman"/>
          <w:sz w:val="28"/>
          <w:szCs w:val="28"/>
        </w:rPr>
        <w:t>ресурс</w:t>
      </w:r>
      <w:r w:rsidR="00451A88" w:rsidRPr="00F37CA3">
        <w:rPr>
          <w:rFonts w:ascii="Times New Roman" w:hAnsi="Times New Roman"/>
          <w:sz w:val="28"/>
          <w:szCs w:val="28"/>
        </w:rPr>
        <w:t>] /</w:t>
      </w:r>
      <w:r w:rsidR="00451A88">
        <w:rPr>
          <w:rFonts w:ascii="Times New Roman" w:hAnsi="Times New Roman"/>
          <w:sz w:val="28"/>
          <w:szCs w:val="28"/>
        </w:rPr>
        <w:t>Режим</w:t>
      </w:r>
      <w:r w:rsidR="00451A88" w:rsidRPr="00F37CA3">
        <w:rPr>
          <w:rFonts w:ascii="Times New Roman" w:hAnsi="Times New Roman"/>
          <w:sz w:val="28"/>
          <w:szCs w:val="28"/>
        </w:rPr>
        <w:t xml:space="preserve"> </w:t>
      </w:r>
      <w:r w:rsidR="00451A88">
        <w:rPr>
          <w:rFonts w:ascii="Times New Roman" w:hAnsi="Times New Roman"/>
          <w:sz w:val="28"/>
          <w:szCs w:val="28"/>
        </w:rPr>
        <w:t>доступа</w:t>
      </w:r>
      <w:r w:rsidR="00451A88" w:rsidRPr="00F37CA3">
        <w:rPr>
          <w:rFonts w:ascii="Times New Roman" w:hAnsi="Times New Roman"/>
          <w:sz w:val="28"/>
          <w:szCs w:val="28"/>
        </w:rPr>
        <w:t>:</w:t>
      </w:r>
      <w:r w:rsidR="00451A88">
        <w:rPr>
          <w:rFonts w:ascii="Times New Roman" w:hAnsi="Times New Roman"/>
          <w:sz w:val="28"/>
          <w:szCs w:val="28"/>
        </w:rPr>
        <w:t xml:space="preserve"> </w:t>
      </w:r>
      <w:r w:rsidR="00451A88" w:rsidRPr="00F37CA3">
        <w:rPr>
          <w:rFonts w:ascii="Times New Roman" w:hAnsi="Times New Roman" w:cs="Times New Roman"/>
          <w:sz w:val="28"/>
          <w:szCs w:val="28"/>
        </w:rPr>
        <w:t>http://www.insur-info.ru</w:t>
      </w:r>
      <w:r w:rsidR="00451A88">
        <w:rPr>
          <w:rFonts w:ascii="Times New Roman" w:hAnsi="Times New Roman" w:cs="Times New Roman"/>
          <w:sz w:val="28"/>
          <w:szCs w:val="28"/>
        </w:rPr>
        <w:t>/interviews/698.</w:t>
      </w:r>
    </w:p>
    <w:p w:rsidR="00451A88" w:rsidRDefault="00451A88" w:rsidP="00451A88">
      <w:pPr>
        <w:spacing w:after="0" w:line="360" w:lineRule="auto"/>
        <w:jc w:val="both"/>
        <w:rPr>
          <w:rFonts w:ascii="Times New Roman" w:hAnsi="Times New Roman"/>
          <w:sz w:val="28"/>
          <w:szCs w:val="28"/>
        </w:rPr>
      </w:pPr>
      <w:r>
        <w:rPr>
          <w:rFonts w:ascii="Times New Roman" w:hAnsi="Times New Roman"/>
          <w:sz w:val="28"/>
          <w:szCs w:val="28"/>
        </w:rPr>
        <w:t>3</w:t>
      </w:r>
      <w:r w:rsidR="00705646">
        <w:rPr>
          <w:rFonts w:ascii="Times New Roman" w:hAnsi="Times New Roman"/>
          <w:sz w:val="28"/>
          <w:szCs w:val="28"/>
        </w:rPr>
        <w:t>1</w:t>
      </w:r>
      <w:r>
        <w:rPr>
          <w:rFonts w:ascii="Times New Roman" w:hAnsi="Times New Roman"/>
          <w:sz w:val="28"/>
          <w:szCs w:val="28"/>
        </w:rPr>
        <w:t>) Черепанова И.С., Говорова А.М. Добровольное медицинское страхование в Российской Федерации: опыт развития и перспективы оказания качестве</w:t>
      </w:r>
      <w:r>
        <w:rPr>
          <w:rFonts w:ascii="Times New Roman" w:hAnsi="Times New Roman"/>
          <w:sz w:val="28"/>
          <w:szCs w:val="28"/>
        </w:rPr>
        <w:t>н</w:t>
      </w:r>
      <w:r>
        <w:rPr>
          <w:rFonts w:ascii="Times New Roman" w:hAnsi="Times New Roman"/>
          <w:sz w:val="28"/>
          <w:szCs w:val="28"/>
        </w:rPr>
        <w:t>ных медицинских услуг</w:t>
      </w:r>
      <w:r w:rsidRPr="003F23F6">
        <w:rPr>
          <w:rFonts w:ascii="Times New Roman" w:hAnsi="Times New Roman"/>
          <w:sz w:val="28"/>
          <w:szCs w:val="28"/>
        </w:rPr>
        <w:t>. –</w:t>
      </w:r>
      <w:r>
        <w:rPr>
          <w:rFonts w:ascii="Times New Roman" w:hAnsi="Times New Roman"/>
          <w:sz w:val="28"/>
          <w:szCs w:val="28"/>
        </w:rPr>
        <w:t xml:space="preserve"> </w:t>
      </w:r>
      <w:r>
        <w:rPr>
          <w:rFonts w:ascii="Times New Roman" w:hAnsi="Times New Roman"/>
          <w:i/>
          <w:sz w:val="28"/>
          <w:szCs w:val="28"/>
        </w:rPr>
        <w:t xml:space="preserve">Вестник </w:t>
      </w:r>
      <w:proofErr w:type="spellStart"/>
      <w:r>
        <w:rPr>
          <w:rFonts w:ascii="Times New Roman" w:hAnsi="Times New Roman"/>
          <w:i/>
          <w:sz w:val="28"/>
          <w:szCs w:val="28"/>
        </w:rPr>
        <w:t>Росздравнадзора</w:t>
      </w:r>
      <w:proofErr w:type="spellEnd"/>
      <w:r w:rsidRPr="00D652FC">
        <w:rPr>
          <w:rFonts w:ascii="Times New Roman" w:hAnsi="Times New Roman"/>
          <w:sz w:val="28"/>
          <w:szCs w:val="28"/>
        </w:rPr>
        <w:t xml:space="preserve">, </w:t>
      </w:r>
      <w:r>
        <w:rPr>
          <w:rFonts w:ascii="Times New Roman" w:hAnsi="Times New Roman"/>
          <w:sz w:val="28"/>
          <w:szCs w:val="28"/>
        </w:rPr>
        <w:t>2010, № 1.</w:t>
      </w:r>
      <w:r w:rsidRPr="00D652FC">
        <w:rPr>
          <w:rFonts w:ascii="Times New Roman" w:hAnsi="Times New Roman"/>
          <w:sz w:val="28"/>
          <w:szCs w:val="28"/>
        </w:rPr>
        <w:t xml:space="preserve"> – </w:t>
      </w:r>
      <w:r>
        <w:rPr>
          <w:rFonts w:ascii="Times New Roman" w:hAnsi="Times New Roman"/>
          <w:sz w:val="28"/>
          <w:szCs w:val="28"/>
        </w:rPr>
        <w:t>С. 50-52.</w:t>
      </w:r>
    </w:p>
    <w:p w:rsidR="00451A88" w:rsidRDefault="00705646" w:rsidP="00451A88">
      <w:pPr>
        <w:spacing w:after="0" w:line="360" w:lineRule="auto"/>
        <w:jc w:val="both"/>
        <w:rPr>
          <w:rFonts w:ascii="Times New Roman" w:hAnsi="Times New Roman"/>
          <w:sz w:val="28"/>
          <w:szCs w:val="28"/>
        </w:rPr>
      </w:pPr>
      <w:r>
        <w:rPr>
          <w:rFonts w:ascii="Times New Roman" w:hAnsi="Times New Roman"/>
          <w:sz w:val="28"/>
          <w:szCs w:val="28"/>
        </w:rPr>
        <w:t>32</w:t>
      </w:r>
      <w:r w:rsidR="00451A88">
        <w:rPr>
          <w:rFonts w:ascii="Times New Roman" w:hAnsi="Times New Roman"/>
          <w:sz w:val="28"/>
          <w:szCs w:val="28"/>
        </w:rPr>
        <w:t xml:space="preserve">) </w:t>
      </w:r>
      <w:r w:rsidR="00451A88" w:rsidRPr="000730E8">
        <w:rPr>
          <w:rFonts w:ascii="Times New Roman" w:hAnsi="Times New Roman"/>
          <w:sz w:val="28"/>
          <w:szCs w:val="28"/>
        </w:rPr>
        <w:t xml:space="preserve">Четыркин Е.М. Актуарные расчеты в негосударственном пенсионном и медицинском страховании. – М.: Издательство «Дело» АНХ, 2009. – 256 </w:t>
      </w:r>
      <w:proofErr w:type="gramStart"/>
      <w:r w:rsidR="00451A88" w:rsidRPr="000730E8">
        <w:rPr>
          <w:rFonts w:ascii="Times New Roman" w:hAnsi="Times New Roman"/>
          <w:sz w:val="28"/>
          <w:szCs w:val="28"/>
        </w:rPr>
        <w:t>с</w:t>
      </w:r>
      <w:proofErr w:type="gramEnd"/>
      <w:r w:rsidR="00451A88" w:rsidRPr="000730E8">
        <w:rPr>
          <w:rFonts w:ascii="Times New Roman" w:hAnsi="Times New Roman"/>
          <w:sz w:val="28"/>
          <w:szCs w:val="28"/>
        </w:rPr>
        <w:t>.</w:t>
      </w:r>
    </w:p>
    <w:p w:rsidR="00705646" w:rsidRPr="00705646" w:rsidRDefault="00705646" w:rsidP="00705646">
      <w:pPr>
        <w:spacing w:after="0" w:line="360" w:lineRule="auto"/>
        <w:jc w:val="both"/>
        <w:rPr>
          <w:rFonts w:ascii="Times New Roman" w:hAnsi="Times New Roman"/>
          <w:sz w:val="28"/>
          <w:szCs w:val="28"/>
        </w:rPr>
      </w:pPr>
      <w:proofErr w:type="gramStart"/>
      <w:r>
        <w:rPr>
          <w:rFonts w:ascii="Times New Roman" w:hAnsi="Times New Roman" w:cs="Times New Roman"/>
          <w:sz w:val="28"/>
          <w:szCs w:val="28"/>
          <w:lang w:val="en-GB"/>
        </w:rPr>
        <w:t>3</w:t>
      </w:r>
      <w:r w:rsidRPr="00705646">
        <w:rPr>
          <w:rFonts w:ascii="Times New Roman" w:hAnsi="Times New Roman" w:cs="Times New Roman"/>
          <w:sz w:val="28"/>
          <w:szCs w:val="28"/>
          <w:lang w:val="en-GB"/>
        </w:rPr>
        <w:t>3</w:t>
      </w:r>
      <w:r w:rsidRPr="00C477B7">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Bornhuetter</w:t>
      </w:r>
      <w:proofErr w:type="spellEnd"/>
      <w:r w:rsidRPr="00C477B7">
        <w:rPr>
          <w:rFonts w:ascii="Times New Roman" w:hAnsi="Times New Roman" w:cs="Times New Roman"/>
          <w:sz w:val="28"/>
          <w:szCs w:val="28"/>
          <w:lang w:val="en-GB"/>
        </w:rPr>
        <w:t xml:space="preserve"> </w:t>
      </w:r>
      <w:r>
        <w:rPr>
          <w:rFonts w:ascii="Times New Roman" w:hAnsi="Times New Roman" w:cs="Times New Roman"/>
          <w:sz w:val="28"/>
          <w:szCs w:val="28"/>
          <w:lang w:val="en-GB"/>
        </w:rPr>
        <w:t>R</w:t>
      </w:r>
      <w:r w:rsidRPr="00C477B7">
        <w:rPr>
          <w:rFonts w:ascii="Times New Roman" w:hAnsi="Times New Roman" w:cs="Times New Roman"/>
          <w:sz w:val="28"/>
          <w:szCs w:val="28"/>
          <w:lang w:val="en-GB"/>
        </w:rPr>
        <w:t>.</w:t>
      </w:r>
      <w:r>
        <w:rPr>
          <w:rFonts w:ascii="Times New Roman" w:hAnsi="Times New Roman" w:cs="Times New Roman"/>
          <w:sz w:val="28"/>
          <w:szCs w:val="28"/>
          <w:lang w:val="en-GB"/>
        </w:rPr>
        <w:t>L</w:t>
      </w:r>
      <w:r w:rsidRPr="00C477B7">
        <w:rPr>
          <w:rFonts w:ascii="Times New Roman" w:hAnsi="Times New Roman" w:cs="Times New Roman"/>
          <w:sz w:val="28"/>
          <w:szCs w:val="28"/>
          <w:lang w:val="en-GB"/>
        </w:rPr>
        <w:t xml:space="preserve">., Ferguson </w:t>
      </w:r>
      <w:r>
        <w:rPr>
          <w:rFonts w:ascii="Times New Roman" w:hAnsi="Times New Roman" w:cs="Times New Roman"/>
          <w:sz w:val="28"/>
          <w:szCs w:val="28"/>
          <w:lang w:val="en-GB"/>
        </w:rPr>
        <w:t>R</w:t>
      </w:r>
      <w:r w:rsidRPr="00C477B7">
        <w:rPr>
          <w:rFonts w:ascii="Times New Roman" w:hAnsi="Times New Roman" w:cs="Times New Roman"/>
          <w:sz w:val="28"/>
          <w:szCs w:val="28"/>
          <w:lang w:val="en-GB"/>
        </w:rPr>
        <w:t>.</w:t>
      </w:r>
      <w:r>
        <w:rPr>
          <w:rFonts w:ascii="Times New Roman" w:hAnsi="Times New Roman" w:cs="Times New Roman"/>
          <w:sz w:val="28"/>
          <w:szCs w:val="28"/>
          <w:lang w:val="en-GB"/>
        </w:rPr>
        <w:t>E</w:t>
      </w:r>
      <w:r w:rsidRPr="00C477B7">
        <w:rPr>
          <w:rFonts w:ascii="Times New Roman" w:hAnsi="Times New Roman" w:cs="Times New Roman"/>
          <w:sz w:val="28"/>
          <w:szCs w:val="28"/>
          <w:lang w:val="en-GB"/>
        </w:rPr>
        <w:t>.</w:t>
      </w:r>
      <w:proofErr w:type="gramEnd"/>
      <w:r w:rsidRPr="00C477B7">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The</w:t>
      </w:r>
      <w:r w:rsidRPr="00C477B7">
        <w:rPr>
          <w:rFonts w:ascii="Times New Roman" w:hAnsi="Times New Roman" w:cs="Times New Roman"/>
          <w:sz w:val="28"/>
          <w:szCs w:val="28"/>
          <w:lang w:val="en-GB"/>
        </w:rPr>
        <w:t xml:space="preserve"> </w:t>
      </w:r>
      <w:r>
        <w:rPr>
          <w:rFonts w:ascii="Times New Roman" w:hAnsi="Times New Roman" w:cs="Times New Roman"/>
          <w:sz w:val="28"/>
          <w:szCs w:val="28"/>
          <w:lang w:val="en-GB"/>
        </w:rPr>
        <w:t>Actuary</w:t>
      </w:r>
      <w:r w:rsidRPr="00C477B7">
        <w:rPr>
          <w:rFonts w:ascii="Times New Roman" w:hAnsi="Times New Roman" w:cs="Times New Roman"/>
          <w:sz w:val="28"/>
          <w:szCs w:val="28"/>
          <w:lang w:val="en-GB"/>
        </w:rPr>
        <w:t xml:space="preserve"> </w:t>
      </w:r>
      <w:r>
        <w:rPr>
          <w:rFonts w:ascii="Times New Roman" w:hAnsi="Times New Roman" w:cs="Times New Roman"/>
          <w:sz w:val="28"/>
          <w:szCs w:val="28"/>
          <w:lang w:val="en-GB"/>
        </w:rPr>
        <w:t>and</w:t>
      </w:r>
      <w:r w:rsidRPr="00C477B7">
        <w:rPr>
          <w:rFonts w:ascii="Times New Roman" w:hAnsi="Times New Roman" w:cs="Times New Roman"/>
          <w:sz w:val="28"/>
          <w:szCs w:val="28"/>
          <w:lang w:val="en-GB"/>
        </w:rPr>
        <w:t xml:space="preserve"> </w:t>
      </w:r>
      <w:r>
        <w:rPr>
          <w:rFonts w:ascii="Times New Roman" w:hAnsi="Times New Roman" w:cs="Times New Roman"/>
          <w:sz w:val="28"/>
          <w:szCs w:val="28"/>
          <w:lang w:val="en-GB"/>
        </w:rPr>
        <w:t>IBNR</w:t>
      </w:r>
      <w:r w:rsidRPr="00C477B7">
        <w:rPr>
          <w:rFonts w:ascii="Times New Roman" w:hAnsi="Times New Roman" w:cs="Times New Roman"/>
          <w:sz w:val="28"/>
          <w:szCs w:val="28"/>
          <w:lang w:val="en-GB"/>
        </w:rPr>
        <w:t>.</w:t>
      </w:r>
      <w:proofErr w:type="gramEnd"/>
      <w:r w:rsidRPr="00C477B7">
        <w:rPr>
          <w:rFonts w:ascii="Times New Roman" w:hAnsi="Times New Roman"/>
          <w:sz w:val="28"/>
          <w:szCs w:val="28"/>
          <w:lang w:val="en-GB"/>
        </w:rPr>
        <w:t xml:space="preserve"> –</w:t>
      </w:r>
      <w:r>
        <w:rPr>
          <w:rFonts w:ascii="Times New Roman" w:hAnsi="Times New Roman"/>
          <w:sz w:val="28"/>
          <w:szCs w:val="28"/>
          <w:lang w:val="en-GB"/>
        </w:rPr>
        <w:t xml:space="preserve"> </w:t>
      </w:r>
      <w:r>
        <w:rPr>
          <w:rFonts w:ascii="Times New Roman" w:hAnsi="Times New Roman"/>
          <w:i/>
          <w:sz w:val="28"/>
          <w:szCs w:val="28"/>
          <w:lang w:val="en-GB"/>
        </w:rPr>
        <w:t>PCAS LIX</w:t>
      </w:r>
      <w:r w:rsidRPr="00C477B7">
        <w:rPr>
          <w:rFonts w:ascii="Times New Roman" w:hAnsi="Times New Roman"/>
          <w:sz w:val="28"/>
          <w:szCs w:val="28"/>
          <w:lang w:val="en-GB"/>
        </w:rPr>
        <w:t xml:space="preserve">, </w:t>
      </w:r>
      <w:r>
        <w:rPr>
          <w:rFonts w:ascii="Times New Roman" w:hAnsi="Times New Roman"/>
          <w:sz w:val="28"/>
          <w:szCs w:val="28"/>
          <w:lang w:val="en-GB"/>
        </w:rPr>
        <w:t>1972. – pp. 181-195.</w:t>
      </w:r>
      <w:r w:rsidRPr="00C477B7">
        <w:rPr>
          <w:rFonts w:ascii="Times New Roman" w:hAnsi="Times New Roman"/>
          <w:sz w:val="28"/>
          <w:szCs w:val="28"/>
          <w:lang w:val="en-GB"/>
        </w:rPr>
        <w:t xml:space="preserve"> </w:t>
      </w:r>
      <w:r w:rsidRPr="00705646">
        <w:rPr>
          <w:rFonts w:ascii="Times New Roman" w:hAnsi="Times New Roman"/>
          <w:sz w:val="28"/>
          <w:szCs w:val="28"/>
        </w:rPr>
        <w:t>[</w:t>
      </w:r>
      <w:r>
        <w:rPr>
          <w:rFonts w:ascii="Times New Roman" w:hAnsi="Times New Roman"/>
          <w:sz w:val="28"/>
          <w:szCs w:val="28"/>
        </w:rPr>
        <w:t>Электронный</w:t>
      </w:r>
      <w:r w:rsidRPr="00705646">
        <w:rPr>
          <w:rFonts w:ascii="Times New Roman" w:hAnsi="Times New Roman"/>
          <w:sz w:val="28"/>
          <w:szCs w:val="28"/>
        </w:rPr>
        <w:t xml:space="preserve"> </w:t>
      </w:r>
      <w:r>
        <w:rPr>
          <w:rFonts w:ascii="Times New Roman" w:hAnsi="Times New Roman"/>
          <w:sz w:val="28"/>
          <w:szCs w:val="28"/>
        </w:rPr>
        <w:t>ресурс</w:t>
      </w:r>
      <w:r w:rsidRPr="00705646">
        <w:rPr>
          <w:rFonts w:ascii="Times New Roman" w:hAnsi="Times New Roman"/>
          <w:sz w:val="28"/>
          <w:szCs w:val="28"/>
        </w:rPr>
        <w:t xml:space="preserve">] / </w:t>
      </w:r>
      <w:r>
        <w:rPr>
          <w:rFonts w:ascii="Times New Roman" w:hAnsi="Times New Roman"/>
          <w:sz w:val="28"/>
          <w:szCs w:val="28"/>
        </w:rPr>
        <w:t>Режим</w:t>
      </w:r>
      <w:r w:rsidRPr="00705646">
        <w:rPr>
          <w:rFonts w:ascii="Times New Roman" w:hAnsi="Times New Roman"/>
          <w:sz w:val="28"/>
          <w:szCs w:val="28"/>
        </w:rPr>
        <w:t xml:space="preserve"> </w:t>
      </w:r>
      <w:r>
        <w:rPr>
          <w:rFonts w:ascii="Times New Roman" w:hAnsi="Times New Roman"/>
          <w:sz w:val="28"/>
          <w:szCs w:val="28"/>
        </w:rPr>
        <w:t>доступа</w:t>
      </w:r>
      <w:r w:rsidRPr="00705646">
        <w:rPr>
          <w:rFonts w:ascii="Times New Roman" w:hAnsi="Times New Roman"/>
          <w:sz w:val="28"/>
          <w:szCs w:val="28"/>
        </w:rPr>
        <w:t xml:space="preserve">: </w:t>
      </w:r>
    </w:p>
    <w:p w:rsidR="00705646" w:rsidRDefault="00705646" w:rsidP="00705646">
      <w:pPr>
        <w:spacing w:after="0" w:line="360" w:lineRule="auto"/>
        <w:jc w:val="both"/>
        <w:rPr>
          <w:rFonts w:ascii="Times New Roman" w:hAnsi="Times New Roman"/>
          <w:sz w:val="28"/>
          <w:szCs w:val="28"/>
        </w:rPr>
      </w:pPr>
      <w:r w:rsidRPr="00C477B7">
        <w:rPr>
          <w:rFonts w:ascii="Times New Roman" w:hAnsi="Times New Roman"/>
          <w:sz w:val="28"/>
          <w:szCs w:val="28"/>
          <w:lang w:val="en-GB"/>
        </w:rPr>
        <w:t>http</w:t>
      </w:r>
      <w:r w:rsidRPr="00705646">
        <w:rPr>
          <w:rFonts w:ascii="Times New Roman" w:hAnsi="Times New Roman"/>
          <w:sz w:val="28"/>
          <w:szCs w:val="28"/>
        </w:rPr>
        <w:t>://</w:t>
      </w:r>
      <w:r w:rsidRPr="00C477B7">
        <w:rPr>
          <w:rFonts w:ascii="Times New Roman" w:hAnsi="Times New Roman"/>
          <w:sz w:val="28"/>
          <w:szCs w:val="28"/>
          <w:lang w:val="en-GB"/>
        </w:rPr>
        <w:t>www</w:t>
      </w:r>
      <w:r w:rsidRPr="00705646">
        <w:rPr>
          <w:rFonts w:ascii="Times New Roman" w:hAnsi="Times New Roman"/>
          <w:sz w:val="28"/>
          <w:szCs w:val="28"/>
        </w:rPr>
        <w:t>.</w:t>
      </w:r>
      <w:proofErr w:type="spellStart"/>
      <w:r w:rsidRPr="00C477B7">
        <w:rPr>
          <w:rFonts w:ascii="Times New Roman" w:hAnsi="Times New Roman"/>
          <w:sz w:val="28"/>
          <w:szCs w:val="28"/>
          <w:lang w:val="en-GB"/>
        </w:rPr>
        <w:t>casact</w:t>
      </w:r>
      <w:proofErr w:type="spellEnd"/>
      <w:r w:rsidRPr="00705646">
        <w:rPr>
          <w:rFonts w:ascii="Times New Roman" w:hAnsi="Times New Roman"/>
          <w:sz w:val="28"/>
          <w:szCs w:val="28"/>
        </w:rPr>
        <w:t>.</w:t>
      </w:r>
      <w:r w:rsidRPr="00C477B7">
        <w:rPr>
          <w:rFonts w:ascii="Times New Roman" w:hAnsi="Times New Roman"/>
          <w:sz w:val="28"/>
          <w:szCs w:val="28"/>
          <w:lang w:val="en-GB"/>
        </w:rPr>
        <w:t>org</w:t>
      </w:r>
      <w:r w:rsidRPr="00705646">
        <w:rPr>
          <w:rFonts w:ascii="Times New Roman" w:hAnsi="Times New Roman"/>
          <w:sz w:val="28"/>
          <w:szCs w:val="28"/>
        </w:rPr>
        <w:t>/</w:t>
      </w:r>
      <w:r w:rsidRPr="00C477B7">
        <w:rPr>
          <w:rFonts w:ascii="Times New Roman" w:hAnsi="Times New Roman"/>
          <w:sz w:val="28"/>
          <w:szCs w:val="28"/>
          <w:lang w:val="en-GB"/>
        </w:rPr>
        <w:t>pubs</w:t>
      </w:r>
      <w:r w:rsidRPr="00705646">
        <w:rPr>
          <w:rFonts w:ascii="Times New Roman" w:hAnsi="Times New Roman"/>
          <w:sz w:val="28"/>
          <w:szCs w:val="28"/>
        </w:rPr>
        <w:t>/</w:t>
      </w:r>
      <w:r w:rsidRPr="00C477B7">
        <w:rPr>
          <w:rFonts w:ascii="Times New Roman" w:hAnsi="Times New Roman"/>
          <w:sz w:val="28"/>
          <w:szCs w:val="28"/>
          <w:lang w:val="en-GB"/>
        </w:rPr>
        <w:t>proceed</w:t>
      </w:r>
      <w:r w:rsidRPr="00705646">
        <w:rPr>
          <w:rFonts w:ascii="Times New Roman" w:hAnsi="Times New Roman"/>
          <w:sz w:val="28"/>
          <w:szCs w:val="28"/>
        </w:rPr>
        <w:t>/</w:t>
      </w:r>
      <w:r w:rsidRPr="00C477B7">
        <w:rPr>
          <w:rFonts w:ascii="Times New Roman" w:hAnsi="Times New Roman"/>
          <w:sz w:val="28"/>
          <w:szCs w:val="28"/>
          <w:lang w:val="en-GB"/>
        </w:rPr>
        <w:t>proceed</w:t>
      </w:r>
      <w:r w:rsidRPr="00705646">
        <w:rPr>
          <w:rFonts w:ascii="Times New Roman" w:hAnsi="Times New Roman"/>
          <w:sz w:val="28"/>
          <w:szCs w:val="28"/>
        </w:rPr>
        <w:t>73/73161.</w:t>
      </w:r>
      <w:proofErr w:type="spellStart"/>
      <w:r w:rsidRPr="00C477B7">
        <w:rPr>
          <w:rFonts w:ascii="Times New Roman" w:hAnsi="Times New Roman"/>
          <w:sz w:val="28"/>
          <w:szCs w:val="28"/>
          <w:lang w:val="en-GB"/>
        </w:rPr>
        <w:t>pdf</w:t>
      </w:r>
      <w:proofErr w:type="spellEnd"/>
      <w:r w:rsidRPr="00705646">
        <w:rPr>
          <w:rFonts w:ascii="Times New Roman" w:hAnsi="Times New Roman"/>
          <w:sz w:val="28"/>
          <w:szCs w:val="28"/>
        </w:rPr>
        <w:t>.</w:t>
      </w:r>
    </w:p>
    <w:p w:rsidR="00705646" w:rsidRPr="00577B7E" w:rsidRDefault="00705646" w:rsidP="00705646">
      <w:pPr>
        <w:autoSpaceDE w:val="0"/>
        <w:autoSpaceDN w:val="0"/>
        <w:adjustRightInd w:val="0"/>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34</w:t>
      </w:r>
      <w:r>
        <w:rPr>
          <w:rFonts w:ascii="Times New Roman" w:hAnsi="Times New Roman"/>
          <w:sz w:val="28"/>
          <w:szCs w:val="28"/>
          <w:lang w:val="en-GB"/>
        </w:rPr>
        <w:t xml:space="preserve">) </w:t>
      </w:r>
      <w:proofErr w:type="spellStart"/>
      <w:r>
        <w:rPr>
          <w:rFonts w:ascii="Times New Roman" w:hAnsi="Times New Roman"/>
          <w:sz w:val="28"/>
          <w:szCs w:val="28"/>
          <w:lang w:val="en-GB"/>
        </w:rPr>
        <w:t>Brosius</w:t>
      </w:r>
      <w:proofErr w:type="spellEnd"/>
      <w:r>
        <w:rPr>
          <w:rFonts w:ascii="Times New Roman" w:hAnsi="Times New Roman"/>
          <w:sz w:val="28"/>
          <w:szCs w:val="28"/>
          <w:lang w:val="en-GB"/>
        </w:rPr>
        <w:t xml:space="preserve"> E. Loss development using credibility. – </w:t>
      </w:r>
      <w:r w:rsidRPr="00DE0072">
        <w:rPr>
          <w:rFonts w:ascii="Times New Roman" w:hAnsi="Times New Roman"/>
          <w:i/>
          <w:sz w:val="28"/>
          <w:szCs w:val="28"/>
          <w:lang w:val="en-GB"/>
        </w:rPr>
        <w:t>Casualty Actuarial Society</w:t>
      </w:r>
      <w:r>
        <w:rPr>
          <w:rFonts w:ascii="Times New Roman" w:hAnsi="Times New Roman"/>
          <w:sz w:val="28"/>
          <w:szCs w:val="28"/>
          <w:lang w:val="en-GB"/>
        </w:rPr>
        <w:t xml:space="preserve">, 1993. – </w:t>
      </w:r>
      <w:r w:rsidRPr="00577B7E">
        <w:rPr>
          <w:rFonts w:ascii="Times New Roman" w:hAnsi="Times New Roman"/>
          <w:sz w:val="28"/>
          <w:szCs w:val="28"/>
          <w:lang w:val="en-GB"/>
        </w:rPr>
        <w:t>1</w:t>
      </w:r>
      <w:r w:rsidRPr="00293636">
        <w:rPr>
          <w:rFonts w:ascii="Times New Roman" w:hAnsi="Times New Roman"/>
          <w:sz w:val="28"/>
          <w:szCs w:val="28"/>
          <w:lang w:val="en-GB"/>
        </w:rPr>
        <w:t>9</w:t>
      </w:r>
      <w:r w:rsidRPr="000457A8">
        <w:rPr>
          <w:rFonts w:ascii="Times New Roman" w:hAnsi="Times New Roman"/>
          <w:sz w:val="28"/>
          <w:szCs w:val="28"/>
          <w:lang w:val="en-GB"/>
        </w:rPr>
        <w:t xml:space="preserve"> p.</w:t>
      </w:r>
      <w:r>
        <w:rPr>
          <w:rFonts w:ascii="Times New Roman" w:hAnsi="Times New Roman"/>
          <w:sz w:val="28"/>
          <w:szCs w:val="28"/>
          <w:lang w:val="en-GB"/>
        </w:rPr>
        <w:t xml:space="preserve"> [</w:t>
      </w:r>
      <w:r>
        <w:rPr>
          <w:rFonts w:ascii="Times New Roman" w:hAnsi="Times New Roman"/>
          <w:sz w:val="28"/>
          <w:szCs w:val="28"/>
        </w:rPr>
        <w:t>Электронный</w:t>
      </w:r>
      <w:r w:rsidRPr="00577B7E">
        <w:rPr>
          <w:rFonts w:ascii="Times New Roman" w:hAnsi="Times New Roman"/>
          <w:sz w:val="28"/>
          <w:szCs w:val="28"/>
          <w:lang w:val="en-GB"/>
        </w:rPr>
        <w:t xml:space="preserve"> </w:t>
      </w:r>
      <w:r>
        <w:rPr>
          <w:rFonts w:ascii="Times New Roman" w:hAnsi="Times New Roman"/>
          <w:sz w:val="28"/>
          <w:szCs w:val="28"/>
        </w:rPr>
        <w:t>ресурс</w:t>
      </w:r>
      <w:r>
        <w:rPr>
          <w:rFonts w:ascii="Times New Roman" w:hAnsi="Times New Roman"/>
          <w:sz w:val="28"/>
          <w:szCs w:val="28"/>
          <w:lang w:val="en-GB"/>
        </w:rPr>
        <w:t>]</w:t>
      </w:r>
      <w:r w:rsidRPr="00577B7E">
        <w:rPr>
          <w:rFonts w:ascii="Times New Roman" w:hAnsi="Times New Roman"/>
          <w:sz w:val="28"/>
          <w:szCs w:val="28"/>
          <w:lang w:val="en-GB"/>
        </w:rPr>
        <w:t xml:space="preserve"> / </w:t>
      </w:r>
      <w:r>
        <w:rPr>
          <w:rFonts w:ascii="Times New Roman" w:hAnsi="Times New Roman"/>
          <w:sz w:val="28"/>
          <w:szCs w:val="28"/>
        </w:rPr>
        <w:t>Режим</w:t>
      </w:r>
      <w:r w:rsidRPr="00577B7E">
        <w:rPr>
          <w:rFonts w:ascii="Times New Roman" w:hAnsi="Times New Roman"/>
          <w:sz w:val="28"/>
          <w:szCs w:val="28"/>
          <w:lang w:val="en-GB"/>
        </w:rPr>
        <w:t xml:space="preserve"> </w:t>
      </w:r>
      <w:r>
        <w:rPr>
          <w:rFonts w:ascii="Times New Roman" w:hAnsi="Times New Roman"/>
          <w:sz w:val="28"/>
          <w:szCs w:val="28"/>
        </w:rPr>
        <w:t>доступа</w:t>
      </w:r>
      <w:r w:rsidRPr="00577B7E">
        <w:rPr>
          <w:rFonts w:ascii="Times New Roman" w:hAnsi="Times New Roman"/>
          <w:sz w:val="28"/>
          <w:szCs w:val="28"/>
          <w:lang w:val="en-GB"/>
        </w:rPr>
        <w:t>:</w:t>
      </w:r>
    </w:p>
    <w:p w:rsidR="00705646" w:rsidRPr="00705646" w:rsidRDefault="00705646" w:rsidP="00705646">
      <w:pPr>
        <w:autoSpaceDE w:val="0"/>
        <w:autoSpaceDN w:val="0"/>
        <w:adjustRightInd w:val="0"/>
        <w:spacing w:after="0" w:line="360" w:lineRule="auto"/>
        <w:jc w:val="both"/>
        <w:rPr>
          <w:rFonts w:ascii="Times New Roman" w:hAnsi="Times New Roman"/>
          <w:sz w:val="28"/>
          <w:szCs w:val="28"/>
          <w:lang w:val="en-GB"/>
        </w:rPr>
      </w:pPr>
      <w:r w:rsidRPr="00536072">
        <w:rPr>
          <w:rFonts w:ascii="Times New Roman" w:hAnsi="Times New Roman"/>
          <w:sz w:val="28"/>
          <w:szCs w:val="28"/>
          <w:lang w:val="en-GB"/>
        </w:rPr>
        <w:t>http</w:t>
      </w:r>
      <w:r w:rsidRPr="00705646">
        <w:rPr>
          <w:rFonts w:ascii="Times New Roman" w:hAnsi="Times New Roman"/>
          <w:sz w:val="28"/>
          <w:szCs w:val="28"/>
          <w:lang w:val="en-GB"/>
        </w:rPr>
        <w:t>://</w:t>
      </w:r>
      <w:r w:rsidRPr="00536072">
        <w:rPr>
          <w:rFonts w:ascii="Times New Roman" w:hAnsi="Times New Roman"/>
          <w:sz w:val="28"/>
          <w:szCs w:val="28"/>
          <w:lang w:val="en-GB"/>
        </w:rPr>
        <w:t>www</w:t>
      </w:r>
      <w:r w:rsidRPr="00705646">
        <w:rPr>
          <w:rFonts w:ascii="Times New Roman" w:hAnsi="Times New Roman"/>
          <w:sz w:val="28"/>
          <w:szCs w:val="28"/>
          <w:lang w:val="en-GB"/>
        </w:rPr>
        <w:t>.</w:t>
      </w:r>
      <w:r w:rsidRPr="00536072">
        <w:rPr>
          <w:rFonts w:ascii="Times New Roman" w:hAnsi="Times New Roman"/>
          <w:sz w:val="28"/>
          <w:szCs w:val="28"/>
          <w:lang w:val="en-GB"/>
        </w:rPr>
        <w:t>casact</w:t>
      </w:r>
      <w:r w:rsidRPr="00705646">
        <w:rPr>
          <w:rFonts w:ascii="Times New Roman" w:hAnsi="Times New Roman"/>
          <w:sz w:val="28"/>
          <w:szCs w:val="28"/>
          <w:lang w:val="en-GB"/>
        </w:rPr>
        <w:t>.</w:t>
      </w:r>
      <w:r w:rsidRPr="00536072">
        <w:rPr>
          <w:rFonts w:ascii="Times New Roman" w:hAnsi="Times New Roman"/>
          <w:sz w:val="28"/>
          <w:szCs w:val="28"/>
          <w:lang w:val="en-GB"/>
        </w:rPr>
        <w:t>org</w:t>
      </w:r>
      <w:r w:rsidRPr="00705646">
        <w:rPr>
          <w:rFonts w:ascii="Times New Roman" w:hAnsi="Times New Roman"/>
          <w:sz w:val="28"/>
          <w:szCs w:val="28"/>
          <w:lang w:val="en-GB"/>
        </w:rPr>
        <w:t>/</w:t>
      </w:r>
      <w:r w:rsidRPr="00536072">
        <w:rPr>
          <w:rFonts w:ascii="Times New Roman" w:hAnsi="Times New Roman"/>
          <w:sz w:val="28"/>
          <w:szCs w:val="28"/>
          <w:lang w:val="en-GB"/>
        </w:rPr>
        <w:t>library</w:t>
      </w:r>
      <w:r w:rsidRPr="00705646">
        <w:rPr>
          <w:rFonts w:ascii="Times New Roman" w:hAnsi="Times New Roman"/>
          <w:sz w:val="28"/>
          <w:szCs w:val="28"/>
          <w:lang w:val="en-GB"/>
        </w:rPr>
        <w:t>/</w:t>
      </w:r>
      <w:r w:rsidRPr="00536072">
        <w:rPr>
          <w:rFonts w:ascii="Times New Roman" w:hAnsi="Times New Roman"/>
          <w:sz w:val="28"/>
          <w:szCs w:val="28"/>
          <w:lang w:val="en-GB"/>
        </w:rPr>
        <w:t>studynotes</w:t>
      </w:r>
      <w:r w:rsidRPr="00705646">
        <w:rPr>
          <w:rFonts w:ascii="Times New Roman" w:hAnsi="Times New Roman"/>
          <w:sz w:val="28"/>
          <w:szCs w:val="28"/>
          <w:lang w:val="en-GB"/>
        </w:rPr>
        <w:t>/</w:t>
      </w:r>
      <w:r w:rsidRPr="00536072">
        <w:rPr>
          <w:rFonts w:ascii="Times New Roman" w:hAnsi="Times New Roman"/>
          <w:sz w:val="28"/>
          <w:szCs w:val="28"/>
          <w:lang w:val="en-GB"/>
        </w:rPr>
        <w:t>brosius</w:t>
      </w:r>
      <w:r w:rsidRPr="00705646">
        <w:rPr>
          <w:rFonts w:ascii="Times New Roman" w:hAnsi="Times New Roman"/>
          <w:sz w:val="28"/>
          <w:szCs w:val="28"/>
          <w:lang w:val="en-GB"/>
        </w:rPr>
        <w:t>6.</w:t>
      </w:r>
      <w:r w:rsidRPr="00536072">
        <w:rPr>
          <w:rFonts w:ascii="Times New Roman" w:hAnsi="Times New Roman"/>
          <w:sz w:val="28"/>
          <w:szCs w:val="28"/>
          <w:lang w:val="en-GB"/>
        </w:rPr>
        <w:t>pdf</w:t>
      </w:r>
      <w:r w:rsidRPr="00705646">
        <w:rPr>
          <w:rFonts w:ascii="Times New Roman" w:hAnsi="Times New Roman"/>
          <w:sz w:val="28"/>
          <w:szCs w:val="28"/>
          <w:lang w:val="en-GB"/>
        </w:rPr>
        <w:t>.</w:t>
      </w:r>
    </w:p>
    <w:p w:rsidR="00705646" w:rsidRDefault="00705646" w:rsidP="00705646">
      <w:pPr>
        <w:autoSpaceDE w:val="0"/>
        <w:autoSpaceDN w:val="0"/>
        <w:adjustRightInd w:val="0"/>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35</w:t>
      </w:r>
      <w:r>
        <w:rPr>
          <w:rFonts w:ascii="Times New Roman" w:hAnsi="Times New Roman"/>
          <w:sz w:val="28"/>
          <w:szCs w:val="28"/>
          <w:lang w:val="en-GB"/>
        </w:rPr>
        <w:t xml:space="preserve">) Faculty and </w:t>
      </w:r>
      <w:smartTag w:uri="urn:schemas-microsoft-com:office:smarttags" w:element="place">
        <w:smartTag w:uri="urn:schemas-microsoft-com:office:smarttags" w:element="PlaceType">
          <w:r>
            <w:rPr>
              <w:rFonts w:ascii="Times New Roman" w:hAnsi="Times New Roman"/>
              <w:sz w:val="28"/>
              <w:szCs w:val="28"/>
              <w:lang w:val="en-GB"/>
            </w:rPr>
            <w:t>Institute</w:t>
          </w:r>
        </w:smartTag>
        <w:r>
          <w:rPr>
            <w:rFonts w:ascii="Times New Roman" w:hAnsi="Times New Roman"/>
            <w:sz w:val="28"/>
            <w:szCs w:val="28"/>
            <w:lang w:val="en-GB"/>
          </w:rPr>
          <w:t xml:space="preserve"> of </w:t>
        </w:r>
        <w:smartTag w:uri="urn:schemas-microsoft-com:office:smarttags" w:element="PlaceName">
          <w:r>
            <w:rPr>
              <w:rFonts w:ascii="Times New Roman" w:hAnsi="Times New Roman"/>
              <w:sz w:val="28"/>
              <w:szCs w:val="28"/>
              <w:lang w:val="en-GB"/>
            </w:rPr>
            <w:t>Actuaries</w:t>
          </w:r>
        </w:smartTag>
      </w:smartTag>
      <w:r>
        <w:rPr>
          <w:rFonts w:ascii="Times New Roman" w:hAnsi="Times New Roman"/>
          <w:sz w:val="28"/>
          <w:szCs w:val="28"/>
          <w:lang w:val="en-GB"/>
        </w:rPr>
        <w:t xml:space="preserve">. </w:t>
      </w:r>
      <w:r w:rsidRPr="00474C02">
        <w:rPr>
          <w:rFonts w:ascii="Times New Roman" w:hAnsi="Times New Roman"/>
          <w:sz w:val="28"/>
          <w:szCs w:val="28"/>
          <w:lang w:val="en-GB"/>
        </w:rPr>
        <w:t>Claims reserving manual</w:t>
      </w:r>
      <w:r>
        <w:rPr>
          <w:rFonts w:ascii="Times New Roman" w:hAnsi="Times New Roman"/>
          <w:sz w:val="28"/>
          <w:szCs w:val="28"/>
          <w:lang w:val="en-GB"/>
        </w:rPr>
        <w:t>:</w:t>
      </w:r>
      <w:r w:rsidRPr="00474C02">
        <w:rPr>
          <w:rFonts w:ascii="Times New Roman" w:hAnsi="Times New Roman"/>
          <w:sz w:val="28"/>
          <w:szCs w:val="28"/>
          <w:lang w:val="en-GB"/>
        </w:rPr>
        <w:t xml:space="preserve"> v</w:t>
      </w:r>
      <w:r>
        <w:rPr>
          <w:rFonts w:ascii="Times New Roman" w:hAnsi="Times New Roman"/>
          <w:sz w:val="28"/>
          <w:szCs w:val="28"/>
          <w:lang w:val="en-GB"/>
        </w:rPr>
        <w:t>olume 1, 1997. – 342 p.</w:t>
      </w:r>
      <w:r w:rsidRPr="00577B7E">
        <w:rPr>
          <w:rFonts w:ascii="Times New Roman" w:hAnsi="Times New Roman"/>
          <w:sz w:val="28"/>
          <w:szCs w:val="28"/>
          <w:lang w:val="en-GB"/>
        </w:rPr>
        <w:t xml:space="preserve"> </w:t>
      </w:r>
      <w:r>
        <w:rPr>
          <w:rFonts w:ascii="Times New Roman" w:hAnsi="Times New Roman"/>
          <w:sz w:val="28"/>
          <w:szCs w:val="28"/>
          <w:lang w:val="en-GB"/>
        </w:rPr>
        <w:t>[</w:t>
      </w:r>
      <w:r>
        <w:rPr>
          <w:rFonts w:ascii="Times New Roman" w:hAnsi="Times New Roman"/>
          <w:sz w:val="28"/>
          <w:szCs w:val="28"/>
        </w:rPr>
        <w:t>Электронный</w:t>
      </w:r>
      <w:r w:rsidRPr="00577B7E">
        <w:rPr>
          <w:rFonts w:ascii="Times New Roman" w:hAnsi="Times New Roman"/>
          <w:sz w:val="28"/>
          <w:szCs w:val="28"/>
          <w:lang w:val="en-GB"/>
        </w:rPr>
        <w:t xml:space="preserve"> </w:t>
      </w:r>
      <w:r>
        <w:rPr>
          <w:rFonts w:ascii="Times New Roman" w:hAnsi="Times New Roman"/>
          <w:sz w:val="28"/>
          <w:szCs w:val="28"/>
        </w:rPr>
        <w:t>ресурс</w:t>
      </w:r>
      <w:r>
        <w:rPr>
          <w:rFonts w:ascii="Times New Roman" w:hAnsi="Times New Roman"/>
          <w:sz w:val="28"/>
          <w:szCs w:val="28"/>
          <w:lang w:val="en-GB"/>
        </w:rPr>
        <w:t>]</w:t>
      </w:r>
      <w:r w:rsidRPr="00577B7E">
        <w:rPr>
          <w:rFonts w:ascii="Times New Roman" w:hAnsi="Times New Roman"/>
          <w:sz w:val="28"/>
          <w:szCs w:val="28"/>
          <w:lang w:val="en-GB"/>
        </w:rPr>
        <w:t xml:space="preserve"> / </w:t>
      </w:r>
      <w:r>
        <w:rPr>
          <w:rFonts w:ascii="Times New Roman" w:hAnsi="Times New Roman"/>
          <w:sz w:val="28"/>
          <w:szCs w:val="28"/>
        </w:rPr>
        <w:t>Режим</w:t>
      </w:r>
      <w:r w:rsidRPr="00577B7E">
        <w:rPr>
          <w:rFonts w:ascii="Times New Roman" w:hAnsi="Times New Roman"/>
          <w:sz w:val="28"/>
          <w:szCs w:val="28"/>
          <w:lang w:val="en-GB"/>
        </w:rPr>
        <w:t xml:space="preserve"> </w:t>
      </w:r>
      <w:r>
        <w:rPr>
          <w:rFonts w:ascii="Times New Roman" w:hAnsi="Times New Roman"/>
          <w:sz w:val="28"/>
          <w:szCs w:val="28"/>
        </w:rPr>
        <w:t>доступа</w:t>
      </w:r>
      <w:r w:rsidRPr="00577B7E">
        <w:rPr>
          <w:rFonts w:ascii="Times New Roman" w:hAnsi="Times New Roman"/>
          <w:sz w:val="28"/>
          <w:szCs w:val="28"/>
          <w:lang w:val="en-GB"/>
        </w:rPr>
        <w:t>:</w:t>
      </w:r>
    </w:p>
    <w:p w:rsidR="00705646" w:rsidRDefault="00705646" w:rsidP="00705646">
      <w:pPr>
        <w:autoSpaceDE w:val="0"/>
        <w:autoSpaceDN w:val="0"/>
        <w:adjustRightInd w:val="0"/>
        <w:spacing w:after="0" w:line="360" w:lineRule="auto"/>
        <w:jc w:val="both"/>
        <w:rPr>
          <w:rFonts w:ascii="Times New Roman" w:hAnsi="Times New Roman"/>
          <w:sz w:val="28"/>
          <w:szCs w:val="28"/>
          <w:lang w:val="en-GB"/>
        </w:rPr>
      </w:pPr>
      <w:r>
        <w:rPr>
          <w:rFonts w:ascii="Times New Roman" w:hAnsi="Times New Roman"/>
          <w:sz w:val="28"/>
          <w:szCs w:val="28"/>
          <w:lang w:val="en-GB"/>
        </w:rPr>
        <w:t>h</w:t>
      </w:r>
      <w:r w:rsidRPr="00474C02">
        <w:rPr>
          <w:rFonts w:ascii="Times New Roman" w:hAnsi="Times New Roman"/>
          <w:sz w:val="28"/>
          <w:szCs w:val="28"/>
          <w:lang w:val="en-GB"/>
        </w:rPr>
        <w:t>ttp://www.actuaries.org.uk/research-and-resources/pages/claims-reserving-manual</w:t>
      </w:r>
      <w:r>
        <w:rPr>
          <w:rFonts w:ascii="Times New Roman" w:hAnsi="Times New Roman"/>
          <w:sz w:val="28"/>
          <w:szCs w:val="28"/>
          <w:lang w:val="en-GB"/>
        </w:rPr>
        <w:t>.</w:t>
      </w:r>
    </w:p>
    <w:p w:rsidR="00705646" w:rsidRPr="00577B7E" w:rsidRDefault="00705646" w:rsidP="00705646">
      <w:pPr>
        <w:autoSpaceDE w:val="0"/>
        <w:autoSpaceDN w:val="0"/>
        <w:adjustRightInd w:val="0"/>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36</w:t>
      </w:r>
      <w:r>
        <w:rPr>
          <w:rFonts w:ascii="Times New Roman" w:hAnsi="Times New Roman"/>
          <w:sz w:val="28"/>
          <w:szCs w:val="28"/>
          <w:lang w:val="en-GB"/>
        </w:rPr>
        <w:t xml:space="preserve">) </w:t>
      </w:r>
      <w:proofErr w:type="spellStart"/>
      <w:r>
        <w:rPr>
          <w:rFonts w:ascii="Times New Roman" w:hAnsi="Times New Roman"/>
          <w:sz w:val="28"/>
          <w:szCs w:val="28"/>
          <w:lang w:val="en-GB"/>
        </w:rPr>
        <w:t>Friedland</w:t>
      </w:r>
      <w:proofErr w:type="spellEnd"/>
      <w:r>
        <w:rPr>
          <w:rFonts w:ascii="Times New Roman" w:hAnsi="Times New Roman"/>
          <w:sz w:val="28"/>
          <w:szCs w:val="28"/>
          <w:lang w:val="en-GB"/>
        </w:rPr>
        <w:t xml:space="preserve"> J. Estimating unpaid claims using basic techniques. – </w:t>
      </w:r>
      <w:r w:rsidRPr="00DE0072">
        <w:rPr>
          <w:rFonts w:ascii="Times New Roman" w:hAnsi="Times New Roman"/>
          <w:i/>
          <w:sz w:val="28"/>
          <w:szCs w:val="28"/>
          <w:lang w:val="en-GB"/>
        </w:rPr>
        <w:t>Casualty Act</w:t>
      </w:r>
      <w:r w:rsidRPr="00DE0072">
        <w:rPr>
          <w:rFonts w:ascii="Times New Roman" w:hAnsi="Times New Roman"/>
          <w:i/>
          <w:sz w:val="28"/>
          <w:szCs w:val="28"/>
          <w:lang w:val="en-GB"/>
        </w:rPr>
        <w:t>u</w:t>
      </w:r>
      <w:r w:rsidRPr="00DE0072">
        <w:rPr>
          <w:rFonts w:ascii="Times New Roman" w:hAnsi="Times New Roman"/>
          <w:i/>
          <w:sz w:val="28"/>
          <w:szCs w:val="28"/>
          <w:lang w:val="en-GB"/>
        </w:rPr>
        <w:t>arial Society</w:t>
      </w:r>
      <w:r>
        <w:rPr>
          <w:rFonts w:ascii="Times New Roman" w:hAnsi="Times New Roman"/>
          <w:sz w:val="28"/>
          <w:szCs w:val="28"/>
          <w:lang w:val="en-GB"/>
        </w:rPr>
        <w:t>, 2009. – 412 p.</w:t>
      </w:r>
      <w:r w:rsidRPr="00577B7E">
        <w:rPr>
          <w:rFonts w:ascii="Times New Roman" w:hAnsi="Times New Roman"/>
          <w:sz w:val="28"/>
          <w:szCs w:val="28"/>
          <w:lang w:val="en-GB"/>
        </w:rPr>
        <w:t xml:space="preserve"> </w:t>
      </w:r>
      <w:r>
        <w:rPr>
          <w:rFonts w:ascii="Times New Roman" w:hAnsi="Times New Roman"/>
          <w:sz w:val="28"/>
          <w:szCs w:val="28"/>
          <w:lang w:val="en-GB"/>
        </w:rPr>
        <w:t>[</w:t>
      </w:r>
      <w:r>
        <w:rPr>
          <w:rFonts w:ascii="Times New Roman" w:hAnsi="Times New Roman"/>
          <w:sz w:val="28"/>
          <w:szCs w:val="28"/>
        </w:rPr>
        <w:t>Электронный</w:t>
      </w:r>
      <w:r w:rsidRPr="00577B7E">
        <w:rPr>
          <w:rFonts w:ascii="Times New Roman" w:hAnsi="Times New Roman"/>
          <w:sz w:val="28"/>
          <w:szCs w:val="28"/>
          <w:lang w:val="en-GB"/>
        </w:rPr>
        <w:t xml:space="preserve"> </w:t>
      </w:r>
      <w:r>
        <w:rPr>
          <w:rFonts w:ascii="Times New Roman" w:hAnsi="Times New Roman"/>
          <w:sz w:val="28"/>
          <w:szCs w:val="28"/>
        </w:rPr>
        <w:t>ресурс</w:t>
      </w:r>
      <w:r>
        <w:rPr>
          <w:rFonts w:ascii="Times New Roman" w:hAnsi="Times New Roman"/>
          <w:sz w:val="28"/>
          <w:szCs w:val="28"/>
          <w:lang w:val="en-GB"/>
        </w:rPr>
        <w:t>]</w:t>
      </w:r>
      <w:r w:rsidRPr="00577B7E">
        <w:rPr>
          <w:rFonts w:ascii="Times New Roman" w:hAnsi="Times New Roman"/>
          <w:sz w:val="28"/>
          <w:szCs w:val="28"/>
          <w:lang w:val="en-GB"/>
        </w:rPr>
        <w:t xml:space="preserve"> / </w:t>
      </w:r>
      <w:r>
        <w:rPr>
          <w:rFonts w:ascii="Times New Roman" w:hAnsi="Times New Roman"/>
          <w:sz w:val="28"/>
          <w:szCs w:val="28"/>
        </w:rPr>
        <w:t>Режим</w:t>
      </w:r>
      <w:r w:rsidRPr="00577B7E">
        <w:rPr>
          <w:rFonts w:ascii="Times New Roman" w:hAnsi="Times New Roman"/>
          <w:sz w:val="28"/>
          <w:szCs w:val="28"/>
          <w:lang w:val="en-GB"/>
        </w:rPr>
        <w:t xml:space="preserve"> </w:t>
      </w:r>
      <w:r>
        <w:rPr>
          <w:rFonts w:ascii="Times New Roman" w:hAnsi="Times New Roman"/>
          <w:sz w:val="28"/>
          <w:szCs w:val="28"/>
        </w:rPr>
        <w:t>доступа</w:t>
      </w:r>
      <w:r w:rsidRPr="00577B7E">
        <w:rPr>
          <w:rFonts w:ascii="Times New Roman" w:hAnsi="Times New Roman"/>
          <w:sz w:val="28"/>
          <w:szCs w:val="28"/>
          <w:lang w:val="en-GB"/>
        </w:rPr>
        <w:t>:</w:t>
      </w:r>
    </w:p>
    <w:p w:rsidR="00705646" w:rsidRPr="00577B7E" w:rsidRDefault="00705646" w:rsidP="00705646">
      <w:pPr>
        <w:autoSpaceDE w:val="0"/>
        <w:autoSpaceDN w:val="0"/>
        <w:adjustRightInd w:val="0"/>
        <w:spacing w:after="0" w:line="360" w:lineRule="auto"/>
        <w:jc w:val="both"/>
        <w:rPr>
          <w:rFonts w:ascii="Times New Roman" w:hAnsi="Times New Roman"/>
          <w:sz w:val="28"/>
          <w:szCs w:val="28"/>
          <w:lang w:val="en-GB"/>
        </w:rPr>
      </w:pPr>
      <w:r w:rsidRPr="00DE0072">
        <w:rPr>
          <w:rFonts w:ascii="Times New Roman" w:hAnsi="Times New Roman"/>
          <w:sz w:val="28"/>
          <w:szCs w:val="28"/>
          <w:lang w:val="en-GB"/>
        </w:rPr>
        <w:lastRenderedPageBreak/>
        <w:t>http://www.casact.org/press/index.cfm?fa=viewArticle&amp;articleID=816</w:t>
      </w:r>
      <w:r w:rsidRPr="00577B7E">
        <w:rPr>
          <w:rFonts w:ascii="Times New Roman" w:hAnsi="Times New Roman"/>
          <w:sz w:val="28"/>
          <w:szCs w:val="28"/>
          <w:lang w:val="en-GB"/>
        </w:rPr>
        <w:t>.</w:t>
      </w:r>
    </w:p>
    <w:p w:rsidR="00705646" w:rsidRPr="00856D31" w:rsidRDefault="00705646" w:rsidP="00705646">
      <w:pPr>
        <w:autoSpaceDE w:val="0"/>
        <w:autoSpaceDN w:val="0"/>
        <w:adjustRightInd w:val="0"/>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37</w:t>
      </w:r>
      <w:r>
        <w:rPr>
          <w:rFonts w:ascii="Times New Roman" w:hAnsi="Times New Roman"/>
          <w:sz w:val="28"/>
          <w:szCs w:val="28"/>
          <w:lang w:val="en-GB"/>
        </w:rPr>
        <w:t xml:space="preserve">) </w:t>
      </w:r>
      <w:proofErr w:type="spellStart"/>
      <w:r>
        <w:rPr>
          <w:rFonts w:ascii="Times New Roman" w:hAnsi="Times New Roman"/>
          <w:sz w:val="28"/>
          <w:szCs w:val="28"/>
          <w:lang w:val="en-GB"/>
        </w:rPr>
        <w:t>Gaver</w:t>
      </w:r>
      <w:proofErr w:type="spellEnd"/>
      <w:r>
        <w:rPr>
          <w:rFonts w:ascii="Times New Roman" w:hAnsi="Times New Roman"/>
          <w:sz w:val="28"/>
          <w:szCs w:val="28"/>
          <w:lang w:val="en-GB"/>
        </w:rPr>
        <w:t xml:space="preserve"> G., Patterson J. </w:t>
      </w:r>
      <w:r w:rsidRPr="00856D31">
        <w:rPr>
          <w:rFonts w:ascii="Times New Roman" w:hAnsi="Times New Roman"/>
          <w:sz w:val="28"/>
          <w:szCs w:val="28"/>
          <w:lang w:val="en-GB"/>
        </w:rPr>
        <w:t xml:space="preserve">Do insurers manipulate loss reserves to </w:t>
      </w:r>
      <w:proofErr w:type="gramStart"/>
      <w:r w:rsidRPr="00856D31">
        <w:rPr>
          <w:rFonts w:ascii="Times New Roman" w:hAnsi="Times New Roman"/>
          <w:sz w:val="28"/>
          <w:szCs w:val="28"/>
          <w:lang w:val="en-GB"/>
        </w:rPr>
        <w:t>mask</w:t>
      </w:r>
      <w:proofErr w:type="gramEnd"/>
    </w:p>
    <w:p w:rsidR="00705646" w:rsidRDefault="00705646" w:rsidP="00705646">
      <w:pPr>
        <w:autoSpaceDE w:val="0"/>
        <w:autoSpaceDN w:val="0"/>
        <w:adjustRightInd w:val="0"/>
        <w:spacing w:after="0" w:line="360" w:lineRule="auto"/>
        <w:jc w:val="both"/>
        <w:rPr>
          <w:rFonts w:ascii="Times New Roman" w:hAnsi="Times New Roman"/>
          <w:sz w:val="28"/>
          <w:szCs w:val="28"/>
          <w:lang w:val="en-GB"/>
        </w:rPr>
      </w:pPr>
      <w:proofErr w:type="gramStart"/>
      <w:r w:rsidRPr="00856D31">
        <w:rPr>
          <w:rFonts w:ascii="Times New Roman" w:hAnsi="Times New Roman"/>
          <w:sz w:val="28"/>
          <w:szCs w:val="28"/>
          <w:lang w:val="en-GB"/>
        </w:rPr>
        <w:t>solvency</w:t>
      </w:r>
      <w:proofErr w:type="gramEnd"/>
      <w:r w:rsidRPr="00856D31">
        <w:rPr>
          <w:rFonts w:ascii="Times New Roman" w:hAnsi="Times New Roman"/>
          <w:sz w:val="28"/>
          <w:szCs w:val="28"/>
          <w:lang w:val="en-GB"/>
        </w:rPr>
        <w:t xml:space="preserve"> problems?</w:t>
      </w:r>
      <w:r>
        <w:rPr>
          <w:rFonts w:ascii="Times New Roman" w:hAnsi="Times New Roman"/>
          <w:sz w:val="28"/>
          <w:szCs w:val="28"/>
          <w:lang w:val="en-GB"/>
        </w:rPr>
        <w:t xml:space="preserve"> – </w:t>
      </w:r>
      <w:r>
        <w:rPr>
          <w:rFonts w:ascii="Times New Roman" w:hAnsi="Times New Roman"/>
          <w:i/>
          <w:sz w:val="28"/>
          <w:szCs w:val="28"/>
          <w:lang w:val="en-GB"/>
        </w:rPr>
        <w:t>Journal of Accounting and Economics</w:t>
      </w:r>
      <w:r w:rsidRPr="002B0D0B">
        <w:rPr>
          <w:rFonts w:ascii="Times New Roman" w:hAnsi="Times New Roman"/>
          <w:sz w:val="28"/>
          <w:szCs w:val="28"/>
          <w:lang w:val="en-GB"/>
        </w:rPr>
        <w:t>,</w:t>
      </w:r>
      <w:r>
        <w:rPr>
          <w:rFonts w:ascii="Times New Roman" w:hAnsi="Times New Roman"/>
          <w:sz w:val="28"/>
          <w:szCs w:val="28"/>
          <w:lang w:val="en-GB"/>
        </w:rPr>
        <w:t xml:space="preserve"> 2004. – pp. 393-416.</w:t>
      </w:r>
    </w:p>
    <w:p w:rsidR="00705646" w:rsidRPr="00705646" w:rsidRDefault="00705646" w:rsidP="00705646">
      <w:pPr>
        <w:autoSpaceDE w:val="0"/>
        <w:autoSpaceDN w:val="0"/>
        <w:adjustRightInd w:val="0"/>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38</w:t>
      </w:r>
      <w:r>
        <w:rPr>
          <w:rFonts w:ascii="Times New Roman" w:hAnsi="Times New Roman"/>
          <w:sz w:val="28"/>
          <w:szCs w:val="28"/>
          <w:lang w:val="en-GB"/>
        </w:rPr>
        <w:t xml:space="preserve">) </w:t>
      </w:r>
      <w:proofErr w:type="spellStart"/>
      <w:r>
        <w:rPr>
          <w:rFonts w:ascii="Times New Roman" w:hAnsi="Times New Roman"/>
          <w:sz w:val="28"/>
          <w:szCs w:val="28"/>
          <w:lang w:val="en-GB"/>
        </w:rPr>
        <w:t>Goovaerts</w:t>
      </w:r>
      <w:proofErr w:type="spellEnd"/>
      <w:r>
        <w:rPr>
          <w:rFonts w:ascii="Times New Roman" w:hAnsi="Times New Roman"/>
          <w:sz w:val="28"/>
          <w:szCs w:val="28"/>
          <w:lang w:val="en-GB"/>
        </w:rPr>
        <w:t xml:space="preserve"> M., </w:t>
      </w:r>
      <w:proofErr w:type="spellStart"/>
      <w:r>
        <w:rPr>
          <w:rFonts w:ascii="Times New Roman" w:hAnsi="Times New Roman"/>
          <w:sz w:val="28"/>
          <w:szCs w:val="28"/>
          <w:lang w:val="en-GB"/>
        </w:rPr>
        <w:t>Redant</w:t>
      </w:r>
      <w:proofErr w:type="spellEnd"/>
      <w:r>
        <w:rPr>
          <w:rFonts w:ascii="Times New Roman" w:hAnsi="Times New Roman"/>
          <w:sz w:val="28"/>
          <w:szCs w:val="28"/>
          <w:lang w:val="en-GB"/>
        </w:rPr>
        <w:t xml:space="preserve"> H. </w:t>
      </w:r>
      <w:proofErr w:type="gramStart"/>
      <w:r>
        <w:rPr>
          <w:rFonts w:ascii="Times New Roman" w:hAnsi="Times New Roman"/>
          <w:sz w:val="28"/>
          <w:szCs w:val="28"/>
          <w:lang w:val="en-GB"/>
        </w:rPr>
        <w:t>On the distribution of IBNR reserves.</w:t>
      </w:r>
      <w:proofErr w:type="gramEnd"/>
      <w:r>
        <w:rPr>
          <w:rFonts w:ascii="Times New Roman" w:hAnsi="Times New Roman"/>
          <w:sz w:val="28"/>
          <w:szCs w:val="28"/>
          <w:lang w:val="en-GB"/>
        </w:rPr>
        <w:t xml:space="preserve"> –</w:t>
      </w:r>
      <w:r w:rsidRPr="00856D31">
        <w:rPr>
          <w:rFonts w:ascii="Times New Roman" w:hAnsi="Times New Roman"/>
          <w:sz w:val="28"/>
          <w:szCs w:val="28"/>
          <w:lang w:val="en-GB"/>
        </w:rPr>
        <w:t xml:space="preserve"> </w:t>
      </w:r>
      <w:r w:rsidRPr="00A953DC">
        <w:rPr>
          <w:rFonts w:ascii="Times New Roman" w:hAnsi="Times New Roman"/>
          <w:i/>
          <w:sz w:val="28"/>
          <w:szCs w:val="28"/>
          <w:lang w:val="en-GB"/>
        </w:rPr>
        <w:t>Insurance: Mathematics and Economics</w:t>
      </w:r>
      <w:r w:rsidRPr="002B0D0B">
        <w:rPr>
          <w:rFonts w:ascii="Times New Roman" w:hAnsi="Times New Roman"/>
          <w:sz w:val="28"/>
          <w:szCs w:val="28"/>
          <w:lang w:val="en-GB"/>
        </w:rPr>
        <w:t>,</w:t>
      </w:r>
      <w:r>
        <w:rPr>
          <w:rFonts w:ascii="Times New Roman" w:hAnsi="Times New Roman"/>
          <w:sz w:val="28"/>
          <w:szCs w:val="28"/>
          <w:lang w:val="en-GB"/>
        </w:rPr>
        <w:t xml:space="preserve"> 1999. – pp. 1-9.</w:t>
      </w:r>
    </w:p>
    <w:p w:rsidR="00705646" w:rsidRPr="000457A8" w:rsidRDefault="00705646" w:rsidP="00705646">
      <w:pPr>
        <w:spacing w:after="0" w:line="360" w:lineRule="auto"/>
        <w:jc w:val="both"/>
        <w:rPr>
          <w:rFonts w:ascii="Times New Roman" w:hAnsi="Times New Roman"/>
          <w:sz w:val="28"/>
          <w:szCs w:val="28"/>
          <w:lang w:val="en-GB"/>
        </w:rPr>
      </w:pPr>
      <w:r w:rsidRPr="009C5075">
        <w:rPr>
          <w:rFonts w:ascii="Times New Roman" w:hAnsi="Times New Roman"/>
          <w:sz w:val="28"/>
          <w:szCs w:val="28"/>
          <w:lang w:val="en-GB"/>
        </w:rPr>
        <w:t>39</w:t>
      </w:r>
      <w:r w:rsidRPr="00293636">
        <w:rPr>
          <w:rFonts w:ascii="Times New Roman" w:hAnsi="Times New Roman"/>
          <w:sz w:val="28"/>
          <w:szCs w:val="28"/>
          <w:lang w:val="en-GB"/>
        </w:rPr>
        <w:t xml:space="preserve">) </w:t>
      </w:r>
      <w:proofErr w:type="spellStart"/>
      <w:r w:rsidRPr="00293636">
        <w:rPr>
          <w:rFonts w:ascii="Times New Roman" w:hAnsi="Times New Roman"/>
          <w:sz w:val="28"/>
          <w:szCs w:val="28"/>
          <w:lang w:val="en-GB"/>
        </w:rPr>
        <w:t>Promislow</w:t>
      </w:r>
      <w:proofErr w:type="spellEnd"/>
      <w:r w:rsidRPr="00293636">
        <w:rPr>
          <w:rFonts w:ascii="Times New Roman" w:hAnsi="Times New Roman"/>
          <w:sz w:val="28"/>
          <w:szCs w:val="28"/>
          <w:lang w:val="en-GB"/>
        </w:rPr>
        <w:t xml:space="preserve"> S. David. </w:t>
      </w:r>
      <w:proofErr w:type="gramStart"/>
      <w:r w:rsidRPr="00293636">
        <w:rPr>
          <w:rFonts w:ascii="Times New Roman" w:hAnsi="Times New Roman"/>
          <w:sz w:val="28"/>
          <w:szCs w:val="28"/>
          <w:lang w:val="en-GB"/>
        </w:rPr>
        <w:t>Fundam</w:t>
      </w:r>
      <w:r>
        <w:rPr>
          <w:rFonts w:ascii="Times New Roman" w:hAnsi="Times New Roman"/>
          <w:sz w:val="28"/>
          <w:szCs w:val="28"/>
          <w:lang w:val="en-GB"/>
        </w:rPr>
        <w:t>entals of actuarial mathematics</w:t>
      </w:r>
      <w:r w:rsidRPr="00293636">
        <w:rPr>
          <w:rFonts w:ascii="Times New Roman" w:hAnsi="Times New Roman"/>
          <w:sz w:val="28"/>
          <w:szCs w:val="28"/>
          <w:lang w:val="en-GB"/>
        </w:rPr>
        <w:t>.</w:t>
      </w:r>
      <w:proofErr w:type="gramEnd"/>
      <w:r w:rsidRPr="00293636">
        <w:rPr>
          <w:rFonts w:ascii="Times New Roman" w:hAnsi="Times New Roman"/>
          <w:sz w:val="28"/>
          <w:szCs w:val="28"/>
          <w:lang w:val="en-GB"/>
        </w:rPr>
        <w:t xml:space="preserve"> – </w:t>
      </w:r>
      <w:r w:rsidRPr="000457A8">
        <w:rPr>
          <w:rFonts w:ascii="Times New Roman" w:hAnsi="Times New Roman"/>
          <w:sz w:val="28"/>
          <w:szCs w:val="28"/>
          <w:lang w:val="en-GB"/>
        </w:rPr>
        <w:t xml:space="preserve">John </w:t>
      </w:r>
      <w:r>
        <w:rPr>
          <w:rFonts w:ascii="Times New Roman" w:hAnsi="Times New Roman"/>
          <w:sz w:val="28"/>
          <w:szCs w:val="28"/>
          <w:lang w:val="en-GB"/>
        </w:rPr>
        <w:t>Wiley</w:t>
      </w:r>
      <w:r w:rsidRPr="000730E8">
        <w:rPr>
          <w:rFonts w:ascii="Times New Roman" w:hAnsi="Times New Roman"/>
          <w:sz w:val="28"/>
          <w:szCs w:val="28"/>
          <w:lang w:val="en-GB"/>
        </w:rPr>
        <w:t xml:space="preserve"> </w:t>
      </w:r>
      <w:r>
        <w:rPr>
          <w:rFonts w:ascii="Times New Roman" w:hAnsi="Times New Roman"/>
          <w:sz w:val="28"/>
          <w:szCs w:val="28"/>
          <w:lang w:val="en-GB"/>
        </w:rPr>
        <w:t>&amp; Sons</w:t>
      </w:r>
      <w:r w:rsidRPr="00293636">
        <w:rPr>
          <w:rFonts w:ascii="Times New Roman" w:hAnsi="Times New Roman"/>
          <w:sz w:val="28"/>
          <w:szCs w:val="28"/>
          <w:lang w:val="en-GB"/>
        </w:rPr>
        <w:t xml:space="preserve"> </w:t>
      </w:r>
      <w:r>
        <w:rPr>
          <w:rFonts w:ascii="Times New Roman" w:hAnsi="Times New Roman"/>
          <w:sz w:val="28"/>
          <w:szCs w:val="28"/>
          <w:lang w:val="en-GB"/>
        </w:rPr>
        <w:t>Ltd.,</w:t>
      </w:r>
      <w:r w:rsidRPr="000730E8">
        <w:rPr>
          <w:rFonts w:ascii="Times New Roman" w:hAnsi="Times New Roman"/>
          <w:sz w:val="28"/>
          <w:szCs w:val="28"/>
          <w:lang w:val="en-GB"/>
        </w:rPr>
        <w:t xml:space="preserve"> </w:t>
      </w:r>
      <w:r>
        <w:rPr>
          <w:rFonts w:ascii="Times New Roman" w:hAnsi="Times New Roman"/>
          <w:sz w:val="28"/>
          <w:szCs w:val="28"/>
          <w:lang w:val="en-GB"/>
        </w:rPr>
        <w:t>20</w:t>
      </w:r>
      <w:r w:rsidRPr="00293636">
        <w:rPr>
          <w:rFonts w:ascii="Times New Roman" w:hAnsi="Times New Roman"/>
          <w:sz w:val="28"/>
          <w:szCs w:val="28"/>
          <w:lang w:val="en-GB"/>
        </w:rPr>
        <w:t>11</w:t>
      </w:r>
      <w:r w:rsidRPr="000457A8">
        <w:rPr>
          <w:rFonts w:ascii="Times New Roman" w:hAnsi="Times New Roman"/>
          <w:sz w:val="28"/>
          <w:szCs w:val="28"/>
          <w:lang w:val="en-GB"/>
        </w:rPr>
        <w:t>.</w:t>
      </w:r>
      <w:r w:rsidRPr="000730E8">
        <w:rPr>
          <w:rFonts w:ascii="Times New Roman" w:hAnsi="Times New Roman"/>
          <w:sz w:val="28"/>
          <w:szCs w:val="28"/>
          <w:lang w:val="en-GB"/>
        </w:rPr>
        <w:t xml:space="preserve"> </w:t>
      </w:r>
      <w:r w:rsidRPr="000457A8">
        <w:rPr>
          <w:rFonts w:ascii="Times New Roman" w:hAnsi="Times New Roman"/>
          <w:sz w:val="28"/>
          <w:szCs w:val="28"/>
          <w:lang w:val="en-GB"/>
        </w:rPr>
        <w:t xml:space="preserve">– </w:t>
      </w:r>
      <w:r w:rsidRPr="00293636">
        <w:rPr>
          <w:rFonts w:ascii="Times New Roman" w:hAnsi="Times New Roman"/>
          <w:sz w:val="28"/>
          <w:szCs w:val="28"/>
          <w:lang w:val="en-GB"/>
        </w:rPr>
        <w:t>449</w:t>
      </w:r>
      <w:r w:rsidRPr="000457A8">
        <w:rPr>
          <w:rFonts w:ascii="Times New Roman" w:hAnsi="Times New Roman"/>
          <w:sz w:val="28"/>
          <w:szCs w:val="28"/>
          <w:lang w:val="en-GB"/>
        </w:rPr>
        <w:t xml:space="preserve"> p.</w:t>
      </w:r>
    </w:p>
    <w:p w:rsidR="00044383" w:rsidRPr="000457A8" w:rsidRDefault="00705646" w:rsidP="00044383">
      <w:pPr>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40</w:t>
      </w:r>
      <w:r w:rsidR="00044383" w:rsidRPr="000457A8">
        <w:rPr>
          <w:rFonts w:ascii="Times New Roman" w:hAnsi="Times New Roman"/>
          <w:sz w:val="28"/>
          <w:szCs w:val="28"/>
          <w:lang w:val="en-GB"/>
        </w:rPr>
        <w:t xml:space="preserve">) Stuart A. </w:t>
      </w:r>
      <w:proofErr w:type="spellStart"/>
      <w:r w:rsidR="00044383" w:rsidRPr="000457A8">
        <w:rPr>
          <w:rFonts w:ascii="Times New Roman" w:hAnsi="Times New Roman"/>
          <w:sz w:val="28"/>
          <w:szCs w:val="28"/>
          <w:lang w:val="en-GB"/>
        </w:rPr>
        <w:t>Klugman</w:t>
      </w:r>
      <w:proofErr w:type="spellEnd"/>
      <w:r w:rsidR="00044383" w:rsidRPr="000457A8">
        <w:rPr>
          <w:rFonts w:ascii="Times New Roman" w:hAnsi="Times New Roman"/>
          <w:sz w:val="28"/>
          <w:szCs w:val="28"/>
          <w:lang w:val="en-GB"/>
        </w:rPr>
        <w:t xml:space="preserve">, Harry H. </w:t>
      </w:r>
      <w:proofErr w:type="spellStart"/>
      <w:r w:rsidR="00044383" w:rsidRPr="000457A8">
        <w:rPr>
          <w:rFonts w:ascii="Times New Roman" w:hAnsi="Times New Roman"/>
          <w:sz w:val="28"/>
          <w:szCs w:val="28"/>
          <w:lang w:val="en-GB"/>
        </w:rPr>
        <w:t>Panjer</w:t>
      </w:r>
      <w:proofErr w:type="spellEnd"/>
      <w:r w:rsidR="00044383" w:rsidRPr="000457A8">
        <w:rPr>
          <w:rFonts w:ascii="Times New Roman" w:hAnsi="Times New Roman"/>
          <w:sz w:val="28"/>
          <w:szCs w:val="28"/>
          <w:lang w:val="en-GB"/>
        </w:rPr>
        <w:t xml:space="preserve">, Gordon E. </w:t>
      </w:r>
      <w:proofErr w:type="spellStart"/>
      <w:r w:rsidR="00044383" w:rsidRPr="000457A8">
        <w:rPr>
          <w:rFonts w:ascii="Times New Roman" w:hAnsi="Times New Roman"/>
          <w:sz w:val="28"/>
          <w:szCs w:val="28"/>
          <w:lang w:val="en-GB"/>
        </w:rPr>
        <w:t>Willmot</w:t>
      </w:r>
      <w:proofErr w:type="spellEnd"/>
      <w:r w:rsidR="00044383" w:rsidRPr="000457A8">
        <w:rPr>
          <w:rFonts w:ascii="Times New Roman" w:hAnsi="Times New Roman"/>
          <w:sz w:val="28"/>
          <w:szCs w:val="28"/>
          <w:lang w:val="en-GB"/>
        </w:rPr>
        <w:t xml:space="preserve">. Loss Models: From Data to Decisions. – John </w:t>
      </w:r>
      <w:r w:rsidR="00044383">
        <w:rPr>
          <w:rFonts w:ascii="Times New Roman" w:hAnsi="Times New Roman"/>
          <w:sz w:val="28"/>
          <w:szCs w:val="28"/>
          <w:lang w:val="en-GB"/>
        </w:rPr>
        <w:t>Wiley</w:t>
      </w:r>
      <w:r w:rsidR="00044383" w:rsidRPr="000730E8">
        <w:rPr>
          <w:rFonts w:ascii="Times New Roman" w:hAnsi="Times New Roman"/>
          <w:sz w:val="28"/>
          <w:szCs w:val="28"/>
          <w:lang w:val="en-GB"/>
        </w:rPr>
        <w:t xml:space="preserve"> </w:t>
      </w:r>
      <w:r w:rsidR="00044383">
        <w:rPr>
          <w:rFonts w:ascii="Times New Roman" w:hAnsi="Times New Roman"/>
          <w:sz w:val="28"/>
          <w:szCs w:val="28"/>
          <w:lang w:val="en-GB"/>
        </w:rPr>
        <w:t>&amp; Sons, Inc.,</w:t>
      </w:r>
      <w:r w:rsidR="00044383" w:rsidRPr="000730E8">
        <w:rPr>
          <w:rFonts w:ascii="Times New Roman" w:hAnsi="Times New Roman"/>
          <w:sz w:val="28"/>
          <w:szCs w:val="28"/>
          <w:lang w:val="en-GB"/>
        </w:rPr>
        <w:t xml:space="preserve"> </w:t>
      </w:r>
      <w:r w:rsidR="00044383" w:rsidRPr="000457A8">
        <w:rPr>
          <w:rFonts w:ascii="Times New Roman" w:hAnsi="Times New Roman"/>
          <w:sz w:val="28"/>
          <w:szCs w:val="28"/>
          <w:lang w:val="en-GB"/>
        </w:rPr>
        <w:t>2008.</w:t>
      </w:r>
      <w:r w:rsidR="00044383" w:rsidRPr="000730E8">
        <w:rPr>
          <w:rFonts w:ascii="Times New Roman" w:hAnsi="Times New Roman"/>
          <w:sz w:val="28"/>
          <w:szCs w:val="28"/>
          <w:lang w:val="en-GB"/>
        </w:rPr>
        <w:t xml:space="preserve"> </w:t>
      </w:r>
      <w:r w:rsidR="00044383" w:rsidRPr="000457A8">
        <w:rPr>
          <w:rFonts w:ascii="Times New Roman" w:hAnsi="Times New Roman"/>
          <w:sz w:val="28"/>
          <w:szCs w:val="28"/>
          <w:lang w:val="en-GB"/>
        </w:rPr>
        <w:t>– 731 p.</w:t>
      </w:r>
    </w:p>
    <w:p w:rsidR="00044383" w:rsidRDefault="00705646" w:rsidP="00044383">
      <w:pPr>
        <w:autoSpaceDE w:val="0"/>
        <w:autoSpaceDN w:val="0"/>
        <w:adjustRightInd w:val="0"/>
        <w:spacing w:after="0" w:line="360" w:lineRule="auto"/>
        <w:jc w:val="both"/>
        <w:rPr>
          <w:rFonts w:ascii="Times New Roman" w:hAnsi="Times New Roman"/>
          <w:sz w:val="28"/>
          <w:szCs w:val="28"/>
          <w:lang w:val="en-GB"/>
        </w:rPr>
      </w:pPr>
      <w:r w:rsidRPr="00705646">
        <w:rPr>
          <w:rFonts w:ascii="Times New Roman" w:hAnsi="Times New Roman"/>
          <w:sz w:val="28"/>
          <w:szCs w:val="28"/>
          <w:lang w:val="en-GB"/>
        </w:rPr>
        <w:t>41</w:t>
      </w:r>
      <w:r w:rsidR="00044383">
        <w:rPr>
          <w:rFonts w:ascii="Times New Roman" w:hAnsi="Times New Roman"/>
          <w:sz w:val="28"/>
          <w:szCs w:val="28"/>
          <w:lang w:val="en-GB"/>
        </w:rPr>
        <w:t xml:space="preserve">) Wiser R., </w:t>
      </w:r>
      <w:proofErr w:type="spellStart"/>
      <w:r w:rsidR="00044383">
        <w:rPr>
          <w:rFonts w:ascii="Times New Roman" w:hAnsi="Times New Roman"/>
          <w:sz w:val="28"/>
          <w:szCs w:val="28"/>
          <w:lang w:val="en-GB"/>
        </w:rPr>
        <w:t>Cockley</w:t>
      </w:r>
      <w:proofErr w:type="spellEnd"/>
      <w:r w:rsidR="00044383">
        <w:rPr>
          <w:rFonts w:ascii="Times New Roman" w:hAnsi="Times New Roman"/>
          <w:sz w:val="28"/>
          <w:szCs w:val="28"/>
          <w:lang w:val="en-GB"/>
        </w:rPr>
        <w:t xml:space="preserve"> J., </w:t>
      </w:r>
      <w:smartTag w:uri="urn:schemas-microsoft-com:office:smarttags" w:element="place">
        <w:smartTag w:uri="urn:schemas-microsoft-com:office:smarttags" w:element="City">
          <w:r w:rsidR="00044383">
            <w:rPr>
              <w:rFonts w:ascii="Times New Roman" w:hAnsi="Times New Roman"/>
              <w:sz w:val="28"/>
              <w:szCs w:val="28"/>
              <w:lang w:val="en-GB"/>
            </w:rPr>
            <w:t>Gardner</w:t>
          </w:r>
        </w:smartTag>
      </w:smartTag>
      <w:r w:rsidR="00044383">
        <w:rPr>
          <w:rFonts w:ascii="Times New Roman" w:hAnsi="Times New Roman"/>
          <w:sz w:val="28"/>
          <w:szCs w:val="28"/>
          <w:lang w:val="en-GB"/>
        </w:rPr>
        <w:t xml:space="preserve"> A. Loss reserving. – </w:t>
      </w:r>
      <w:r w:rsidR="00044383" w:rsidRPr="0014425A">
        <w:rPr>
          <w:rFonts w:ascii="Times New Roman" w:hAnsi="Times New Roman"/>
          <w:i/>
          <w:sz w:val="28"/>
          <w:szCs w:val="28"/>
          <w:lang w:val="en-GB"/>
        </w:rPr>
        <w:t>Foundations of Casualty Actuarial</w:t>
      </w:r>
      <w:r w:rsidR="00044383">
        <w:rPr>
          <w:rFonts w:ascii="Times New Roman" w:hAnsi="Times New Roman"/>
          <w:i/>
          <w:sz w:val="28"/>
          <w:szCs w:val="28"/>
          <w:lang w:val="en-GB"/>
        </w:rPr>
        <w:t xml:space="preserve"> </w:t>
      </w:r>
      <w:r w:rsidR="00044383" w:rsidRPr="0014425A">
        <w:rPr>
          <w:rFonts w:ascii="Times New Roman" w:hAnsi="Times New Roman"/>
          <w:i/>
          <w:sz w:val="28"/>
          <w:szCs w:val="28"/>
          <w:lang w:val="en-GB"/>
        </w:rPr>
        <w:t>Science</w:t>
      </w:r>
      <w:r w:rsidR="00044383" w:rsidRPr="002B0D0B">
        <w:rPr>
          <w:rFonts w:ascii="Times New Roman" w:hAnsi="Times New Roman"/>
          <w:sz w:val="28"/>
          <w:szCs w:val="28"/>
          <w:lang w:val="en-GB"/>
        </w:rPr>
        <w:t>,</w:t>
      </w:r>
      <w:r w:rsidR="00044383">
        <w:rPr>
          <w:rFonts w:ascii="Times New Roman" w:hAnsi="Times New Roman"/>
          <w:sz w:val="28"/>
          <w:szCs w:val="28"/>
          <w:lang w:val="en-GB"/>
        </w:rPr>
        <w:t xml:space="preserve"> 2001. – pp. 231-295.</w:t>
      </w:r>
    </w:p>
    <w:p w:rsidR="00F468DE" w:rsidRPr="00705646" w:rsidRDefault="00F468DE" w:rsidP="00033A0F">
      <w:pPr>
        <w:spacing w:after="0" w:line="360" w:lineRule="auto"/>
        <w:jc w:val="both"/>
        <w:rPr>
          <w:rFonts w:ascii="Times New Roman" w:hAnsi="Times New Roman" w:cs="Times New Roman"/>
          <w:sz w:val="28"/>
          <w:szCs w:val="28"/>
          <w:lang w:val="en-GB"/>
        </w:rPr>
      </w:pPr>
    </w:p>
    <w:p w:rsidR="00E27D96" w:rsidRPr="00705646" w:rsidRDefault="00E27D96" w:rsidP="00096939">
      <w:pPr>
        <w:spacing w:after="0" w:line="360" w:lineRule="auto"/>
        <w:jc w:val="both"/>
        <w:rPr>
          <w:rFonts w:ascii="Times New Roman" w:hAnsi="Times New Roman" w:cs="Times New Roman"/>
          <w:sz w:val="28"/>
          <w:szCs w:val="28"/>
          <w:lang w:val="en-GB"/>
        </w:rPr>
      </w:pPr>
    </w:p>
    <w:p w:rsidR="00663501" w:rsidRPr="00705646" w:rsidRDefault="00663501" w:rsidP="00A15A3C">
      <w:pPr>
        <w:spacing w:after="0" w:line="360" w:lineRule="auto"/>
        <w:jc w:val="center"/>
        <w:rPr>
          <w:rFonts w:ascii="Times New Roman" w:hAnsi="Times New Roman" w:cs="Times New Roman"/>
          <w:b/>
          <w:sz w:val="28"/>
          <w:szCs w:val="28"/>
          <w:lang w:val="en-GB"/>
        </w:rPr>
      </w:pPr>
    </w:p>
    <w:p w:rsidR="00663501" w:rsidRPr="00705646" w:rsidRDefault="00663501" w:rsidP="00A15A3C">
      <w:pPr>
        <w:spacing w:after="0" w:line="360" w:lineRule="auto"/>
        <w:jc w:val="center"/>
        <w:rPr>
          <w:rFonts w:ascii="Times New Roman" w:hAnsi="Times New Roman" w:cs="Times New Roman"/>
          <w:b/>
          <w:sz w:val="28"/>
          <w:szCs w:val="28"/>
          <w:lang w:val="en-GB"/>
        </w:rPr>
      </w:pPr>
    </w:p>
    <w:p w:rsidR="00362BC4" w:rsidRPr="003E3949" w:rsidRDefault="00362BC4" w:rsidP="003866BB">
      <w:pPr>
        <w:pStyle w:val="af3"/>
        <w:keepNext/>
        <w:spacing w:after="0"/>
        <w:jc w:val="right"/>
        <w:rPr>
          <w:rFonts w:ascii="Times New Roman" w:hAnsi="Times New Roman" w:cs="Times New Roman"/>
          <w:b w:val="0"/>
          <w:i/>
          <w:color w:val="auto"/>
          <w:sz w:val="28"/>
          <w:szCs w:val="28"/>
          <w:lang w:val="en-GB"/>
        </w:rPr>
      </w:pPr>
    </w:p>
    <w:sectPr w:rsidR="00362BC4" w:rsidRPr="003E3949" w:rsidSect="003866BB">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12" w:rsidRDefault="00DD2B12" w:rsidP="00B33B51">
      <w:pPr>
        <w:spacing w:after="0" w:line="240" w:lineRule="auto"/>
      </w:pPr>
      <w:r>
        <w:separator/>
      </w:r>
    </w:p>
  </w:endnote>
  <w:endnote w:type="continuationSeparator" w:id="0">
    <w:p w:rsidR="00DD2B12" w:rsidRDefault="00DD2B12" w:rsidP="00B3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Papyrus">
    <w:panose1 w:val="03070502060502030205"/>
    <w:charset w:val="00"/>
    <w:family w:val="script"/>
    <w:pitch w:val="variable"/>
    <w:sig w:usb0="00000003" w:usb1="00000000" w:usb2="00000000" w:usb3="00000000" w:csb0="00000001" w:csb1="00000000"/>
  </w:font>
  <w:font w:name="TT250o00">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2857047"/>
      <w:docPartObj>
        <w:docPartGallery w:val="Page Numbers (Bottom of Page)"/>
        <w:docPartUnique/>
      </w:docPartObj>
    </w:sdtPr>
    <w:sdtContent>
      <w:p w:rsidR="00B9209A" w:rsidRPr="00AB4906" w:rsidRDefault="005F2FF8">
        <w:pPr>
          <w:pStyle w:val="a9"/>
          <w:jc w:val="right"/>
          <w:rPr>
            <w:rFonts w:ascii="Times New Roman" w:hAnsi="Times New Roman" w:cs="Times New Roman"/>
          </w:rPr>
        </w:pPr>
        <w:r w:rsidRPr="00AB4906">
          <w:rPr>
            <w:rFonts w:ascii="Times New Roman" w:hAnsi="Times New Roman" w:cs="Times New Roman"/>
          </w:rPr>
          <w:fldChar w:fldCharType="begin"/>
        </w:r>
        <w:r w:rsidR="00B9209A" w:rsidRPr="00AB4906">
          <w:rPr>
            <w:rFonts w:ascii="Times New Roman" w:hAnsi="Times New Roman" w:cs="Times New Roman"/>
          </w:rPr>
          <w:instrText xml:space="preserve"> PAGE   \* MERGEFORMAT </w:instrText>
        </w:r>
        <w:r w:rsidRPr="00AB4906">
          <w:rPr>
            <w:rFonts w:ascii="Times New Roman" w:hAnsi="Times New Roman" w:cs="Times New Roman"/>
          </w:rPr>
          <w:fldChar w:fldCharType="separate"/>
        </w:r>
        <w:r w:rsidR="003E3949">
          <w:rPr>
            <w:rFonts w:ascii="Times New Roman" w:hAnsi="Times New Roman" w:cs="Times New Roman"/>
            <w:noProof/>
          </w:rPr>
          <w:t>85</w:t>
        </w:r>
        <w:r w:rsidRPr="00AB4906">
          <w:rPr>
            <w:rFonts w:ascii="Times New Roman" w:hAnsi="Times New Roman" w:cs="Times New Roman"/>
          </w:rPr>
          <w:fldChar w:fldCharType="end"/>
        </w:r>
      </w:p>
    </w:sdtContent>
  </w:sdt>
  <w:p w:rsidR="00B9209A" w:rsidRDefault="00B9209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57056"/>
      <w:docPartObj>
        <w:docPartGallery w:val="Page Numbers (Bottom of Page)"/>
        <w:docPartUnique/>
      </w:docPartObj>
    </w:sdtPr>
    <w:sdtEndPr>
      <w:rPr>
        <w:rFonts w:ascii="Times New Roman" w:hAnsi="Times New Roman" w:cs="Times New Roman"/>
      </w:rPr>
    </w:sdtEndPr>
    <w:sdtContent>
      <w:p w:rsidR="00B9209A" w:rsidRPr="00CE40CC" w:rsidRDefault="005F2FF8">
        <w:pPr>
          <w:pStyle w:val="a9"/>
          <w:jc w:val="right"/>
          <w:rPr>
            <w:rFonts w:ascii="Times New Roman" w:hAnsi="Times New Roman" w:cs="Times New Roman"/>
          </w:rPr>
        </w:pPr>
        <w:r w:rsidRPr="00CE40CC">
          <w:rPr>
            <w:rFonts w:ascii="Times New Roman" w:hAnsi="Times New Roman" w:cs="Times New Roman"/>
          </w:rPr>
          <w:fldChar w:fldCharType="begin"/>
        </w:r>
        <w:r w:rsidR="00B9209A" w:rsidRPr="00CE40CC">
          <w:rPr>
            <w:rFonts w:ascii="Times New Roman" w:hAnsi="Times New Roman" w:cs="Times New Roman"/>
          </w:rPr>
          <w:instrText xml:space="preserve"> PAGE   \* MERGEFORMAT </w:instrText>
        </w:r>
        <w:r w:rsidRPr="00CE40CC">
          <w:rPr>
            <w:rFonts w:ascii="Times New Roman" w:hAnsi="Times New Roman" w:cs="Times New Roman"/>
          </w:rPr>
          <w:fldChar w:fldCharType="separate"/>
        </w:r>
        <w:r w:rsidR="003E3949">
          <w:rPr>
            <w:rFonts w:ascii="Times New Roman" w:hAnsi="Times New Roman" w:cs="Times New Roman"/>
            <w:noProof/>
          </w:rPr>
          <w:t>37</w:t>
        </w:r>
        <w:r w:rsidRPr="00CE40CC">
          <w:rPr>
            <w:rFonts w:ascii="Times New Roman" w:hAnsi="Times New Roman" w:cs="Times New Roman"/>
          </w:rPr>
          <w:fldChar w:fldCharType="end"/>
        </w:r>
      </w:p>
    </w:sdtContent>
  </w:sdt>
  <w:p w:rsidR="00B9209A" w:rsidRDefault="00B920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12" w:rsidRDefault="00DD2B12" w:rsidP="00B33B51">
      <w:pPr>
        <w:spacing w:after="0" w:line="240" w:lineRule="auto"/>
      </w:pPr>
      <w:r>
        <w:separator/>
      </w:r>
    </w:p>
  </w:footnote>
  <w:footnote w:type="continuationSeparator" w:id="0">
    <w:p w:rsidR="00DD2B12" w:rsidRDefault="00DD2B12" w:rsidP="00B33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44AD"/>
    <w:multiLevelType w:val="hybridMultilevel"/>
    <w:tmpl w:val="4350C30A"/>
    <w:lvl w:ilvl="0" w:tplc="4F98DD14">
      <w:start w:val="1"/>
      <w:numFmt w:val="decimal"/>
      <w:lvlText w:val="%1."/>
      <w:lvlJc w:val="left"/>
      <w:pPr>
        <w:ind w:left="1259" w:hanging="360"/>
      </w:pPr>
      <w:rPr>
        <w:rFonts w:ascii="Times New Roman" w:hAnsi="Times New Roman" w:cs="Times New Roman" w:hint="default"/>
        <w:sz w:val="24"/>
        <w:szCs w:val="24"/>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7AD47C0E"/>
    <w:multiLevelType w:val="hybridMultilevel"/>
    <w:tmpl w:val="E7A437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D350E"/>
    <w:rsid w:val="00010AF6"/>
    <w:rsid w:val="00010FAE"/>
    <w:rsid w:val="00016F31"/>
    <w:rsid w:val="000176DE"/>
    <w:rsid w:val="00030F2F"/>
    <w:rsid w:val="00032917"/>
    <w:rsid w:val="00033A0F"/>
    <w:rsid w:val="00044383"/>
    <w:rsid w:val="000455B0"/>
    <w:rsid w:val="000457A8"/>
    <w:rsid w:val="0004727C"/>
    <w:rsid w:val="000474E2"/>
    <w:rsid w:val="00053FD4"/>
    <w:rsid w:val="0005651F"/>
    <w:rsid w:val="00057220"/>
    <w:rsid w:val="000647F6"/>
    <w:rsid w:val="00066075"/>
    <w:rsid w:val="000730E8"/>
    <w:rsid w:val="0007431C"/>
    <w:rsid w:val="00076645"/>
    <w:rsid w:val="000777B5"/>
    <w:rsid w:val="00091769"/>
    <w:rsid w:val="00091CB4"/>
    <w:rsid w:val="00096939"/>
    <w:rsid w:val="000A3243"/>
    <w:rsid w:val="000A5E31"/>
    <w:rsid w:val="000A7542"/>
    <w:rsid w:val="000B04AF"/>
    <w:rsid w:val="000B202C"/>
    <w:rsid w:val="000B678C"/>
    <w:rsid w:val="000B7408"/>
    <w:rsid w:val="000C31C7"/>
    <w:rsid w:val="000D1166"/>
    <w:rsid w:val="000F22EB"/>
    <w:rsid w:val="001025D9"/>
    <w:rsid w:val="00112633"/>
    <w:rsid w:val="0011420D"/>
    <w:rsid w:val="001221EF"/>
    <w:rsid w:val="0012562F"/>
    <w:rsid w:val="0012647D"/>
    <w:rsid w:val="00132657"/>
    <w:rsid w:val="0013442E"/>
    <w:rsid w:val="0013465A"/>
    <w:rsid w:val="001352ED"/>
    <w:rsid w:val="00146C26"/>
    <w:rsid w:val="001531FC"/>
    <w:rsid w:val="001565F2"/>
    <w:rsid w:val="00160B93"/>
    <w:rsid w:val="001623B3"/>
    <w:rsid w:val="00163245"/>
    <w:rsid w:val="0016553E"/>
    <w:rsid w:val="00165901"/>
    <w:rsid w:val="00170233"/>
    <w:rsid w:val="00176AC0"/>
    <w:rsid w:val="00183BD7"/>
    <w:rsid w:val="0019079C"/>
    <w:rsid w:val="0019094F"/>
    <w:rsid w:val="00191BEB"/>
    <w:rsid w:val="001955C6"/>
    <w:rsid w:val="001A2963"/>
    <w:rsid w:val="001A724C"/>
    <w:rsid w:val="001B29BF"/>
    <w:rsid w:val="001C0F47"/>
    <w:rsid w:val="001C2838"/>
    <w:rsid w:val="001C58DE"/>
    <w:rsid w:val="001C59D8"/>
    <w:rsid w:val="001C6AAD"/>
    <w:rsid w:val="001D2377"/>
    <w:rsid w:val="001D2CA3"/>
    <w:rsid w:val="001E4665"/>
    <w:rsid w:val="001F5F9F"/>
    <w:rsid w:val="001F7174"/>
    <w:rsid w:val="0020020A"/>
    <w:rsid w:val="00201102"/>
    <w:rsid w:val="00221E77"/>
    <w:rsid w:val="0023275E"/>
    <w:rsid w:val="00233259"/>
    <w:rsid w:val="00233750"/>
    <w:rsid w:val="00245696"/>
    <w:rsid w:val="002534A3"/>
    <w:rsid w:val="00256A1D"/>
    <w:rsid w:val="002603C7"/>
    <w:rsid w:val="00265D91"/>
    <w:rsid w:val="00265E64"/>
    <w:rsid w:val="00286A51"/>
    <w:rsid w:val="00291B03"/>
    <w:rsid w:val="00293636"/>
    <w:rsid w:val="00293C14"/>
    <w:rsid w:val="002964EC"/>
    <w:rsid w:val="002A353F"/>
    <w:rsid w:val="002B3004"/>
    <w:rsid w:val="002C007E"/>
    <w:rsid w:val="002C327E"/>
    <w:rsid w:val="002C73B8"/>
    <w:rsid w:val="002D2F29"/>
    <w:rsid w:val="002D5895"/>
    <w:rsid w:val="002D6490"/>
    <w:rsid w:val="002E3467"/>
    <w:rsid w:val="002E56D5"/>
    <w:rsid w:val="002F315D"/>
    <w:rsid w:val="002F35BB"/>
    <w:rsid w:val="002F413F"/>
    <w:rsid w:val="002F5367"/>
    <w:rsid w:val="002F57F4"/>
    <w:rsid w:val="00300B55"/>
    <w:rsid w:val="00304193"/>
    <w:rsid w:val="00311892"/>
    <w:rsid w:val="0031271C"/>
    <w:rsid w:val="00317AA2"/>
    <w:rsid w:val="0032237B"/>
    <w:rsid w:val="003269D3"/>
    <w:rsid w:val="00335959"/>
    <w:rsid w:val="00336A8B"/>
    <w:rsid w:val="00341F12"/>
    <w:rsid w:val="00344CC4"/>
    <w:rsid w:val="00351B03"/>
    <w:rsid w:val="0036239C"/>
    <w:rsid w:val="003626BF"/>
    <w:rsid w:val="00362BC4"/>
    <w:rsid w:val="0036366A"/>
    <w:rsid w:val="003777F9"/>
    <w:rsid w:val="00382B30"/>
    <w:rsid w:val="003866BB"/>
    <w:rsid w:val="00386D92"/>
    <w:rsid w:val="00396953"/>
    <w:rsid w:val="003A59AE"/>
    <w:rsid w:val="003B1567"/>
    <w:rsid w:val="003B250B"/>
    <w:rsid w:val="003C1A5B"/>
    <w:rsid w:val="003D350E"/>
    <w:rsid w:val="003D66FC"/>
    <w:rsid w:val="003E03A7"/>
    <w:rsid w:val="003E1C56"/>
    <w:rsid w:val="003E2F36"/>
    <w:rsid w:val="003E3949"/>
    <w:rsid w:val="003F1B7D"/>
    <w:rsid w:val="003F696C"/>
    <w:rsid w:val="00412E56"/>
    <w:rsid w:val="004201F0"/>
    <w:rsid w:val="0042272E"/>
    <w:rsid w:val="00424B48"/>
    <w:rsid w:val="00431E35"/>
    <w:rsid w:val="00435952"/>
    <w:rsid w:val="004403AE"/>
    <w:rsid w:val="004420B2"/>
    <w:rsid w:val="00451A88"/>
    <w:rsid w:val="00451FC3"/>
    <w:rsid w:val="00452308"/>
    <w:rsid w:val="00465AE6"/>
    <w:rsid w:val="0046693B"/>
    <w:rsid w:val="004741F4"/>
    <w:rsid w:val="00474EB7"/>
    <w:rsid w:val="00486B70"/>
    <w:rsid w:val="0048755B"/>
    <w:rsid w:val="00490B75"/>
    <w:rsid w:val="00496D8F"/>
    <w:rsid w:val="00497C3D"/>
    <w:rsid w:val="004A1089"/>
    <w:rsid w:val="004A5573"/>
    <w:rsid w:val="004B0457"/>
    <w:rsid w:val="004B049A"/>
    <w:rsid w:val="004B7653"/>
    <w:rsid w:val="004C2F21"/>
    <w:rsid w:val="004C4331"/>
    <w:rsid w:val="004C6D69"/>
    <w:rsid w:val="004D54B5"/>
    <w:rsid w:val="004D5F30"/>
    <w:rsid w:val="004D736C"/>
    <w:rsid w:val="004E1252"/>
    <w:rsid w:val="004E336D"/>
    <w:rsid w:val="004E5CB6"/>
    <w:rsid w:val="005055BE"/>
    <w:rsid w:val="005057CA"/>
    <w:rsid w:val="005158F2"/>
    <w:rsid w:val="00516EA9"/>
    <w:rsid w:val="00517CF0"/>
    <w:rsid w:val="00524701"/>
    <w:rsid w:val="00525F2D"/>
    <w:rsid w:val="00527EAB"/>
    <w:rsid w:val="00533569"/>
    <w:rsid w:val="0054351F"/>
    <w:rsid w:val="00546CC5"/>
    <w:rsid w:val="00550324"/>
    <w:rsid w:val="0055673E"/>
    <w:rsid w:val="00560C9F"/>
    <w:rsid w:val="00561A81"/>
    <w:rsid w:val="00566990"/>
    <w:rsid w:val="00577B7E"/>
    <w:rsid w:val="00591FA6"/>
    <w:rsid w:val="005A208E"/>
    <w:rsid w:val="005A3960"/>
    <w:rsid w:val="005A7349"/>
    <w:rsid w:val="005C1A16"/>
    <w:rsid w:val="005C64C9"/>
    <w:rsid w:val="005D1DBB"/>
    <w:rsid w:val="005D3874"/>
    <w:rsid w:val="005E03CC"/>
    <w:rsid w:val="005E4B12"/>
    <w:rsid w:val="005E52A0"/>
    <w:rsid w:val="005F2FF8"/>
    <w:rsid w:val="005F66B7"/>
    <w:rsid w:val="005F7494"/>
    <w:rsid w:val="00604F3E"/>
    <w:rsid w:val="006065EB"/>
    <w:rsid w:val="00630D46"/>
    <w:rsid w:val="00631211"/>
    <w:rsid w:val="006332EF"/>
    <w:rsid w:val="00635FDD"/>
    <w:rsid w:val="00644400"/>
    <w:rsid w:val="00646F82"/>
    <w:rsid w:val="0064736C"/>
    <w:rsid w:val="00647656"/>
    <w:rsid w:val="00651FD0"/>
    <w:rsid w:val="0065485A"/>
    <w:rsid w:val="006574B6"/>
    <w:rsid w:val="00663501"/>
    <w:rsid w:val="006665F3"/>
    <w:rsid w:val="00667247"/>
    <w:rsid w:val="006674AE"/>
    <w:rsid w:val="00670FAD"/>
    <w:rsid w:val="006775E0"/>
    <w:rsid w:val="006810EB"/>
    <w:rsid w:val="00684C76"/>
    <w:rsid w:val="006B0C79"/>
    <w:rsid w:val="006C49A5"/>
    <w:rsid w:val="006D3CCB"/>
    <w:rsid w:val="006E3E53"/>
    <w:rsid w:val="006E53BE"/>
    <w:rsid w:val="006F1E45"/>
    <w:rsid w:val="006F26A1"/>
    <w:rsid w:val="006F793D"/>
    <w:rsid w:val="0070475A"/>
    <w:rsid w:val="00705377"/>
    <w:rsid w:val="00705646"/>
    <w:rsid w:val="00710468"/>
    <w:rsid w:val="0071479D"/>
    <w:rsid w:val="00724457"/>
    <w:rsid w:val="00725CF7"/>
    <w:rsid w:val="00727E73"/>
    <w:rsid w:val="0073139E"/>
    <w:rsid w:val="00735239"/>
    <w:rsid w:val="007472B6"/>
    <w:rsid w:val="0075451A"/>
    <w:rsid w:val="00760D26"/>
    <w:rsid w:val="007669C7"/>
    <w:rsid w:val="0076794B"/>
    <w:rsid w:val="00777D23"/>
    <w:rsid w:val="007836DC"/>
    <w:rsid w:val="007838CB"/>
    <w:rsid w:val="007A3763"/>
    <w:rsid w:val="007A7A5B"/>
    <w:rsid w:val="007B2E9D"/>
    <w:rsid w:val="007C1F45"/>
    <w:rsid w:val="007C7993"/>
    <w:rsid w:val="007D2D3E"/>
    <w:rsid w:val="007E3372"/>
    <w:rsid w:val="007F080E"/>
    <w:rsid w:val="008022B8"/>
    <w:rsid w:val="00812147"/>
    <w:rsid w:val="00815A33"/>
    <w:rsid w:val="008219C1"/>
    <w:rsid w:val="008337B0"/>
    <w:rsid w:val="008413C0"/>
    <w:rsid w:val="00846FEB"/>
    <w:rsid w:val="00847542"/>
    <w:rsid w:val="00854A45"/>
    <w:rsid w:val="0085576F"/>
    <w:rsid w:val="00861D48"/>
    <w:rsid w:val="00864DCC"/>
    <w:rsid w:val="00870A4D"/>
    <w:rsid w:val="00874874"/>
    <w:rsid w:val="0088113A"/>
    <w:rsid w:val="00883342"/>
    <w:rsid w:val="00890440"/>
    <w:rsid w:val="008918AD"/>
    <w:rsid w:val="008979A8"/>
    <w:rsid w:val="008A40AE"/>
    <w:rsid w:val="008B7622"/>
    <w:rsid w:val="008D079E"/>
    <w:rsid w:val="008D2261"/>
    <w:rsid w:val="008E11E6"/>
    <w:rsid w:val="008F5AA8"/>
    <w:rsid w:val="008F66AC"/>
    <w:rsid w:val="009001E0"/>
    <w:rsid w:val="00902CF6"/>
    <w:rsid w:val="00902D47"/>
    <w:rsid w:val="00904699"/>
    <w:rsid w:val="00933B25"/>
    <w:rsid w:val="00940C86"/>
    <w:rsid w:val="009448B8"/>
    <w:rsid w:val="00944F77"/>
    <w:rsid w:val="00947C78"/>
    <w:rsid w:val="00954AE8"/>
    <w:rsid w:val="00960E81"/>
    <w:rsid w:val="00964D2C"/>
    <w:rsid w:val="009676D2"/>
    <w:rsid w:val="009754DC"/>
    <w:rsid w:val="00981F38"/>
    <w:rsid w:val="009845E9"/>
    <w:rsid w:val="00992D68"/>
    <w:rsid w:val="00993AB7"/>
    <w:rsid w:val="009A5CEA"/>
    <w:rsid w:val="009A5EA1"/>
    <w:rsid w:val="009A66D1"/>
    <w:rsid w:val="009B3961"/>
    <w:rsid w:val="009B3D35"/>
    <w:rsid w:val="009C5006"/>
    <w:rsid w:val="009C5075"/>
    <w:rsid w:val="009C5355"/>
    <w:rsid w:val="009C53A7"/>
    <w:rsid w:val="009E4A7E"/>
    <w:rsid w:val="009F00A4"/>
    <w:rsid w:val="009F1A30"/>
    <w:rsid w:val="00A02608"/>
    <w:rsid w:val="00A027B7"/>
    <w:rsid w:val="00A065E9"/>
    <w:rsid w:val="00A15A3C"/>
    <w:rsid w:val="00A16334"/>
    <w:rsid w:val="00A1633F"/>
    <w:rsid w:val="00A213CD"/>
    <w:rsid w:val="00A268A9"/>
    <w:rsid w:val="00A33509"/>
    <w:rsid w:val="00A35E71"/>
    <w:rsid w:val="00A36CD2"/>
    <w:rsid w:val="00A4228C"/>
    <w:rsid w:val="00A45276"/>
    <w:rsid w:val="00A479CF"/>
    <w:rsid w:val="00A51A10"/>
    <w:rsid w:val="00A5798C"/>
    <w:rsid w:val="00A605B9"/>
    <w:rsid w:val="00A648DA"/>
    <w:rsid w:val="00A65AC0"/>
    <w:rsid w:val="00A7483F"/>
    <w:rsid w:val="00A750BE"/>
    <w:rsid w:val="00A7544B"/>
    <w:rsid w:val="00A75843"/>
    <w:rsid w:val="00A77835"/>
    <w:rsid w:val="00A820B6"/>
    <w:rsid w:val="00A83849"/>
    <w:rsid w:val="00A9645E"/>
    <w:rsid w:val="00AA5D35"/>
    <w:rsid w:val="00AB24A5"/>
    <w:rsid w:val="00AB4417"/>
    <w:rsid w:val="00AB4906"/>
    <w:rsid w:val="00AD2F17"/>
    <w:rsid w:val="00AD5F9E"/>
    <w:rsid w:val="00AD7D77"/>
    <w:rsid w:val="00AE69CD"/>
    <w:rsid w:val="00AE7296"/>
    <w:rsid w:val="00AF2266"/>
    <w:rsid w:val="00AF2852"/>
    <w:rsid w:val="00AF378F"/>
    <w:rsid w:val="00AF5280"/>
    <w:rsid w:val="00AF604B"/>
    <w:rsid w:val="00B05AD1"/>
    <w:rsid w:val="00B118EF"/>
    <w:rsid w:val="00B179F6"/>
    <w:rsid w:val="00B33B51"/>
    <w:rsid w:val="00B37098"/>
    <w:rsid w:val="00B37B9A"/>
    <w:rsid w:val="00B437F4"/>
    <w:rsid w:val="00B45CFF"/>
    <w:rsid w:val="00B54E4F"/>
    <w:rsid w:val="00B6780E"/>
    <w:rsid w:val="00B67A25"/>
    <w:rsid w:val="00B71305"/>
    <w:rsid w:val="00B723C7"/>
    <w:rsid w:val="00B81EE2"/>
    <w:rsid w:val="00B9209A"/>
    <w:rsid w:val="00B94DB2"/>
    <w:rsid w:val="00B95848"/>
    <w:rsid w:val="00B96DAD"/>
    <w:rsid w:val="00BA5CD2"/>
    <w:rsid w:val="00BB7A25"/>
    <w:rsid w:val="00BC41F2"/>
    <w:rsid w:val="00BC57BB"/>
    <w:rsid w:val="00BC66A2"/>
    <w:rsid w:val="00BD2001"/>
    <w:rsid w:val="00BF3E4C"/>
    <w:rsid w:val="00BF49CC"/>
    <w:rsid w:val="00C01B89"/>
    <w:rsid w:val="00C02F6A"/>
    <w:rsid w:val="00C119FE"/>
    <w:rsid w:val="00C11C35"/>
    <w:rsid w:val="00C15FEB"/>
    <w:rsid w:val="00C20AF9"/>
    <w:rsid w:val="00C23B8C"/>
    <w:rsid w:val="00C32FD5"/>
    <w:rsid w:val="00C348B1"/>
    <w:rsid w:val="00C36A51"/>
    <w:rsid w:val="00C402FF"/>
    <w:rsid w:val="00C477B7"/>
    <w:rsid w:val="00C47D84"/>
    <w:rsid w:val="00C54219"/>
    <w:rsid w:val="00C55B7C"/>
    <w:rsid w:val="00C5704B"/>
    <w:rsid w:val="00C60D1B"/>
    <w:rsid w:val="00C74131"/>
    <w:rsid w:val="00C9248E"/>
    <w:rsid w:val="00C94692"/>
    <w:rsid w:val="00CA0EC7"/>
    <w:rsid w:val="00CA2F53"/>
    <w:rsid w:val="00CB0637"/>
    <w:rsid w:val="00CB755C"/>
    <w:rsid w:val="00CC11F8"/>
    <w:rsid w:val="00CC78F0"/>
    <w:rsid w:val="00CD46C1"/>
    <w:rsid w:val="00CD562B"/>
    <w:rsid w:val="00CE40CC"/>
    <w:rsid w:val="00CE79AD"/>
    <w:rsid w:val="00CE7CFF"/>
    <w:rsid w:val="00CF2B26"/>
    <w:rsid w:val="00CF5FFB"/>
    <w:rsid w:val="00CF775E"/>
    <w:rsid w:val="00D00620"/>
    <w:rsid w:val="00D01908"/>
    <w:rsid w:val="00D051EA"/>
    <w:rsid w:val="00D11608"/>
    <w:rsid w:val="00D159A1"/>
    <w:rsid w:val="00D15D2D"/>
    <w:rsid w:val="00D21074"/>
    <w:rsid w:val="00D246EF"/>
    <w:rsid w:val="00D24F8E"/>
    <w:rsid w:val="00D25E67"/>
    <w:rsid w:val="00D270E0"/>
    <w:rsid w:val="00D30F44"/>
    <w:rsid w:val="00D45B08"/>
    <w:rsid w:val="00D47CA3"/>
    <w:rsid w:val="00D51541"/>
    <w:rsid w:val="00D610F4"/>
    <w:rsid w:val="00D64F55"/>
    <w:rsid w:val="00D71C74"/>
    <w:rsid w:val="00D72A8A"/>
    <w:rsid w:val="00D83389"/>
    <w:rsid w:val="00D87DDB"/>
    <w:rsid w:val="00D92EB7"/>
    <w:rsid w:val="00D957AB"/>
    <w:rsid w:val="00DA3DCB"/>
    <w:rsid w:val="00DA43A9"/>
    <w:rsid w:val="00DA5535"/>
    <w:rsid w:val="00DA62A2"/>
    <w:rsid w:val="00DB7C4D"/>
    <w:rsid w:val="00DC2630"/>
    <w:rsid w:val="00DC3E57"/>
    <w:rsid w:val="00DC5B8C"/>
    <w:rsid w:val="00DC6275"/>
    <w:rsid w:val="00DC7424"/>
    <w:rsid w:val="00DD2B12"/>
    <w:rsid w:val="00DD5CCC"/>
    <w:rsid w:val="00DD66AB"/>
    <w:rsid w:val="00DE0912"/>
    <w:rsid w:val="00DE306A"/>
    <w:rsid w:val="00DE703C"/>
    <w:rsid w:val="00DF09DF"/>
    <w:rsid w:val="00DF5F48"/>
    <w:rsid w:val="00DF73E1"/>
    <w:rsid w:val="00E0368F"/>
    <w:rsid w:val="00E050AE"/>
    <w:rsid w:val="00E0765F"/>
    <w:rsid w:val="00E21B61"/>
    <w:rsid w:val="00E27D96"/>
    <w:rsid w:val="00E43E8A"/>
    <w:rsid w:val="00E51057"/>
    <w:rsid w:val="00E52380"/>
    <w:rsid w:val="00E55D25"/>
    <w:rsid w:val="00E613CF"/>
    <w:rsid w:val="00E670BE"/>
    <w:rsid w:val="00E712C4"/>
    <w:rsid w:val="00E75178"/>
    <w:rsid w:val="00E84BD5"/>
    <w:rsid w:val="00E876D5"/>
    <w:rsid w:val="00EA35AF"/>
    <w:rsid w:val="00EA3682"/>
    <w:rsid w:val="00EA7579"/>
    <w:rsid w:val="00EB2C62"/>
    <w:rsid w:val="00EB52A4"/>
    <w:rsid w:val="00EC10D4"/>
    <w:rsid w:val="00EC1609"/>
    <w:rsid w:val="00ED5D51"/>
    <w:rsid w:val="00ED6777"/>
    <w:rsid w:val="00ED6A44"/>
    <w:rsid w:val="00ED7A1E"/>
    <w:rsid w:val="00EE28AF"/>
    <w:rsid w:val="00EE5228"/>
    <w:rsid w:val="00EF52F7"/>
    <w:rsid w:val="00F0373F"/>
    <w:rsid w:val="00F03F14"/>
    <w:rsid w:val="00F0569A"/>
    <w:rsid w:val="00F05BDA"/>
    <w:rsid w:val="00F11BD7"/>
    <w:rsid w:val="00F147A9"/>
    <w:rsid w:val="00F1569B"/>
    <w:rsid w:val="00F212FF"/>
    <w:rsid w:val="00F227F0"/>
    <w:rsid w:val="00F3117A"/>
    <w:rsid w:val="00F3333D"/>
    <w:rsid w:val="00F36B5C"/>
    <w:rsid w:val="00F37CA3"/>
    <w:rsid w:val="00F41429"/>
    <w:rsid w:val="00F468DE"/>
    <w:rsid w:val="00F50E15"/>
    <w:rsid w:val="00F53121"/>
    <w:rsid w:val="00F54D8E"/>
    <w:rsid w:val="00F579C6"/>
    <w:rsid w:val="00F606C3"/>
    <w:rsid w:val="00F62335"/>
    <w:rsid w:val="00F6652F"/>
    <w:rsid w:val="00F740D4"/>
    <w:rsid w:val="00F742C2"/>
    <w:rsid w:val="00F847C3"/>
    <w:rsid w:val="00F96C36"/>
    <w:rsid w:val="00F97B1A"/>
    <w:rsid w:val="00FA3A48"/>
    <w:rsid w:val="00FA5084"/>
    <w:rsid w:val="00FB1CBE"/>
    <w:rsid w:val="00FC208A"/>
    <w:rsid w:val="00FC612C"/>
    <w:rsid w:val="00FC7169"/>
    <w:rsid w:val="00FD08F8"/>
    <w:rsid w:val="00FD137F"/>
    <w:rsid w:val="00FD1503"/>
    <w:rsid w:val="00FD3A17"/>
    <w:rsid w:val="00FE01E6"/>
    <w:rsid w:val="00FF3F66"/>
    <w:rsid w:val="00F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0E"/>
  </w:style>
  <w:style w:type="paragraph" w:styleId="1">
    <w:name w:val="heading 1"/>
    <w:basedOn w:val="a"/>
    <w:next w:val="a"/>
    <w:link w:val="10"/>
    <w:uiPriority w:val="9"/>
    <w:qFormat/>
    <w:rsid w:val="001632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53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5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50E"/>
    <w:rPr>
      <w:rFonts w:ascii="Tahoma" w:hAnsi="Tahoma" w:cs="Tahoma"/>
      <w:sz w:val="16"/>
      <w:szCs w:val="16"/>
    </w:rPr>
  </w:style>
  <w:style w:type="character" w:styleId="a5">
    <w:name w:val="Placeholder Text"/>
    <w:basedOn w:val="a0"/>
    <w:uiPriority w:val="99"/>
    <w:semiHidden/>
    <w:rsid w:val="0042272E"/>
    <w:rPr>
      <w:color w:val="808080"/>
    </w:rPr>
  </w:style>
  <w:style w:type="character" w:customStyle="1" w:styleId="a6">
    <w:name w:val="Верхний колонтитул Знак"/>
    <w:basedOn w:val="a0"/>
    <w:link w:val="a7"/>
    <w:uiPriority w:val="99"/>
    <w:semiHidden/>
    <w:rsid w:val="00DB7C4D"/>
  </w:style>
  <w:style w:type="paragraph" w:styleId="a7">
    <w:name w:val="header"/>
    <w:basedOn w:val="a"/>
    <w:link w:val="a6"/>
    <w:uiPriority w:val="99"/>
    <w:semiHidden/>
    <w:unhideWhenUsed/>
    <w:rsid w:val="00DB7C4D"/>
    <w:pPr>
      <w:tabs>
        <w:tab w:val="center" w:pos="4677"/>
        <w:tab w:val="right" w:pos="9355"/>
      </w:tabs>
      <w:spacing w:after="0" w:line="240" w:lineRule="auto"/>
    </w:pPr>
  </w:style>
  <w:style w:type="character" w:customStyle="1" w:styleId="11">
    <w:name w:val="Верхний колонтитул Знак1"/>
    <w:basedOn w:val="a0"/>
    <w:link w:val="a7"/>
    <w:uiPriority w:val="99"/>
    <w:semiHidden/>
    <w:rsid w:val="00DB7C4D"/>
  </w:style>
  <w:style w:type="character" w:customStyle="1" w:styleId="a8">
    <w:name w:val="Нижний колонтитул Знак"/>
    <w:basedOn w:val="a0"/>
    <w:link w:val="a9"/>
    <w:uiPriority w:val="99"/>
    <w:rsid w:val="00DB7C4D"/>
  </w:style>
  <w:style w:type="paragraph" w:styleId="a9">
    <w:name w:val="footer"/>
    <w:basedOn w:val="a"/>
    <w:link w:val="a8"/>
    <w:uiPriority w:val="99"/>
    <w:unhideWhenUsed/>
    <w:rsid w:val="00DB7C4D"/>
    <w:pPr>
      <w:tabs>
        <w:tab w:val="center" w:pos="4677"/>
        <w:tab w:val="right" w:pos="9355"/>
      </w:tabs>
      <w:spacing w:after="0" w:line="240" w:lineRule="auto"/>
    </w:pPr>
  </w:style>
  <w:style w:type="character" w:customStyle="1" w:styleId="12">
    <w:name w:val="Нижний колонтитул Знак1"/>
    <w:basedOn w:val="a0"/>
    <w:link w:val="a9"/>
    <w:uiPriority w:val="99"/>
    <w:semiHidden/>
    <w:rsid w:val="00DB7C4D"/>
  </w:style>
  <w:style w:type="character" w:customStyle="1" w:styleId="aa">
    <w:name w:val="Текст концевой сноски Знак"/>
    <w:basedOn w:val="a0"/>
    <w:link w:val="ab"/>
    <w:uiPriority w:val="99"/>
    <w:semiHidden/>
    <w:rsid w:val="00DB7C4D"/>
    <w:rPr>
      <w:sz w:val="20"/>
      <w:szCs w:val="20"/>
    </w:rPr>
  </w:style>
  <w:style w:type="paragraph" w:styleId="ab">
    <w:name w:val="endnote text"/>
    <w:basedOn w:val="a"/>
    <w:link w:val="aa"/>
    <w:uiPriority w:val="99"/>
    <w:semiHidden/>
    <w:unhideWhenUsed/>
    <w:rsid w:val="00DB7C4D"/>
    <w:pPr>
      <w:spacing w:after="0" w:line="240" w:lineRule="auto"/>
    </w:pPr>
    <w:rPr>
      <w:sz w:val="20"/>
      <w:szCs w:val="20"/>
    </w:rPr>
  </w:style>
  <w:style w:type="table" w:styleId="ac">
    <w:name w:val="Table Grid"/>
    <w:basedOn w:val="a1"/>
    <w:uiPriority w:val="59"/>
    <w:rsid w:val="005C1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D6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63245"/>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163245"/>
    <w:pPr>
      <w:outlineLvl w:val="9"/>
    </w:pPr>
  </w:style>
  <w:style w:type="paragraph" w:styleId="21">
    <w:name w:val="toc 2"/>
    <w:basedOn w:val="a"/>
    <w:next w:val="a"/>
    <w:autoRedefine/>
    <w:uiPriority w:val="39"/>
    <w:semiHidden/>
    <w:unhideWhenUsed/>
    <w:qFormat/>
    <w:rsid w:val="00163245"/>
    <w:pPr>
      <w:spacing w:after="100"/>
      <w:ind w:left="220"/>
    </w:pPr>
    <w:rPr>
      <w:rFonts w:eastAsiaTheme="minorEastAsia"/>
    </w:rPr>
  </w:style>
  <w:style w:type="paragraph" w:styleId="13">
    <w:name w:val="toc 1"/>
    <w:basedOn w:val="a"/>
    <w:next w:val="a"/>
    <w:autoRedefine/>
    <w:uiPriority w:val="39"/>
    <w:unhideWhenUsed/>
    <w:qFormat/>
    <w:rsid w:val="00647656"/>
    <w:pPr>
      <w:spacing w:after="0" w:line="360" w:lineRule="auto"/>
    </w:pPr>
    <w:rPr>
      <w:rFonts w:ascii="Times New Roman" w:eastAsiaTheme="minorEastAsia" w:hAnsi="Times New Roman" w:cs="Times New Roman"/>
      <w:b/>
      <w:sz w:val="28"/>
      <w:szCs w:val="28"/>
    </w:rPr>
  </w:style>
  <w:style w:type="paragraph" w:styleId="3">
    <w:name w:val="toc 3"/>
    <w:basedOn w:val="a"/>
    <w:next w:val="a"/>
    <w:autoRedefine/>
    <w:uiPriority w:val="39"/>
    <w:unhideWhenUsed/>
    <w:qFormat/>
    <w:rsid w:val="00A83849"/>
    <w:pPr>
      <w:spacing w:after="100" w:line="360" w:lineRule="auto"/>
      <w:ind w:left="215"/>
    </w:pPr>
    <w:rPr>
      <w:rFonts w:eastAsiaTheme="minorEastAsia"/>
    </w:rPr>
  </w:style>
  <w:style w:type="paragraph" w:styleId="af">
    <w:name w:val="Body Text"/>
    <w:basedOn w:val="a"/>
    <w:link w:val="af0"/>
    <w:rsid w:val="00DC6275"/>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DC6275"/>
    <w:rPr>
      <w:rFonts w:ascii="Times New Roman" w:eastAsia="Times New Roman" w:hAnsi="Times New Roman" w:cs="Times New Roman"/>
      <w:sz w:val="28"/>
      <w:szCs w:val="20"/>
      <w:lang w:eastAsia="ru-RU"/>
    </w:rPr>
  </w:style>
  <w:style w:type="paragraph" w:styleId="af1">
    <w:name w:val="Body Text Indent"/>
    <w:basedOn w:val="a"/>
    <w:link w:val="af2"/>
    <w:uiPriority w:val="99"/>
    <w:semiHidden/>
    <w:unhideWhenUsed/>
    <w:rsid w:val="00F0373F"/>
    <w:pPr>
      <w:spacing w:after="120"/>
      <w:ind w:left="283"/>
    </w:pPr>
  </w:style>
  <w:style w:type="character" w:customStyle="1" w:styleId="af2">
    <w:name w:val="Основной текст с отступом Знак"/>
    <w:basedOn w:val="a0"/>
    <w:link w:val="af1"/>
    <w:uiPriority w:val="99"/>
    <w:semiHidden/>
    <w:rsid w:val="00F0373F"/>
  </w:style>
  <w:style w:type="paragraph" w:styleId="af3">
    <w:name w:val="caption"/>
    <w:basedOn w:val="a"/>
    <w:next w:val="a"/>
    <w:uiPriority w:val="35"/>
    <w:unhideWhenUsed/>
    <w:qFormat/>
    <w:rsid w:val="00B71305"/>
    <w:pPr>
      <w:spacing w:line="240" w:lineRule="auto"/>
    </w:pPr>
    <w:rPr>
      <w:b/>
      <w:bCs/>
      <w:color w:val="4F81BD" w:themeColor="accent1"/>
      <w:sz w:val="18"/>
      <w:szCs w:val="18"/>
    </w:rPr>
  </w:style>
  <w:style w:type="paragraph" w:styleId="af4">
    <w:name w:val="List Paragraph"/>
    <w:basedOn w:val="a"/>
    <w:uiPriority w:val="34"/>
    <w:qFormat/>
    <w:rsid w:val="00382B30"/>
    <w:pPr>
      <w:ind w:left="720"/>
      <w:contextualSpacing/>
    </w:pPr>
  </w:style>
  <w:style w:type="character" w:customStyle="1" w:styleId="20">
    <w:name w:val="Заголовок 2 Знак"/>
    <w:basedOn w:val="a0"/>
    <w:link w:val="2"/>
    <w:uiPriority w:val="9"/>
    <w:semiHidden/>
    <w:rsid w:val="002534A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9061478">
      <w:bodyDiv w:val="1"/>
      <w:marLeft w:val="0"/>
      <w:marRight w:val="0"/>
      <w:marTop w:val="0"/>
      <w:marBottom w:val="0"/>
      <w:divBdr>
        <w:top w:val="none" w:sz="0" w:space="0" w:color="auto"/>
        <w:left w:val="none" w:sz="0" w:space="0" w:color="auto"/>
        <w:bottom w:val="none" w:sz="0" w:space="0" w:color="auto"/>
        <w:right w:val="none" w:sz="0" w:space="0" w:color="auto"/>
      </w:divBdr>
    </w:div>
    <w:div w:id="255212681">
      <w:bodyDiv w:val="1"/>
      <w:marLeft w:val="0"/>
      <w:marRight w:val="0"/>
      <w:marTop w:val="0"/>
      <w:marBottom w:val="0"/>
      <w:divBdr>
        <w:top w:val="none" w:sz="0" w:space="0" w:color="auto"/>
        <w:left w:val="none" w:sz="0" w:space="0" w:color="auto"/>
        <w:bottom w:val="none" w:sz="0" w:space="0" w:color="auto"/>
        <w:right w:val="none" w:sz="0" w:space="0" w:color="auto"/>
      </w:divBdr>
    </w:div>
    <w:div w:id="398334106">
      <w:bodyDiv w:val="1"/>
      <w:marLeft w:val="0"/>
      <w:marRight w:val="0"/>
      <w:marTop w:val="0"/>
      <w:marBottom w:val="0"/>
      <w:divBdr>
        <w:top w:val="none" w:sz="0" w:space="0" w:color="auto"/>
        <w:left w:val="none" w:sz="0" w:space="0" w:color="auto"/>
        <w:bottom w:val="none" w:sz="0" w:space="0" w:color="auto"/>
        <w:right w:val="none" w:sz="0" w:space="0" w:color="auto"/>
      </w:divBdr>
    </w:div>
    <w:div w:id="513764328">
      <w:bodyDiv w:val="1"/>
      <w:marLeft w:val="0"/>
      <w:marRight w:val="0"/>
      <w:marTop w:val="0"/>
      <w:marBottom w:val="0"/>
      <w:divBdr>
        <w:top w:val="none" w:sz="0" w:space="0" w:color="auto"/>
        <w:left w:val="none" w:sz="0" w:space="0" w:color="auto"/>
        <w:bottom w:val="none" w:sz="0" w:space="0" w:color="auto"/>
        <w:right w:val="none" w:sz="0" w:space="0" w:color="auto"/>
      </w:divBdr>
    </w:div>
    <w:div w:id="689836872">
      <w:bodyDiv w:val="1"/>
      <w:marLeft w:val="0"/>
      <w:marRight w:val="0"/>
      <w:marTop w:val="0"/>
      <w:marBottom w:val="0"/>
      <w:divBdr>
        <w:top w:val="none" w:sz="0" w:space="0" w:color="auto"/>
        <w:left w:val="none" w:sz="0" w:space="0" w:color="auto"/>
        <w:bottom w:val="none" w:sz="0" w:space="0" w:color="auto"/>
        <w:right w:val="none" w:sz="0" w:space="0" w:color="auto"/>
      </w:divBdr>
    </w:div>
    <w:div w:id="788008758">
      <w:bodyDiv w:val="1"/>
      <w:marLeft w:val="0"/>
      <w:marRight w:val="0"/>
      <w:marTop w:val="0"/>
      <w:marBottom w:val="0"/>
      <w:divBdr>
        <w:top w:val="none" w:sz="0" w:space="0" w:color="auto"/>
        <w:left w:val="none" w:sz="0" w:space="0" w:color="auto"/>
        <w:bottom w:val="none" w:sz="0" w:space="0" w:color="auto"/>
        <w:right w:val="none" w:sz="0" w:space="0" w:color="auto"/>
      </w:divBdr>
    </w:div>
    <w:div w:id="833955512">
      <w:bodyDiv w:val="1"/>
      <w:marLeft w:val="0"/>
      <w:marRight w:val="0"/>
      <w:marTop w:val="0"/>
      <w:marBottom w:val="0"/>
      <w:divBdr>
        <w:top w:val="none" w:sz="0" w:space="0" w:color="auto"/>
        <w:left w:val="none" w:sz="0" w:space="0" w:color="auto"/>
        <w:bottom w:val="none" w:sz="0" w:space="0" w:color="auto"/>
        <w:right w:val="none" w:sz="0" w:space="0" w:color="auto"/>
      </w:divBdr>
    </w:div>
    <w:div w:id="923539626">
      <w:bodyDiv w:val="1"/>
      <w:marLeft w:val="0"/>
      <w:marRight w:val="0"/>
      <w:marTop w:val="0"/>
      <w:marBottom w:val="0"/>
      <w:divBdr>
        <w:top w:val="none" w:sz="0" w:space="0" w:color="auto"/>
        <w:left w:val="none" w:sz="0" w:space="0" w:color="auto"/>
        <w:bottom w:val="none" w:sz="0" w:space="0" w:color="auto"/>
        <w:right w:val="none" w:sz="0" w:space="0" w:color="auto"/>
      </w:divBdr>
    </w:div>
    <w:div w:id="955480221">
      <w:bodyDiv w:val="1"/>
      <w:marLeft w:val="0"/>
      <w:marRight w:val="0"/>
      <w:marTop w:val="0"/>
      <w:marBottom w:val="0"/>
      <w:divBdr>
        <w:top w:val="none" w:sz="0" w:space="0" w:color="auto"/>
        <w:left w:val="none" w:sz="0" w:space="0" w:color="auto"/>
        <w:bottom w:val="none" w:sz="0" w:space="0" w:color="auto"/>
        <w:right w:val="none" w:sz="0" w:space="0" w:color="auto"/>
      </w:divBdr>
    </w:div>
    <w:div w:id="967007486">
      <w:bodyDiv w:val="1"/>
      <w:marLeft w:val="0"/>
      <w:marRight w:val="0"/>
      <w:marTop w:val="0"/>
      <w:marBottom w:val="0"/>
      <w:divBdr>
        <w:top w:val="none" w:sz="0" w:space="0" w:color="auto"/>
        <w:left w:val="none" w:sz="0" w:space="0" w:color="auto"/>
        <w:bottom w:val="none" w:sz="0" w:space="0" w:color="auto"/>
        <w:right w:val="none" w:sz="0" w:space="0" w:color="auto"/>
      </w:divBdr>
    </w:div>
    <w:div w:id="1082726238">
      <w:bodyDiv w:val="1"/>
      <w:marLeft w:val="0"/>
      <w:marRight w:val="0"/>
      <w:marTop w:val="0"/>
      <w:marBottom w:val="0"/>
      <w:divBdr>
        <w:top w:val="none" w:sz="0" w:space="0" w:color="auto"/>
        <w:left w:val="none" w:sz="0" w:space="0" w:color="auto"/>
        <w:bottom w:val="none" w:sz="0" w:space="0" w:color="auto"/>
        <w:right w:val="none" w:sz="0" w:space="0" w:color="auto"/>
      </w:divBdr>
    </w:div>
    <w:div w:id="1141388627">
      <w:bodyDiv w:val="1"/>
      <w:marLeft w:val="0"/>
      <w:marRight w:val="0"/>
      <w:marTop w:val="0"/>
      <w:marBottom w:val="0"/>
      <w:divBdr>
        <w:top w:val="none" w:sz="0" w:space="0" w:color="auto"/>
        <w:left w:val="none" w:sz="0" w:space="0" w:color="auto"/>
        <w:bottom w:val="none" w:sz="0" w:space="0" w:color="auto"/>
        <w:right w:val="none" w:sz="0" w:space="0" w:color="auto"/>
      </w:divBdr>
    </w:div>
    <w:div w:id="1168598824">
      <w:bodyDiv w:val="1"/>
      <w:marLeft w:val="0"/>
      <w:marRight w:val="0"/>
      <w:marTop w:val="0"/>
      <w:marBottom w:val="0"/>
      <w:divBdr>
        <w:top w:val="none" w:sz="0" w:space="0" w:color="auto"/>
        <w:left w:val="none" w:sz="0" w:space="0" w:color="auto"/>
        <w:bottom w:val="none" w:sz="0" w:space="0" w:color="auto"/>
        <w:right w:val="none" w:sz="0" w:space="0" w:color="auto"/>
      </w:divBdr>
    </w:div>
    <w:div w:id="1342509183">
      <w:bodyDiv w:val="1"/>
      <w:marLeft w:val="0"/>
      <w:marRight w:val="0"/>
      <w:marTop w:val="0"/>
      <w:marBottom w:val="0"/>
      <w:divBdr>
        <w:top w:val="none" w:sz="0" w:space="0" w:color="auto"/>
        <w:left w:val="none" w:sz="0" w:space="0" w:color="auto"/>
        <w:bottom w:val="none" w:sz="0" w:space="0" w:color="auto"/>
        <w:right w:val="none" w:sz="0" w:space="0" w:color="auto"/>
      </w:divBdr>
    </w:div>
    <w:div w:id="1346636794">
      <w:bodyDiv w:val="1"/>
      <w:marLeft w:val="0"/>
      <w:marRight w:val="0"/>
      <w:marTop w:val="0"/>
      <w:marBottom w:val="0"/>
      <w:divBdr>
        <w:top w:val="none" w:sz="0" w:space="0" w:color="auto"/>
        <w:left w:val="none" w:sz="0" w:space="0" w:color="auto"/>
        <w:bottom w:val="none" w:sz="0" w:space="0" w:color="auto"/>
        <w:right w:val="none" w:sz="0" w:space="0" w:color="auto"/>
      </w:divBdr>
    </w:div>
    <w:div w:id="1399940726">
      <w:bodyDiv w:val="1"/>
      <w:marLeft w:val="0"/>
      <w:marRight w:val="0"/>
      <w:marTop w:val="0"/>
      <w:marBottom w:val="0"/>
      <w:divBdr>
        <w:top w:val="none" w:sz="0" w:space="0" w:color="auto"/>
        <w:left w:val="none" w:sz="0" w:space="0" w:color="auto"/>
        <w:bottom w:val="none" w:sz="0" w:space="0" w:color="auto"/>
        <w:right w:val="none" w:sz="0" w:space="0" w:color="auto"/>
      </w:divBdr>
    </w:div>
    <w:div w:id="1402484984">
      <w:bodyDiv w:val="1"/>
      <w:marLeft w:val="0"/>
      <w:marRight w:val="0"/>
      <w:marTop w:val="0"/>
      <w:marBottom w:val="0"/>
      <w:divBdr>
        <w:top w:val="none" w:sz="0" w:space="0" w:color="auto"/>
        <w:left w:val="none" w:sz="0" w:space="0" w:color="auto"/>
        <w:bottom w:val="none" w:sz="0" w:space="0" w:color="auto"/>
        <w:right w:val="none" w:sz="0" w:space="0" w:color="auto"/>
      </w:divBdr>
    </w:div>
    <w:div w:id="1508865618">
      <w:bodyDiv w:val="1"/>
      <w:marLeft w:val="0"/>
      <w:marRight w:val="0"/>
      <w:marTop w:val="0"/>
      <w:marBottom w:val="0"/>
      <w:divBdr>
        <w:top w:val="none" w:sz="0" w:space="0" w:color="auto"/>
        <w:left w:val="none" w:sz="0" w:space="0" w:color="auto"/>
        <w:bottom w:val="none" w:sz="0" w:space="0" w:color="auto"/>
        <w:right w:val="none" w:sz="0" w:space="0" w:color="auto"/>
      </w:divBdr>
    </w:div>
    <w:div w:id="1569265728">
      <w:bodyDiv w:val="1"/>
      <w:marLeft w:val="0"/>
      <w:marRight w:val="0"/>
      <w:marTop w:val="0"/>
      <w:marBottom w:val="0"/>
      <w:divBdr>
        <w:top w:val="none" w:sz="0" w:space="0" w:color="auto"/>
        <w:left w:val="none" w:sz="0" w:space="0" w:color="auto"/>
        <w:bottom w:val="none" w:sz="0" w:space="0" w:color="auto"/>
        <w:right w:val="none" w:sz="0" w:space="0" w:color="auto"/>
      </w:divBdr>
    </w:div>
    <w:div w:id="1835492497">
      <w:bodyDiv w:val="1"/>
      <w:marLeft w:val="0"/>
      <w:marRight w:val="0"/>
      <w:marTop w:val="0"/>
      <w:marBottom w:val="0"/>
      <w:divBdr>
        <w:top w:val="none" w:sz="0" w:space="0" w:color="auto"/>
        <w:left w:val="none" w:sz="0" w:space="0" w:color="auto"/>
        <w:bottom w:val="none" w:sz="0" w:space="0" w:color="auto"/>
        <w:right w:val="none" w:sz="0" w:space="0" w:color="auto"/>
      </w:divBdr>
    </w:div>
    <w:div w:id="205134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chart" Target="charts/chart11.xml"/><Relationship Id="rId27"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83;&#1083;&#1072;\&#1056;&#1072;&#1073;&#1086;&#1095;&#1080;&#1081;%20&#1089;&#1090;&#1086;&#1083;\&#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0;&#1087;&#1083;&#1086;&#1084;\&#1048;&#1085;&#1092;&#1083;&#1103;&#1094;&#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048;&#1085;&#1092;&#1083;&#1103;&#1094;&#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4;&#1080;&#1087;&#1083;&#1086;&#1084;\&#1048;&#1085;&#1092;&#1083;&#1103;&#1094;&#1080;&#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4;&#1080;&#1087;&#1083;&#1086;&#1084;\&#1048;&#1085;&#1092;&#1083;&#1103;&#1094;&#1080;&#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1040;&#1083;&#1083;&#1072;\&#1056;&#1072;&#1073;&#1086;&#1095;&#1080;&#1081;%20&#1089;&#1090;&#1086;&#1083;\&#1060;&#1080;&#1085;&#1072;&#1085;&#1089;&#1086;&#1074;&#1099;&#1077;%20&#1087;&#1086;&#1090;&#1086;&#1082;&#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1040;&#1083;&#1083;&#1072;\&#1056;&#1072;&#1073;&#1086;&#1095;&#1080;&#1081;%20&#1089;&#1090;&#1086;&#1083;\&#1060;&#1080;&#1085;&#1072;&#1085;&#1089;&#1086;&#1074;&#1099;&#1077;%20&#1087;&#1086;&#1090;&#1086;&#1082;&#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1040;&#1083;&#1083;&#1072;\&#1056;&#1072;&#1073;&#1086;&#1095;&#1080;&#1081;%20&#1089;&#1090;&#1086;&#1083;\&#1060;&#1080;&#1085;&#1072;&#1085;&#1089;&#1086;&#1074;&#1099;&#1077;%20&#1087;&#1086;&#1090;&#1086;&#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0;&#1087;&#1083;&#1086;&#1084;\&#1044;&#1080;&#1087;&#1083;&#1086;&#1084;_&#1085;&#1072;&#1088;&#1072;&#1073;&#1086;&#109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0;&#1087;&#1083;&#1086;&#1084;\&#1044;&#1080;&#1087;&#1083;&#1086;&#1084;_&#1085;&#1072;&#1088;&#1072;&#1073;&#1086;&#109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0;&#1087;&#1083;&#1086;&#1084;\&#1044;&#1080;&#1087;&#1083;&#1086;&#1084;_&#1085;&#1072;&#1088;&#1072;&#1073;&#1086;&#109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0;&#1087;&#1083;&#1086;&#1084;\&#1044;&#1080;&#1087;&#1083;&#1086;&#1084;_&#1085;&#1072;&#1088;&#1072;&#1073;&#1086;&#109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50;&#1086;&#1087;&#1080;&#1103;%20&#1044;&#1080;&#1087;&#1083;&#1086;&#1084;_&#1085;&#1072;&#1088;&#1072;&#1073;&#1086;&#1090;&#1082;&#108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1044;&#1080;&#1087;&#1083;&#1086;&#1084;_&#1085;&#1072;&#1088;&#1072;&#1073;&#1086;&#1090;&#1082;&#108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050;&#1086;&#1087;&#1080;&#1103;%20&#1044;&#1080;&#1087;&#1083;&#1086;&#1084;_&#1085;&#1072;&#1088;&#1072;&#1073;&#1086;&#1090;&#1082;&#108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0;&#1087;&#1083;&#1086;&#1084;\&#1053;&#1072;%20&#1086;&#1090;&#1087;&#1088;&#1072;&#1074;&#1082;&#1091;\&#1056;&#1055;&#1053;&#1059;_&#1080;&#1090;&#1086;&#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9621755090308505"/>
          <c:y val="5.0925925925926339E-2"/>
          <c:w val="0.65309508663303484"/>
          <c:h val="0.72284813356664324"/>
        </c:manualLayout>
      </c:layout>
      <c:bar3DChart>
        <c:barDir val="bar"/>
        <c:grouping val="percentStacked"/>
        <c:ser>
          <c:idx val="0"/>
          <c:order val="0"/>
          <c:tx>
            <c:v>государственные</c:v>
          </c:tx>
          <c:dLbls>
            <c:txPr>
              <a:bodyPr/>
              <a:lstStyle/>
              <a:p>
                <a:pPr>
                  <a:defRPr sz="1050">
                    <a:latin typeface="Times New Roman" pitchFamily="18" charset="0"/>
                    <a:cs typeface="Times New Roman" pitchFamily="18" charset="0"/>
                  </a:defRPr>
                </a:pPr>
                <a:endParaRPr lang="ru-RU"/>
              </a:p>
            </c:txPr>
            <c:showVal val="1"/>
          </c:dLbls>
          <c:cat>
            <c:strRef>
              <c:f>Лист1!$F$23:$F$27</c:f>
              <c:strCache>
                <c:ptCount val="5"/>
                <c:pt idx="0">
                  <c:v>до 5,1 тыс. руб.</c:v>
                </c:pt>
                <c:pt idx="1">
                  <c:v>от 5,1 до 10 тыс. руб.</c:v>
                </c:pt>
                <c:pt idx="2">
                  <c:v>от 10,1 до 20 тыс. руб.</c:v>
                </c:pt>
                <c:pt idx="3">
                  <c:v>от 20,1 до 50 тыс .руб.</c:v>
                </c:pt>
                <c:pt idx="4">
                  <c:v>более 50 тыс. руб.</c:v>
                </c:pt>
              </c:strCache>
            </c:strRef>
          </c:cat>
          <c:val>
            <c:numRef>
              <c:f>Лист1!$G$23:$G$27</c:f>
              <c:numCache>
                <c:formatCode>General</c:formatCode>
                <c:ptCount val="5"/>
                <c:pt idx="0">
                  <c:v>67.099999999999994</c:v>
                </c:pt>
                <c:pt idx="1">
                  <c:v>46.3</c:v>
                </c:pt>
                <c:pt idx="2">
                  <c:v>37.300000000000004</c:v>
                </c:pt>
                <c:pt idx="3">
                  <c:v>31</c:v>
                </c:pt>
                <c:pt idx="4">
                  <c:v>27.8</c:v>
                </c:pt>
              </c:numCache>
            </c:numRef>
          </c:val>
        </c:ser>
        <c:ser>
          <c:idx val="1"/>
          <c:order val="1"/>
          <c:tx>
            <c:v>ведомственные</c:v>
          </c:tx>
          <c:dLbls>
            <c:txPr>
              <a:bodyPr/>
              <a:lstStyle/>
              <a:p>
                <a:pPr>
                  <a:defRPr sz="1050">
                    <a:latin typeface="Times New Roman" pitchFamily="18" charset="0"/>
                    <a:cs typeface="Times New Roman" pitchFamily="18" charset="0"/>
                  </a:defRPr>
                </a:pPr>
                <a:endParaRPr lang="ru-RU"/>
              </a:p>
            </c:txPr>
            <c:showVal val="1"/>
          </c:dLbls>
          <c:cat>
            <c:strRef>
              <c:f>Лист1!$F$23:$F$27</c:f>
              <c:strCache>
                <c:ptCount val="5"/>
                <c:pt idx="0">
                  <c:v>до 5,1 тыс. руб.</c:v>
                </c:pt>
                <c:pt idx="1">
                  <c:v>от 5,1 до 10 тыс. руб.</c:v>
                </c:pt>
                <c:pt idx="2">
                  <c:v>от 10,1 до 20 тыс. руб.</c:v>
                </c:pt>
                <c:pt idx="3">
                  <c:v>от 20,1 до 50 тыс .руб.</c:v>
                </c:pt>
                <c:pt idx="4">
                  <c:v>более 50 тыс. руб.</c:v>
                </c:pt>
              </c:strCache>
            </c:strRef>
          </c:cat>
          <c:val>
            <c:numRef>
              <c:f>Лист1!$H$23:$H$27</c:f>
              <c:numCache>
                <c:formatCode>General</c:formatCode>
                <c:ptCount val="5"/>
                <c:pt idx="0">
                  <c:v>14.5</c:v>
                </c:pt>
                <c:pt idx="1">
                  <c:v>19.2</c:v>
                </c:pt>
                <c:pt idx="2">
                  <c:v>25.9</c:v>
                </c:pt>
                <c:pt idx="3">
                  <c:v>21.1</c:v>
                </c:pt>
                <c:pt idx="4">
                  <c:v>33.300000000000004</c:v>
                </c:pt>
              </c:numCache>
            </c:numRef>
          </c:val>
        </c:ser>
        <c:ser>
          <c:idx val="2"/>
          <c:order val="2"/>
          <c:tx>
            <c:v>частные</c:v>
          </c:tx>
          <c:dLbls>
            <c:txPr>
              <a:bodyPr/>
              <a:lstStyle/>
              <a:p>
                <a:pPr>
                  <a:defRPr sz="1050">
                    <a:latin typeface="Times New Roman" pitchFamily="18" charset="0"/>
                    <a:cs typeface="Times New Roman" pitchFamily="18" charset="0"/>
                  </a:defRPr>
                </a:pPr>
                <a:endParaRPr lang="ru-RU"/>
              </a:p>
            </c:txPr>
            <c:showVal val="1"/>
          </c:dLbls>
          <c:cat>
            <c:strRef>
              <c:f>Лист1!$F$23:$F$27</c:f>
              <c:strCache>
                <c:ptCount val="5"/>
                <c:pt idx="0">
                  <c:v>до 5,1 тыс. руб.</c:v>
                </c:pt>
                <c:pt idx="1">
                  <c:v>от 5,1 до 10 тыс. руб.</c:v>
                </c:pt>
                <c:pt idx="2">
                  <c:v>от 10,1 до 20 тыс. руб.</c:v>
                </c:pt>
                <c:pt idx="3">
                  <c:v>от 20,1 до 50 тыс .руб.</c:v>
                </c:pt>
                <c:pt idx="4">
                  <c:v>более 50 тыс. руб.</c:v>
                </c:pt>
              </c:strCache>
            </c:strRef>
          </c:cat>
          <c:val>
            <c:numRef>
              <c:f>Лист1!$I$23:$I$27</c:f>
              <c:numCache>
                <c:formatCode>General</c:formatCode>
                <c:ptCount val="5"/>
                <c:pt idx="0">
                  <c:v>18.399999999999999</c:v>
                </c:pt>
                <c:pt idx="1">
                  <c:v>34.5</c:v>
                </c:pt>
                <c:pt idx="2">
                  <c:v>36.800000000000004</c:v>
                </c:pt>
                <c:pt idx="3">
                  <c:v>47.9</c:v>
                </c:pt>
                <c:pt idx="4">
                  <c:v>38.9</c:v>
                </c:pt>
              </c:numCache>
            </c:numRef>
          </c:val>
        </c:ser>
        <c:shape val="box"/>
        <c:axId val="158305280"/>
        <c:axId val="143332480"/>
        <c:axId val="0"/>
      </c:bar3DChart>
      <c:catAx>
        <c:axId val="158305280"/>
        <c:scaling>
          <c:orientation val="minMax"/>
        </c:scaling>
        <c:axPos val="l"/>
        <c:title>
          <c:tx>
            <c:rich>
              <a:bodyPr rot="-5400000" vert="horz"/>
              <a:lstStyle/>
              <a:p>
                <a:pPr>
                  <a:defRPr/>
                </a:pPr>
                <a:r>
                  <a:rPr lang="ru-RU">
                    <a:latin typeface="Times New Roman" pitchFamily="18" charset="0"/>
                    <a:cs typeface="Times New Roman" pitchFamily="18" charset="0"/>
                  </a:rPr>
                  <a:t>Стоимость страховки, руб.</a:t>
                </a:r>
              </a:p>
            </c:rich>
          </c:tx>
          <c:layout>
            <c:manualLayout>
              <c:xMode val="edge"/>
              <c:yMode val="edge"/>
              <c:x val="5.8564582479254685E-3"/>
              <c:y val="0.14345836978711196"/>
            </c:manualLayout>
          </c:layout>
        </c:title>
        <c:tickLblPos val="nextTo"/>
        <c:txPr>
          <a:bodyPr/>
          <a:lstStyle/>
          <a:p>
            <a:pPr>
              <a:defRPr sz="1050">
                <a:latin typeface="Times New Roman" pitchFamily="18" charset="0"/>
                <a:cs typeface="Times New Roman" pitchFamily="18" charset="0"/>
              </a:defRPr>
            </a:pPr>
            <a:endParaRPr lang="ru-RU"/>
          </a:p>
        </c:txPr>
        <c:crossAx val="143332480"/>
        <c:crosses val="autoZero"/>
        <c:auto val="1"/>
        <c:lblAlgn val="ctr"/>
        <c:lblOffset val="100"/>
      </c:catAx>
      <c:valAx>
        <c:axId val="143332480"/>
        <c:scaling>
          <c:orientation val="minMax"/>
        </c:scaling>
        <c:axPos val="b"/>
        <c:majorGridlines/>
        <c:numFmt formatCode="0%" sourceLinked="1"/>
        <c:tickLblPos val="nextTo"/>
        <c:txPr>
          <a:bodyPr/>
          <a:lstStyle/>
          <a:p>
            <a:pPr>
              <a:defRPr sz="1050">
                <a:latin typeface="Times New Roman" pitchFamily="18" charset="0"/>
                <a:cs typeface="Times New Roman" pitchFamily="18" charset="0"/>
              </a:defRPr>
            </a:pPr>
            <a:endParaRPr lang="ru-RU"/>
          </a:p>
        </c:txPr>
        <c:crossAx val="158305280"/>
        <c:crosses val="autoZero"/>
        <c:crossBetween val="between"/>
      </c:valAx>
    </c:plotArea>
    <c:legend>
      <c:legendPos val="b"/>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5"/>
  <c:chart>
    <c:plotArea>
      <c:layout>
        <c:manualLayout>
          <c:layoutTarget val="inner"/>
          <c:xMode val="edge"/>
          <c:yMode val="edge"/>
          <c:x val="0.15523116536429543"/>
          <c:y val="5.092592592592593E-2"/>
          <c:w val="0.81927335933103229"/>
          <c:h val="0.77738407699038825"/>
        </c:manualLayout>
      </c:layout>
      <c:lineChart>
        <c:grouping val="standard"/>
        <c:ser>
          <c:idx val="0"/>
          <c:order val="0"/>
          <c:marker>
            <c:symbol val="none"/>
          </c:marker>
          <c:trendline>
            <c:trendlineType val="linear"/>
          </c:trendline>
          <c:cat>
            <c:numRef>
              <c:f>'Исходные данные'!$A$26:$A$133</c:f>
              <c:numCache>
                <c:formatCode>General</c:formatCode>
                <c:ptCount val="10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numCache>
            </c:numRef>
          </c:cat>
          <c:val>
            <c:numRef>
              <c:f>'Исходные данные'!$B$26:$B$133</c:f>
              <c:numCache>
                <c:formatCode>0.00</c:formatCode>
                <c:ptCount val="108"/>
                <c:pt idx="0">
                  <c:v>101.66999999999999</c:v>
                </c:pt>
                <c:pt idx="1">
                  <c:v>100.86</c:v>
                </c:pt>
                <c:pt idx="2">
                  <c:v>100.74000000000002</c:v>
                </c:pt>
                <c:pt idx="3">
                  <c:v>100.64</c:v>
                </c:pt>
                <c:pt idx="4">
                  <c:v>100.98</c:v>
                </c:pt>
                <c:pt idx="5">
                  <c:v>100.99000000000002</c:v>
                </c:pt>
                <c:pt idx="6">
                  <c:v>101.04</c:v>
                </c:pt>
                <c:pt idx="7">
                  <c:v>101.64999999999999</c:v>
                </c:pt>
                <c:pt idx="8">
                  <c:v>101.35</c:v>
                </c:pt>
                <c:pt idx="9">
                  <c:v>102.2</c:v>
                </c:pt>
                <c:pt idx="10">
                  <c:v>102.01</c:v>
                </c:pt>
                <c:pt idx="11">
                  <c:v>102.25</c:v>
                </c:pt>
                <c:pt idx="12">
                  <c:v>101.46000000000002</c:v>
                </c:pt>
                <c:pt idx="13">
                  <c:v>101.16</c:v>
                </c:pt>
                <c:pt idx="14">
                  <c:v>101.13</c:v>
                </c:pt>
                <c:pt idx="15">
                  <c:v>100.82</c:v>
                </c:pt>
                <c:pt idx="16">
                  <c:v>100.6</c:v>
                </c:pt>
                <c:pt idx="17">
                  <c:v>101.74000000000002</c:v>
                </c:pt>
                <c:pt idx="18">
                  <c:v>101.63</c:v>
                </c:pt>
                <c:pt idx="19">
                  <c:v>101.33</c:v>
                </c:pt>
                <c:pt idx="20">
                  <c:v>100.92</c:v>
                </c:pt>
                <c:pt idx="21">
                  <c:v>101.83</c:v>
                </c:pt>
                <c:pt idx="22">
                  <c:v>101.39</c:v>
                </c:pt>
                <c:pt idx="23">
                  <c:v>101.36</c:v>
                </c:pt>
                <c:pt idx="24">
                  <c:v>100.93</c:v>
                </c:pt>
                <c:pt idx="25">
                  <c:v>101</c:v>
                </c:pt>
                <c:pt idx="26">
                  <c:v>101.16999999999999</c:v>
                </c:pt>
                <c:pt idx="27">
                  <c:v>100.6</c:v>
                </c:pt>
                <c:pt idx="28">
                  <c:v>100.67999999999998</c:v>
                </c:pt>
                <c:pt idx="29">
                  <c:v>100.9</c:v>
                </c:pt>
                <c:pt idx="30">
                  <c:v>101.22</c:v>
                </c:pt>
                <c:pt idx="31">
                  <c:v>100.95</c:v>
                </c:pt>
                <c:pt idx="32">
                  <c:v>100.81</c:v>
                </c:pt>
                <c:pt idx="33">
                  <c:v>101.83</c:v>
                </c:pt>
                <c:pt idx="34">
                  <c:v>100.95</c:v>
                </c:pt>
                <c:pt idx="35">
                  <c:v>101.6</c:v>
                </c:pt>
                <c:pt idx="36">
                  <c:v>100.83</c:v>
                </c:pt>
                <c:pt idx="37">
                  <c:v>100.76</c:v>
                </c:pt>
                <c:pt idx="38">
                  <c:v>101.1</c:v>
                </c:pt>
                <c:pt idx="39">
                  <c:v>101.01</c:v>
                </c:pt>
                <c:pt idx="40">
                  <c:v>100.6</c:v>
                </c:pt>
                <c:pt idx="41">
                  <c:v>101.08</c:v>
                </c:pt>
                <c:pt idx="42">
                  <c:v>101.29</c:v>
                </c:pt>
                <c:pt idx="43">
                  <c:v>101.1</c:v>
                </c:pt>
                <c:pt idx="44">
                  <c:v>100.94000000000032</c:v>
                </c:pt>
                <c:pt idx="45">
                  <c:v>102.19</c:v>
                </c:pt>
                <c:pt idx="46">
                  <c:v>101.48</c:v>
                </c:pt>
                <c:pt idx="47">
                  <c:v>101.36</c:v>
                </c:pt>
                <c:pt idx="48">
                  <c:v>101.86999999999999</c:v>
                </c:pt>
                <c:pt idx="49">
                  <c:v>101.33</c:v>
                </c:pt>
                <c:pt idx="50">
                  <c:v>100.9</c:v>
                </c:pt>
                <c:pt idx="51">
                  <c:v>100.97</c:v>
                </c:pt>
                <c:pt idx="52">
                  <c:v>100.9</c:v>
                </c:pt>
                <c:pt idx="53">
                  <c:v>101</c:v>
                </c:pt>
                <c:pt idx="54">
                  <c:v>101.29</c:v>
                </c:pt>
                <c:pt idx="55">
                  <c:v>100.98</c:v>
                </c:pt>
                <c:pt idx="56">
                  <c:v>100.9</c:v>
                </c:pt>
                <c:pt idx="57">
                  <c:v>101.57</c:v>
                </c:pt>
                <c:pt idx="58">
                  <c:v>101.86999999999999</c:v>
                </c:pt>
                <c:pt idx="59">
                  <c:v>101.38</c:v>
                </c:pt>
                <c:pt idx="60">
                  <c:v>101.9</c:v>
                </c:pt>
                <c:pt idx="61">
                  <c:v>101.14</c:v>
                </c:pt>
                <c:pt idx="62">
                  <c:v>101.16</c:v>
                </c:pt>
                <c:pt idx="63">
                  <c:v>100.77</c:v>
                </c:pt>
                <c:pt idx="64">
                  <c:v>100.6</c:v>
                </c:pt>
                <c:pt idx="65">
                  <c:v>100.71000000000002</c:v>
                </c:pt>
                <c:pt idx="66">
                  <c:v>100.66999999999999</c:v>
                </c:pt>
                <c:pt idx="67">
                  <c:v>100.66</c:v>
                </c:pt>
                <c:pt idx="68">
                  <c:v>100.7</c:v>
                </c:pt>
                <c:pt idx="69">
                  <c:v>101.32</c:v>
                </c:pt>
                <c:pt idx="70">
                  <c:v>100.59</c:v>
                </c:pt>
                <c:pt idx="71">
                  <c:v>101.11999999999999</c:v>
                </c:pt>
                <c:pt idx="72">
                  <c:v>100.7</c:v>
                </c:pt>
                <c:pt idx="73">
                  <c:v>100.47</c:v>
                </c:pt>
                <c:pt idx="74">
                  <c:v>100.64999999999999</c:v>
                </c:pt>
                <c:pt idx="75">
                  <c:v>100.41000000000012</c:v>
                </c:pt>
                <c:pt idx="76">
                  <c:v>100.64</c:v>
                </c:pt>
                <c:pt idx="77">
                  <c:v>100.54</c:v>
                </c:pt>
                <c:pt idx="78">
                  <c:v>100.53</c:v>
                </c:pt>
                <c:pt idx="79">
                  <c:v>100.44000000000032</c:v>
                </c:pt>
                <c:pt idx="80">
                  <c:v>100.64</c:v>
                </c:pt>
                <c:pt idx="81">
                  <c:v>101.36</c:v>
                </c:pt>
                <c:pt idx="82">
                  <c:v>101.56</c:v>
                </c:pt>
                <c:pt idx="83">
                  <c:v>101.04</c:v>
                </c:pt>
                <c:pt idx="84">
                  <c:v>100.81</c:v>
                </c:pt>
                <c:pt idx="85">
                  <c:v>100.61</c:v>
                </c:pt>
                <c:pt idx="86">
                  <c:v>100.8</c:v>
                </c:pt>
                <c:pt idx="87">
                  <c:v>100.52</c:v>
                </c:pt>
                <c:pt idx="88">
                  <c:v>100.4</c:v>
                </c:pt>
                <c:pt idx="89">
                  <c:v>100.76</c:v>
                </c:pt>
                <c:pt idx="90">
                  <c:v>100.77</c:v>
                </c:pt>
                <c:pt idx="91">
                  <c:v>100.47</c:v>
                </c:pt>
                <c:pt idx="92">
                  <c:v>100.47</c:v>
                </c:pt>
                <c:pt idx="93">
                  <c:v>101.64999999999999</c:v>
                </c:pt>
                <c:pt idx="94">
                  <c:v>101.25</c:v>
                </c:pt>
                <c:pt idx="95">
                  <c:v>101.06</c:v>
                </c:pt>
                <c:pt idx="96">
                  <c:v>100.5</c:v>
                </c:pt>
                <c:pt idx="97">
                  <c:v>100.61999999999999</c:v>
                </c:pt>
                <c:pt idx="98">
                  <c:v>100.54</c:v>
                </c:pt>
                <c:pt idx="99">
                  <c:v>100.41000000000012</c:v>
                </c:pt>
                <c:pt idx="100">
                  <c:v>100.49000000000002</c:v>
                </c:pt>
                <c:pt idx="101">
                  <c:v>100.61</c:v>
                </c:pt>
                <c:pt idx="102">
                  <c:v>100.41000000000012</c:v>
                </c:pt>
                <c:pt idx="103">
                  <c:v>100.48</c:v>
                </c:pt>
                <c:pt idx="104">
                  <c:v>100.29</c:v>
                </c:pt>
                <c:pt idx="105">
                  <c:v>101.13</c:v>
                </c:pt>
                <c:pt idx="106">
                  <c:v>100.9</c:v>
                </c:pt>
                <c:pt idx="107">
                  <c:v>100.92</c:v>
                </c:pt>
              </c:numCache>
            </c:numRef>
          </c:val>
        </c:ser>
        <c:marker val="1"/>
        <c:axId val="144972032"/>
        <c:axId val="144978304"/>
      </c:lineChart>
      <c:catAx>
        <c:axId val="144972032"/>
        <c:scaling>
          <c:orientation val="minMax"/>
        </c:scaling>
        <c:axPos val="b"/>
        <c:title>
          <c:tx>
            <c:rich>
              <a:bodyPr/>
              <a:lstStyle/>
              <a:p>
                <a:pPr>
                  <a:defRPr sz="1100">
                    <a:latin typeface="Times New Roman" pitchFamily="18" charset="0"/>
                    <a:cs typeface="Times New Roman" pitchFamily="18" charset="0"/>
                  </a:defRPr>
                </a:pPr>
                <a:r>
                  <a:rPr lang="en-GB" sz="1100">
                    <a:latin typeface="Times New Roman" pitchFamily="18" charset="0"/>
                    <a:cs typeface="Times New Roman" pitchFamily="18" charset="0"/>
                  </a:rPr>
                  <a:t>t</a:t>
                </a:r>
                <a:endParaRPr lang="ru-RU" sz="1100">
                  <a:latin typeface="Times New Roman" pitchFamily="18" charset="0"/>
                  <a:cs typeface="Times New Roman" pitchFamily="18" charset="0"/>
                </a:endParaRPr>
              </a:p>
            </c:rich>
          </c:tx>
          <c:layout>
            <c:manualLayout>
              <c:xMode val="edge"/>
              <c:yMode val="edge"/>
              <c:x val="0.52339238845143288"/>
              <c:y val="0.91368037328667262"/>
            </c:manualLayout>
          </c:layout>
        </c:title>
        <c:numFmt formatCode="General" sourceLinked="1"/>
        <c:tickLblPos val="nextTo"/>
        <c:txPr>
          <a:bodyPr/>
          <a:lstStyle/>
          <a:p>
            <a:pPr>
              <a:defRPr>
                <a:latin typeface="Times New Roman" pitchFamily="18" charset="0"/>
                <a:cs typeface="Times New Roman" pitchFamily="18" charset="0"/>
              </a:defRPr>
            </a:pPr>
            <a:endParaRPr lang="ru-RU"/>
          </a:p>
        </c:txPr>
        <c:crossAx val="144978304"/>
        <c:crosses val="autoZero"/>
        <c:auto val="1"/>
        <c:lblAlgn val="ctr"/>
        <c:lblOffset val="100"/>
      </c:catAx>
      <c:valAx>
        <c:axId val="144978304"/>
        <c:scaling>
          <c:orientation val="minMax"/>
          <c:min val="100"/>
        </c:scaling>
        <c:axPos val="l"/>
        <c:majorGridlines/>
        <c:title>
          <c:tx>
            <c:rich>
              <a:bodyPr rot="-5400000" vert="horz"/>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Индекс цен на мед. услуги, в % к предыдущему месяцу</a:t>
                </a:r>
              </a:p>
            </c:rich>
          </c:tx>
          <c:layout>
            <c:manualLayout>
              <c:xMode val="edge"/>
              <c:yMode val="edge"/>
              <c:x val="1.7903549532589549E-3"/>
              <c:y val="6.6550743657042874E-2"/>
            </c:manualLayout>
          </c:layout>
        </c:title>
        <c:numFmt formatCode="0.0" sourceLinked="0"/>
        <c:tickLblPos val="nextTo"/>
        <c:txPr>
          <a:bodyPr/>
          <a:lstStyle/>
          <a:p>
            <a:pPr>
              <a:defRPr sz="1000">
                <a:latin typeface="Times New Roman" pitchFamily="18" charset="0"/>
                <a:cs typeface="Times New Roman" pitchFamily="18" charset="0"/>
              </a:defRPr>
            </a:pPr>
            <a:endParaRPr lang="ru-RU"/>
          </a:p>
        </c:txPr>
        <c:crossAx val="14497203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418744531933508"/>
          <c:y val="5.0925925925925923E-2"/>
          <c:w val="0.86525699912510934"/>
          <c:h val="0.72418358063807764"/>
        </c:manualLayout>
      </c:layout>
      <c:lineChart>
        <c:grouping val="standard"/>
        <c:ser>
          <c:idx val="0"/>
          <c:order val="0"/>
          <c:dLbls>
            <c:dLbl>
              <c:idx val="0"/>
              <c:layout>
                <c:manualLayout>
                  <c:x val="-1.1904761904761921E-2"/>
                  <c:y val="-5.3120849933598925E-3"/>
                </c:manualLayout>
              </c:layout>
              <c:showVal val="1"/>
            </c:dLbl>
            <c:dLbl>
              <c:idx val="1"/>
              <c:layout>
                <c:manualLayout>
                  <c:x val="-3.8690476190476171E-2"/>
                  <c:y val="-6.374543819472768E-2"/>
                </c:manualLayout>
              </c:layout>
              <c:showVal val="1"/>
            </c:dLbl>
            <c:dLbl>
              <c:idx val="2"/>
              <c:layout>
                <c:manualLayout>
                  <c:x val="-1.488095238095238E-2"/>
                  <c:y val="-3.718459495351923E-2"/>
                </c:manualLayout>
              </c:layout>
              <c:showVal val="1"/>
            </c:dLbl>
            <c:dLbl>
              <c:idx val="3"/>
              <c:layout>
                <c:manualLayout>
                  <c:x val="-1.488095238095238E-2"/>
                  <c:y val="-1.5936254980079632E-2"/>
                </c:manualLayout>
              </c:layout>
              <c:showVal val="1"/>
            </c:dLbl>
            <c:dLbl>
              <c:idx val="4"/>
              <c:layout>
                <c:manualLayout>
                  <c:x val="-4.1666666666666664E-2"/>
                  <c:y val="-4.7808764940240209E-2"/>
                </c:manualLayout>
              </c:layout>
              <c:showVal val="1"/>
            </c:dLbl>
            <c:dLbl>
              <c:idx val="5"/>
              <c:layout>
                <c:manualLayout>
                  <c:x val="-1.488095238095238E-2"/>
                  <c:y val="-1.5936254980079678E-2"/>
                </c:manualLayout>
              </c:layout>
              <c:showVal val="1"/>
            </c:dLbl>
            <c:dLbl>
              <c:idx val="6"/>
              <c:layout>
                <c:manualLayout>
                  <c:x val="-2.6785714285714825E-2"/>
                  <c:y val="-4.2496679946880618E-2"/>
                </c:manualLayout>
              </c:layout>
              <c:showVal val="1"/>
            </c:dLbl>
            <c:dLbl>
              <c:idx val="7"/>
              <c:layout>
                <c:manualLayout>
                  <c:x val="-2.9761904761904812E-3"/>
                  <c:y val="5.3120849933598925E-3"/>
                </c:manualLayout>
              </c:layout>
              <c:showVal val="1"/>
            </c:dLbl>
            <c:dLbl>
              <c:idx val="8"/>
              <c:layout>
                <c:manualLayout>
                  <c:x val="-6.8452380952382194E-2"/>
                  <c:y val="-5.8432934926960084E-2"/>
                </c:manualLayout>
              </c:layout>
              <c:showVal val="1"/>
            </c:dLbl>
            <c:dLbl>
              <c:idx val="9"/>
              <c:layout>
                <c:manualLayout>
                  <c:x val="-1.7857142857142742E-2"/>
                  <c:y val="-3.7184594953519258E-2"/>
                </c:manualLayout>
              </c:layout>
              <c:showVal val="1"/>
            </c:dLbl>
            <c:dLbl>
              <c:idx val="10"/>
              <c:layout>
                <c:manualLayout>
                  <c:x val="-8.9285714285714159E-3"/>
                  <c:y val="-2.6560424966799463E-2"/>
                </c:manualLayout>
              </c:layout>
              <c:showVal val="1"/>
            </c:dLbl>
            <c:dLbl>
              <c:idx val="11"/>
              <c:layout>
                <c:manualLayout>
                  <c:x val="-1.488095238095238E-2"/>
                  <c:y val="4.7808764940240209E-2"/>
                </c:manualLayout>
              </c:layout>
              <c:showVal val="1"/>
            </c:dLbl>
            <c:numFmt formatCode="#,##0.0000" sourceLinked="0"/>
            <c:txPr>
              <a:bodyPr/>
              <a:lstStyle/>
              <a:p>
                <a:pPr>
                  <a:defRPr>
                    <a:latin typeface="Times New Roman" pitchFamily="18" charset="0"/>
                    <a:cs typeface="Times New Roman" pitchFamily="18" charset="0"/>
                  </a:defRPr>
                </a:pPr>
                <a:endParaRPr lang="ru-RU"/>
              </a:p>
            </c:txPr>
            <c:showVal val="1"/>
          </c:dLbls>
          <c:cat>
            <c:strRef>
              <c:f>'Исходные данные'!$T$35:$T$46</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'Исходные данные'!$S$35:$S$46</c:f>
              <c:numCache>
                <c:formatCode>0.0000</c:formatCode>
                <c:ptCount val="12"/>
                <c:pt idx="0">
                  <c:v>1.0067111551529337</c:v>
                </c:pt>
                <c:pt idx="1">
                  <c:v>1.0033913353153809</c:v>
                </c:pt>
                <c:pt idx="2">
                  <c:v>1.0035544598209538</c:v>
                </c:pt>
                <c:pt idx="3">
                  <c:v>1.0012604290894016</c:v>
                </c:pt>
                <c:pt idx="4">
                  <c:v>0.99833862500983828</c:v>
                </c:pt>
                <c:pt idx="5">
                  <c:v>0.99866939212653782</c:v>
                </c:pt>
                <c:pt idx="6">
                  <c:v>0.9964927179715235</c:v>
                </c:pt>
                <c:pt idx="7">
                  <c:v>0.99627289217182713</c:v>
                </c:pt>
                <c:pt idx="8">
                  <c:v>0.99902024389819455</c:v>
                </c:pt>
                <c:pt idx="9">
                  <c:v>0.99965730201761027</c:v>
                </c:pt>
                <c:pt idx="10">
                  <c:v>0.99885340051470162</c:v>
                </c:pt>
                <c:pt idx="11">
                  <c:v>0.99777802811873861</c:v>
                </c:pt>
              </c:numCache>
            </c:numRef>
          </c:val>
        </c:ser>
        <c:marker val="1"/>
        <c:axId val="144994304"/>
        <c:axId val="144995840"/>
      </c:lineChart>
      <c:catAx>
        <c:axId val="144994304"/>
        <c:scaling>
          <c:orientation val="minMax"/>
        </c:scaling>
        <c:axPos val="b"/>
        <c:tickLblPos val="nextTo"/>
        <c:txPr>
          <a:bodyPr/>
          <a:lstStyle/>
          <a:p>
            <a:pPr>
              <a:defRPr>
                <a:latin typeface="Times New Roman" pitchFamily="18" charset="0"/>
                <a:cs typeface="Times New Roman" pitchFamily="18" charset="0"/>
              </a:defRPr>
            </a:pPr>
            <a:endParaRPr lang="ru-RU"/>
          </a:p>
        </c:txPr>
        <c:crossAx val="144995840"/>
        <c:crosses val="autoZero"/>
        <c:auto val="1"/>
        <c:lblAlgn val="ctr"/>
        <c:lblOffset val="100"/>
      </c:catAx>
      <c:valAx>
        <c:axId val="144995840"/>
        <c:scaling>
          <c:orientation val="minMax"/>
          <c:min val="0.99399999999999999"/>
        </c:scaling>
        <c:axPos val="l"/>
        <c:majorGridlines/>
        <c:numFmt formatCode="0.000" sourceLinked="0"/>
        <c:tickLblPos val="nextTo"/>
        <c:txPr>
          <a:bodyPr/>
          <a:lstStyle/>
          <a:p>
            <a:pPr>
              <a:defRPr>
                <a:latin typeface="Times New Roman" pitchFamily="18" charset="0"/>
                <a:cs typeface="Times New Roman" pitchFamily="18" charset="0"/>
              </a:defRPr>
            </a:pPr>
            <a:endParaRPr lang="ru-RU"/>
          </a:p>
        </c:txPr>
        <c:crossAx val="14499430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850837785391741"/>
          <c:y val="3.7037037037037056E-2"/>
          <c:w val="0.81093597532108963"/>
          <c:h val="0.76829068241471576"/>
        </c:manualLayout>
      </c:layout>
      <c:lineChart>
        <c:grouping val="standard"/>
        <c:ser>
          <c:idx val="0"/>
          <c:order val="0"/>
          <c:tx>
            <c:v>Исходные данные</c:v>
          </c:tx>
          <c:marker>
            <c:symbol val="none"/>
          </c:marker>
          <c:cat>
            <c:numRef>
              <c:f>Прогноз!$C$2:$C$109</c:f>
              <c:numCache>
                <c:formatCode>General</c:formatCode>
                <c:ptCount val="10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numCache>
            </c:numRef>
          </c:cat>
          <c:val>
            <c:numRef>
              <c:f>Прогноз!$D$2:$D$109</c:f>
              <c:numCache>
                <c:formatCode>0.00</c:formatCode>
                <c:ptCount val="108"/>
                <c:pt idx="0">
                  <c:v>101.66999999999999</c:v>
                </c:pt>
                <c:pt idx="1">
                  <c:v>100.86</c:v>
                </c:pt>
                <c:pt idx="2">
                  <c:v>100.74000000000002</c:v>
                </c:pt>
                <c:pt idx="3">
                  <c:v>100.64</c:v>
                </c:pt>
                <c:pt idx="4">
                  <c:v>100.98</c:v>
                </c:pt>
                <c:pt idx="5">
                  <c:v>100.99000000000002</c:v>
                </c:pt>
                <c:pt idx="6">
                  <c:v>101.04</c:v>
                </c:pt>
                <c:pt idx="7">
                  <c:v>101.64999999999999</c:v>
                </c:pt>
                <c:pt idx="8">
                  <c:v>101.35</c:v>
                </c:pt>
                <c:pt idx="9">
                  <c:v>102.2</c:v>
                </c:pt>
                <c:pt idx="10">
                  <c:v>102.01</c:v>
                </c:pt>
                <c:pt idx="11">
                  <c:v>102.25</c:v>
                </c:pt>
                <c:pt idx="12">
                  <c:v>101.46000000000002</c:v>
                </c:pt>
                <c:pt idx="13">
                  <c:v>101.16</c:v>
                </c:pt>
                <c:pt idx="14">
                  <c:v>101.13</c:v>
                </c:pt>
                <c:pt idx="15">
                  <c:v>100.82</c:v>
                </c:pt>
                <c:pt idx="16">
                  <c:v>100.6</c:v>
                </c:pt>
                <c:pt idx="17">
                  <c:v>101.74000000000002</c:v>
                </c:pt>
                <c:pt idx="18">
                  <c:v>101.63</c:v>
                </c:pt>
                <c:pt idx="19">
                  <c:v>101.33</c:v>
                </c:pt>
                <c:pt idx="20">
                  <c:v>100.92</c:v>
                </c:pt>
                <c:pt idx="21">
                  <c:v>101.83</c:v>
                </c:pt>
                <c:pt idx="22">
                  <c:v>101.39</c:v>
                </c:pt>
                <c:pt idx="23">
                  <c:v>101.36</c:v>
                </c:pt>
                <c:pt idx="24">
                  <c:v>100.93</c:v>
                </c:pt>
                <c:pt idx="25">
                  <c:v>101</c:v>
                </c:pt>
                <c:pt idx="26">
                  <c:v>101.16999999999999</c:v>
                </c:pt>
                <c:pt idx="27">
                  <c:v>100.6</c:v>
                </c:pt>
                <c:pt idx="28">
                  <c:v>100.67999999999998</c:v>
                </c:pt>
                <c:pt idx="29">
                  <c:v>100.9</c:v>
                </c:pt>
                <c:pt idx="30">
                  <c:v>101.22</c:v>
                </c:pt>
                <c:pt idx="31">
                  <c:v>100.95</c:v>
                </c:pt>
                <c:pt idx="32">
                  <c:v>100.81</c:v>
                </c:pt>
                <c:pt idx="33">
                  <c:v>101.83</c:v>
                </c:pt>
                <c:pt idx="34">
                  <c:v>100.95</c:v>
                </c:pt>
                <c:pt idx="35">
                  <c:v>101.6</c:v>
                </c:pt>
                <c:pt idx="36">
                  <c:v>100.83</c:v>
                </c:pt>
                <c:pt idx="37">
                  <c:v>100.76</c:v>
                </c:pt>
                <c:pt idx="38">
                  <c:v>101.1</c:v>
                </c:pt>
                <c:pt idx="39">
                  <c:v>101.01</c:v>
                </c:pt>
                <c:pt idx="40">
                  <c:v>100.6</c:v>
                </c:pt>
                <c:pt idx="41">
                  <c:v>101.08</c:v>
                </c:pt>
                <c:pt idx="42">
                  <c:v>101.29</c:v>
                </c:pt>
                <c:pt idx="43">
                  <c:v>101.1</c:v>
                </c:pt>
                <c:pt idx="44">
                  <c:v>100.94000000000032</c:v>
                </c:pt>
                <c:pt idx="45">
                  <c:v>102.19</c:v>
                </c:pt>
                <c:pt idx="46">
                  <c:v>101.48</c:v>
                </c:pt>
                <c:pt idx="47">
                  <c:v>101.36</c:v>
                </c:pt>
                <c:pt idx="48">
                  <c:v>101.86999999999999</c:v>
                </c:pt>
                <c:pt idx="49">
                  <c:v>101.33</c:v>
                </c:pt>
                <c:pt idx="50">
                  <c:v>100.9</c:v>
                </c:pt>
                <c:pt idx="51">
                  <c:v>100.97</c:v>
                </c:pt>
                <c:pt idx="52">
                  <c:v>100.9</c:v>
                </c:pt>
                <c:pt idx="53">
                  <c:v>101</c:v>
                </c:pt>
                <c:pt idx="54">
                  <c:v>101.29</c:v>
                </c:pt>
                <c:pt idx="55">
                  <c:v>100.98</c:v>
                </c:pt>
                <c:pt idx="56">
                  <c:v>100.9</c:v>
                </c:pt>
                <c:pt idx="57">
                  <c:v>101.57</c:v>
                </c:pt>
                <c:pt idx="58">
                  <c:v>101.86999999999999</c:v>
                </c:pt>
                <c:pt idx="59">
                  <c:v>101.38</c:v>
                </c:pt>
                <c:pt idx="60">
                  <c:v>101.9</c:v>
                </c:pt>
                <c:pt idx="61">
                  <c:v>101.14</c:v>
                </c:pt>
                <c:pt idx="62">
                  <c:v>101.16</c:v>
                </c:pt>
                <c:pt idx="63">
                  <c:v>100.77</c:v>
                </c:pt>
                <c:pt idx="64">
                  <c:v>100.6</c:v>
                </c:pt>
                <c:pt idx="65">
                  <c:v>100.71000000000002</c:v>
                </c:pt>
                <c:pt idx="66">
                  <c:v>100.66999999999999</c:v>
                </c:pt>
                <c:pt idx="67">
                  <c:v>100.66</c:v>
                </c:pt>
                <c:pt idx="68">
                  <c:v>100.7</c:v>
                </c:pt>
                <c:pt idx="69">
                  <c:v>101.32</c:v>
                </c:pt>
                <c:pt idx="70">
                  <c:v>100.59</c:v>
                </c:pt>
                <c:pt idx="71">
                  <c:v>101.11999999999999</c:v>
                </c:pt>
                <c:pt idx="72">
                  <c:v>100.7</c:v>
                </c:pt>
                <c:pt idx="73">
                  <c:v>100.47</c:v>
                </c:pt>
                <c:pt idx="74">
                  <c:v>100.64999999999999</c:v>
                </c:pt>
                <c:pt idx="75">
                  <c:v>100.41000000000012</c:v>
                </c:pt>
                <c:pt idx="76">
                  <c:v>100.64</c:v>
                </c:pt>
                <c:pt idx="77">
                  <c:v>100.54</c:v>
                </c:pt>
                <c:pt idx="78">
                  <c:v>100.53</c:v>
                </c:pt>
                <c:pt idx="79">
                  <c:v>100.44000000000032</c:v>
                </c:pt>
                <c:pt idx="80">
                  <c:v>100.64</c:v>
                </c:pt>
                <c:pt idx="81">
                  <c:v>101.36</c:v>
                </c:pt>
                <c:pt idx="82">
                  <c:v>101.56</c:v>
                </c:pt>
                <c:pt idx="83">
                  <c:v>101.04</c:v>
                </c:pt>
                <c:pt idx="84">
                  <c:v>100.81</c:v>
                </c:pt>
                <c:pt idx="85">
                  <c:v>100.61</c:v>
                </c:pt>
                <c:pt idx="86">
                  <c:v>100.8</c:v>
                </c:pt>
                <c:pt idx="87">
                  <c:v>100.52</c:v>
                </c:pt>
                <c:pt idx="88">
                  <c:v>100.4</c:v>
                </c:pt>
                <c:pt idx="89">
                  <c:v>100.76</c:v>
                </c:pt>
                <c:pt idx="90">
                  <c:v>100.77</c:v>
                </c:pt>
                <c:pt idx="91">
                  <c:v>100.47</c:v>
                </c:pt>
                <c:pt idx="92">
                  <c:v>100.47</c:v>
                </c:pt>
                <c:pt idx="93">
                  <c:v>101.64999999999999</c:v>
                </c:pt>
                <c:pt idx="94">
                  <c:v>101.25</c:v>
                </c:pt>
                <c:pt idx="95">
                  <c:v>101.06</c:v>
                </c:pt>
                <c:pt idx="96">
                  <c:v>100.5</c:v>
                </c:pt>
                <c:pt idx="97">
                  <c:v>100.61999999999999</c:v>
                </c:pt>
                <c:pt idx="98">
                  <c:v>100.54</c:v>
                </c:pt>
                <c:pt idx="99">
                  <c:v>100.41000000000012</c:v>
                </c:pt>
                <c:pt idx="100">
                  <c:v>100.49000000000002</c:v>
                </c:pt>
                <c:pt idx="101">
                  <c:v>100.61</c:v>
                </c:pt>
                <c:pt idx="102">
                  <c:v>100.41000000000012</c:v>
                </c:pt>
                <c:pt idx="103">
                  <c:v>100.48</c:v>
                </c:pt>
                <c:pt idx="104">
                  <c:v>100.29</c:v>
                </c:pt>
                <c:pt idx="105">
                  <c:v>101.13</c:v>
                </c:pt>
                <c:pt idx="106">
                  <c:v>100.9</c:v>
                </c:pt>
                <c:pt idx="107">
                  <c:v>100.92</c:v>
                </c:pt>
              </c:numCache>
            </c:numRef>
          </c:val>
        </c:ser>
        <c:ser>
          <c:idx val="1"/>
          <c:order val="1"/>
          <c:tx>
            <c:v>Предсказанные значения</c:v>
          </c:tx>
          <c:marker>
            <c:symbol val="none"/>
          </c:marker>
          <c:cat>
            <c:numRef>
              <c:f>Прогноз!$C$2:$C$109</c:f>
              <c:numCache>
                <c:formatCode>General</c:formatCode>
                <c:ptCount val="10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numCache>
            </c:numRef>
          </c:cat>
          <c:val>
            <c:numRef>
              <c:f>Прогноз!$E$2:$E$109</c:f>
              <c:numCache>
                <c:formatCode>General</c:formatCode>
                <c:ptCount val="108"/>
                <c:pt idx="13" formatCode="0.00">
                  <c:v>101.12199999999999</c:v>
                </c:pt>
                <c:pt idx="14" formatCode="0.00">
                  <c:v>101.09699999999999</c:v>
                </c:pt>
                <c:pt idx="15" formatCode="0.00">
                  <c:v>100.85299999999998</c:v>
                </c:pt>
                <c:pt idx="16" formatCode="0.00">
                  <c:v>100.87899999999998</c:v>
                </c:pt>
                <c:pt idx="17" formatCode="0.00">
                  <c:v>101.12199999999999</c:v>
                </c:pt>
                <c:pt idx="18" formatCode="0.00">
                  <c:v>101.361</c:v>
                </c:pt>
                <c:pt idx="19" formatCode="0.00">
                  <c:v>101.485</c:v>
                </c:pt>
                <c:pt idx="20" formatCode="0.00">
                  <c:v>101.17299999999985</c:v>
                </c:pt>
                <c:pt idx="21" formatCode="0.00">
                  <c:v>102.09099999999999</c:v>
                </c:pt>
                <c:pt idx="22" formatCode="0.00">
                  <c:v>101.619</c:v>
                </c:pt>
                <c:pt idx="23" formatCode="0.00">
                  <c:v>101.69199999999999</c:v>
                </c:pt>
                <c:pt idx="24" formatCode="0.00">
                  <c:v>101.22499999999999</c:v>
                </c:pt>
                <c:pt idx="25" formatCode="0.00">
                  <c:v>100.779</c:v>
                </c:pt>
                <c:pt idx="26" formatCode="0.00">
                  <c:v>100.854</c:v>
                </c:pt>
                <c:pt idx="27" formatCode="0.00">
                  <c:v>100.73099999999999</c:v>
                </c:pt>
                <c:pt idx="28" formatCode="0.00">
                  <c:v>100.702</c:v>
                </c:pt>
                <c:pt idx="29" formatCode="0.00">
                  <c:v>101.10299999999998</c:v>
                </c:pt>
                <c:pt idx="30" formatCode="0.00">
                  <c:v>101.09099999999999</c:v>
                </c:pt>
                <c:pt idx="31" formatCode="0.00">
                  <c:v>101.15900000000001</c:v>
                </c:pt>
                <c:pt idx="32" formatCode="0.00">
                  <c:v>100.87299999999998</c:v>
                </c:pt>
                <c:pt idx="33" formatCode="0.00">
                  <c:v>101.76300000000002</c:v>
                </c:pt>
                <c:pt idx="34" formatCode="0.00">
                  <c:v>101.432</c:v>
                </c:pt>
                <c:pt idx="35" formatCode="0.00">
                  <c:v>101.40300000000002</c:v>
                </c:pt>
                <c:pt idx="36" formatCode="0.00">
                  <c:v>101.12499999999999</c:v>
                </c:pt>
                <c:pt idx="37" formatCode="0.00">
                  <c:v>100.765</c:v>
                </c:pt>
                <c:pt idx="38" formatCode="0.00">
                  <c:v>100.79400000000012</c:v>
                </c:pt>
                <c:pt idx="39" formatCode="0.00">
                  <c:v>100.64700000000002</c:v>
                </c:pt>
                <c:pt idx="40" formatCode="0.00">
                  <c:v>100.76100000000002</c:v>
                </c:pt>
                <c:pt idx="41" formatCode="0.00">
                  <c:v>101.03700000000002</c:v>
                </c:pt>
                <c:pt idx="42" formatCode="0.00">
                  <c:v>101.11199999999999</c:v>
                </c:pt>
                <c:pt idx="43" formatCode="0.00">
                  <c:v>101.131</c:v>
                </c:pt>
                <c:pt idx="44" formatCode="0.00">
                  <c:v>100.908</c:v>
                </c:pt>
                <c:pt idx="45" formatCode="0.00">
                  <c:v>101.726</c:v>
                </c:pt>
                <c:pt idx="46" formatCode="0.00">
                  <c:v>101.44400000000115</c:v>
                </c:pt>
                <c:pt idx="47" formatCode="0.00">
                  <c:v>101.57799999999999</c:v>
                </c:pt>
                <c:pt idx="48" formatCode="0.00">
                  <c:v>101.11199999999999</c:v>
                </c:pt>
                <c:pt idx="49" formatCode="0.00">
                  <c:v>101.06699999999999</c:v>
                </c:pt>
                <c:pt idx="50" formatCode="0.00">
                  <c:v>101.13800000000001</c:v>
                </c:pt>
                <c:pt idx="51" formatCode="0.00">
                  <c:v>100.818</c:v>
                </c:pt>
                <c:pt idx="52" formatCode="0.00">
                  <c:v>100.78400000000002</c:v>
                </c:pt>
                <c:pt idx="53" formatCode="0.00">
                  <c:v>101.104</c:v>
                </c:pt>
                <c:pt idx="54" formatCode="0.00">
                  <c:v>101.12499999999999</c:v>
                </c:pt>
                <c:pt idx="55" formatCode="0.00">
                  <c:v>101.10499999999999</c:v>
                </c:pt>
                <c:pt idx="56" formatCode="0.00">
                  <c:v>100.871</c:v>
                </c:pt>
                <c:pt idx="57" formatCode="0.00">
                  <c:v>101.65900000000001</c:v>
                </c:pt>
                <c:pt idx="58" formatCode="0.00">
                  <c:v>101.223</c:v>
                </c:pt>
                <c:pt idx="59" formatCode="0.00">
                  <c:v>101.49299999999999</c:v>
                </c:pt>
                <c:pt idx="60" formatCode="0.00">
                  <c:v>101.202</c:v>
                </c:pt>
                <c:pt idx="61" formatCode="0.00">
                  <c:v>101.111</c:v>
                </c:pt>
                <c:pt idx="62" formatCode="0.00">
                  <c:v>101.04300000000002</c:v>
                </c:pt>
                <c:pt idx="63" formatCode="0.00">
                  <c:v>100.88</c:v>
                </c:pt>
                <c:pt idx="64" formatCode="0.00">
                  <c:v>100.76300000000002</c:v>
                </c:pt>
                <c:pt idx="65" formatCode="0.00">
                  <c:v>100.94900000000032</c:v>
                </c:pt>
                <c:pt idx="66" formatCode="0.00">
                  <c:v>100.96899999999999</c:v>
                </c:pt>
                <c:pt idx="67" formatCode="0.00">
                  <c:v>100.813</c:v>
                </c:pt>
                <c:pt idx="68" formatCode="0.00">
                  <c:v>100.64100000000002</c:v>
                </c:pt>
                <c:pt idx="69" formatCode="0.00">
                  <c:v>101.37299999999998</c:v>
                </c:pt>
                <c:pt idx="70" formatCode="0.00">
                  <c:v>101.10599999999998</c:v>
                </c:pt>
                <c:pt idx="71" formatCode="0.00">
                  <c:v>100.99400000000072</c:v>
                </c:pt>
                <c:pt idx="72" formatCode="0.00">
                  <c:v>100.962</c:v>
                </c:pt>
                <c:pt idx="73" formatCode="0.00">
                  <c:v>100.619</c:v>
                </c:pt>
                <c:pt idx="74" formatCode="0.00">
                  <c:v>100.59699999999999</c:v>
                </c:pt>
                <c:pt idx="75" formatCode="0.00">
                  <c:v>100.479</c:v>
                </c:pt>
                <c:pt idx="76" formatCode="0.00">
                  <c:v>100.429</c:v>
                </c:pt>
                <c:pt idx="77" formatCode="0.00">
                  <c:v>100.72199999999999</c:v>
                </c:pt>
                <c:pt idx="78" formatCode="0.00">
                  <c:v>100.753</c:v>
                </c:pt>
                <c:pt idx="79" formatCode="0.00">
                  <c:v>100.651</c:v>
                </c:pt>
                <c:pt idx="80" formatCode="0.00">
                  <c:v>100.51300000000002</c:v>
                </c:pt>
                <c:pt idx="81" formatCode="0.00">
                  <c:v>101.194</c:v>
                </c:pt>
                <c:pt idx="82" formatCode="0.00">
                  <c:v>100.956</c:v>
                </c:pt>
                <c:pt idx="83" formatCode="0.00">
                  <c:v>101.206</c:v>
                </c:pt>
                <c:pt idx="84" formatCode="0.00">
                  <c:v>101.002</c:v>
                </c:pt>
                <c:pt idx="85" formatCode="0.00">
                  <c:v>100.68199999999999</c:v>
                </c:pt>
                <c:pt idx="86" formatCode="0.00">
                  <c:v>100.67599999999995</c:v>
                </c:pt>
                <c:pt idx="87" formatCode="0.00">
                  <c:v>100.554</c:v>
                </c:pt>
                <c:pt idx="88" formatCode="0.00">
                  <c:v>100.529</c:v>
                </c:pt>
                <c:pt idx="89" formatCode="0.00">
                  <c:v>100.643</c:v>
                </c:pt>
                <c:pt idx="90" formatCode="0.00">
                  <c:v>100.73399999999999</c:v>
                </c:pt>
                <c:pt idx="91" formatCode="0.00">
                  <c:v>100.68499999999999</c:v>
                </c:pt>
                <c:pt idx="92" formatCode="0.00">
                  <c:v>100.571</c:v>
                </c:pt>
                <c:pt idx="93" formatCode="0.00">
                  <c:v>101.121</c:v>
                </c:pt>
                <c:pt idx="94" formatCode="0.00">
                  <c:v>101.071</c:v>
                </c:pt>
                <c:pt idx="95" formatCode="0.00">
                  <c:v>101.095</c:v>
                </c:pt>
                <c:pt idx="96" formatCode="0.00">
                  <c:v>100.93</c:v>
                </c:pt>
                <c:pt idx="97" formatCode="0.00">
                  <c:v>100.574</c:v>
                </c:pt>
                <c:pt idx="98" formatCode="0.00">
                  <c:v>100.63</c:v>
                </c:pt>
                <c:pt idx="99" formatCode="0.00">
                  <c:v>100.45099999999999</c:v>
                </c:pt>
                <c:pt idx="100" formatCode="0.00">
                  <c:v>100.422</c:v>
                </c:pt>
                <c:pt idx="101" formatCode="0.00">
                  <c:v>100.61199999999999</c:v>
                </c:pt>
                <c:pt idx="102" formatCode="0.00">
                  <c:v>100.657</c:v>
                </c:pt>
                <c:pt idx="103" formatCode="0.00">
                  <c:v>100.51</c:v>
                </c:pt>
                <c:pt idx="104" formatCode="0.00">
                  <c:v>100.47499999999999</c:v>
                </c:pt>
                <c:pt idx="105" formatCode="0.00">
                  <c:v>101.032</c:v>
                </c:pt>
                <c:pt idx="106" formatCode="0.00">
                  <c:v>100.869</c:v>
                </c:pt>
                <c:pt idx="107" formatCode="0.00">
                  <c:v>100.85799999999999</c:v>
                </c:pt>
              </c:numCache>
            </c:numRef>
          </c:val>
        </c:ser>
        <c:marker val="1"/>
        <c:axId val="145097856"/>
        <c:axId val="145099776"/>
      </c:lineChart>
      <c:catAx>
        <c:axId val="145097856"/>
        <c:scaling>
          <c:orientation val="minMax"/>
        </c:scaling>
        <c:axPos val="b"/>
        <c:title>
          <c:tx>
            <c:rich>
              <a:bodyPr/>
              <a:lstStyle/>
              <a:p>
                <a:pPr>
                  <a:defRPr/>
                </a:pPr>
                <a:r>
                  <a:rPr lang="en-GB" sz="1100">
                    <a:latin typeface="Times New Roman" pitchFamily="18" charset="0"/>
                    <a:cs typeface="Times New Roman" pitchFamily="18" charset="0"/>
                  </a:rPr>
                  <a:t>t</a:t>
                </a:r>
                <a:endParaRPr lang="ru-RU" sz="1100">
                  <a:latin typeface="Times New Roman" pitchFamily="18" charset="0"/>
                  <a:cs typeface="Times New Roman" pitchFamily="18" charset="0"/>
                </a:endParaRPr>
              </a:p>
            </c:rich>
          </c:tx>
          <c:layout>
            <c:manualLayout>
              <c:xMode val="edge"/>
              <c:yMode val="edge"/>
              <c:x val="0.52339236331089989"/>
              <c:y val="0.87217957130360346"/>
            </c:manualLayout>
          </c:layout>
        </c:title>
        <c:numFmt formatCode="General" sourceLinked="1"/>
        <c:tickLblPos val="nextTo"/>
        <c:txPr>
          <a:bodyPr/>
          <a:lstStyle/>
          <a:p>
            <a:pPr>
              <a:defRPr>
                <a:latin typeface="Times New Roman" pitchFamily="18" charset="0"/>
                <a:cs typeface="Times New Roman" pitchFamily="18" charset="0"/>
              </a:defRPr>
            </a:pPr>
            <a:endParaRPr lang="ru-RU"/>
          </a:p>
        </c:txPr>
        <c:crossAx val="145099776"/>
        <c:crosses val="autoZero"/>
        <c:auto val="1"/>
        <c:lblAlgn val="ctr"/>
        <c:lblOffset val="100"/>
      </c:catAx>
      <c:valAx>
        <c:axId val="145099776"/>
        <c:scaling>
          <c:orientation val="minMax"/>
          <c:min val="100"/>
        </c:scaling>
        <c:axPos val="l"/>
        <c:majorGridlines/>
        <c:title>
          <c:tx>
            <c:rich>
              <a:bodyPr rot="-5400000" vert="horz"/>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Индекс</a:t>
                </a:r>
                <a:r>
                  <a:rPr lang="ru-RU" sz="1050" baseline="0">
                    <a:latin typeface="Times New Roman" pitchFamily="18" charset="0"/>
                    <a:cs typeface="Times New Roman" pitchFamily="18" charset="0"/>
                  </a:rPr>
                  <a:t> цен на мед. услуги в % к предыдущему месяцу</a:t>
                </a:r>
                <a:endParaRPr lang="ru-RU" sz="1050">
                  <a:latin typeface="Times New Roman" pitchFamily="18" charset="0"/>
                  <a:cs typeface="Times New Roman" pitchFamily="18" charset="0"/>
                </a:endParaRPr>
              </a:p>
            </c:rich>
          </c:tx>
          <c:layout>
            <c:manualLayout>
              <c:xMode val="edge"/>
              <c:yMode val="edge"/>
              <c:x val="3.8232713476677701E-3"/>
              <c:y val="3.7037037037037056E-2"/>
            </c:manualLayout>
          </c:layout>
        </c:title>
        <c:numFmt formatCode="0.0" sourceLinked="0"/>
        <c:tickLblPos val="nextTo"/>
        <c:txPr>
          <a:bodyPr/>
          <a:lstStyle/>
          <a:p>
            <a:pPr>
              <a:defRPr>
                <a:latin typeface="Times New Roman" pitchFamily="18" charset="0"/>
                <a:cs typeface="Times New Roman" pitchFamily="18" charset="0"/>
              </a:defRPr>
            </a:pPr>
            <a:endParaRPr lang="ru-RU"/>
          </a:p>
        </c:txPr>
        <c:crossAx val="145097856"/>
        <c:crosses val="autoZero"/>
        <c:crossBetween val="between"/>
      </c:valAx>
    </c:plotArea>
    <c:legend>
      <c:legendPos val="b"/>
      <c:layout>
        <c:manualLayout>
          <c:xMode val="edge"/>
          <c:yMode val="edge"/>
          <c:x val="0.14459770114942919"/>
          <c:y val="0.92146216097986711"/>
          <c:w val="0.71080459770114945"/>
          <c:h val="7.8537839020122513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625813501937214"/>
          <c:y val="3.7037037037037056E-2"/>
          <c:w val="0.8208492618720058"/>
          <c:h val="0.73125364537766058"/>
        </c:manualLayout>
      </c:layout>
      <c:lineChart>
        <c:grouping val="standard"/>
        <c:ser>
          <c:idx val="0"/>
          <c:order val="0"/>
          <c:tx>
            <c:v>Исходные данные</c:v>
          </c:tx>
          <c:marker>
            <c:symbol val="none"/>
          </c:marker>
          <c:cat>
            <c:numRef>
              <c:f>Прогноз!$C$2:$C$166</c:f>
              <c:numCache>
                <c:formatCode>General</c:formatCode>
                <c:ptCount val="1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numCache>
            </c:numRef>
          </c:cat>
          <c:val>
            <c:numRef>
              <c:f>Прогноз!$D$2:$D$166</c:f>
              <c:numCache>
                <c:formatCode>0.00</c:formatCode>
                <c:ptCount val="165"/>
                <c:pt idx="0">
                  <c:v>101.66999999999999</c:v>
                </c:pt>
                <c:pt idx="1">
                  <c:v>100.86</c:v>
                </c:pt>
                <c:pt idx="2">
                  <c:v>100.74000000000002</c:v>
                </c:pt>
                <c:pt idx="3">
                  <c:v>100.64</c:v>
                </c:pt>
                <c:pt idx="4">
                  <c:v>100.98</c:v>
                </c:pt>
                <c:pt idx="5">
                  <c:v>100.99000000000002</c:v>
                </c:pt>
                <c:pt idx="6">
                  <c:v>101.04</c:v>
                </c:pt>
                <c:pt idx="7">
                  <c:v>101.64999999999999</c:v>
                </c:pt>
                <c:pt idx="8">
                  <c:v>101.35</c:v>
                </c:pt>
                <c:pt idx="9">
                  <c:v>102.2</c:v>
                </c:pt>
                <c:pt idx="10">
                  <c:v>102.01</c:v>
                </c:pt>
                <c:pt idx="11">
                  <c:v>102.25</c:v>
                </c:pt>
                <c:pt idx="12">
                  <c:v>101.46000000000002</c:v>
                </c:pt>
                <c:pt idx="13">
                  <c:v>101.16</c:v>
                </c:pt>
                <c:pt idx="14">
                  <c:v>101.13</c:v>
                </c:pt>
                <c:pt idx="15">
                  <c:v>100.82</c:v>
                </c:pt>
                <c:pt idx="16">
                  <c:v>100.6</c:v>
                </c:pt>
                <c:pt idx="17">
                  <c:v>101.74000000000002</c:v>
                </c:pt>
                <c:pt idx="18">
                  <c:v>101.63</c:v>
                </c:pt>
                <c:pt idx="19">
                  <c:v>101.33</c:v>
                </c:pt>
                <c:pt idx="20">
                  <c:v>100.92</c:v>
                </c:pt>
                <c:pt idx="21">
                  <c:v>101.83</c:v>
                </c:pt>
                <c:pt idx="22">
                  <c:v>101.39</c:v>
                </c:pt>
                <c:pt idx="23">
                  <c:v>101.36</c:v>
                </c:pt>
                <c:pt idx="24">
                  <c:v>100.93</c:v>
                </c:pt>
                <c:pt idx="25">
                  <c:v>101</c:v>
                </c:pt>
                <c:pt idx="26">
                  <c:v>101.16999999999999</c:v>
                </c:pt>
                <c:pt idx="27">
                  <c:v>100.6</c:v>
                </c:pt>
                <c:pt idx="28">
                  <c:v>100.67999999999998</c:v>
                </c:pt>
                <c:pt idx="29">
                  <c:v>100.9</c:v>
                </c:pt>
                <c:pt idx="30">
                  <c:v>101.22</c:v>
                </c:pt>
                <c:pt idx="31">
                  <c:v>100.95</c:v>
                </c:pt>
                <c:pt idx="32">
                  <c:v>100.81</c:v>
                </c:pt>
                <c:pt idx="33">
                  <c:v>101.83</c:v>
                </c:pt>
                <c:pt idx="34">
                  <c:v>100.95</c:v>
                </c:pt>
                <c:pt idx="35">
                  <c:v>101.6</c:v>
                </c:pt>
                <c:pt idx="36">
                  <c:v>100.83</c:v>
                </c:pt>
                <c:pt idx="37">
                  <c:v>100.76</c:v>
                </c:pt>
                <c:pt idx="38">
                  <c:v>101.1</c:v>
                </c:pt>
                <c:pt idx="39">
                  <c:v>101.01</c:v>
                </c:pt>
                <c:pt idx="40">
                  <c:v>100.6</c:v>
                </c:pt>
                <c:pt idx="41">
                  <c:v>101.08</c:v>
                </c:pt>
                <c:pt idx="42">
                  <c:v>101.29</c:v>
                </c:pt>
                <c:pt idx="43">
                  <c:v>101.1</c:v>
                </c:pt>
                <c:pt idx="44">
                  <c:v>100.94000000000032</c:v>
                </c:pt>
                <c:pt idx="45">
                  <c:v>102.19</c:v>
                </c:pt>
                <c:pt idx="46">
                  <c:v>101.48</c:v>
                </c:pt>
                <c:pt idx="47">
                  <c:v>101.36</c:v>
                </c:pt>
                <c:pt idx="48">
                  <c:v>101.86999999999999</c:v>
                </c:pt>
                <c:pt idx="49">
                  <c:v>101.33</c:v>
                </c:pt>
                <c:pt idx="50">
                  <c:v>100.9</c:v>
                </c:pt>
                <c:pt idx="51">
                  <c:v>100.97</c:v>
                </c:pt>
                <c:pt idx="52">
                  <c:v>100.9</c:v>
                </c:pt>
                <c:pt idx="53">
                  <c:v>101</c:v>
                </c:pt>
                <c:pt idx="54">
                  <c:v>101.29</c:v>
                </c:pt>
                <c:pt idx="55">
                  <c:v>100.98</c:v>
                </c:pt>
                <c:pt idx="56">
                  <c:v>100.9</c:v>
                </c:pt>
                <c:pt idx="57">
                  <c:v>101.57</c:v>
                </c:pt>
                <c:pt idx="58">
                  <c:v>101.86999999999999</c:v>
                </c:pt>
                <c:pt idx="59">
                  <c:v>101.38</c:v>
                </c:pt>
                <c:pt idx="60">
                  <c:v>101.9</c:v>
                </c:pt>
                <c:pt idx="61">
                  <c:v>101.14</c:v>
                </c:pt>
                <c:pt idx="62">
                  <c:v>101.16</c:v>
                </c:pt>
                <c:pt idx="63">
                  <c:v>100.77</c:v>
                </c:pt>
                <c:pt idx="64">
                  <c:v>100.6</c:v>
                </c:pt>
                <c:pt idx="65">
                  <c:v>100.71000000000002</c:v>
                </c:pt>
                <c:pt idx="66">
                  <c:v>100.66999999999999</c:v>
                </c:pt>
                <c:pt idx="67">
                  <c:v>100.66</c:v>
                </c:pt>
                <c:pt idx="68">
                  <c:v>100.7</c:v>
                </c:pt>
                <c:pt idx="69">
                  <c:v>101.32</c:v>
                </c:pt>
                <c:pt idx="70">
                  <c:v>100.59</c:v>
                </c:pt>
                <c:pt idx="71">
                  <c:v>101.11999999999999</c:v>
                </c:pt>
                <c:pt idx="72">
                  <c:v>100.7</c:v>
                </c:pt>
                <c:pt idx="73">
                  <c:v>100.47</c:v>
                </c:pt>
                <c:pt idx="74">
                  <c:v>100.64999999999999</c:v>
                </c:pt>
                <c:pt idx="75">
                  <c:v>100.41000000000012</c:v>
                </c:pt>
                <c:pt idx="76">
                  <c:v>100.64</c:v>
                </c:pt>
                <c:pt idx="77">
                  <c:v>100.54</c:v>
                </c:pt>
                <c:pt idx="78">
                  <c:v>100.53</c:v>
                </c:pt>
                <c:pt idx="79">
                  <c:v>100.44000000000032</c:v>
                </c:pt>
                <c:pt idx="80">
                  <c:v>100.64</c:v>
                </c:pt>
                <c:pt idx="81">
                  <c:v>101.36</c:v>
                </c:pt>
                <c:pt idx="82">
                  <c:v>101.56</c:v>
                </c:pt>
                <c:pt idx="83">
                  <c:v>101.04</c:v>
                </c:pt>
                <c:pt idx="84">
                  <c:v>100.81</c:v>
                </c:pt>
                <c:pt idx="85">
                  <c:v>100.61</c:v>
                </c:pt>
                <c:pt idx="86">
                  <c:v>100.8</c:v>
                </c:pt>
                <c:pt idx="87">
                  <c:v>100.52</c:v>
                </c:pt>
                <c:pt idx="88">
                  <c:v>100.4</c:v>
                </c:pt>
                <c:pt idx="89">
                  <c:v>100.76</c:v>
                </c:pt>
                <c:pt idx="90">
                  <c:v>100.77</c:v>
                </c:pt>
                <c:pt idx="91">
                  <c:v>100.47</c:v>
                </c:pt>
                <c:pt idx="92">
                  <c:v>100.47</c:v>
                </c:pt>
                <c:pt idx="93">
                  <c:v>101.64999999999999</c:v>
                </c:pt>
                <c:pt idx="94">
                  <c:v>101.25</c:v>
                </c:pt>
                <c:pt idx="95">
                  <c:v>101.06</c:v>
                </c:pt>
                <c:pt idx="96">
                  <c:v>100.5</c:v>
                </c:pt>
                <c:pt idx="97">
                  <c:v>100.61999999999999</c:v>
                </c:pt>
                <c:pt idx="98">
                  <c:v>100.54</c:v>
                </c:pt>
                <c:pt idx="99">
                  <c:v>100.41000000000012</c:v>
                </c:pt>
                <c:pt idx="100">
                  <c:v>100.49000000000002</c:v>
                </c:pt>
                <c:pt idx="101">
                  <c:v>100.61</c:v>
                </c:pt>
                <c:pt idx="102">
                  <c:v>100.41000000000012</c:v>
                </c:pt>
                <c:pt idx="103">
                  <c:v>100.48</c:v>
                </c:pt>
                <c:pt idx="104">
                  <c:v>100.29</c:v>
                </c:pt>
                <c:pt idx="105">
                  <c:v>101.13</c:v>
                </c:pt>
                <c:pt idx="106">
                  <c:v>100.9</c:v>
                </c:pt>
                <c:pt idx="107">
                  <c:v>100.92</c:v>
                </c:pt>
              </c:numCache>
            </c:numRef>
          </c:val>
        </c:ser>
        <c:ser>
          <c:idx val="1"/>
          <c:order val="1"/>
          <c:tx>
            <c:v>Прогноз</c:v>
          </c:tx>
          <c:marker>
            <c:symbol val="none"/>
          </c:marker>
          <c:cat>
            <c:numRef>
              <c:f>Прогноз!$C$2:$C$166</c:f>
              <c:numCache>
                <c:formatCode>General</c:formatCode>
                <c:ptCount val="1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numCache>
            </c:numRef>
          </c:cat>
          <c:val>
            <c:numRef>
              <c:f>Прогноз!$F$2:$F$166</c:f>
              <c:numCache>
                <c:formatCode>General</c:formatCode>
                <c:ptCount val="165"/>
                <c:pt idx="107" formatCode="0.00">
                  <c:v>100.92</c:v>
                </c:pt>
                <c:pt idx="108" formatCode="0.000">
                  <c:v>100.7056</c:v>
                </c:pt>
                <c:pt idx="109" formatCode="0.000">
                  <c:v>100.5535</c:v>
                </c:pt>
                <c:pt idx="110" formatCode="0.000">
                  <c:v>100.57299999999998</c:v>
                </c:pt>
                <c:pt idx="111" formatCode="0.000">
                  <c:v>100.43600000000002</c:v>
                </c:pt>
                <c:pt idx="112" formatCode="0.000">
                  <c:v>100.4289</c:v>
                </c:pt>
                <c:pt idx="113" formatCode="0.000">
                  <c:v>100.5711</c:v>
                </c:pt>
                <c:pt idx="114" formatCode="0.000">
                  <c:v>100.57799999999999</c:v>
                </c:pt>
                <c:pt idx="115" formatCode="0.000">
                  <c:v>100.5243</c:v>
                </c:pt>
                <c:pt idx="116" formatCode="0.000">
                  <c:v>100.46790000000072</c:v>
                </c:pt>
                <c:pt idx="117" formatCode="0.000">
                  <c:v>101.03530000000001</c:v>
                </c:pt>
                <c:pt idx="118" formatCode="0.000">
                  <c:v>100.84450000000002</c:v>
                </c:pt>
                <c:pt idx="119" formatCode="0.000">
                  <c:v>100.824</c:v>
                </c:pt>
                <c:pt idx="120" formatCode="0.000">
                  <c:v>100.6601</c:v>
                </c:pt>
                <c:pt idx="121" formatCode="0.000">
                  <c:v>100.5209</c:v>
                </c:pt>
                <c:pt idx="122" formatCode="0.000">
                  <c:v>100.53660000000002</c:v>
                </c:pt>
                <c:pt idx="123" formatCode="0.000">
                  <c:v>100.41190000000113</c:v>
                </c:pt>
                <c:pt idx="124" formatCode="0.000">
                  <c:v>100.40430000000002</c:v>
                </c:pt>
                <c:pt idx="125" formatCode="0.000">
                  <c:v>100.53120000000042</c:v>
                </c:pt>
                <c:pt idx="126" formatCode="0.000">
                  <c:v>100.53660000000002</c:v>
                </c:pt>
                <c:pt idx="127" formatCode="0.000">
                  <c:v>100.48760000000082</c:v>
                </c:pt>
                <c:pt idx="128" formatCode="0.000">
                  <c:v>100.43640000000002</c:v>
                </c:pt>
                <c:pt idx="129" formatCode="0.000">
                  <c:v>100.94630000000002</c:v>
                </c:pt>
                <c:pt idx="130" formatCode="0.000">
                  <c:v>100.7743</c:v>
                </c:pt>
                <c:pt idx="131" formatCode="0.000">
                  <c:v>100.7556</c:v>
                </c:pt>
                <c:pt idx="132" formatCode="0.000">
                  <c:v>100.6079</c:v>
                </c:pt>
                <c:pt idx="133" formatCode="0.000">
                  <c:v>100.4825</c:v>
                </c:pt>
                <c:pt idx="134" formatCode="0.000">
                  <c:v>100.49650000000022</c:v>
                </c:pt>
                <c:pt idx="135" formatCode="0.000">
                  <c:v>100.3841</c:v>
                </c:pt>
                <c:pt idx="136" formatCode="0.000">
                  <c:v>100.3772</c:v>
                </c:pt>
                <c:pt idx="137" formatCode="0.000">
                  <c:v>100.49130000000002</c:v>
                </c:pt>
                <c:pt idx="138" formatCode="0.000">
                  <c:v>100.49610000000042</c:v>
                </c:pt>
                <c:pt idx="139" formatCode="0.000">
                  <c:v>100.452</c:v>
                </c:pt>
                <c:pt idx="140" formatCode="0.000">
                  <c:v>100.4058</c:v>
                </c:pt>
                <c:pt idx="141" formatCode="0.000">
                  <c:v>100.86450000000002</c:v>
                </c:pt>
                <c:pt idx="142" formatCode="0.000">
                  <c:v>100.7098</c:v>
                </c:pt>
                <c:pt idx="143" formatCode="0.000">
                  <c:v>100.69289999999998</c:v>
                </c:pt>
                <c:pt idx="144" formatCode="0.000">
                  <c:v>100.56</c:v>
                </c:pt>
                <c:pt idx="145" formatCode="0.000">
                  <c:v>100.44720000000159</c:v>
                </c:pt>
                <c:pt idx="146" formatCode="0.000">
                  <c:v>100.4598</c:v>
                </c:pt>
                <c:pt idx="147" formatCode="0.000">
                  <c:v>100.35869999999998</c:v>
                </c:pt>
                <c:pt idx="148" formatCode="0.000">
                  <c:v>100.35250000000001</c:v>
                </c:pt>
                <c:pt idx="149" formatCode="0.000">
                  <c:v>100.4551</c:v>
                </c:pt>
                <c:pt idx="150" formatCode="0.000">
                  <c:v>100.4594</c:v>
                </c:pt>
                <c:pt idx="151" formatCode="0.000">
                  <c:v>100.41970000000002</c:v>
                </c:pt>
                <c:pt idx="152" formatCode="0.000">
                  <c:v>100.37809999999998</c:v>
                </c:pt>
                <c:pt idx="153" formatCode="0.000">
                  <c:v>100.7908</c:v>
                </c:pt>
                <c:pt idx="154" formatCode="0.000">
                  <c:v>100.6516</c:v>
                </c:pt>
                <c:pt idx="155" formatCode="0.000">
                  <c:v>100.63639999999998</c:v>
                </c:pt>
                <c:pt idx="156" formatCode="0.000">
                  <c:v>100.51690000000002</c:v>
                </c:pt>
                <c:pt idx="157" formatCode="0.000">
                  <c:v>100.41540000000002</c:v>
                </c:pt>
                <c:pt idx="158" formatCode="0.000">
                  <c:v>100.4267</c:v>
                </c:pt>
                <c:pt idx="159" formatCode="0.000">
                  <c:v>100.33569999999999</c:v>
                </c:pt>
                <c:pt idx="160" formatCode="0.000">
                  <c:v>100.3301</c:v>
                </c:pt>
                <c:pt idx="161" formatCode="0.000">
                  <c:v>100.4225</c:v>
                </c:pt>
                <c:pt idx="162" formatCode="0.000">
                  <c:v>100.4263</c:v>
                </c:pt>
                <c:pt idx="163" formatCode="0.000">
                  <c:v>100.39060000000002</c:v>
                </c:pt>
                <c:pt idx="164" formatCode="0.000">
                  <c:v>100.3532</c:v>
                </c:pt>
              </c:numCache>
            </c:numRef>
          </c:val>
        </c:ser>
        <c:marker val="1"/>
        <c:axId val="145120640"/>
        <c:axId val="145131008"/>
      </c:lineChart>
      <c:catAx>
        <c:axId val="145120640"/>
        <c:scaling>
          <c:orientation val="minMax"/>
        </c:scaling>
        <c:axPos val="b"/>
        <c:title>
          <c:tx>
            <c:rich>
              <a:bodyPr/>
              <a:lstStyle/>
              <a:p>
                <a:pPr>
                  <a:defRPr/>
                </a:pPr>
                <a:r>
                  <a:rPr lang="en-GB" sz="1100">
                    <a:latin typeface="Times New Roman" pitchFamily="18" charset="0"/>
                    <a:cs typeface="Times New Roman" pitchFamily="18" charset="0"/>
                  </a:rPr>
                  <a:t>t</a:t>
                </a:r>
                <a:endParaRPr lang="ru-RU" sz="1100">
                  <a:latin typeface="Times New Roman" pitchFamily="18" charset="0"/>
                  <a:cs typeface="Times New Roman" pitchFamily="18" charset="0"/>
                </a:endParaRPr>
              </a:p>
            </c:rich>
          </c:tx>
          <c:layout>
            <c:manualLayout>
              <c:xMode val="edge"/>
              <c:yMode val="edge"/>
              <c:x val="0.52339238845143321"/>
              <c:y val="0.83514253426655005"/>
            </c:manualLayout>
          </c:layout>
        </c:title>
        <c:numFmt formatCode="General" sourceLinked="1"/>
        <c:tickLblPos val="nextTo"/>
        <c:txPr>
          <a:bodyPr/>
          <a:lstStyle/>
          <a:p>
            <a:pPr>
              <a:defRPr>
                <a:latin typeface="Times New Roman" pitchFamily="18" charset="0"/>
                <a:cs typeface="Times New Roman" pitchFamily="18" charset="0"/>
              </a:defRPr>
            </a:pPr>
            <a:endParaRPr lang="ru-RU"/>
          </a:p>
        </c:txPr>
        <c:crossAx val="145131008"/>
        <c:crosses val="autoZero"/>
        <c:auto val="1"/>
        <c:lblAlgn val="ctr"/>
        <c:lblOffset val="100"/>
      </c:catAx>
      <c:valAx>
        <c:axId val="145131008"/>
        <c:scaling>
          <c:orientation val="minMax"/>
          <c:min val="100"/>
        </c:scaling>
        <c:axPos val="l"/>
        <c:majorGridlines/>
        <c:title>
          <c:tx>
            <c:rich>
              <a:bodyPr rot="-5400000" vert="horz"/>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Индекс</a:t>
                </a:r>
                <a:r>
                  <a:rPr lang="ru-RU" sz="1050" baseline="0">
                    <a:latin typeface="Times New Roman" pitchFamily="18" charset="0"/>
                    <a:cs typeface="Times New Roman" pitchFamily="18" charset="0"/>
                  </a:rPr>
                  <a:t> цен на мед. услуги в % к предыдущему месяцу</a:t>
                </a:r>
                <a:endParaRPr lang="ru-RU" sz="1050">
                  <a:latin typeface="Times New Roman" pitchFamily="18" charset="0"/>
                  <a:cs typeface="Times New Roman" pitchFamily="18" charset="0"/>
                </a:endParaRPr>
              </a:p>
            </c:rich>
          </c:tx>
          <c:layout>
            <c:manualLayout>
              <c:xMode val="edge"/>
              <c:yMode val="edge"/>
              <c:x val="3.8232713476677701E-3"/>
              <c:y val="3.7037037037037056E-2"/>
            </c:manualLayout>
          </c:layout>
        </c:title>
        <c:numFmt formatCode="0.0" sourceLinked="0"/>
        <c:tickLblPos val="nextTo"/>
        <c:txPr>
          <a:bodyPr/>
          <a:lstStyle/>
          <a:p>
            <a:pPr>
              <a:defRPr>
                <a:latin typeface="Times New Roman" pitchFamily="18" charset="0"/>
                <a:cs typeface="Times New Roman" pitchFamily="18" charset="0"/>
              </a:defRPr>
            </a:pPr>
            <a:endParaRPr lang="ru-RU"/>
          </a:p>
        </c:txPr>
        <c:crossAx val="14512064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8474300087489426"/>
          <c:y val="5.0925925925925923E-2"/>
          <c:w val="0.78470144356956351"/>
          <c:h val="0.69666666666666666"/>
        </c:manualLayout>
      </c:layout>
      <c:lineChart>
        <c:grouping val="standard"/>
        <c:ser>
          <c:idx val="0"/>
          <c:order val="0"/>
          <c:marker>
            <c:symbol val="none"/>
          </c:marker>
          <c:trendline>
            <c:trendlineType val="linear"/>
          </c:trendline>
          <c:cat>
            <c:strRef>
              <c:f>Лист1!$AE$4:$AE$19</c:f>
              <c:strCache>
                <c:ptCount val="16"/>
                <c:pt idx="0">
                  <c:v>1 кв. 2009</c:v>
                </c:pt>
                <c:pt idx="1">
                  <c:v>2 кв. 2009</c:v>
                </c:pt>
                <c:pt idx="2">
                  <c:v>3 кв. 2009</c:v>
                </c:pt>
                <c:pt idx="3">
                  <c:v>4 кв. 2009</c:v>
                </c:pt>
                <c:pt idx="4">
                  <c:v>1 кв. 2010</c:v>
                </c:pt>
                <c:pt idx="5">
                  <c:v>2 кв. 2010</c:v>
                </c:pt>
                <c:pt idx="6">
                  <c:v>3 кв. 2010</c:v>
                </c:pt>
                <c:pt idx="7">
                  <c:v>4 кв. 2010</c:v>
                </c:pt>
                <c:pt idx="8">
                  <c:v>1 кв. 2011</c:v>
                </c:pt>
                <c:pt idx="9">
                  <c:v>2 кв. 2011</c:v>
                </c:pt>
                <c:pt idx="10">
                  <c:v>3 кв. 2011</c:v>
                </c:pt>
                <c:pt idx="11">
                  <c:v>4 кв. 2011</c:v>
                </c:pt>
                <c:pt idx="12">
                  <c:v>1 кв. 2012</c:v>
                </c:pt>
                <c:pt idx="13">
                  <c:v>2 кв. 2012</c:v>
                </c:pt>
                <c:pt idx="14">
                  <c:v>3 кв. 2012</c:v>
                </c:pt>
                <c:pt idx="15">
                  <c:v>4 кв. 2012</c:v>
                </c:pt>
              </c:strCache>
            </c:strRef>
          </c:cat>
          <c:val>
            <c:numRef>
              <c:f>Лист1!$AF$4:$AF$19</c:f>
              <c:numCache>
                <c:formatCode>#,##0</c:formatCode>
                <c:ptCount val="16"/>
                <c:pt idx="0">
                  <c:v>1115194</c:v>
                </c:pt>
                <c:pt idx="1">
                  <c:v>1340270</c:v>
                </c:pt>
                <c:pt idx="2">
                  <c:v>1355232</c:v>
                </c:pt>
                <c:pt idx="3">
                  <c:v>1190211</c:v>
                </c:pt>
                <c:pt idx="4">
                  <c:v>1154066</c:v>
                </c:pt>
                <c:pt idx="5">
                  <c:v>1469970</c:v>
                </c:pt>
                <c:pt idx="6">
                  <c:v>1427528</c:v>
                </c:pt>
                <c:pt idx="7">
                  <c:v>1260818</c:v>
                </c:pt>
                <c:pt idx="8">
                  <c:v>1364702</c:v>
                </c:pt>
                <c:pt idx="9">
                  <c:v>1473240</c:v>
                </c:pt>
                <c:pt idx="10">
                  <c:v>1491828</c:v>
                </c:pt>
                <c:pt idx="11">
                  <c:v>1421795</c:v>
                </c:pt>
                <c:pt idx="12">
                  <c:v>1450502</c:v>
                </c:pt>
                <c:pt idx="13">
                  <c:v>1626340</c:v>
                </c:pt>
                <c:pt idx="14">
                  <c:v>1525181</c:v>
                </c:pt>
                <c:pt idx="15">
                  <c:v>1474877</c:v>
                </c:pt>
              </c:numCache>
            </c:numRef>
          </c:val>
        </c:ser>
        <c:marker val="1"/>
        <c:axId val="145160064"/>
        <c:axId val="145161600"/>
      </c:lineChart>
      <c:catAx>
        <c:axId val="145160064"/>
        <c:scaling>
          <c:orientation val="minMax"/>
        </c:scaling>
        <c:axPos val="b"/>
        <c:tickLblPos val="nextTo"/>
        <c:txPr>
          <a:bodyPr rot="-5400000" vert="horz"/>
          <a:lstStyle/>
          <a:p>
            <a:pPr>
              <a:defRPr>
                <a:latin typeface="Times New Roman" pitchFamily="18" charset="0"/>
                <a:cs typeface="Times New Roman" pitchFamily="18" charset="0"/>
              </a:defRPr>
            </a:pPr>
            <a:endParaRPr lang="ru-RU"/>
          </a:p>
        </c:txPr>
        <c:crossAx val="145161600"/>
        <c:crosses val="autoZero"/>
        <c:auto val="1"/>
        <c:lblAlgn val="ctr"/>
        <c:lblOffset val="100"/>
      </c:catAx>
      <c:valAx>
        <c:axId val="145161600"/>
        <c:scaling>
          <c:orientation val="minMax"/>
          <c:max val="1700000"/>
          <c:min val="1000000"/>
        </c:scaling>
        <c:axPos val="l"/>
        <c:majorGridlines/>
        <c:title>
          <c:tx>
            <c:rich>
              <a:bodyPr rot="-5400000" vert="horz"/>
              <a:lstStyle/>
              <a:p>
                <a:pPr>
                  <a:defRPr/>
                </a:pPr>
                <a:r>
                  <a:rPr lang="ru-RU">
                    <a:latin typeface="Times New Roman" pitchFamily="18" charset="0"/>
                    <a:cs typeface="Times New Roman" pitchFamily="18" charset="0"/>
                  </a:rPr>
                  <a:t>тыс. руб.</a:t>
                </a:r>
              </a:p>
            </c:rich>
          </c:tx>
          <c:layout>
            <c:manualLayout>
              <c:xMode val="edge"/>
              <c:yMode val="edge"/>
              <c:x val="0"/>
              <c:y val="0.28763888888889211"/>
            </c:manualLayout>
          </c:layout>
        </c:title>
        <c:numFmt formatCode="#,##0" sourceLinked="1"/>
        <c:tickLblPos val="nextTo"/>
        <c:txPr>
          <a:bodyPr/>
          <a:lstStyle/>
          <a:p>
            <a:pPr>
              <a:defRPr>
                <a:latin typeface="Times New Roman" pitchFamily="18" charset="0"/>
                <a:cs typeface="Times New Roman" pitchFamily="18" charset="0"/>
              </a:defRPr>
            </a:pPr>
            <a:endParaRPr lang="ru-RU"/>
          </a:p>
        </c:txPr>
        <c:crossAx val="145160064"/>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196522309711552"/>
          <c:y val="5.0925925925925923E-2"/>
          <c:w val="0.7874792213473315"/>
          <c:h val="0.59035104986875908"/>
        </c:manualLayout>
      </c:layout>
      <c:lineChart>
        <c:grouping val="standard"/>
        <c:ser>
          <c:idx val="0"/>
          <c:order val="0"/>
          <c:tx>
            <c:v>Исходные данные</c:v>
          </c:tx>
          <c:marker>
            <c:symbol val="none"/>
          </c:marker>
          <c:cat>
            <c:strRef>
              <c:f>Лист2!$A$2:$A$17</c:f>
              <c:strCache>
                <c:ptCount val="16"/>
                <c:pt idx="0">
                  <c:v>1 кв. 2009</c:v>
                </c:pt>
                <c:pt idx="1">
                  <c:v>2 кв. 2009</c:v>
                </c:pt>
                <c:pt idx="2">
                  <c:v>3 кв. 2009</c:v>
                </c:pt>
                <c:pt idx="3">
                  <c:v>4 кв. 2009</c:v>
                </c:pt>
                <c:pt idx="4">
                  <c:v>1 кв. 2010</c:v>
                </c:pt>
                <c:pt idx="5">
                  <c:v>2 кв. 2010</c:v>
                </c:pt>
                <c:pt idx="6">
                  <c:v>3 кв. 2010</c:v>
                </c:pt>
                <c:pt idx="7">
                  <c:v>4 кв. 2010</c:v>
                </c:pt>
                <c:pt idx="8">
                  <c:v>1 кв. 2011</c:v>
                </c:pt>
                <c:pt idx="9">
                  <c:v>2 кв. 2011</c:v>
                </c:pt>
                <c:pt idx="10">
                  <c:v>3 кв. 2011</c:v>
                </c:pt>
                <c:pt idx="11">
                  <c:v>4 кв. 2011</c:v>
                </c:pt>
                <c:pt idx="12">
                  <c:v>1 кв. 2012</c:v>
                </c:pt>
                <c:pt idx="13">
                  <c:v>2 кв. 2012</c:v>
                </c:pt>
                <c:pt idx="14">
                  <c:v>3 кв. 2012</c:v>
                </c:pt>
                <c:pt idx="15">
                  <c:v>4 кв. 2012</c:v>
                </c:pt>
              </c:strCache>
            </c:strRef>
          </c:cat>
          <c:val>
            <c:numRef>
              <c:f>Лист2!$B$2:$B$17</c:f>
              <c:numCache>
                <c:formatCode>#,##0</c:formatCode>
                <c:ptCount val="16"/>
                <c:pt idx="0">
                  <c:v>1115194</c:v>
                </c:pt>
                <c:pt idx="1">
                  <c:v>1340270</c:v>
                </c:pt>
                <c:pt idx="2">
                  <c:v>1355232</c:v>
                </c:pt>
                <c:pt idx="3">
                  <c:v>1190211</c:v>
                </c:pt>
                <c:pt idx="4">
                  <c:v>1154066</c:v>
                </c:pt>
                <c:pt idx="5">
                  <c:v>1469970</c:v>
                </c:pt>
                <c:pt idx="6">
                  <c:v>1427528</c:v>
                </c:pt>
                <c:pt idx="7">
                  <c:v>1260818</c:v>
                </c:pt>
                <c:pt idx="8">
                  <c:v>1364702</c:v>
                </c:pt>
                <c:pt idx="9">
                  <c:v>1473240</c:v>
                </c:pt>
                <c:pt idx="10">
                  <c:v>1491828</c:v>
                </c:pt>
                <c:pt idx="11">
                  <c:v>1421795</c:v>
                </c:pt>
                <c:pt idx="12">
                  <c:v>1450502</c:v>
                </c:pt>
                <c:pt idx="13">
                  <c:v>1626340</c:v>
                </c:pt>
                <c:pt idx="14">
                  <c:v>1525181</c:v>
                </c:pt>
                <c:pt idx="15">
                  <c:v>1474877</c:v>
                </c:pt>
              </c:numCache>
            </c:numRef>
          </c:val>
        </c:ser>
        <c:ser>
          <c:idx val="1"/>
          <c:order val="1"/>
          <c:tx>
            <c:v>Предсказанные значения</c:v>
          </c:tx>
          <c:marker>
            <c:symbol val="none"/>
          </c:marker>
          <c:cat>
            <c:strRef>
              <c:f>Лист2!$A$2:$A$17</c:f>
              <c:strCache>
                <c:ptCount val="16"/>
                <c:pt idx="0">
                  <c:v>1 кв. 2009</c:v>
                </c:pt>
                <c:pt idx="1">
                  <c:v>2 кв. 2009</c:v>
                </c:pt>
                <c:pt idx="2">
                  <c:v>3 кв. 2009</c:v>
                </c:pt>
                <c:pt idx="3">
                  <c:v>4 кв. 2009</c:v>
                </c:pt>
                <c:pt idx="4">
                  <c:v>1 кв. 2010</c:v>
                </c:pt>
                <c:pt idx="5">
                  <c:v>2 кв. 2010</c:v>
                </c:pt>
                <c:pt idx="6">
                  <c:v>3 кв. 2010</c:v>
                </c:pt>
                <c:pt idx="7">
                  <c:v>4 кв. 2010</c:v>
                </c:pt>
                <c:pt idx="8">
                  <c:v>1 кв. 2011</c:v>
                </c:pt>
                <c:pt idx="9">
                  <c:v>2 кв. 2011</c:v>
                </c:pt>
                <c:pt idx="10">
                  <c:v>3 кв. 2011</c:v>
                </c:pt>
                <c:pt idx="11">
                  <c:v>4 кв. 2011</c:v>
                </c:pt>
                <c:pt idx="12">
                  <c:v>1 кв. 2012</c:v>
                </c:pt>
                <c:pt idx="13">
                  <c:v>2 кв. 2012</c:v>
                </c:pt>
                <c:pt idx="14">
                  <c:v>3 кв. 2012</c:v>
                </c:pt>
                <c:pt idx="15">
                  <c:v>4 кв. 2012</c:v>
                </c:pt>
              </c:strCache>
            </c:strRef>
          </c:cat>
          <c:val>
            <c:numRef>
              <c:f>Лист2!$T$2:$T$17</c:f>
              <c:numCache>
                <c:formatCode>#,##0</c:formatCode>
                <c:ptCount val="16"/>
                <c:pt idx="0">
                  <c:v>1132648.3345588238</c:v>
                </c:pt>
                <c:pt idx="1">
                  <c:v>1336805.3024509803</c:v>
                </c:pt>
                <c:pt idx="2">
                  <c:v>1325324.395343137</c:v>
                </c:pt>
                <c:pt idx="3">
                  <c:v>1188518.2382352939</c:v>
                </c:pt>
                <c:pt idx="4">
                  <c:v>1224672.0394607843</c:v>
                </c:pt>
                <c:pt idx="5">
                  <c:v>1428829.0073529396</c:v>
                </c:pt>
                <c:pt idx="6">
                  <c:v>1417348.1002450981</c:v>
                </c:pt>
                <c:pt idx="7">
                  <c:v>1280541.9431372548</c:v>
                </c:pt>
                <c:pt idx="8">
                  <c:v>1316695.7443627436</c:v>
                </c:pt>
                <c:pt idx="9">
                  <c:v>1520852.7122548998</c:v>
                </c:pt>
                <c:pt idx="10">
                  <c:v>1509371.8051470588</c:v>
                </c:pt>
                <c:pt idx="11">
                  <c:v>1372565.6480392157</c:v>
                </c:pt>
                <c:pt idx="12">
                  <c:v>1408719.4492647036</c:v>
                </c:pt>
                <c:pt idx="13">
                  <c:v>1612876.4171568628</c:v>
                </c:pt>
                <c:pt idx="14">
                  <c:v>1601395.5100490211</c:v>
                </c:pt>
                <c:pt idx="15">
                  <c:v>1464589.352941192</c:v>
                </c:pt>
              </c:numCache>
            </c:numRef>
          </c:val>
        </c:ser>
        <c:marker val="1"/>
        <c:axId val="158154112"/>
        <c:axId val="158160000"/>
      </c:lineChart>
      <c:catAx>
        <c:axId val="158154112"/>
        <c:scaling>
          <c:orientation val="minMax"/>
        </c:scaling>
        <c:axPos val="b"/>
        <c:tickLblPos val="nextTo"/>
        <c:txPr>
          <a:bodyPr rot="-5400000" vert="horz"/>
          <a:lstStyle/>
          <a:p>
            <a:pPr>
              <a:defRPr>
                <a:latin typeface="Times New Roman" pitchFamily="18" charset="0"/>
                <a:cs typeface="Times New Roman" pitchFamily="18" charset="0"/>
              </a:defRPr>
            </a:pPr>
            <a:endParaRPr lang="ru-RU"/>
          </a:p>
        </c:txPr>
        <c:crossAx val="158160000"/>
        <c:crosses val="autoZero"/>
        <c:auto val="1"/>
        <c:lblAlgn val="ctr"/>
        <c:lblOffset val="100"/>
      </c:catAx>
      <c:valAx>
        <c:axId val="158160000"/>
        <c:scaling>
          <c:orientation val="minMax"/>
          <c:max val="1700000"/>
          <c:min val="1000000"/>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тыс. руб.</a:t>
                </a:r>
              </a:p>
            </c:rich>
          </c:tx>
          <c:layout>
            <c:manualLayout>
              <c:xMode val="edge"/>
              <c:yMode val="edge"/>
              <c:x val="0"/>
              <c:y val="0.24374015748031783"/>
            </c:manualLayout>
          </c:layout>
        </c:title>
        <c:numFmt formatCode="#,##0" sourceLinked="1"/>
        <c:tickLblPos val="nextTo"/>
        <c:txPr>
          <a:bodyPr/>
          <a:lstStyle/>
          <a:p>
            <a:pPr>
              <a:defRPr>
                <a:latin typeface="Times New Roman" pitchFamily="18" charset="0"/>
                <a:cs typeface="Times New Roman" pitchFamily="18" charset="0"/>
              </a:defRPr>
            </a:pPr>
            <a:endParaRPr lang="ru-RU"/>
          </a:p>
        </c:txPr>
        <c:crossAx val="15815411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196522309711563"/>
          <c:y val="5.0925925925925923E-2"/>
          <c:w val="0.7874792213473315"/>
          <c:h val="0.59035104986875886"/>
        </c:manualLayout>
      </c:layout>
      <c:lineChart>
        <c:grouping val="standard"/>
        <c:ser>
          <c:idx val="0"/>
          <c:order val="0"/>
          <c:tx>
            <c:v>Исходные данные</c:v>
          </c:tx>
          <c:marker>
            <c:symbol val="none"/>
          </c:marker>
          <c:cat>
            <c:strRef>
              <c:f>Лист2!$AT$2:$AT$36</c:f>
              <c:strCache>
                <c:ptCount val="35"/>
                <c:pt idx="0">
                  <c:v>1 кв. 2009</c:v>
                </c:pt>
                <c:pt idx="1">
                  <c:v>2 кв. 2009</c:v>
                </c:pt>
                <c:pt idx="2">
                  <c:v>3 кв. 2009</c:v>
                </c:pt>
                <c:pt idx="3">
                  <c:v>4 кв. 2009</c:v>
                </c:pt>
                <c:pt idx="4">
                  <c:v>1 кв. 2010</c:v>
                </c:pt>
                <c:pt idx="5">
                  <c:v>2 кв. 2010</c:v>
                </c:pt>
                <c:pt idx="6">
                  <c:v>3 кв. 2010</c:v>
                </c:pt>
                <c:pt idx="7">
                  <c:v>4 кв. 2010</c:v>
                </c:pt>
                <c:pt idx="8">
                  <c:v>1 кв. 2011</c:v>
                </c:pt>
                <c:pt idx="9">
                  <c:v>2 кв. 2011</c:v>
                </c:pt>
                <c:pt idx="10">
                  <c:v>3 кв. 2011</c:v>
                </c:pt>
                <c:pt idx="11">
                  <c:v>4 кв. 2011</c:v>
                </c:pt>
                <c:pt idx="12">
                  <c:v>1 кв. 2012</c:v>
                </c:pt>
                <c:pt idx="13">
                  <c:v>2 кв. 2012</c:v>
                </c:pt>
                <c:pt idx="14">
                  <c:v>3 кв. 2012</c:v>
                </c:pt>
                <c:pt idx="15">
                  <c:v>4 кв. 2012</c:v>
                </c:pt>
                <c:pt idx="16">
                  <c:v>1 кв. 2013</c:v>
                </c:pt>
                <c:pt idx="17">
                  <c:v>2 кв. 2013</c:v>
                </c:pt>
                <c:pt idx="18">
                  <c:v>3 кв. 2013</c:v>
                </c:pt>
                <c:pt idx="19">
                  <c:v>4 кв. 2013</c:v>
                </c:pt>
                <c:pt idx="20">
                  <c:v>1 кв. 2014</c:v>
                </c:pt>
                <c:pt idx="21">
                  <c:v>2 кв. 2014</c:v>
                </c:pt>
                <c:pt idx="22">
                  <c:v>3 кв. 2014</c:v>
                </c:pt>
                <c:pt idx="23">
                  <c:v>4 кв. 2014</c:v>
                </c:pt>
                <c:pt idx="24">
                  <c:v>1 кв. 2015</c:v>
                </c:pt>
                <c:pt idx="25">
                  <c:v>2 кв. 2015</c:v>
                </c:pt>
                <c:pt idx="26">
                  <c:v>3 кв. 2015</c:v>
                </c:pt>
                <c:pt idx="27">
                  <c:v>4 кв. 2015</c:v>
                </c:pt>
                <c:pt idx="28">
                  <c:v>1 кв. 2016</c:v>
                </c:pt>
                <c:pt idx="29">
                  <c:v>2 кв. 2016</c:v>
                </c:pt>
                <c:pt idx="30">
                  <c:v>3 кв. 2016</c:v>
                </c:pt>
                <c:pt idx="31">
                  <c:v>4 кв. 2016</c:v>
                </c:pt>
                <c:pt idx="32">
                  <c:v>1 кв. 2017</c:v>
                </c:pt>
                <c:pt idx="33">
                  <c:v>2 кв. 2017</c:v>
                </c:pt>
                <c:pt idx="34">
                  <c:v>3 кв. 2017</c:v>
                </c:pt>
              </c:strCache>
            </c:strRef>
          </c:cat>
          <c:val>
            <c:numRef>
              <c:f>Лист2!$AR$2:$AR$36</c:f>
              <c:numCache>
                <c:formatCode>#,##0</c:formatCode>
                <c:ptCount val="35"/>
                <c:pt idx="0">
                  <c:v>1115194</c:v>
                </c:pt>
                <c:pt idx="1">
                  <c:v>1340270</c:v>
                </c:pt>
                <c:pt idx="2">
                  <c:v>1355232</c:v>
                </c:pt>
                <c:pt idx="3">
                  <c:v>1190211</c:v>
                </c:pt>
                <c:pt idx="4">
                  <c:v>1154066</c:v>
                </c:pt>
                <c:pt idx="5">
                  <c:v>1469970</c:v>
                </c:pt>
                <c:pt idx="6">
                  <c:v>1427528</c:v>
                </c:pt>
                <c:pt idx="7">
                  <c:v>1260818</c:v>
                </c:pt>
                <c:pt idx="8">
                  <c:v>1364702</c:v>
                </c:pt>
                <c:pt idx="9">
                  <c:v>1473240</c:v>
                </c:pt>
                <c:pt idx="10">
                  <c:v>1491828</c:v>
                </c:pt>
                <c:pt idx="11">
                  <c:v>1421795</c:v>
                </c:pt>
                <c:pt idx="12">
                  <c:v>1450502</c:v>
                </c:pt>
                <c:pt idx="13">
                  <c:v>1626340</c:v>
                </c:pt>
                <c:pt idx="14">
                  <c:v>1525181</c:v>
                </c:pt>
                <c:pt idx="15">
                  <c:v>1474877</c:v>
                </c:pt>
              </c:numCache>
            </c:numRef>
          </c:val>
        </c:ser>
        <c:ser>
          <c:idx val="2"/>
          <c:order val="1"/>
          <c:tx>
            <c:v>Прогноз</c:v>
          </c:tx>
          <c:marker>
            <c:symbol val="none"/>
          </c:marker>
          <c:cat>
            <c:strRef>
              <c:f>Лист2!$AT$2:$AT$36</c:f>
              <c:strCache>
                <c:ptCount val="35"/>
                <c:pt idx="0">
                  <c:v>1 кв. 2009</c:v>
                </c:pt>
                <c:pt idx="1">
                  <c:v>2 кв. 2009</c:v>
                </c:pt>
                <c:pt idx="2">
                  <c:v>3 кв. 2009</c:v>
                </c:pt>
                <c:pt idx="3">
                  <c:v>4 кв. 2009</c:v>
                </c:pt>
                <c:pt idx="4">
                  <c:v>1 кв. 2010</c:v>
                </c:pt>
                <c:pt idx="5">
                  <c:v>2 кв. 2010</c:v>
                </c:pt>
                <c:pt idx="6">
                  <c:v>3 кв. 2010</c:v>
                </c:pt>
                <c:pt idx="7">
                  <c:v>4 кв. 2010</c:v>
                </c:pt>
                <c:pt idx="8">
                  <c:v>1 кв. 2011</c:v>
                </c:pt>
                <c:pt idx="9">
                  <c:v>2 кв. 2011</c:v>
                </c:pt>
                <c:pt idx="10">
                  <c:v>3 кв. 2011</c:v>
                </c:pt>
                <c:pt idx="11">
                  <c:v>4 кв. 2011</c:v>
                </c:pt>
                <c:pt idx="12">
                  <c:v>1 кв. 2012</c:v>
                </c:pt>
                <c:pt idx="13">
                  <c:v>2 кв. 2012</c:v>
                </c:pt>
                <c:pt idx="14">
                  <c:v>3 кв. 2012</c:v>
                </c:pt>
                <c:pt idx="15">
                  <c:v>4 кв. 2012</c:v>
                </c:pt>
                <c:pt idx="16">
                  <c:v>1 кв. 2013</c:v>
                </c:pt>
                <c:pt idx="17">
                  <c:v>2 кв. 2013</c:v>
                </c:pt>
                <c:pt idx="18">
                  <c:v>3 кв. 2013</c:v>
                </c:pt>
                <c:pt idx="19">
                  <c:v>4 кв. 2013</c:v>
                </c:pt>
                <c:pt idx="20">
                  <c:v>1 кв. 2014</c:v>
                </c:pt>
                <c:pt idx="21">
                  <c:v>2 кв. 2014</c:v>
                </c:pt>
                <c:pt idx="22">
                  <c:v>3 кв. 2014</c:v>
                </c:pt>
                <c:pt idx="23">
                  <c:v>4 кв. 2014</c:v>
                </c:pt>
                <c:pt idx="24">
                  <c:v>1 кв. 2015</c:v>
                </c:pt>
                <c:pt idx="25">
                  <c:v>2 кв. 2015</c:v>
                </c:pt>
                <c:pt idx="26">
                  <c:v>3 кв. 2015</c:v>
                </c:pt>
                <c:pt idx="27">
                  <c:v>4 кв. 2015</c:v>
                </c:pt>
                <c:pt idx="28">
                  <c:v>1 кв. 2016</c:v>
                </c:pt>
                <c:pt idx="29">
                  <c:v>2 кв. 2016</c:v>
                </c:pt>
                <c:pt idx="30">
                  <c:v>3 кв. 2016</c:v>
                </c:pt>
                <c:pt idx="31">
                  <c:v>4 кв. 2016</c:v>
                </c:pt>
                <c:pt idx="32">
                  <c:v>1 кв. 2017</c:v>
                </c:pt>
                <c:pt idx="33">
                  <c:v>2 кв. 2017</c:v>
                </c:pt>
                <c:pt idx="34">
                  <c:v>3 кв. 2017</c:v>
                </c:pt>
              </c:strCache>
            </c:strRef>
          </c:cat>
          <c:val>
            <c:numRef>
              <c:f>Лист2!$AS$2:$AS$36</c:f>
              <c:numCache>
                <c:formatCode>General</c:formatCode>
                <c:ptCount val="35"/>
                <c:pt idx="15" formatCode="#,##0">
                  <c:v>1474877</c:v>
                </c:pt>
                <c:pt idx="16" formatCode="#,##0">
                  <c:v>1500743.1541666791</c:v>
                </c:pt>
                <c:pt idx="17" formatCode="#,##0">
                  <c:v>1704900.1220588251</c:v>
                </c:pt>
                <c:pt idx="18" formatCode="#,##0">
                  <c:v>1693419.2149509804</c:v>
                </c:pt>
                <c:pt idx="19" formatCode="#,##0">
                  <c:v>1556613.0578431371</c:v>
                </c:pt>
                <c:pt idx="20" formatCode="#,##0">
                  <c:v>1592766.8590686396</c:v>
                </c:pt>
                <c:pt idx="21" formatCode="#,##0">
                  <c:v>1796923.8269607848</c:v>
                </c:pt>
                <c:pt idx="22" formatCode="#,##0">
                  <c:v>1785442.9198529406</c:v>
                </c:pt>
                <c:pt idx="23" formatCode="#,##0">
                  <c:v>1648636.7627451001</c:v>
                </c:pt>
                <c:pt idx="24" formatCode="#,##0">
                  <c:v>1684790.5639705881</c:v>
                </c:pt>
                <c:pt idx="25" formatCode="#,##0">
                  <c:v>1888947.5318627446</c:v>
                </c:pt>
                <c:pt idx="26" formatCode="#,##0">
                  <c:v>1877466.6247549006</c:v>
                </c:pt>
                <c:pt idx="27" formatCode="#,##0">
                  <c:v>1740660.4676470589</c:v>
                </c:pt>
                <c:pt idx="28" formatCode="#,##0">
                  <c:v>1776814.2688725486</c:v>
                </c:pt>
                <c:pt idx="29" formatCode="#,##0">
                  <c:v>1980971.236764706</c:v>
                </c:pt>
                <c:pt idx="30" formatCode="#,##0">
                  <c:v>1969490.3296568631</c:v>
                </c:pt>
                <c:pt idx="31" formatCode="#,##0">
                  <c:v>1832684.1725490449</c:v>
                </c:pt>
                <c:pt idx="32" formatCode="#,##0">
                  <c:v>1868837.9737745097</c:v>
                </c:pt>
                <c:pt idx="33" formatCode="#,##0">
                  <c:v>2072994.9416666667</c:v>
                </c:pt>
                <c:pt idx="34" formatCode="#,##0">
                  <c:v>2061514.0345588238</c:v>
                </c:pt>
              </c:numCache>
            </c:numRef>
          </c:val>
        </c:ser>
        <c:marker val="1"/>
        <c:axId val="158197248"/>
        <c:axId val="158198784"/>
      </c:lineChart>
      <c:catAx>
        <c:axId val="158197248"/>
        <c:scaling>
          <c:orientation val="minMax"/>
        </c:scaling>
        <c:axPos val="b"/>
        <c:tickLblPos val="nextTo"/>
        <c:txPr>
          <a:bodyPr rot="-5400000" vert="horz"/>
          <a:lstStyle/>
          <a:p>
            <a:pPr>
              <a:defRPr>
                <a:latin typeface="Times New Roman" pitchFamily="18" charset="0"/>
                <a:cs typeface="Times New Roman" pitchFamily="18" charset="0"/>
              </a:defRPr>
            </a:pPr>
            <a:endParaRPr lang="ru-RU"/>
          </a:p>
        </c:txPr>
        <c:crossAx val="158198784"/>
        <c:crosses val="autoZero"/>
        <c:auto val="1"/>
        <c:lblAlgn val="ctr"/>
        <c:lblOffset val="100"/>
      </c:catAx>
      <c:valAx>
        <c:axId val="158198784"/>
        <c:scaling>
          <c:orientation val="minMax"/>
          <c:max val="2200000"/>
          <c:min val="1000000"/>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тыс. руб.</a:t>
                </a:r>
              </a:p>
            </c:rich>
          </c:tx>
          <c:layout>
            <c:manualLayout>
              <c:xMode val="edge"/>
              <c:yMode val="edge"/>
              <c:x val="0"/>
              <c:y val="0.24374015748031794"/>
            </c:manualLayout>
          </c:layout>
        </c:title>
        <c:numFmt formatCode="#,##0" sourceLinked="1"/>
        <c:tickLblPos val="nextTo"/>
        <c:txPr>
          <a:bodyPr/>
          <a:lstStyle/>
          <a:p>
            <a:pPr>
              <a:defRPr>
                <a:latin typeface="Times New Roman" pitchFamily="18" charset="0"/>
                <a:cs typeface="Times New Roman" pitchFamily="18" charset="0"/>
              </a:defRPr>
            </a:pPr>
            <a:endParaRPr lang="ru-RU"/>
          </a:p>
        </c:txPr>
        <c:crossAx val="1581972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529855643044904"/>
          <c:y val="5.0925925925925992E-2"/>
          <c:w val="0.75414588801401083"/>
          <c:h val="0.73192512394284071"/>
        </c:manualLayout>
      </c:layout>
      <c:barChart>
        <c:barDir val="col"/>
        <c:grouping val="clustered"/>
        <c:ser>
          <c:idx val="0"/>
          <c:order val="0"/>
          <c:tx>
            <c:v>Страховые взносы по ДМС</c:v>
          </c:tx>
          <c:cat>
            <c:numRef>
              <c:f>Лист3!$G$3:$G$11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Лист3!$I$3:$I$11</c:f>
              <c:numCache>
                <c:formatCode>#,##0.0</c:formatCode>
                <c:ptCount val="9"/>
                <c:pt idx="0">
                  <c:v>38878136.800000004</c:v>
                </c:pt>
                <c:pt idx="1">
                  <c:v>45739473.300000004</c:v>
                </c:pt>
                <c:pt idx="2">
                  <c:v>53317361.400000006</c:v>
                </c:pt>
                <c:pt idx="3">
                  <c:v>63185932.400000006</c:v>
                </c:pt>
                <c:pt idx="4">
                  <c:v>74489708.599999994</c:v>
                </c:pt>
                <c:pt idx="5">
                  <c:v>74346951.900000006</c:v>
                </c:pt>
                <c:pt idx="6">
                  <c:v>85717904.200000003</c:v>
                </c:pt>
                <c:pt idx="7">
                  <c:v>96893526.799999997</c:v>
                </c:pt>
                <c:pt idx="8">
                  <c:v>108947459</c:v>
                </c:pt>
              </c:numCache>
            </c:numRef>
          </c:val>
        </c:ser>
        <c:axId val="145937920"/>
        <c:axId val="145939456"/>
      </c:barChart>
      <c:lineChart>
        <c:grouping val="standard"/>
        <c:ser>
          <c:idx val="1"/>
          <c:order val="1"/>
          <c:tx>
            <c:v>Страховые выплаты по ДМС</c:v>
          </c:tx>
          <c:cat>
            <c:numRef>
              <c:f>Лист3!$G$3:$G$10</c:f>
              <c:numCache>
                <c:formatCode>General</c:formatCode>
                <c:ptCount val="8"/>
                <c:pt idx="0">
                  <c:v>2004</c:v>
                </c:pt>
                <c:pt idx="1">
                  <c:v>2005</c:v>
                </c:pt>
                <c:pt idx="2">
                  <c:v>2006</c:v>
                </c:pt>
                <c:pt idx="3">
                  <c:v>2007</c:v>
                </c:pt>
                <c:pt idx="4">
                  <c:v>2008</c:v>
                </c:pt>
                <c:pt idx="5">
                  <c:v>2009</c:v>
                </c:pt>
                <c:pt idx="6">
                  <c:v>2010</c:v>
                </c:pt>
                <c:pt idx="7">
                  <c:v>2011</c:v>
                </c:pt>
              </c:numCache>
            </c:numRef>
          </c:cat>
          <c:val>
            <c:numRef>
              <c:f>Лист3!$I$15:$I$23</c:f>
              <c:numCache>
                <c:formatCode>#,##0.0</c:formatCode>
                <c:ptCount val="9"/>
                <c:pt idx="0">
                  <c:v>31106365</c:v>
                </c:pt>
                <c:pt idx="1">
                  <c:v>35287477.700000003</c:v>
                </c:pt>
                <c:pt idx="2">
                  <c:v>39752092.700000003</c:v>
                </c:pt>
                <c:pt idx="3">
                  <c:v>47755561.700000003</c:v>
                </c:pt>
                <c:pt idx="4">
                  <c:v>59067535.300000004</c:v>
                </c:pt>
                <c:pt idx="5">
                  <c:v>64718918.400000006</c:v>
                </c:pt>
                <c:pt idx="6">
                  <c:v>66470264.200000003</c:v>
                </c:pt>
                <c:pt idx="7">
                  <c:v>74484113.599999994</c:v>
                </c:pt>
                <c:pt idx="8">
                  <c:v>81999181</c:v>
                </c:pt>
              </c:numCache>
            </c:numRef>
          </c:val>
        </c:ser>
        <c:marker val="1"/>
        <c:axId val="145937920"/>
        <c:axId val="145939456"/>
      </c:lineChart>
      <c:catAx>
        <c:axId val="14593792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45939456"/>
        <c:crosses val="autoZero"/>
        <c:auto val="1"/>
        <c:lblAlgn val="ctr"/>
        <c:lblOffset val="100"/>
      </c:catAx>
      <c:valAx>
        <c:axId val="145939456"/>
        <c:scaling>
          <c:orientation val="minMax"/>
        </c:scaling>
        <c:axPos val="l"/>
        <c:majorGridlines/>
        <c:title>
          <c:tx>
            <c:rich>
              <a:bodyPr rot="-5400000" vert="horz"/>
              <a:lstStyle/>
              <a:p>
                <a:pPr>
                  <a:defRPr/>
                </a:pPr>
                <a:r>
                  <a:rPr lang="ru-RU">
                    <a:latin typeface="Times New Roman" pitchFamily="18" charset="0"/>
                    <a:cs typeface="Times New Roman" pitchFamily="18" charset="0"/>
                  </a:rPr>
                  <a:t>тыс.</a:t>
                </a:r>
                <a:r>
                  <a:rPr lang="ru-RU" baseline="0">
                    <a:latin typeface="Times New Roman" pitchFamily="18" charset="0"/>
                    <a:cs typeface="Times New Roman" pitchFamily="18" charset="0"/>
                  </a:rPr>
                  <a:t> руб.</a:t>
                </a:r>
                <a:endParaRPr lang="ru-RU">
                  <a:latin typeface="Times New Roman" pitchFamily="18" charset="0"/>
                  <a:cs typeface="Times New Roman" pitchFamily="18" charset="0"/>
                </a:endParaRPr>
              </a:p>
            </c:rich>
          </c:tx>
          <c:layout>
            <c:manualLayout>
              <c:xMode val="edge"/>
              <c:yMode val="edge"/>
              <c:x val="5.5555555555555558E-3"/>
              <c:y val="0.30989756488772774"/>
            </c:manualLayout>
          </c:layout>
        </c:title>
        <c:numFmt formatCode="#,##0" sourceLinked="0"/>
        <c:tickLblPos val="nextTo"/>
        <c:txPr>
          <a:bodyPr/>
          <a:lstStyle/>
          <a:p>
            <a:pPr>
              <a:defRPr>
                <a:latin typeface="Times New Roman" pitchFamily="18" charset="0"/>
                <a:cs typeface="Times New Roman" pitchFamily="18" charset="0"/>
              </a:defRPr>
            </a:pPr>
            <a:endParaRPr lang="ru-RU"/>
          </a:p>
        </c:txPr>
        <c:crossAx val="1459379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779833770778873"/>
          <c:y val="5.0925925925925923E-2"/>
          <c:w val="0.84164610673665752"/>
          <c:h val="0.66033172936716245"/>
        </c:manualLayout>
      </c:layout>
      <c:barChart>
        <c:barDir val="col"/>
        <c:grouping val="clustered"/>
        <c:ser>
          <c:idx val="4"/>
          <c:order val="0"/>
          <c:tx>
            <c:v>Доля взносов по ДМС в общем объеме взносов</c:v>
          </c:tx>
          <c:dLbls>
            <c:txPr>
              <a:bodyPr/>
              <a:lstStyle/>
              <a:p>
                <a:pPr>
                  <a:defRPr>
                    <a:latin typeface="Times New Roman" pitchFamily="18" charset="0"/>
                    <a:cs typeface="Times New Roman" pitchFamily="18" charset="0"/>
                  </a:defRPr>
                </a:pPr>
                <a:endParaRPr lang="ru-RU"/>
              </a:p>
            </c:txPr>
            <c:showVal val="1"/>
          </c:dLbls>
          <c:cat>
            <c:numRef>
              <c:f>Лист3!$G$3:$G$10</c:f>
              <c:numCache>
                <c:formatCode>General</c:formatCode>
                <c:ptCount val="8"/>
                <c:pt idx="0">
                  <c:v>2004</c:v>
                </c:pt>
                <c:pt idx="1">
                  <c:v>2005</c:v>
                </c:pt>
                <c:pt idx="2">
                  <c:v>2006</c:v>
                </c:pt>
                <c:pt idx="3">
                  <c:v>2007</c:v>
                </c:pt>
                <c:pt idx="4">
                  <c:v>2008</c:v>
                </c:pt>
                <c:pt idx="5">
                  <c:v>2009</c:v>
                </c:pt>
                <c:pt idx="6">
                  <c:v>2010</c:v>
                </c:pt>
                <c:pt idx="7">
                  <c:v>2011</c:v>
                </c:pt>
              </c:numCache>
            </c:numRef>
          </c:cat>
          <c:val>
            <c:numRef>
              <c:f>Лист3!$K$3:$K$10</c:f>
              <c:numCache>
                <c:formatCode>#,##0.00</c:formatCode>
                <c:ptCount val="8"/>
                <c:pt idx="0">
                  <c:v>8.2627014564222527</c:v>
                </c:pt>
                <c:pt idx="1">
                  <c:v>9.0367233798483007</c:v>
                </c:pt>
                <c:pt idx="2">
                  <c:v>8.6835830559458547</c:v>
                </c:pt>
                <c:pt idx="3">
                  <c:v>8.1521505642815022</c:v>
                </c:pt>
                <c:pt idx="4">
                  <c:v>7.8019778442709855</c:v>
                </c:pt>
                <c:pt idx="5">
                  <c:v>7.5934024053155333</c:v>
                </c:pt>
                <c:pt idx="6">
                  <c:v>8.268526093622004</c:v>
                </c:pt>
                <c:pt idx="7">
                  <c:v>7.6308365180331945</c:v>
                </c:pt>
              </c:numCache>
            </c:numRef>
          </c:val>
        </c:ser>
        <c:ser>
          <c:idx val="5"/>
          <c:order val="1"/>
          <c:tx>
            <c:v>Доля выплат по ДМС в общем объеме выплат</c:v>
          </c:tx>
          <c:dLbls>
            <c:dLbl>
              <c:idx val="5"/>
              <c:layout>
                <c:manualLayout>
                  <c:x val="0"/>
                  <c:y val="-1.8518518518518583E-2"/>
                </c:manualLayout>
              </c:layout>
              <c:showVal val="1"/>
            </c:dLbl>
            <c:dLbl>
              <c:idx val="6"/>
              <c:layout>
                <c:manualLayout>
                  <c:x val="1.0185067526416487E-16"/>
                  <c:y val="-5.0925925925925923E-2"/>
                </c:manualLayout>
              </c:layout>
              <c:showVal val="1"/>
            </c:dLbl>
            <c:dLbl>
              <c:idx val="7"/>
              <c:layout>
                <c:manualLayout>
                  <c:x val="1.0185067526416487E-16"/>
                  <c:y val="-3.2407407407408016E-2"/>
                </c:manualLayout>
              </c:layout>
              <c:showVal val="1"/>
            </c:dLbl>
            <c:txPr>
              <a:bodyPr/>
              <a:lstStyle/>
              <a:p>
                <a:pPr>
                  <a:defRPr>
                    <a:latin typeface="Times New Roman" pitchFamily="18" charset="0"/>
                    <a:cs typeface="Times New Roman" pitchFamily="18" charset="0"/>
                  </a:defRPr>
                </a:pPr>
                <a:endParaRPr lang="ru-RU"/>
              </a:p>
            </c:txPr>
            <c:showVal val="1"/>
          </c:dLbls>
          <c:cat>
            <c:numRef>
              <c:f>Лист3!$G$3:$G$10</c:f>
              <c:numCache>
                <c:formatCode>General</c:formatCode>
                <c:ptCount val="8"/>
                <c:pt idx="0">
                  <c:v>2004</c:v>
                </c:pt>
                <c:pt idx="1">
                  <c:v>2005</c:v>
                </c:pt>
                <c:pt idx="2">
                  <c:v>2006</c:v>
                </c:pt>
                <c:pt idx="3">
                  <c:v>2007</c:v>
                </c:pt>
                <c:pt idx="4">
                  <c:v>2008</c:v>
                </c:pt>
                <c:pt idx="5">
                  <c:v>2009</c:v>
                </c:pt>
                <c:pt idx="6">
                  <c:v>2010</c:v>
                </c:pt>
                <c:pt idx="7">
                  <c:v>2011</c:v>
                </c:pt>
              </c:numCache>
            </c:numRef>
          </c:cat>
          <c:val>
            <c:numRef>
              <c:f>Лист3!$K$15:$K$22</c:f>
              <c:numCache>
                <c:formatCode>#,##0.00</c:formatCode>
                <c:ptCount val="8"/>
                <c:pt idx="0">
                  <c:v>10.596152383893168</c:v>
                </c:pt>
                <c:pt idx="1">
                  <c:v>11.438984165593951</c:v>
                </c:pt>
                <c:pt idx="2">
                  <c:v>11.13708973931697</c:v>
                </c:pt>
                <c:pt idx="3">
                  <c:v>9.8141873072980648</c:v>
                </c:pt>
                <c:pt idx="4">
                  <c:v>9.3279217780363339</c:v>
                </c:pt>
                <c:pt idx="5">
                  <c:v>8.7468860997569227</c:v>
                </c:pt>
                <c:pt idx="6">
                  <c:v>8.5786834423848219</c:v>
                </c:pt>
                <c:pt idx="7">
                  <c:v>8.2557792977768525</c:v>
                </c:pt>
              </c:numCache>
            </c:numRef>
          </c:val>
        </c:ser>
        <c:axId val="158318976"/>
        <c:axId val="158320512"/>
      </c:barChart>
      <c:catAx>
        <c:axId val="15831897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8320512"/>
        <c:crosses val="autoZero"/>
        <c:auto val="1"/>
        <c:lblAlgn val="ctr"/>
        <c:lblOffset val="100"/>
      </c:catAx>
      <c:valAx>
        <c:axId val="158320512"/>
        <c:scaling>
          <c:orientation val="minMax"/>
        </c:scaling>
        <c:axPos val="l"/>
        <c:majorGridlines/>
        <c:title>
          <c:tx>
            <c:rich>
              <a:bodyPr rot="-5400000" vert="horz"/>
              <a:lstStyle/>
              <a:p>
                <a:pPr>
                  <a:defRPr>
                    <a:latin typeface="Times New Roman" pitchFamily="18" charset="0"/>
                    <a:cs typeface="Times New Roman" pitchFamily="18" charset="0"/>
                  </a:defRPr>
                </a:pPr>
                <a:r>
                  <a:rPr lang="en-GB">
                    <a:latin typeface="Times New Roman" pitchFamily="18" charset="0"/>
                    <a:cs typeface="Times New Roman" pitchFamily="18" charset="0"/>
                  </a:rPr>
                  <a:t>%</a:t>
                </a:r>
                <a:endParaRPr lang="ru-RU">
                  <a:latin typeface="Times New Roman" pitchFamily="18" charset="0"/>
                  <a:cs typeface="Times New Roman" pitchFamily="18" charset="0"/>
                </a:endParaRPr>
              </a:p>
            </c:rich>
          </c:tx>
          <c:layout>
            <c:manualLayout>
              <c:xMode val="edge"/>
              <c:yMode val="edge"/>
              <c:x val="5.5555555555555558E-3"/>
              <c:y val="0.34405475357247417"/>
            </c:manualLayout>
          </c:layout>
        </c:title>
        <c:numFmt formatCode="#,##0.00" sourceLinked="1"/>
        <c:tickLblPos val="nextTo"/>
        <c:txPr>
          <a:bodyPr/>
          <a:lstStyle/>
          <a:p>
            <a:pPr>
              <a:defRPr>
                <a:latin typeface="Times New Roman" pitchFamily="18" charset="0"/>
                <a:cs typeface="Times New Roman" pitchFamily="18" charset="0"/>
              </a:defRPr>
            </a:pPr>
            <a:endParaRPr lang="ru-RU"/>
          </a:p>
        </c:txPr>
        <c:crossAx val="1583189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002077865266839"/>
          <c:y val="5.0925925925925923E-2"/>
          <c:w val="0.81942366579177606"/>
          <c:h val="0.65518518518518565"/>
        </c:manualLayout>
      </c:layout>
      <c:barChart>
        <c:barDir val="col"/>
        <c:grouping val="clustered"/>
        <c:ser>
          <c:idx val="2"/>
          <c:order val="1"/>
          <c:tx>
            <c:v>Средний взнос по 1 договору ДМС</c:v>
          </c:tx>
          <c:dLbls>
            <c:txPr>
              <a:bodyPr/>
              <a:lstStyle/>
              <a:p>
                <a:pPr>
                  <a:defRPr>
                    <a:latin typeface="Times New Roman" pitchFamily="18" charset="0"/>
                    <a:cs typeface="Times New Roman" pitchFamily="18" charset="0"/>
                  </a:defRPr>
                </a:pPr>
                <a:endParaRPr lang="ru-RU"/>
              </a:p>
            </c:txPr>
            <c:showVal val="1"/>
          </c:dLbls>
          <c:val>
            <c:numRef>
              <c:f>Лист3!$L$3:$L$11</c:f>
              <c:numCache>
                <c:formatCode>#,##0.0</c:formatCode>
                <c:ptCount val="9"/>
                <c:pt idx="0">
                  <c:v>4110.8907557729435</c:v>
                </c:pt>
                <c:pt idx="1">
                  <c:v>5162.2374595630417</c:v>
                </c:pt>
                <c:pt idx="2">
                  <c:v>5782.4974271927267</c:v>
                </c:pt>
                <c:pt idx="3">
                  <c:v>6639.0334945514423</c:v>
                </c:pt>
                <c:pt idx="4">
                  <c:v>8110.4661570993312</c:v>
                </c:pt>
                <c:pt idx="5">
                  <c:v>8419.827655426363</c:v>
                </c:pt>
                <c:pt idx="6">
                  <c:v>9465.5556329768915</c:v>
                </c:pt>
                <c:pt idx="7">
                  <c:v>10733.433467043114</c:v>
                </c:pt>
                <c:pt idx="8">
                  <c:v>9370.3340432132554</c:v>
                </c:pt>
              </c:numCache>
            </c:numRef>
          </c:val>
        </c:ser>
        <c:axId val="158354816"/>
        <c:axId val="158356608"/>
      </c:barChart>
      <c:lineChart>
        <c:grouping val="standard"/>
        <c:ser>
          <c:idx val="1"/>
          <c:order val="0"/>
          <c:tx>
            <c:v>Средняя выплата по 1 договору ДМС</c:v>
          </c:tx>
          <c:dLbls>
            <c:txPr>
              <a:bodyPr/>
              <a:lstStyle/>
              <a:p>
                <a:pPr>
                  <a:defRPr>
                    <a:latin typeface="Times New Roman" pitchFamily="18" charset="0"/>
                    <a:cs typeface="Times New Roman" pitchFamily="18" charset="0"/>
                  </a:defRPr>
                </a:pPr>
                <a:endParaRPr lang="ru-RU"/>
              </a:p>
            </c:txPr>
            <c:dLblPos val="b"/>
            <c:showVal val="1"/>
          </c:dLbls>
          <c:cat>
            <c:numRef>
              <c:f>Лист3!$G$15:$G$23</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Лист3!$L$15:$L$23</c:f>
              <c:numCache>
                <c:formatCode>#,##0.0</c:formatCode>
                <c:ptCount val="9"/>
                <c:pt idx="0">
                  <c:v>3289.1202832590207</c:v>
                </c:pt>
                <c:pt idx="1">
                  <c:v>3982.6068403029467</c:v>
                </c:pt>
                <c:pt idx="2">
                  <c:v>4311.2856249348624</c:v>
                </c:pt>
                <c:pt idx="3">
                  <c:v>5017.743058222406</c:v>
                </c:pt>
                <c:pt idx="4">
                  <c:v>6431.2944034516613</c:v>
                </c:pt>
                <c:pt idx="5">
                  <c:v>7329.4482833209795</c:v>
                </c:pt>
                <c:pt idx="6">
                  <c:v>7340.0999428982905</c:v>
                </c:pt>
                <c:pt idx="7">
                  <c:v>8251.018453766108</c:v>
                </c:pt>
                <c:pt idx="8">
                  <c:v>7052.5712512478658</c:v>
                </c:pt>
              </c:numCache>
            </c:numRef>
          </c:val>
        </c:ser>
        <c:marker val="1"/>
        <c:axId val="158354816"/>
        <c:axId val="158356608"/>
      </c:lineChart>
      <c:catAx>
        <c:axId val="1583548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58356608"/>
        <c:crosses val="autoZero"/>
        <c:auto val="1"/>
        <c:lblAlgn val="ctr"/>
        <c:lblOffset val="100"/>
      </c:catAx>
      <c:valAx>
        <c:axId val="15835660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руб.</a:t>
                </a:r>
              </a:p>
            </c:rich>
          </c:tx>
          <c:layout>
            <c:manualLayout>
              <c:xMode val="edge"/>
              <c:yMode val="edge"/>
              <c:x val="5.5555555555555558E-3"/>
              <c:y val="0.3228240740740857"/>
            </c:manualLayout>
          </c:layout>
        </c:title>
        <c:numFmt formatCode="#,##0" sourceLinked="0"/>
        <c:tickLblPos val="nextTo"/>
        <c:txPr>
          <a:bodyPr/>
          <a:lstStyle/>
          <a:p>
            <a:pPr>
              <a:defRPr>
                <a:latin typeface="Times New Roman" pitchFamily="18" charset="0"/>
                <a:cs typeface="Times New Roman" pitchFamily="18" charset="0"/>
              </a:defRPr>
            </a:pPr>
            <a:endParaRPr lang="ru-RU"/>
          </a:p>
        </c:txPr>
        <c:crossAx val="15835481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4"/>
  <c:chart>
    <c:plotArea>
      <c:layout>
        <c:manualLayout>
          <c:layoutTarget val="inner"/>
          <c:xMode val="edge"/>
          <c:yMode val="edge"/>
          <c:x val="0.10974278215223245"/>
          <c:y val="5.0925925925925923E-2"/>
          <c:w val="0.85970166229221978"/>
          <c:h val="0.83824074074074051"/>
        </c:manualLayout>
      </c:layout>
      <c:lineChart>
        <c:grouping val="standard"/>
        <c:ser>
          <c:idx val="0"/>
          <c:order val="0"/>
          <c:dLbls>
            <c:dLbl>
              <c:idx val="2"/>
              <c:layout>
                <c:manualLayout>
                  <c:x val="-3.888888888888889E-2"/>
                  <c:y val="-6.0185549722951287E-2"/>
                </c:manualLayout>
              </c:layout>
              <c:showVal val="1"/>
            </c:dLbl>
            <c:dLbl>
              <c:idx val="6"/>
              <c:layout>
                <c:manualLayout>
                  <c:x val="-1.6666666666666701E-2"/>
                  <c:y val="-5.5555920093321734E-2"/>
                </c:manualLayout>
              </c:layout>
              <c:showVal val="1"/>
            </c:dLbl>
            <c:txPr>
              <a:bodyPr/>
              <a:lstStyle/>
              <a:p>
                <a:pPr>
                  <a:defRPr sz="1050" b="0">
                    <a:latin typeface="Times New Roman" pitchFamily="18" charset="0"/>
                    <a:cs typeface="Times New Roman" pitchFamily="18" charset="0"/>
                  </a:defRPr>
                </a:pPr>
                <a:endParaRPr lang="ru-RU"/>
              </a:p>
            </c:txPr>
            <c:showVal val="1"/>
          </c:dLbls>
          <c:cat>
            <c:numRef>
              <c:f>Лист3!$G$39:$G$47</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Лист3!$H$39:$H$47</c:f>
              <c:numCache>
                <c:formatCode>#,##0.00</c:formatCode>
                <c:ptCount val="9"/>
                <c:pt idx="0">
                  <c:v>80.00991703902848</c:v>
                </c:pt>
                <c:pt idx="1">
                  <c:v>77.148850115857385</c:v>
                </c:pt>
                <c:pt idx="2">
                  <c:v>74.55750182716281</c:v>
                </c:pt>
                <c:pt idx="3">
                  <c:v>75.579420744608655</c:v>
                </c:pt>
                <c:pt idx="4">
                  <c:v>79.296236232020888</c:v>
                </c:pt>
                <c:pt idx="5">
                  <c:v>87.049861152410486</c:v>
                </c:pt>
                <c:pt idx="6">
                  <c:v>77.545367937262284</c:v>
                </c:pt>
                <c:pt idx="7">
                  <c:v>76.872125579394208</c:v>
                </c:pt>
                <c:pt idx="8">
                  <c:v>75.264886168662272</c:v>
                </c:pt>
              </c:numCache>
            </c:numRef>
          </c:val>
        </c:ser>
        <c:marker val="1"/>
        <c:axId val="162686080"/>
        <c:axId val="162687616"/>
      </c:lineChart>
      <c:catAx>
        <c:axId val="16268608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2687616"/>
        <c:crosses val="autoZero"/>
        <c:auto val="1"/>
        <c:lblAlgn val="ctr"/>
        <c:lblOffset val="100"/>
      </c:catAx>
      <c:valAx>
        <c:axId val="162687616"/>
        <c:scaling>
          <c:orientation val="minMax"/>
          <c:min val="74"/>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Коэффициент убыточности, </a:t>
                </a:r>
                <a:r>
                  <a:rPr lang="en-GB">
                    <a:latin typeface="Times New Roman" pitchFamily="18" charset="0"/>
                    <a:cs typeface="Times New Roman" pitchFamily="18" charset="0"/>
                  </a:rPr>
                  <a:t>%</a:t>
                </a:r>
                <a:endParaRPr lang="ru-RU">
                  <a:latin typeface="Times New Roman" pitchFamily="18" charset="0"/>
                  <a:cs typeface="Times New Roman" pitchFamily="18" charset="0"/>
                </a:endParaRPr>
              </a:p>
            </c:rich>
          </c:tx>
          <c:layout>
            <c:manualLayout>
              <c:xMode val="edge"/>
              <c:yMode val="edge"/>
              <c:x val="1.1111111111111125E-2"/>
              <c:y val="0.13643518518518749"/>
            </c:manualLayout>
          </c:layout>
        </c:title>
        <c:numFmt formatCode="#,##0" sourceLinked="0"/>
        <c:tickLblPos val="nextTo"/>
        <c:txPr>
          <a:bodyPr/>
          <a:lstStyle/>
          <a:p>
            <a:pPr>
              <a:defRPr>
                <a:latin typeface="Times New Roman" pitchFamily="18" charset="0"/>
                <a:cs typeface="Times New Roman" pitchFamily="18" charset="0"/>
              </a:defRPr>
            </a:pPr>
            <a:endParaRPr lang="ru-RU"/>
          </a:p>
        </c:txPr>
        <c:crossAx val="16268608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20"/>
      <c:perspective val="20"/>
    </c:view3D>
    <c:plotArea>
      <c:layout/>
      <c:pie3DChart>
        <c:varyColors val="1"/>
        <c:ser>
          <c:idx val="0"/>
          <c:order val="0"/>
          <c:dLbls>
            <c:dLbl>
              <c:idx val="0"/>
              <c:layout>
                <c:manualLayout>
                  <c:x val="5.5930184742381123E-2"/>
                  <c:y val="-9.3576477786903811E-2"/>
                </c:manualLayout>
              </c:layout>
              <c:showCatName val="1"/>
              <c:showPercent val="1"/>
            </c:dLbl>
            <c:dLbl>
              <c:idx val="1"/>
              <c:layout>
                <c:manualLayout>
                  <c:x val="3.2118470684394692E-3"/>
                  <c:y val="-8.5556575366731516E-2"/>
                </c:manualLayout>
              </c:layout>
              <c:showCatName val="1"/>
              <c:showPercent val="1"/>
            </c:dLbl>
            <c:dLbl>
              <c:idx val="2"/>
              <c:layout>
                <c:manualLayout>
                  <c:x val="1.3597932753570212E-2"/>
                  <c:y val="3.9710158929520352E-2"/>
                </c:manualLayout>
              </c:layout>
              <c:showCatName val="1"/>
              <c:showPercent val="1"/>
            </c:dLbl>
            <c:dLbl>
              <c:idx val="4"/>
              <c:layout>
                <c:manualLayout>
                  <c:x val="1.3853394051082121E-3"/>
                  <c:y val="0.10569312271549057"/>
                </c:manualLayout>
              </c:layout>
              <c:showCatName val="1"/>
              <c:showPercent val="1"/>
            </c:dLbl>
            <c:dLbl>
              <c:idx val="5"/>
              <c:layout>
                <c:manualLayout>
                  <c:x val="0.11500266528579478"/>
                  <c:y val="0.111411687036053"/>
                </c:manualLayout>
              </c:layout>
              <c:showCatName val="1"/>
              <c:showPercent val="1"/>
            </c:dLbl>
            <c:dLbl>
              <c:idx val="6"/>
              <c:layout>
                <c:manualLayout>
                  <c:x val="3.4049051412093814E-2"/>
                  <c:y val="0.17179298906655074"/>
                </c:manualLayout>
              </c:layout>
              <c:showCatName val="1"/>
              <c:showPercent val="1"/>
            </c:dLbl>
            <c:dLbl>
              <c:idx val="7"/>
              <c:layout>
                <c:manualLayout>
                  <c:x val="3.0237235819410929E-2"/>
                  <c:y val="0.2039621274334574"/>
                </c:manualLayout>
              </c:layout>
              <c:showCatName val="1"/>
              <c:showPercent val="1"/>
            </c:dLbl>
            <c:dLbl>
              <c:idx val="8"/>
              <c:layout>
                <c:manualLayout>
                  <c:x val="-1.0903404966062229E-2"/>
                  <c:y val="0.14899956523839444"/>
                </c:manualLayout>
              </c:layout>
              <c:showCatName val="1"/>
              <c:showPercent val="1"/>
            </c:dLbl>
            <c:dLbl>
              <c:idx val="9"/>
              <c:layout>
                <c:manualLayout>
                  <c:x val="1.2186194327256483E-3"/>
                  <c:y val="6.7412202309067193E-2"/>
                </c:manualLayout>
              </c:layout>
              <c:showCatName val="1"/>
              <c:showPercent val="1"/>
            </c:dLbl>
            <c:dLbl>
              <c:idx val="10"/>
              <c:layout>
                <c:manualLayout>
                  <c:x val="-1.3268148057895085E-2"/>
                  <c:y val="-0.12905624526995468"/>
                </c:manualLayout>
              </c:layout>
              <c:showCatName val="1"/>
              <c:showPercent val="1"/>
            </c:dLbl>
            <c:numFmt formatCode="0.00%" sourceLinked="0"/>
            <c:txPr>
              <a:bodyPr/>
              <a:lstStyle/>
              <a:p>
                <a:pPr>
                  <a:defRPr sz="900">
                    <a:latin typeface="Times New Roman" pitchFamily="18" charset="0"/>
                    <a:cs typeface="Times New Roman" pitchFamily="18" charset="0"/>
                  </a:defRPr>
                </a:pPr>
                <a:endParaRPr lang="ru-RU"/>
              </a:p>
            </c:txPr>
            <c:showCatName val="1"/>
            <c:showPercent val="1"/>
            <c:showLeaderLines val="1"/>
          </c:dLbls>
          <c:cat>
            <c:strRef>
              <c:f>Лист1!$AH$15:$AH$25</c:f>
              <c:strCache>
                <c:ptCount val="11"/>
                <c:pt idx="0">
                  <c:v>СОГАЗ</c:v>
                </c:pt>
                <c:pt idx="1">
                  <c:v>Allianz</c:v>
                </c:pt>
                <c:pt idx="2">
                  <c:v>ЖАСО</c:v>
                </c:pt>
                <c:pt idx="3">
                  <c:v>РЕСО-Гарантия</c:v>
                </c:pt>
                <c:pt idx="4">
                  <c:v>Ингосстрах</c:v>
                </c:pt>
                <c:pt idx="5">
                  <c:v>PPF Страхование</c:v>
                </c:pt>
                <c:pt idx="6">
                  <c:v>ВСК</c:v>
                </c:pt>
                <c:pt idx="7">
                  <c:v>Ренессанс страхование</c:v>
                </c:pt>
                <c:pt idx="8">
                  <c:v>УРАЛСИБ</c:v>
                </c:pt>
                <c:pt idx="9">
                  <c:v>Капитал Страхование</c:v>
                </c:pt>
                <c:pt idx="10">
                  <c:v>Остальные</c:v>
                </c:pt>
              </c:strCache>
            </c:strRef>
          </c:cat>
          <c:val>
            <c:numRef>
              <c:f>Лист1!$AI$15:$AI$25</c:f>
              <c:numCache>
                <c:formatCode>#,##0</c:formatCode>
                <c:ptCount val="11"/>
                <c:pt idx="0">
                  <c:v>11142031</c:v>
                </c:pt>
                <c:pt idx="1">
                  <c:v>6790159</c:v>
                </c:pt>
                <c:pt idx="2">
                  <c:v>5984648</c:v>
                </c:pt>
                <c:pt idx="3">
                  <c:v>4835144</c:v>
                </c:pt>
                <c:pt idx="4">
                  <c:v>4410655</c:v>
                </c:pt>
                <c:pt idx="5">
                  <c:v>2987150</c:v>
                </c:pt>
                <c:pt idx="6">
                  <c:v>2172753</c:v>
                </c:pt>
                <c:pt idx="7">
                  <c:v>1977478</c:v>
                </c:pt>
                <c:pt idx="8">
                  <c:v>1652919</c:v>
                </c:pt>
                <c:pt idx="9">
                  <c:v>1632427</c:v>
                </c:pt>
                <c:pt idx="10">
                  <c:v>19600568.399999999</c:v>
                </c:pt>
              </c:numCache>
            </c:numRef>
          </c:val>
        </c:ser>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20"/>
      <c:depthPercent val="100"/>
      <c:perspective val="20"/>
    </c:view3D>
    <c:plotArea>
      <c:layout/>
      <c:pie3DChart>
        <c:varyColors val="1"/>
        <c:ser>
          <c:idx val="0"/>
          <c:order val="0"/>
          <c:dLbls>
            <c:dLbl>
              <c:idx val="0"/>
              <c:layout>
                <c:manualLayout>
                  <c:x val="6.5932852143482171E-2"/>
                  <c:y val="-8.6536891221930728E-2"/>
                </c:manualLayout>
              </c:layout>
              <c:showCatName val="1"/>
              <c:showPercent val="1"/>
            </c:dLbl>
            <c:dLbl>
              <c:idx val="1"/>
              <c:layout>
                <c:manualLayout>
                  <c:x val="-3.4846894138232721E-3"/>
                  <c:y val="-9.9452099737533065E-2"/>
                </c:manualLayout>
              </c:layout>
              <c:showCatName val="1"/>
              <c:showPercent val="1"/>
            </c:dLbl>
            <c:dLbl>
              <c:idx val="2"/>
              <c:layout>
                <c:manualLayout>
                  <c:x val="1.0185067526416443E-16"/>
                  <c:y val="-9.6384149897929428E-2"/>
                </c:manualLayout>
              </c:layout>
              <c:showCatName val="1"/>
              <c:showPercent val="1"/>
            </c:dLbl>
            <c:dLbl>
              <c:idx val="3"/>
              <c:layout>
                <c:manualLayout>
                  <c:x val="1.3370297462817161E-2"/>
                  <c:y val="4.7907553222513903E-3"/>
                </c:manualLayout>
              </c:layout>
              <c:showCatName val="1"/>
              <c:showPercent val="1"/>
            </c:dLbl>
            <c:dLbl>
              <c:idx val="5"/>
              <c:layout>
                <c:manualLayout>
                  <c:x val="-3.8078958880139992E-2"/>
                  <c:y val="4.0509259259259259E-2"/>
                </c:manualLayout>
              </c:layout>
              <c:tx>
                <c:rich>
                  <a:bodyPr/>
                  <a:lstStyle/>
                  <a:p>
                    <a:r>
                      <a:rPr lang="ru-RU" sz="900"/>
                      <a:t>А</a:t>
                    </a:r>
                    <a:r>
                      <a:rPr lang="ru-RU"/>
                      <a:t>льфа Страхование
4,49%</a:t>
                    </a:r>
                  </a:p>
                </c:rich>
              </c:tx>
              <c:showCatName val="1"/>
              <c:showPercent val="1"/>
            </c:dLbl>
            <c:dLbl>
              <c:idx val="6"/>
              <c:layout>
                <c:manualLayout>
                  <c:x val="6.0012467191602165E-2"/>
                  <c:y val="4.7453703703703713E-2"/>
                </c:manualLayout>
              </c:layout>
              <c:showCatName val="1"/>
              <c:showPercent val="1"/>
            </c:dLbl>
            <c:dLbl>
              <c:idx val="7"/>
              <c:layout>
                <c:manualLayout>
                  <c:x val="-6.8810586176727903E-2"/>
                  <c:y val="5.2473753280839898E-2"/>
                </c:manualLayout>
              </c:layout>
              <c:showCatName val="1"/>
              <c:showPercent val="1"/>
            </c:dLbl>
            <c:dLbl>
              <c:idx val="8"/>
              <c:layout>
                <c:manualLayout>
                  <c:x val="-8.7096894138234265E-2"/>
                  <c:y val="7.2889690871974333E-2"/>
                </c:manualLayout>
              </c:layout>
              <c:showCatName val="1"/>
              <c:showPercent val="1"/>
            </c:dLbl>
            <c:dLbl>
              <c:idx val="9"/>
              <c:layout>
                <c:manualLayout>
                  <c:x val="-9.7174103237095397E-2"/>
                  <c:y val="-1.8058471857684371E-2"/>
                </c:manualLayout>
              </c:layout>
              <c:showCatName val="1"/>
              <c:showPercent val="1"/>
            </c:dLbl>
            <c:dLbl>
              <c:idx val="10"/>
              <c:layout>
                <c:manualLayout>
                  <c:x val="-1.4304461942257396E-3"/>
                  <c:y val="-8.0626640419947548E-2"/>
                </c:manualLayout>
              </c:layout>
              <c:showCatName val="1"/>
              <c:showPercent val="1"/>
            </c:dLbl>
            <c:numFmt formatCode="0.00%" sourceLinked="0"/>
            <c:txPr>
              <a:bodyPr/>
              <a:lstStyle/>
              <a:p>
                <a:pPr>
                  <a:defRPr sz="900">
                    <a:latin typeface="Times New Roman" pitchFamily="18" charset="0"/>
                    <a:cs typeface="Times New Roman" pitchFamily="18" charset="0"/>
                  </a:defRPr>
                </a:pPr>
                <a:endParaRPr lang="ru-RU"/>
              </a:p>
            </c:txPr>
            <c:showCatName val="1"/>
            <c:showPercent val="1"/>
            <c:showLeaderLines val="1"/>
          </c:dLbls>
          <c:cat>
            <c:strRef>
              <c:f>Лист1!$Y$15:$Y$25</c:f>
              <c:strCache>
                <c:ptCount val="11"/>
                <c:pt idx="0">
                  <c:v>СОГАЗ</c:v>
                </c:pt>
                <c:pt idx="1">
                  <c:v>Allianz</c:v>
                </c:pt>
                <c:pt idx="2">
                  <c:v>ЖАСО</c:v>
                </c:pt>
                <c:pt idx="3">
                  <c:v>Ингосстрах</c:v>
                </c:pt>
                <c:pt idx="4">
                  <c:v>РЕСО-Гарантия</c:v>
                </c:pt>
                <c:pt idx="5">
                  <c:v>АльфаСтрахование</c:v>
                </c:pt>
                <c:pt idx="6">
                  <c:v>Росгосстрах</c:v>
                </c:pt>
                <c:pt idx="7">
                  <c:v>ВСК</c:v>
                </c:pt>
                <c:pt idx="8">
                  <c:v>Ренессанс Страхование</c:v>
                </c:pt>
                <c:pt idx="9">
                  <c:v>МАКС</c:v>
                </c:pt>
                <c:pt idx="10">
                  <c:v>Остальные</c:v>
                </c:pt>
              </c:strCache>
            </c:strRef>
          </c:cat>
          <c:val>
            <c:numRef>
              <c:f>Лист1!$Z$15:$Z$25</c:f>
              <c:numCache>
                <c:formatCode>#,##0</c:formatCode>
                <c:ptCount val="11"/>
                <c:pt idx="0">
                  <c:v>15873958</c:v>
                </c:pt>
                <c:pt idx="1">
                  <c:v>6901756</c:v>
                </c:pt>
                <c:pt idx="2">
                  <c:v>6148006</c:v>
                </c:pt>
                <c:pt idx="3">
                  <c:v>5253761</c:v>
                </c:pt>
                <c:pt idx="4">
                  <c:v>4898095</c:v>
                </c:pt>
                <c:pt idx="5">
                  <c:v>3852671</c:v>
                </c:pt>
                <c:pt idx="6">
                  <c:v>3459512</c:v>
                </c:pt>
                <c:pt idx="7">
                  <c:v>2475747</c:v>
                </c:pt>
                <c:pt idx="8">
                  <c:v>2377949</c:v>
                </c:pt>
                <c:pt idx="9">
                  <c:v>1990271</c:v>
                </c:pt>
                <c:pt idx="10">
                  <c:v>32531019</c:v>
                </c:pt>
              </c:numCache>
            </c:numRef>
          </c:val>
        </c:ser>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otX val="20"/>
      <c:perspective val="20"/>
    </c:view3D>
    <c:plotArea>
      <c:layout/>
      <c:pie3DChart>
        <c:varyColors val="1"/>
        <c:ser>
          <c:idx val="0"/>
          <c:order val="0"/>
          <c:dLbls>
            <c:dLbl>
              <c:idx val="0"/>
              <c:layout>
                <c:manualLayout>
                  <c:x val="5.9430223043982853E-3"/>
                  <c:y val="-8.7449052944815003E-2"/>
                </c:manualLayout>
              </c:layout>
              <c:showCatName val="1"/>
              <c:showPercent val="1"/>
            </c:dLbl>
            <c:dLbl>
              <c:idx val="1"/>
              <c:layout>
                <c:manualLayout>
                  <c:x val="-1.0116144388833989E-4"/>
                  <c:y val="-0.18356687898089191"/>
                </c:manualLayout>
              </c:layout>
              <c:showCatName val="1"/>
              <c:showPercent val="1"/>
            </c:dLbl>
            <c:dLbl>
              <c:idx val="2"/>
              <c:layout>
                <c:manualLayout>
                  <c:x val="-2.0040485829959556E-2"/>
                  <c:y val="0.12800106992995267"/>
                </c:manualLayout>
              </c:layout>
              <c:showCatName val="1"/>
              <c:showPercent val="1"/>
            </c:dLbl>
            <c:dLbl>
              <c:idx val="3"/>
              <c:layout>
                <c:manualLayout>
                  <c:x val="-4.6763046319614907E-2"/>
                  <c:y val="0.10410953407894077"/>
                </c:manualLayout>
              </c:layout>
              <c:showCatName val="1"/>
              <c:showPercent val="1"/>
            </c:dLbl>
            <c:dLbl>
              <c:idx val="4"/>
              <c:layout>
                <c:manualLayout>
                  <c:x val="-1.8432635191856082E-2"/>
                  <c:y val="0.11306317602019512"/>
                </c:manualLayout>
              </c:layout>
              <c:showCatName val="1"/>
              <c:showPercent val="1"/>
            </c:dLbl>
            <c:dLbl>
              <c:idx val="5"/>
              <c:layout>
                <c:manualLayout>
                  <c:x val="5.7643852210781353E-2"/>
                  <c:y val="0.10242372569670832"/>
                </c:manualLayout>
              </c:layout>
              <c:showCatName val="1"/>
              <c:showPercent val="1"/>
            </c:dLbl>
            <c:dLbl>
              <c:idx val="6"/>
              <c:layout>
                <c:manualLayout>
                  <c:x val="8.7139320135590545E-2"/>
                  <c:y val="9.9703763144257912E-2"/>
                </c:manualLayout>
              </c:layout>
              <c:tx>
                <c:rich>
                  <a:bodyPr/>
                  <a:lstStyle/>
                  <a:p>
                    <a:r>
                      <a:rPr lang="ru-RU"/>
                      <a:t>Альфа</a:t>
                    </a:r>
                    <a:endParaRPr lang="en-GB"/>
                  </a:p>
                  <a:p>
                    <a:r>
                      <a:rPr lang="ru-RU"/>
                      <a:t>Страхование
4,89%</a:t>
                    </a:r>
                  </a:p>
                </c:rich>
              </c:tx>
              <c:showCatName val="1"/>
              <c:showPercent val="1"/>
            </c:dLbl>
            <c:dLbl>
              <c:idx val="7"/>
              <c:layout>
                <c:manualLayout>
                  <c:x val="4.1960534285441532E-2"/>
                  <c:y val="0.18176772489426313"/>
                </c:manualLayout>
              </c:layout>
              <c:showCatName val="1"/>
              <c:showPercent val="1"/>
            </c:dLbl>
            <c:dLbl>
              <c:idx val="8"/>
              <c:layout>
                <c:manualLayout>
                  <c:x val="-5.5949079239588978E-3"/>
                  <c:y val="0.20054900780714746"/>
                </c:manualLayout>
              </c:layout>
              <c:showCatName val="1"/>
              <c:showPercent val="1"/>
            </c:dLbl>
            <c:dLbl>
              <c:idx val="9"/>
              <c:layout>
                <c:manualLayout>
                  <c:x val="2.3819694602951959E-3"/>
                  <c:y val="8.3839042412693854E-2"/>
                </c:manualLayout>
              </c:layout>
              <c:showCatName val="1"/>
              <c:showPercent val="1"/>
            </c:dLbl>
            <c:dLbl>
              <c:idx val="10"/>
              <c:layout>
                <c:manualLayout>
                  <c:x val="2.1449307702934409E-2"/>
                  <c:y val="-0.1176301051540532"/>
                </c:manualLayout>
              </c:layout>
              <c:showCatName val="1"/>
              <c:showPercent val="1"/>
            </c:dLbl>
            <c:numFmt formatCode="0.00%" sourceLinked="0"/>
            <c:txPr>
              <a:bodyPr/>
              <a:lstStyle/>
              <a:p>
                <a:pPr>
                  <a:defRPr sz="900">
                    <a:latin typeface="Times New Roman" pitchFamily="18" charset="0"/>
                    <a:cs typeface="Times New Roman" pitchFamily="18" charset="0"/>
                  </a:defRPr>
                </a:pPr>
                <a:endParaRPr lang="ru-RU"/>
              </a:p>
            </c:txPr>
            <c:showCatName val="1"/>
            <c:showPercent val="1"/>
            <c:showLeaderLines val="1"/>
          </c:dLbls>
          <c:cat>
            <c:strRef>
              <c:f>Лист1!$AE$15:$AE$25</c:f>
              <c:strCache>
                <c:ptCount val="11"/>
                <c:pt idx="0">
                  <c:v>СОГАЗ</c:v>
                </c:pt>
                <c:pt idx="1">
                  <c:v>Ингосстрах</c:v>
                </c:pt>
                <c:pt idx="2">
                  <c:v>РЕСО-Гарантия</c:v>
                </c:pt>
                <c:pt idx="3">
                  <c:v>ЖАСО</c:v>
                </c:pt>
                <c:pt idx="4">
                  <c:v>Allianz</c:v>
                </c:pt>
                <c:pt idx="5">
                  <c:v>Росгосстрах</c:v>
                </c:pt>
                <c:pt idx="6">
                  <c:v>АльфаСтрахование</c:v>
                </c:pt>
                <c:pt idx="7">
                  <c:v>Согласие</c:v>
                </c:pt>
                <c:pt idx="8">
                  <c:v>Ренессанс Страхование</c:v>
                </c:pt>
                <c:pt idx="9">
                  <c:v>Транснефть</c:v>
                </c:pt>
                <c:pt idx="10">
                  <c:v>Остальные</c:v>
                </c:pt>
              </c:strCache>
            </c:strRef>
          </c:cat>
          <c:val>
            <c:numRef>
              <c:f>Лист1!$AF$15:$AF$25</c:f>
              <c:numCache>
                <c:formatCode>#,##0</c:formatCode>
                <c:ptCount val="11"/>
                <c:pt idx="0">
                  <c:v>22841309</c:v>
                </c:pt>
                <c:pt idx="1">
                  <c:v>7876564</c:v>
                </c:pt>
                <c:pt idx="2">
                  <c:v>7662655</c:v>
                </c:pt>
                <c:pt idx="3">
                  <c:v>7615518</c:v>
                </c:pt>
                <c:pt idx="4">
                  <c:v>6143503</c:v>
                </c:pt>
                <c:pt idx="5">
                  <c:v>5653106</c:v>
                </c:pt>
                <c:pt idx="6">
                  <c:v>5315160</c:v>
                </c:pt>
                <c:pt idx="7">
                  <c:v>4560925</c:v>
                </c:pt>
                <c:pt idx="8">
                  <c:v>3234352</c:v>
                </c:pt>
                <c:pt idx="9">
                  <c:v>2372706</c:v>
                </c:pt>
                <c:pt idx="10">
                  <c:v>35378201</c:v>
                </c:pt>
              </c:numCache>
            </c:numRef>
          </c:val>
        </c:ser>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474300087489433"/>
          <c:y val="5.0925925925925999E-2"/>
          <c:w val="0.83470144356957143"/>
          <c:h val="0.65109509519780351"/>
        </c:manualLayout>
      </c:layout>
      <c:barChart>
        <c:barDir val="col"/>
        <c:grouping val="clustered"/>
        <c:ser>
          <c:idx val="2"/>
          <c:order val="1"/>
          <c:tx>
            <c:v>Заработанная страховая премия</c:v>
          </c:tx>
          <c:val>
            <c:numRef>
              <c:f>Таблицы!$E$28:$X$28</c:f>
              <c:numCache>
                <c:formatCode>#,##0.00</c:formatCode>
                <c:ptCount val="20"/>
                <c:pt idx="0">
                  <c:v>1232.938054226993</c:v>
                </c:pt>
                <c:pt idx="1">
                  <c:v>1296.742330482193</c:v>
                </c:pt>
                <c:pt idx="2">
                  <c:v>1279.6435644926473</c:v>
                </c:pt>
                <c:pt idx="3">
                  <c:v>1296.6472517994232</c:v>
                </c:pt>
                <c:pt idx="4">
                  <c:v>1301.9910254632678</c:v>
                </c:pt>
                <c:pt idx="5">
                  <c:v>1419.4057202732911</c:v>
                </c:pt>
                <c:pt idx="6">
                  <c:v>1420.6981999547368</c:v>
                </c:pt>
                <c:pt idx="7">
                  <c:v>1419.850522774444</c:v>
                </c:pt>
                <c:pt idx="8">
                  <c:v>1435.7998557479973</c:v>
                </c:pt>
                <c:pt idx="9">
                  <c:v>1440.6467438395898</c:v>
                </c:pt>
                <c:pt idx="10">
                  <c:v>1583.7442403821699</c:v>
                </c:pt>
                <c:pt idx="11">
                  <c:v>1526.2223224431789</c:v>
                </c:pt>
                <c:pt idx="12">
                  <c:v>1310.5561228746928</c:v>
                </c:pt>
                <c:pt idx="13">
                  <c:v>1509.769889632465</c:v>
                </c:pt>
                <c:pt idx="14">
                  <c:v>1640.8353415417482</c:v>
                </c:pt>
                <c:pt idx="15">
                  <c:v>1676.767641576889</c:v>
                </c:pt>
                <c:pt idx="16">
                  <c:v>1672.3704558139698</c:v>
                </c:pt>
                <c:pt idx="17">
                  <c:v>1746.905378864433</c:v>
                </c:pt>
                <c:pt idx="18">
                  <c:v>1782.0116826944791</c:v>
                </c:pt>
                <c:pt idx="19">
                  <c:v>1822.9588178893914</c:v>
                </c:pt>
              </c:numCache>
            </c:numRef>
          </c:val>
        </c:ser>
        <c:axId val="68461696"/>
        <c:axId val="68463616"/>
      </c:barChart>
      <c:lineChart>
        <c:grouping val="standard"/>
        <c:ser>
          <c:idx val="1"/>
          <c:order val="0"/>
          <c:tx>
            <c:v>Суммарные выплаты</c:v>
          </c:tx>
          <c:marker>
            <c:symbol val="diamond"/>
            <c:size val="7"/>
          </c:marker>
          <c:cat>
            <c:numRef>
              <c:f>'Борн-Ферг'!$E$24:$X$24</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Таблицы!$E$29:$X$29</c:f>
              <c:numCache>
                <c:formatCode>#,##0.00</c:formatCode>
                <c:ptCount val="20"/>
                <c:pt idx="0">
                  <c:v>1202.2259969500001</c:v>
                </c:pt>
                <c:pt idx="1">
                  <c:v>1152.6623338899774</c:v>
                </c:pt>
                <c:pt idx="2">
                  <c:v>1177.6473672499999</c:v>
                </c:pt>
                <c:pt idx="3">
                  <c:v>1157.3988460025428</c:v>
                </c:pt>
                <c:pt idx="4">
                  <c:v>1196.950777964151</c:v>
                </c:pt>
                <c:pt idx="5">
                  <c:v>1324.5089965367829</c:v>
                </c:pt>
                <c:pt idx="6">
                  <c:v>1352.1218927063178</c:v>
                </c:pt>
                <c:pt idx="7">
                  <c:v>1282.0333146194844</c:v>
                </c:pt>
                <c:pt idx="8">
                  <c:v>1431.9786910103851</c:v>
                </c:pt>
                <c:pt idx="9">
                  <c:v>1403.5805531554731</c:v>
                </c:pt>
                <c:pt idx="10">
                  <c:v>1409.4352543901261</c:v>
                </c:pt>
                <c:pt idx="11">
                  <c:v>1301.756459272935</c:v>
                </c:pt>
                <c:pt idx="12">
                  <c:v>1153.4954115864089</c:v>
                </c:pt>
                <c:pt idx="13">
                  <c:v>1447.3466642785022</c:v>
                </c:pt>
                <c:pt idx="14">
                  <c:v>1457.1103133068048</c:v>
                </c:pt>
                <c:pt idx="15">
                  <c:v>1500.8806586665862</c:v>
                </c:pt>
                <c:pt idx="16">
                  <c:v>1538.476623532011</c:v>
                </c:pt>
                <c:pt idx="17">
                  <c:v>1621.569589524101</c:v>
                </c:pt>
                <c:pt idx="18">
                  <c:v>1639.0463890523622</c:v>
                </c:pt>
                <c:pt idx="19">
                  <c:v>1404.9074414502711</c:v>
                </c:pt>
              </c:numCache>
            </c:numRef>
          </c:val>
        </c:ser>
        <c:marker val="1"/>
        <c:axId val="68461696"/>
        <c:axId val="68463616"/>
      </c:lineChart>
      <c:catAx>
        <c:axId val="68461696"/>
        <c:scaling>
          <c:orientation val="minMax"/>
        </c:scaling>
        <c:axPos val="b"/>
        <c:title>
          <c:tx>
            <c:rich>
              <a:bodyPr/>
              <a:lstStyle/>
              <a:p>
                <a:pPr>
                  <a:defRPr/>
                </a:pPr>
                <a:r>
                  <a:rPr lang="ru-RU">
                    <a:latin typeface="Times New Roman" pitchFamily="18" charset="0"/>
                    <a:cs typeface="Times New Roman" pitchFamily="18" charset="0"/>
                  </a:rPr>
                  <a:t>Квартал наступления убытков</a:t>
                </a:r>
              </a:p>
            </c:rich>
          </c:tx>
          <c:layout>
            <c:manualLayout>
              <c:xMode val="edge"/>
              <c:yMode val="edge"/>
              <c:x val="0.33339916885389953"/>
              <c:y val="0.77696341703215765"/>
            </c:manualLayout>
          </c:layout>
        </c:title>
        <c:tickLblPos val="nextTo"/>
        <c:txPr>
          <a:bodyPr rot="0"/>
          <a:lstStyle/>
          <a:p>
            <a:pPr>
              <a:defRPr>
                <a:latin typeface="Times New Roman" pitchFamily="18" charset="0"/>
                <a:cs typeface="Times New Roman" pitchFamily="18" charset="0"/>
              </a:defRPr>
            </a:pPr>
            <a:endParaRPr lang="ru-RU"/>
          </a:p>
        </c:txPr>
        <c:crossAx val="68463616"/>
        <c:crosses val="autoZero"/>
        <c:auto val="1"/>
        <c:lblAlgn val="ctr"/>
        <c:lblOffset val="100"/>
      </c:catAx>
      <c:valAx>
        <c:axId val="68463616"/>
        <c:scaling>
          <c:orientation val="minMax"/>
        </c:scaling>
        <c:axPos val="l"/>
        <c:majorGridlines/>
        <c:title>
          <c:tx>
            <c:rich>
              <a:bodyPr rot="-5400000" vert="horz"/>
              <a:lstStyle/>
              <a:p>
                <a:pPr>
                  <a:defRPr/>
                </a:pPr>
                <a:r>
                  <a:rPr lang="ru-RU">
                    <a:latin typeface="Times New Roman" pitchFamily="18" charset="0"/>
                    <a:cs typeface="Times New Roman" pitchFamily="18" charset="0"/>
                  </a:rPr>
                  <a:t>млн.</a:t>
                </a:r>
                <a:r>
                  <a:rPr lang="ru-RU" baseline="0">
                    <a:latin typeface="Times New Roman" pitchFamily="18" charset="0"/>
                    <a:cs typeface="Times New Roman" pitchFamily="18" charset="0"/>
                  </a:rPr>
                  <a:t> руб.</a:t>
                </a:r>
                <a:endParaRPr lang="ru-RU">
                  <a:latin typeface="Times New Roman" pitchFamily="18" charset="0"/>
                  <a:cs typeface="Times New Roman" pitchFamily="18" charset="0"/>
                </a:endParaRPr>
              </a:p>
            </c:rich>
          </c:tx>
          <c:layout>
            <c:manualLayout>
              <c:xMode val="edge"/>
              <c:yMode val="edge"/>
              <c:x val="1.3888888888889223E-3"/>
              <c:y val="0.27388921661665488"/>
            </c:manualLayout>
          </c:layout>
        </c:title>
        <c:numFmt formatCode="#,##0" sourceLinked="0"/>
        <c:tickLblPos val="nextTo"/>
        <c:txPr>
          <a:bodyPr/>
          <a:lstStyle/>
          <a:p>
            <a:pPr>
              <a:defRPr>
                <a:latin typeface="Times New Roman" pitchFamily="18" charset="0"/>
                <a:cs typeface="Times New Roman" pitchFamily="18" charset="0"/>
              </a:defRPr>
            </a:pPr>
            <a:endParaRPr lang="ru-RU"/>
          </a:p>
        </c:txPr>
        <c:crossAx val="68461696"/>
        <c:crosses val="autoZero"/>
        <c:crossBetween val="between"/>
      </c:valAx>
    </c:plotArea>
    <c:legend>
      <c:legendPos val="b"/>
      <c:layout>
        <c:manualLayout>
          <c:xMode val="edge"/>
          <c:yMode val="edge"/>
          <c:x val="0.21940266841645059"/>
          <c:y val="0.86203835269776963"/>
          <c:w val="0.60841666666666649"/>
          <c:h val="0.11104328571306447"/>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E350B-74B4-449F-8600-1B716459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85</Pages>
  <Words>18856</Words>
  <Characters>107481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Алла</cp:lastModifiedBy>
  <cp:revision>86</cp:revision>
  <cp:lastPrinted>2013-05-21T05:00:00Z</cp:lastPrinted>
  <dcterms:created xsi:type="dcterms:W3CDTF">2013-05-22T13:12:00Z</dcterms:created>
  <dcterms:modified xsi:type="dcterms:W3CDTF">2013-05-24T06:10:00Z</dcterms:modified>
</cp:coreProperties>
</file>