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47" w:rsidRPr="00AA7047" w:rsidRDefault="00AA7047" w:rsidP="00AA7047">
      <w:pPr>
        <w:pStyle w:val="a4"/>
        <w:widowControl w:val="0"/>
        <w:tabs>
          <w:tab w:val="left" w:pos="0"/>
        </w:tabs>
        <w:spacing w:before="0" w:beforeAutospacing="0" w:after="0" w:afterAutospacing="0" w:line="360" w:lineRule="auto"/>
        <w:jc w:val="center"/>
        <w:rPr>
          <w:b/>
          <w:snapToGrid w:val="0"/>
          <w:sz w:val="28"/>
          <w:szCs w:val="28"/>
        </w:rPr>
      </w:pPr>
      <w:r w:rsidRPr="00AA7047">
        <w:rPr>
          <w:b/>
          <w:snapToGrid w:val="0"/>
          <w:sz w:val="28"/>
          <w:szCs w:val="28"/>
        </w:rPr>
        <w:t>ПРАВИТЕЛЬСТВО РОССИЙСКОЙ ФЕДЕРАЦИИ</w:t>
      </w:r>
    </w:p>
    <w:p w:rsidR="00AA7047" w:rsidRPr="00AA7047" w:rsidRDefault="00AA7047" w:rsidP="00AA7047">
      <w:pPr>
        <w:pStyle w:val="a4"/>
        <w:widowControl w:val="0"/>
        <w:tabs>
          <w:tab w:val="left" w:pos="0"/>
        </w:tabs>
        <w:spacing w:before="0" w:beforeAutospacing="0" w:after="0" w:afterAutospacing="0" w:line="360" w:lineRule="auto"/>
        <w:jc w:val="center"/>
        <w:rPr>
          <w:b/>
          <w:snapToGrid w:val="0"/>
          <w:sz w:val="28"/>
          <w:szCs w:val="28"/>
        </w:rPr>
      </w:pPr>
    </w:p>
    <w:p w:rsidR="00AA7047" w:rsidRPr="00AA7047" w:rsidRDefault="00AA7047" w:rsidP="00AA7047">
      <w:pPr>
        <w:pStyle w:val="a4"/>
        <w:widowControl w:val="0"/>
        <w:tabs>
          <w:tab w:val="left" w:pos="0"/>
        </w:tabs>
        <w:spacing w:before="0" w:beforeAutospacing="0" w:after="0" w:afterAutospacing="0" w:line="360" w:lineRule="auto"/>
        <w:jc w:val="center"/>
        <w:rPr>
          <w:b/>
          <w:snapToGrid w:val="0"/>
          <w:sz w:val="28"/>
          <w:szCs w:val="28"/>
        </w:rPr>
      </w:pPr>
      <w:r w:rsidRPr="00AA7047">
        <w:rPr>
          <w:b/>
          <w:snapToGrid w:val="0"/>
          <w:sz w:val="28"/>
          <w:szCs w:val="28"/>
        </w:rPr>
        <w:t xml:space="preserve">ФЕДЕРАЛЬНОЕ  ГОСУДАРСТВЕННОЕ АВТОНОМНОЕ ОБРАЗОВАТЕЛЬНОЕ УЧРЕЖДЕНИЕ ВЫСШЕГО ПРОФЕССИОНАЛЬНОГО ОБРАЗОВАНИЯ </w:t>
      </w:r>
    </w:p>
    <w:p w:rsidR="00AA7047" w:rsidRPr="00AA7047" w:rsidRDefault="00AA7047" w:rsidP="00AA7047">
      <w:pPr>
        <w:pStyle w:val="a4"/>
        <w:widowControl w:val="0"/>
        <w:tabs>
          <w:tab w:val="left" w:pos="0"/>
        </w:tabs>
        <w:spacing w:before="0" w:beforeAutospacing="0" w:after="0" w:afterAutospacing="0" w:line="360" w:lineRule="auto"/>
        <w:jc w:val="center"/>
        <w:rPr>
          <w:b/>
          <w:snapToGrid w:val="0"/>
          <w:sz w:val="28"/>
          <w:szCs w:val="28"/>
        </w:rPr>
      </w:pPr>
      <w:r w:rsidRPr="00AA7047">
        <w:rPr>
          <w:b/>
          <w:snapToGrid w:val="0"/>
          <w:sz w:val="28"/>
          <w:szCs w:val="28"/>
        </w:rPr>
        <w:t xml:space="preserve">«НАЦИОНАЛЬНЫЙ ИССЛЕДОВАТЕЛЬСКИЙ УНИВЕРСИТЕТ </w:t>
      </w:r>
    </w:p>
    <w:p w:rsidR="00AA7047" w:rsidRPr="00AA7047" w:rsidRDefault="00AA7047" w:rsidP="00AA7047">
      <w:pPr>
        <w:pStyle w:val="a4"/>
        <w:widowControl w:val="0"/>
        <w:tabs>
          <w:tab w:val="left" w:pos="0"/>
        </w:tabs>
        <w:spacing w:before="0" w:beforeAutospacing="0" w:after="0" w:afterAutospacing="0" w:line="360" w:lineRule="auto"/>
        <w:jc w:val="center"/>
        <w:rPr>
          <w:b/>
          <w:snapToGrid w:val="0"/>
          <w:sz w:val="28"/>
          <w:szCs w:val="28"/>
        </w:rPr>
      </w:pPr>
      <w:r w:rsidRPr="00AA7047">
        <w:rPr>
          <w:b/>
          <w:snapToGrid w:val="0"/>
          <w:sz w:val="28"/>
          <w:szCs w:val="28"/>
        </w:rPr>
        <w:t>«ВЫСШАЯ ШКОЛА ЭКОНОМИКИ»</w:t>
      </w:r>
    </w:p>
    <w:p w:rsidR="00AA7047" w:rsidRPr="00AA7047" w:rsidRDefault="00AA7047" w:rsidP="00AA7047">
      <w:pPr>
        <w:pStyle w:val="a4"/>
        <w:widowControl w:val="0"/>
        <w:tabs>
          <w:tab w:val="left" w:pos="0"/>
        </w:tabs>
        <w:spacing w:before="0" w:beforeAutospacing="0" w:after="0" w:afterAutospacing="0" w:line="360" w:lineRule="auto"/>
        <w:jc w:val="center"/>
        <w:rPr>
          <w:b/>
          <w:snapToGrid w:val="0"/>
          <w:sz w:val="28"/>
          <w:szCs w:val="28"/>
        </w:rPr>
      </w:pPr>
    </w:p>
    <w:p w:rsidR="00AA7047" w:rsidRPr="00AA7047" w:rsidRDefault="00AA7047" w:rsidP="00AA7047">
      <w:pPr>
        <w:pStyle w:val="a4"/>
        <w:widowControl w:val="0"/>
        <w:tabs>
          <w:tab w:val="left" w:pos="0"/>
        </w:tabs>
        <w:spacing w:before="0" w:beforeAutospacing="0" w:after="0" w:afterAutospacing="0" w:line="360" w:lineRule="auto"/>
        <w:jc w:val="center"/>
        <w:rPr>
          <w:b/>
          <w:snapToGrid w:val="0"/>
          <w:sz w:val="28"/>
          <w:szCs w:val="28"/>
        </w:rPr>
      </w:pPr>
    </w:p>
    <w:p w:rsidR="00AA7047" w:rsidRPr="00AA7047" w:rsidRDefault="00AA7047" w:rsidP="00AA7047">
      <w:pPr>
        <w:pStyle w:val="a4"/>
        <w:widowControl w:val="0"/>
        <w:tabs>
          <w:tab w:val="left" w:pos="0"/>
        </w:tabs>
        <w:spacing w:before="0" w:beforeAutospacing="0" w:after="0" w:afterAutospacing="0" w:line="360" w:lineRule="auto"/>
        <w:jc w:val="center"/>
        <w:rPr>
          <w:b/>
          <w:snapToGrid w:val="0"/>
          <w:sz w:val="28"/>
          <w:szCs w:val="28"/>
        </w:rPr>
      </w:pPr>
      <w:r w:rsidRPr="00AA7047">
        <w:rPr>
          <w:b/>
          <w:snapToGrid w:val="0"/>
          <w:sz w:val="28"/>
          <w:szCs w:val="28"/>
        </w:rPr>
        <w:t>Факультет государственного и муниципального управления</w:t>
      </w:r>
    </w:p>
    <w:p w:rsidR="00AA7047" w:rsidRPr="00AA7047" w:rsidRDefault="000E5FCC" w:rsidP="00AA7047">
      <w:pPr>
        <w:pStyle w:val="a4"/>
        <w:widowControl w:val="0"/>
        <w:tabs>
          <w:tab w:val="left" w:pos="0"/>
        </w:tabs>
        <w:spacing w:before="0" w:beforeAutospacing="0" w:after="0" w:afterAutospacing="0" w:line="360" w:lineRule="auto"/>
        <w:jc w:val="center"/>
        <w:rPr>
          <w:b/>
          <w:snapToGrid w:val="0"/>
          <w:sz w:val="28"/>
          <w:szCs w:val="28"/>
        </w:rPr>
      </w:pPr>
      <w:r>
        <w:rPr>
          <w:b/>
          <w:sz w:val="28"/>
          <w:szCs w:val="28"/>
        </w:rPr>
        <w:t xml:space="preserve">Кафедра </w:t>
      </w:r>
      <w:r w:rsidR="004A33E4">
        <w:rPr>
          <w:b/>
          <w:sz w:val="28"/>
          <w:szCs w:val="28"/>
        </w:rPr>
        <w:t>у</w:t>
      </w:r>
      <w:r>
        <w:rPr>
          <w:b/>
          <w:sz w:val="28"/>
          <w:szCs w:val="28"/>
        </w:rPr>
        <w:t>правления и экономики здравоохранения</w:t>
      </w:r>
    </w:p>
    <w:p w:rsidR="000E5FCC" w:rsidRDefault="000E5FCC" w:rsidP="00AA7047">
      <w:pPr>
        <w:pStyle w:val="a4"/>
        <w:widowControl w:val="0"/>
        <w:tabs>
          <w:tab w:val="left" w:pos="0"/>
        </w:tabs>
        <w:spacing w:before="0" w:beforeAutospacing="0" w:after="0" w:afterAutospacing="0" w:line="360" w:lineRule="auto"/>
        <w:jc w:val="center"/>
        <w:rPr>
          <w:b/>
          <w:bCs/>
          <w:sz w:val="28"/>
          <w:szCs w:val="28"/>
        </w:rPr>
      </w:pPr>
    </w:p>
    <w:p w:rsidR="00AA7047" w:rsidRDefault="000E5FCC" w:rsidP="00AA7047">
      <w:pPr>
        <w:pStyle w:val="a4"/>
        <w:widowControl w:val="0"/>
        <w:tabs>
          <w:tab w:val="left" w:pos="0"/>
        </w:tabs>
        <w:spacing w:before="0" w:beforeAutospacing="0" w:after="0" w:afterAutospacing="0" w:line="360" w:lineRule="auto"/>
        <w:jc w:val="center"/>
        <w:rPr>
          <w:b/>
          <w:bCs/>
          <w:sz w:val="28"/>
          <w:szCs w:val="28"/>
        </w:rPr>
      </w:pPr>
      <w:r>
        <w:rPr>
          <w:b/>
          <w:bCs/>
          <w:sz w:val="28"/>
          <w:szCs w:val="28"/>
        </w:rPr>
        <w:t>ДИССЕРТАЦИЯ НА СОИСКАНИЕ СТЕПЕНИ МАГИСТРА</w:t>
      </w:r>
    </w:p>
    <w:p w:rsidR="000E5FCC" w:rsidRPr="000E5FCC" w:rsidRDefault="004B3BDE" w:rsidP="00AA7047">
      <w:pPr>
        <w:pStyle w:val="a4"/>
        <w:widowControl w:val="0"/>
        <w:tabs>
          <w:tab w:val="left" w:pos="0"/>
        </w:tabs>
        <w:spacing w:before="0" w:beforeAutospacing="0" w:after="0" w:afterAutospacing="0" w:line="360" w:lineRule="auto"/>
        <w:jc w:val="center"/>
        <w:rPr>
          <w:b/>
          <w:snapToGrid w:val="0"/>
          <w:sz w:val="28"/>
          <w:szCs w:val="28"/>
        </w:rPr>
      </w:pPr>
      <w:r>
        <w:rPr>
          <w:sz w:val="28"/>
          <w:szCs w:val="28"/>
        </w:rPr>
        <w:t>н</w:t>
      </w:r>
      <w:r w:rsidR="000E5FCC" w:rsidRPr="00EA78D8">
        <w:rPr>
          <w:sz w:val="28"/>
          <w:szCs w:val="28"/>
        </w:rPr>
        <w:t>а тему</w:t>
      </w:r>
      <w:r>
        <w:rPr>
          <w:sz w:val="28"/>
          <w:szCs w:val="28"/>
        </w:rPr>
        <w:t>:</w:t>
      </w:r>
      <w:r w:rsidR="000E5FCC">
        <w:rPr>
          <w:sz w:val="28"/>
          <w:szCs w:val="28"/>
        </w:rPr>
        <w:t xml:space="preserve"> </w:t>
      </w:r>
      <w:r w:rsidR="000E5FCC">
        <w:rPr>
          <w:sz w:val="28"/>
          <w:szCs w:val="28"/>
        </w:rPr>
        <w:br/>
      </w:r>
      <w:r w:rsidR="000E5FCC" w:rsidRPr="000E5FCC">
        <w:rPr>
          <w:b/>
          <w:sz w:val="32"/>
          <w:szCs w:val="32"/>
        </w:rPr>
        <w:t>Инновационные методы оплаты стационарной медицинской помощи в системе обязательного медицинского страхования</w:t>
      </w:r>
    </w:p>
    <w:p w:rsidR="00AA7047" w:rsidRPr="00AA7047" w:rsidRDefault="00AA7047" w:rsidP="00AA7047">
      <w:pPr>
        <w:pStyle w:val="a4"/>
        <w:widowControl w:val="0"/>
        <w:tabs>
          <w:tab w:val="left" w:pos="0"/>
        </w:tabs>
        <w:spacing w:before="0" w:beforeAutospacing="0" w:after="0" w:afterAutospacing="0" w:line="360" w:lineRule="auto"/>
        <w:jc w:val="center"/>
        <w:rPr>
          <w:b/>
          <w:snapToGrid w:val="0"/>
          <w:sz w:val="28"/>
          <w:szCs w:val="28"/>
        </w:rPr>
      </w:pPr>
    </w:p>
    <w:p w:rsidR="000E5FCC" w:rsidRPr="000E5FCC" w:rsidRDefault="000E5FCC" w:rsidP="00D268E5">
      <w:pPr>
        <w:pStyle w:val="7"/>
        <w:spacing w:before="0" w:after="0" w:line="360" w:lineRule="auto"/>
        <w:ind w:left="5670"/>
        <w:rPr>
          <w:snapToGrid w:val="0"/>
          <w:sz w:val="28"/>
          <w:szCs w:val="28"/>
        </w:rPr>
      </w:pPr>
      <w:r w:rsidRPr="000E5FCC">
        <w:rPr>
          <w:snapToGrid w:val="0"/>
          <w:sz w:val="28"/>
          <w:szCs w:val="28"/>
        </w:rPr>
        <w:t>Студент группы № 761</w:t>
      </w:r>
    </w:p>
    <w:p w:rsidR="000E5FCC" w:rsidRPr="00357994" w:rsidRDefault="000E5FCC" w:rsidP="00D268E5">
      <w:pPr>
        <w:shd w:val="clear" w:color="auto" w:fill="FFFFFF"/>
        <w:spacing w:after="0" w:line="360" w:lineRule="auto"/>
        <w:ind w:left="5670"/>
        <w:rPr>
          <w:rFonts w:ascii="Times New Roman" w:eastAsia="Times New Roman" w:hAnsi="Times New Roman" w:cs="Times New Roman"/>
          <w:snapToGrid w:val="0"/>
          <w:sz w:val="28"/>
          <w:szCs w:val="28"/>
        </w:rPr>
      </w:pPr>
      <w:r w:rsidRPr="000E5FCC">
        <w:rPr>
          <w:rFonts w:ascii="Times New Roman" w:eastAsia="Times New Roman" w:hAnsi="Times New Roman" w:cs="Times New Roman"/>
          <w:snapToGrid w:val="0"/>
          <w:sz w:val="28"/>
          <w:szCs w:val="28"/>
        </w:rPr>
        <w:t>Семакова Е.В.</w:t>
      </w:r>
    </w:p>
    <w:p w:rsidR="00D268E5" w:rsidRPr="00357994" w:rsidRDefault="00D268E5" w:rsidP="00D268E5">
      <w:pPr>
        <w:shd w:val="clear" w:color="auto" w:fill="FFFFFF"/>
        <w:spacing w:after="0" w:line="360" w:lineRule="auto"/>
        <w:ind w:left="5670"/>
        <w:rPr>
          <w:rFonts w:ascii="Times New Roman" w:eastAsia="Times New Roman" w:hAnsi="Times New Roman" w:cs="Times New Roman"/>
          <w:snapToGrid w:val="0"/>
          <w:sz w:val="28"/>
          <w:szCs w:val="28"/>
        </w:rPr>
      </w:pPr>
    </w:p>
    <w:p w:rsidR="000E5FCC" w:rsidRPr="000E5FCC" w:rsidRDefault="000E5FCC" w:rsidP="00D268E5">
      <w:pPr>
        <w:pStyle w:val="7"/>
        <w:spacing w:before="0" w:after="0" w:line="360" w:lineRule="auto"/>
        <w:ind w:left="5670"/>
        <w:rPr>
          <w:snapToGrid w:val="0"/>
          <w:sz w:val="28"/>
          <w:szCs w:val="28"/>
        </w:rPr>
      </w:pPr>
      <w:r w:rsidRPr="000E5FCC">
        <w:rPr>
          <w:snapToGrid w:val="0"/>
          <w:sz w:val="28"/>
          <w:szCs w:val="28"/>
        </w:rPr>
        <w:t>Научный руководитель</w:t>
      </w:r>
      <w:r>
        <w:rPr>
          <w:snapToGrid w:val="0"/>
          <w:sz w:val="28"/>
          <w:szCs w:val="28"/>
        </w:rPr>
        <w:t>:</w:t>
      </w:r>
      <w:r w:rsidRPr="000E5FCC">
        <w:rPr>
          <w:snapToGrid w:val="0"/>
          <w:sz w:val="28"/>
          <w:szCs w:val="28"/>
        </w:rPr>
        <w:t xml:space="preserve"> </w:t>
      </w:r>
    </w:p>
    <w:p w:rsidR="000E5FCC" w:rsidRPr="00357994" w:rsidRDefault="000E5FCC" w:rsidP="00D268E5">
      <w:pPr>
        <w:pStyle w:val="7"/>
        <w:spacing w:before="0" w:after="0" w:line="360" w:lineRule="auto"/>
        <w:ind w:left="5670"/>
        <w:rPr>
          <w:snapToGrid w:val="0"/>
          <w:sz w:val="28"/>
          <w:szCs w:val="28"/>
        </w:rPr>
      </w:pPr>
      <w:r>
        <w:rPr>
          <w:snapToGrid w:val="0"/>
          <w:sz w:val="28"/>
          <w:szCs w:val="28"/>
        </w:rPr>
        <w:t>п</w:t>
      </w:r>
      <w:r w:rsidRPr="000E5FCC">
        <w:rPr>
          <w:snapToGrid w:val="0"/>
          <w:sz w:val="28"/>
          <w:szCs w:val="28"/>
        </w:rPr>
        <w:t>роф.</w:t>
      </w:r>
      <w:r>
        <w:rPr>
          <w:snapToGrid w:val="0"/>
          <w:sz w:val="28"/>
          <w:szCs w:val="28"/>
        </w:rPr>
        <w:t xml:space="preserve"> к.э.н.</w:t>
      </w:r>
      <w:r w:rsidRPr="000E5FCC">
        <w:rPr>
          <w:snapToGrid w:val="0"/>
          <w:sz w:val="28"/>
          <w:szCs w:val="28"/>
        </w:rPr>
        <w:t xml:space="preserve"> Шейман И.М.</w:t>
      </w:r>
    </w:p>
    <w:p w:rsidR="00D268E5" w:rsidRPr="00357994" w:rsidRDefault="00D268E5" w:rsidP="00D268E5">
      <w:pPr>
        <w:rPr>
          <w:lang w:eastAsia="ru-RU"/>
        </w:rPr>
      </w:pPr>
    </w:p>
    <w:p w:rsidR="00AA7047" w:rsidRPr="00D268E5" w:rsidRDefault="000E5FCC" w:rsidP="00D268E5">
      <w:pPr>
        <w:pStyle w:val="7"/>
        <w:spacing w:before="0" w:after="0" w:line="360" w:lineRule="auto"/>
        <w:ind w:left="5670"/>
        <w:rPr>
          <w:snapToGrid w:val="0"/>
          <w:sz w:val="28"/>
          <w:szCs w:val="28"/>
        </w:rPr>
      </w:pPr>
      <w:r w:rsidRPr="00D268E5">
        <w:rPr>
          <w:snapToGrid w:val="0"/>
          <w:sz w:val="28"/>
          <w:szCs w:val="28"/>
        </w:rPr>
        <w:t>Рецензент:</w:t>
      </w:r>
    </w:p>
    <w:p w:rsidR="000E5FCC" w:rsidRPr="00D268E5" w:rsidRDefault="000E5FCC" w:rsidP="00D268E5">
      <w:pPr>
        <w:pStyle w:val="7"/>
        <w:spacing w:before="0" w:after="0" w:line="360" w:lineRule="auto"/>
        <w:ind w:left="5670"/>
        <w:rPr>
          <w:snapToGrid w:val="0"/>
          <w:sz w:val="28"/>
          <w:szCs w:val="28"/>
        </w:rPr>
      </w:pPr>
      <w:r w:rsidRPr="00D268E5">
        <w:rPr>
          <w:snapToGrid w:val="0"/>
          <w:sz w:val="28"/>
          <w:szCs w:val="28"/>
        </w:rPr>
        <w:t>доцент, к.э.н. Эйгель М.Я.</w:t>
      </w:r>
    </w:p>
    <w:p w:rsidR="00AA7047" w:rsidRDefault="00AA7047" w:rsidP="00AA7047">
      <w:pPr>
        <w:pStyle w:val="a4"/>
        <w:widowControl w:val="0"/>
        <w:tabs>
          <w:tab w:val="left" w:pos="0"/>
        </w:tabs>
        <w:spacing w:before="0" w:beforeAutospacing="0" w:after="0" w:afterAutospacing="0" w:line="360" w:lineRule="auto"/>
        <w:jc w:val="center"/>
        <w:rPr>
          <w:b/>
          <w:snapToGrid w:val="0"/>
          <w:sz w:val="28"/>
          <w:szCs w:val="28"/>
        </w:rPr>
      </w:pPr>
    </w:p>
    <w:p w:rsidR="00AA7047" w:rsidRDefault="00AA7047" w:rsidP="00AA7047">
      <w:pPr>
        <w:pStyle w:val="a4"/>
        <w:widowControl w:val="0"/>
        <w:tabs>
          <w:tab w:val="left" w:pos="0"/>
        </w:tabs>
        <w:spacing w:before="0" w:beforeAutospacing="0" w:after="0" w:afterAutospacing="0" w:line="360" w:lineRule="auto"/>
        <w:jc w:val="center"/>
        <w:rPr>
          <w:b/>
          <w:snapToGrid w:val="0"/>
          <w:sz w:val="28"/>
          <w:szCs w:val="28"/>
          <w:lang w:val="en-US"/>
        </w:rPr>
      </w:pPr>
    </w:p>
    <w:p w:rsidR="00377FA3" w:rsidRPr="00377FA3" w:rsidRDefault="00377FA3" w:rsidP="00AA7047">
      <w:pPr>
        <w:pStyle w:val="a4"/>
        <w:widowControl w:val="0"/>
        <w:tabs>
          <w:tab w:val="left" w:pos="0"/>
        </w:tabs>
        <w:spacing w:before="0" w:beforeAutospacing="0" w:after="0" w:afterAutospacing="0" w:line="360" w:lineRule="auto"/>
        <w:jc w:val="center"/>
        <w:rPr>
          <w:b/>
          <w:snapToGrid w:val="0"/>
          <w:sz w:val="28"/>
          <w:szCs w:val="28"/>
          <w:lang w:val="en-US"/>
        </w:rPr>
      </w:pPr>
    </w:p>
    <w:p w:rsidR="004B3BDE" w:rsidRPr="00AA7047" w:rsidRDefault="004B3BDE" w:rsidP="00AA7047">
      <w:pPr>
        <w:pStyle w:val="a4"/>
        <w:widowControl w:val="0"/>
        <w:tabs>
          <w:tab w:val="left" w:pos="0"/>
        </w:tabs>
        <w:spacing w:before="0" w:beforeAutospacing="0" w:after="0" w:afterAutospacing="0" w:line="360" w:lineRule="auto"/>
        <w:jc w:val="center"/>
        <w:rPr>
          <w:b/>
          <w:snapToGrid w:val="0"/>
          <w:sz w:val="28"/>
          <w:szCs w:val="28"/>
        </w:rPr>
      </w:pPr>
    </w:p>
    <w:p w:rsidR="00AA7047" w:rsidRDefault="00AA7047" w:rsidP="00AA7047">
      <w:pPr>
        <w:pStyle w:val="a4"/>
        <w:widowControl w:val="0"/>
        <w:tabs>
          <w:tab w:val="left" w:pos="0"/>
        </w:tabs>
        <w:spacing w:before="0" w:beforeAutospacing="0" w:after="0" w:afterAutospacing="0" w:line="360" w:lineRule="auto"/>
        <w:jc w:val="center"/>
        <w:rPr>
          <w:rFonts w:eastAsiaTheme="majorEastAsia"/>
          <w:b/>
          <w:bCs/>
          <w:sz w:val="36"/>
          <w:szCs w:val="36"/>
        </w:rPr>
      </w:pPr>
      <w:r w:rsidRPr="00AA7047">
        <w:rPr>
          <w:b/>
          <w:snapToGrid w:val="0"/>
          <w:sz w:val="28"/>
          <w:szCs w:val="28"/>
        </w:rPr>
        <w:t>Москва, 2013</w:t>
      </w:r>
      <w:r>
        <w:rPr>
          <w:b/>
          <w:snapToGrid w:val="0"/>
          <w:sz w:val="28"/>
          <w:szCs w:val="28"/>
        </w:rPr>
        <w:t>г.</w:t>
      </w:r>
      <w:r>
        <w:rPr>
          <w:sz w:val="36"/>
          <w:szCs w:val="36"/>
        </w:rPr>
        <w:br w:type="page"/>
      </w:r>
    </w:p>
    <w:p w:rsidR="001E61C7" w:rsidRPr="001E61C7" w:rsidRDefault="00171048" w:rsidP="00127805">
      <w:pPr>
        <w:pStyle w:val="ac"/>
        <w:spacing w:before="360" w:after="120"/>
        <w:rPr>
          <w:rFonts w:ascii="Times New Roman" w:hAnsi="Times New Roman" w:cs="Times New Roman"/>
          <w:color w:val="auto"/>
          <w:sz w:val="36"/>
          <w:szCs w:val="36"/>
        </w:rPr>
      </w:pPr>
      <w:r w:rsidRPr="001E61C7">
        <w:rPr>
          <w:rFonts w:ascii="Times New Roman" w:hAnsi="Times New Roman" w:cs="Times New Roman"/>
          <w:color w:val="auto"/>
          <w:sz w:val="36"/>
          <w:szCs w:val="36"/>
        </w:rPr>
        <w:lastRenderedPageBreak/>
        <w:t>Содержание</w:t>
      </w:r>
    </w:p>
    <w:sdt>
      <w:sdtPr>
        <w:id w:val="10828733"/>
        <w:docPartObj>
          <w:docPartGallery w:val="Table of Contents"/>
          <w:docPartUnique/>
        </w:docPartObj>
      </w:sdtPr>
      <w:sdtEndPr>
        <w:rPr>
          <w:rFonts w:ascii="Times New Roman" w:hAnsi="Times New Roman" w:cs="Times New Roman"/>
          <w:sz w:val="28"/>
          <w:szCs w:val="28"/>
        </w:rPr>
      </w:sdtEndPr>
      <w:sdtContent>
        <w:p w:rsidR="00171048" w:rsidRPr="00357994" w:rsidRDefault="00171048" w:rsidP="001E61C7">
          <w:pPr>
            <w:rPr>
              <w:rFonts w:ascii="Times New Roman" w:hAnsi="Times New Roman" w:cs="Times New Roman"/>
              <w:sz w:val="28"/>
              <w:szCs w:val="28"/>
            </w:rPr>
          </w:pPr>
        </w:p>
        <w:p w:rsidR="00357994" w:rsidRPr="00357994" w:rsidRDefault="00A43CAF">
          <w:pPr>
            <w:pStyle w:val="11"/>
            <w:tabs>
              <w:tab w:val="right" w:leader="dot" w:pos="9060"/>
            </w:tabs>
            <w:rPr>
              <w:rFonts w:ascii="Times New Roman" w:eastAsiaTheme="minorEastAsia" w:hAnsi="Times New Roman" w:cs="Times New Roman"/>
              <w:noProof/>
              <w:sz w:val="28"/>
              <w:szCs w:val="28"/>
              <w:lang w:eastAsia="ru-RU"/>
            </w:rPr>
          </w:pPr>
          <w:r w:rsidRPr="00357994">
            <w:rPr>
              <w:rFonts w:ascii="Times New Roman" w:hAnsi="Times New Roman" w:cs="Times New Roman"/>
              <w:sz w:val="28"/>
              <w:szCs w:val="28"/>
            </w:rPr>
            <w:fldChar w:fldCharType="begin"/>
          </w:r>
          <w:r w:rsidR="00171048" w:rsidRPr="00357994">
            <w:rPr>
              <w:rFonts w:ascii="Times New Roman" w:hAnsi="Times New Roman" w:cs="Times New Roman"/>
              <w:sz w:val="28"/>
              <w:szCs w:val="28"/>
            </w:rPr>
            <w:instrText xml:space="preserve"> TOC \o "1-3" \h \z \u </w:instrText>
          </w:r>
          <w:r w:rsidRPr="00357994">
            <w:rPr>
              <w:rFonts w:ascii="Times New Roman" w:hAnsi="Times New Roman" w:cs="Times New Roman"/>
              <w:sz w:val="28"/>
              <w:szCs w:val="28"/>
            </w:rPr>
            <w:fldChar w:fldCharType="separate"/>
          </w:r>
          <w:hyperlink w:anchor="_Toc357415381" w:history="1">
            <w:r w:rsidR="00357994" w:rsidRPr="00357994">
              <w:rPr>
                <w:rStyle w:val="ad"/>
                <w:rFonts w:ascii="Times New Roman" w:hAnsi="Times New Roman" w:cs="Times New Roman"/>
                <w:noProof/>
                <w:sz w:val="28"/>
                <w:szCs w:val="28"/>
              </w:rPr>
              <w:t>Введение</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_Toc357415381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3</w:t>
            </w:r>
            <w:r w:rsidRPr="00357994">
              <w:rPr>
                <w:rFonts w:ascii="Times New Roman" w:hAnsi="Times New Roman" w:cs="Times New Roman"/>
                <w:noProof/>
                <w:webHidden/>
                <w:sz w:val="28"/>
                <w:szCs w:val="28"/>
              </w:rPr>
              <w:fldChar w:fldCharType="end"/>
            </w:r>
          </w:hyperlink>
        </w:p>
        <w:p w:rsidR="00357994" w:rsidRPr="00357994" w:rsidRDefault="00A43CAF">
          <w:pPr>
            <w:pStyle w:val="11"/>
            <w:tabs>
              <w:tab w:val="right" w:leader="dot" w:pos="9060"/>
            </w:tabs>
            <w:rPr>
              <w:rFonts w:ascii="Times New Roman" w:eastAsiaTheme="minorEastAsia" w:hAnsi="Times New Roman" w:cs="Times New Roman"/>
              <w:noProof/>
              <w:sz w:val="28"/>
              <w:szCs w:val="28"/>
              <w:lang w:eastAsia="ru-RU"/>
            </w:rPr>
          </w:pPr>
          <w:hyperlink w:anchor="_Toc357415382" w:history="1">
            <w:r w:rsidR="00357994" w:rsidRPr="00357994">
              <w:rPr>
                <w:rStyle w:val="ad"/>
                <w:rFonts w:ascii="Times New Roman" w:hAnsi="Times New Roman" w:cs="Times New Roman"/>
                <w:noProof/>
                <w:sz w:val="28"/>
                <w:szCs w:val="28"/>
              </w:rPr>
              <w:t>Глава 1. Оплата медицинских услуг по результату</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_Toc357415382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9</w:t>
            </w:r>
            <w:r w:rsidRPr="00357994">
              <w:rPr>
                <w:rFonts w:ascii="Times New Roman" w:hAnsi="Times New Roman" w:cs="Times New Roman"/>
                <w:noProof/>
                <w:webHidden/>
                <w:sz w:val="28"/>
                <w:szCs w:val="28"/>
              </w:rPr>
              <w:fldChar w:fldCharType="end"/>
            </w:r>
          </w:hyperlink>
        </w:p>
        <w:p w:rsidR="00357994" w:rsidRPr="00357994" w:rsidRDefault="00A43CAF">
          <w:pPr>
            <w:pStyle w:val="21"/>
            <w:tabs>
              <w:tab w:val="left" w:pos="880"/>
              <w:tab w:val="right" w:leader="dot" w:pos="9060"/>
            </w:tabs>
            <w:rPr>
              <w:rFonts w:ascii="Times New Roman" w:eastAsiaTheme="minorEastAsia" w:hAnsi="Times New Roman" w:cs="Times New Roman"/>
              <w:noProof/>
              <w:sz w:val="28"/>
              <w:szCs w:val="28"/>
              <w:lang w:eastAsia="ru-RU"/>
            </w:rPr>
          </w:pPr>
          <w:hyperlink w:anchor="_Toc357415383" w:history="1">
            <w:r w:rsidR="00357994" w:rsidRPr="00357994">
              <w:rPr>
                <w:rStyle w:val="ad"/>
                <w:rFonts w:ascii="Times New Roman" w:hAnsi="Times New Roman" w:cs="Times New Roman"/>
                <w:noProof/>
                <w:sz w:val="28"/>
                <w:szCs w:val="28"/>
              </w:rPr>
              <w:t>1.1.</w:t>
            </w:r>
            <w:r w:rsidR="00357994" w:rsidRPr="00357994">
              <w:rPr>
                <w:rFonts w:ascii="Times New Roman" w:eastAsiaTheme="minorEastAsia" w:hAnsi="Times New Roman" w:cs="Times New Roman"/>
                <w:noProof/>
                <w:sz w:val="28"/>
                <w:szCs w:val="28"/>
                <w:lang w:eastAsia="ru-RU"/>
              </w:rPr>
              <w:tab/>
            </w:r>
            <w:r w:rsidR="00357994" w:rsidRPr="00357994">
              <w:rPr>
                <w:rStyle w:val="ad"/>
                <w:rFonts w:ascii="Times New Roman" w:hAnsi="Times New Roman" w:cs="Times New Roman"/>
                <w:noProof/>
                <w:sz w:val="28"/>
                <w:szCs w:val="28"/>
              </w:rPr>
              <w:t>Эволюция подхода оплаты по результату</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_Toc357415383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9</w:t>
            </w:r>
            <w:r w:rsidRPr="00357994">
              <w:rPr>
                <w:rFonts w:ascii="Times New Roman" w:hAnsi="Times New Roman" w:cs="Times New Roman"/>
                <w:noProof/>
                <w:webHidden/>
                <w:sz w:val="28"/>
                <w:szCs w:val="28"/>
              </w:rPr>
              <w:fldChar w:fldCharType="end"/>
            </w:r>
          </w:hyperlink>
        </w:p>
        <w:p w:rsidR="00357994" w:rsidRPr="00357994" w:rsidRDefault="00A43CAF">
          <w:pPr>
            <w:pStyle w:val="21"/>
            <w:tabs>
              <w:tab w:val="left" w:pos="880"/>
              <w:tab w:val="right" w:leader="dot" w:pos="9060"/>
            </w:tabs>
            <w:rPr>
              <w:rFonts w:ascii="Times New Roman" w:eastAsiaTheme="minorEastAsia" w:hAnsi="Times New Roman" w:cs="Times New Roman"/>
              <w:noProof/>
              <w:sz w:val="28"/>
              <w:szCs w:val="28"/>
              <w:lang w:eastAsia="ru-RU"/>
            </w:rPr>
          </w:pPr>
          <w:hyperlink w:anchor="_Toc357415384" w:history="1">
            <w:r w:rsidR="00357994" w:rsidRPr="00357994">
              <w:rPr>
                <w:rStyle w:val="ad"/>
                <w:rFonts w:ascii="Times New Roman" w:hAnsi="Times New Roman" w:cs="Times New Roman"/>
                <w:noProof/>
                <w:sz w:val="28"/>
                <w:szCs w:val="28"/>
              </w:rPr>
              <w:t>1.2.</w:t>
            </w:r>
            <w:r w:rsidR="00357994" w:rsidRPr="00357994">
              <w:rPr>
                <w:rFonts w:ascii="Times New Roman" w:eastAsiaTheme="minorEastAsia" w:hAnsi="Times New Roman" w:cs="Times New Roman"/>
                <w:noProof/>
                <w:sz w:val="28"/>
                <w:szCs w:val="28"/>
                <w:lang w:eastAsia="ru-RU"/>
              </w:rPr>
              <w:tab/>
            </w:r>
            <w:r w:rsidR="00357994" w:rsidRPr="00357994">
              <w:rPr>
                <w:rStyle w:val="ad"/>
                <w:rFonts w:ascii="Times New Roman" w:hAnsi="Times New Roman" w:cs="Times New Roman"/>
                <w:noProof/>
                <w:sz w:val="28"/>
                <w:szCs w:val="28"/>
              </w:rPr>
              <w:t>Основные элементы подхода</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_Toc357415384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12</w:t>
            </w:r>
            <w:r w:rsidRPr="00357994">
              <w:rPr>
                <w:rFonts w:ascii="Times New Roman" w:hAnsi="Times New Roman" w:cs="Times New Roman"/>
                <w:noProof/>
                <w:webHidden/>
                <w:sz w:val="28"/>
                <w:szCs w:val="28"/>
              </w:rPr>
              <w:fldChar w:fldCharType="end"/>
            </w:r>
          </w:hyperlink>
        </w:p>
        <w:p w:rsidR="00357994" w:rsidRPr="00357994" w:rsidRDefault="00A43CAF">
          <w:pPr>
            <w:pStyle w:val="21"/>
            <w:tabs>
              <w:tab w:val="left" w:pos="880"/>
              <w:tab w:val="right" w:leader="dot" w:pos="9060"/>
            </w:tabs>
            <w:rPr>
              <w:rFonts w:ascii="Times New Roman" w:eastAsiaTheme="minorEastAsia" w:hAnsi="Times New Roman" w:cs="Times New Roman"/>
              <w:noProof/>
              <w:sz w:val="28"/>
              <w:szCs w:val="28"/>
              <w:lang w:eastAsia="ru-RU"/>
            </w:rPr>
          </w:pPr>
          <w:hyperlink w:anchor="_Toc357415385" w:history="1">
            <w:r w:rsidR="00357994" w:rsidRPr="00357994">
              <w:rPr>
                <w:rStyle w:val="ad"/>
                <w:rFonts w:ascii="Times New Roman" w:hAnsi="Times New Roman" w:cs="Times New Roman"/>
                <w:noProof/>
                <w:sz w:val="28"/>
                <w:szCs w:val="28"/>
              </w:rPr>
              <w:t>1.3.</w:t>
            </w:r>
            <w:r w:rsidR="00357994" w:rsidRPr="00357994">
              <w:rPr>
                <w:rFonts w:ascii="Times New Roman" w:eastAsiaTheme="minorEastAsia" w:hAnsi="Times New Roman" w:cs="Times New Roman"/>
                <w:noProof/>
                <w:sz w:val="28"/>
                <w:szCs w:val="28"/>
                <w:lang w:eastAsia="ru-RU"/>
              </w:rPr>
              <w:tab/>
            </w:r>
            <w:r w:rsidR="00357994" w:rsidRPr="00357994">
              <w:rPr>
                <w:rStyle w:val="ad"/>
                <w:rFonts w:ascii="Times New Roman" w:hAnsi="Times New Roman" w:cs="Times New Roman"/>
                <w:noProof/>
                <w:sz w:val="28"/>
                <w:szCs w:val="28"/>
              </w:rPr>
              <w:t>Достоинства и недостатки подхода</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_Toc357415385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14</w:t>
            </w:r>
            <w:r w:rsidRPr="00357994">
              <w:rPr>
                <w:rFonts w:ascii="Times New Roman" w:hAnsi="Times New Roman" w:cs="Times New Roman"/>
                <w:noProof/>
                <w:webHidden/>
                <w:sz w:val="28"/>
                <w:szCs w:val="28"/>
              </w:rPr>
              <w:fldChar w:fldCharType="end"/>
            </w:r>
          </w:hyperlink>
        </w:p>
        <w:p w:rsidR="00357994" w:rsidRPr="00357994" w:rsidRDefault="00A43CAF">
          <w:pPr>
            <w:pStyle w:val="21"/>
            <w:tabs>
              <w:tab w:val="left" w:pos="880"/>
              <w:tab w:val="right" w:leader="dot" w:pos="9060"/>
            </w:tabs>
            <w:rPr>
              <w:rFonts w:ascii="Times New Roman" w:eastAsiaTheme="minorEastAsia" w:hAnsi="Times New Roman" w:cs="Times New Roman"/>
              <w:noProof/>
              <w:sz w:val="28"/>
              <w:szCs w:val="28"/>
              <w:lang w:eastAsia="ru-RU"/>
            </w:rPr>
          </w:pPr>
          <w:hyperlink w:anchor="_Toc357415386" w:history="1">
            <w:r w:rsidR="00357994" w:rsidRPr="00357994">
              <w:rPr>
                <w:rStyle w:val="ad"/>
                <w:rFonts w:ascii="Times New Roman" w:hAnsi="Times New Roman" w:cs="Times New Roman"/>
                <w:noProof/>
                <w:sz w:val="28"/>
                <w:szCs w:val="28"/>
              </w:rPr>
              <w:t>1.4.</w:t>
            </w:r>
            <w:r w:rsidR="00357994" w:rsidRPr="00357994">
              <w:rPr>
                <w:rFonts w:ascii="Times New Roman" w:eastAsiaTheme="minorEastAsia" w:hAnsi="Times New Roman" w:cs="Times New Roman"/>
                <w:noProof/>
                <w:sz w:val="28"/>
                <w:szCs w:val="28"/>
                <w:lang w:eastAsia="ru-RU"/>
              </w:rPr>
              <w:tab/>
            </w:r>
            <w:r w:rsidR="00357994" w:rsidRPr="00357994">
              <w:rPr>
                <w:rStyle w:val="ad"/>
                <w:rFonts w:ascii="Times New Roman" w:hAnsi="Times New Roman" w:cs="Times New Roman"/>
                <w:noProof/>
                <w:sz w:val="28"/>
                <w:szCs w:val="28"/>
              </w:rPr>
              <w:t>Основные выводы</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_Toc357415386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16</w:t>
            </w:r>
            <w:r w:rsidRPr="00357994">
              <w:rPr>
                <w:rFonts w:ascii="Times New Roman" w:hAnsi="Times New Roman" w:cs="Times New Roman"/>
                <w:noProof/>
                <w:webHidden/>
                <w:sz w:val="28"/>
                <w:szCs w:val="28"/>
              </w:rPr>
              <w:fldChar w:fldCharType="end"/>
            </w:r>
          </w:hyperlink>
        </w:p>
        <w:p w:rsidR="00357994" w:rsidRPr="00357994" w:rsidRDefault="00A43CAF">
          <w:pPr>
            <w:pStyle w:val="11"/>
            <w:tabs>
              <w:tab w:val="right" w:leader="dot" w:pos="9060"/>
            </w:tabs>
            <w:rPr>
              <w:rFonts w:ascii="Times New Roman" w:eastAsiaTheme="minorEastAsia" w:hAnsi="Times New Roman" w:cs="Times New Roman"/>
              <w:noProof/>
              <w:sz w:val="28"/>
              <w:szCs w:val="28"/>
              <w:lang w:eastAsia="ru-RU"/>
            </w:rPr>
          </w:pPr>
          <w:hyperlink w:anchor="_Toc357415387" w:history="1">
            <w:r w:rsidR="00357994" w:rsidRPr="00357994">
              <w:rPr>
                <w:rStyle w:val="ad"/>
                <w:rFonts w:ascii="Times New Roman" w:hAnsi="Times New Roman" w:cs="Times New Roman"/>
                <w:noProof/>
                <w:sz w:val="28"/>
                <w:szCs w:val="28"/>
              </w:rPr>
              <w:t>Глава 2. Оплата на основе клинико-статистических групп (КСГ)</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_Toc357415387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18</w:t>
            </w:r>
            <w:r w:rsidRPr="00357994">
              <w:rPr>
                <w:rFonts w:ascii="Times New Roman" w:hAnsi="Times New Roman" w:cs="Times New Roman"/>
                <w:noProof/>
                <w:webHidden/>
                <w:sz w:val="28"/>
                <w:szCs w:val="28"/>
              </w:rPr>
              <w:fldChar w:fldCharType="end"/>
            </w:r>
          </w:hyperlink>
        </w:p>
        <w:p w:rsidR="00357994" w:rsidRPr="00357994" w:rsidRDefault="00A43CAF">
          <w:pPr>
            <w:pStyle w:val="21"/>
            <w:tabs>
              <w:tab w:val="left" w:pos="880"/>
              <w:tab w:val="right" w:leader="dot" w:pos="9060"/>
            </w:tabs>
            <w:rPr>
              <w:rFonts w:ascii="Times New Roman" w:eastAsiaTheme="minorEastAsia" w:hAnsi="Times New Roman" w:cs="Times New Roman"/>
              <w:noProof/>
              <w:sz w:val="28"/>
              <w:szCs w:val="28"/>
              <w:lang w:eastAsia="ru-RU"/>
            </w:rPr>
          </w:pPr>
          <w:hyperlink w:anchor="_Toc357415388" w:history="1">
            <w:r w:rsidR="00357994" w:rsidRPr="00357994">
              <w:rPr>
                <w:rStyle w:val="ad"/>
                <w:rFonts w:ascii="Times New Roman" w:hAnsi="Times New Roman" w:cs="Times New Roman"/>
                <w:noProof/>
                <w:sz w:val="28"/>
                <w:szCs w:val="28"/>
              </w:rPr>
              <w:t>2.1.</w:t>
            </w:r>
            <w:r w:rsidR="00357994" w:rsidRPr="00357994">
              <w:rPr>
                <w:rFonts w:ascii="Times New Roman" w:eastAsiaTheme="minorEastAsia" w:hAnsi="Times New Roman" w:cs="Times New Roman"/>
                <w:noProof/>
                <w:sz w:val="28"/>
                <w:szCs w:val="28"/>
                <w:lang w:eastAsia="ru-RU"/>
              </w:rPr>
              <w:tab/>
            </w:r>
            <w:r w:rsidR="00357994" w:rsidRPr="00357994">
              <w:rPr>
                <w:rStyle w:val="ad"/>
                <w:rFonts w:ascii="Times New Roman" w:hAnsi="Times New Roman" w:cs="Times New Roman"/>
                <w:noProof/>
                <w:sz w:val="28"/>
                <w:szCs w:val="28"/>
              </w:rPr>
              <w:t>История развития подхода КСГ</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_Toc357415388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18</w:t>
            </w:r>
            <w:r w:rsidRPr="00357994">
              <w:rPr>
                <w:rFonts w:ascii="Times New Roman" w:hAnsi="Times New Roman" w:cs="Times New Roman"/>
                <w:noProof/>
                <w:webHidden/>
                <w:sz w:val="28"/>
                <w:szCs w:val="28"/>
              </w:rPr>
              <w:fldChar w:fldCharType="end"/>
            </w:r>
          </w:hyperlink>
        </w:p>
        <w:p w:rsidR="00357994" w:rsidRPr="00357994" w:rsidRDefault="00A43CAF">
          <w:pPr>
            <w:pStyle w:val="21"/>
            <w:tabs>
              <w:tab w:val="left" w:pos="880"/>
              <w:tab w:val="right" w:leader="dot" w:pos="9060"/>
            </w:tabs>
            <w:rPr>
              <w:rFonts w:ascii="Times New Roman" w:eastAsiaTheme="minorEastAsia" w:hAnsi="Times New Roman" w:cs="Times New Roman"/>
              <w:noProof/>
              <w:sz w:val="28"/>
              <w:szCs w:val="28"/>
              <w:lang w:eastAsia="ru-RU"/>
            </w:rPr>
          </w:pPr>
          <w:hyperlink w:anchor="_Toc357415389" w:history="1">
            <w:r w:rsidR="00357994" w:rsidRPr="00357994">
              <w:rPr>
                <w:rStyle w:val="ad"/>
                <w:rFonts w:ascii="Times New Roman" w:hAnsi="Times New Roman" w:cs="Times New Roman"/>
                <w:noProof/>
                <w:sz w:val="28"/>
                <w:szCs w:val="28"/>
              </w:rPr>
              <w:t>2.2.</w:t>
            </w:r>
            <w:r w:rsidR="00357994" w:rsidRPr="00357994">
              <w:rPr>
                <w:rFonts w:ascii="Times New Roman" w:eastAsiaTheme="minorEastAsia" w:hAnsi="Times New Roman" w:cs="Times New Roman"/>
                <w:noProof/>
                <w:sz w:val="28"/>
                <w:szCs w:val="28"/>
                <w:lang w:eastAsia="ru-RU"/>
              </w:rPr>
              <w:tab/>
            </w:r>
            <w:r w:rsidR="00357994" w:rsidRPr="00357994">
              <w:rPr>
                <w:rStyle w:val="ad"/>
                <w:rFonts w:ascii="Times New Roman" w:hAnsi="Times New Roman" w:cs="Times New Roman"/>
                <w:noProof/>
                <w:sz w:val="28"/>
                <w:szCs w:val="28"/>
              </w:rPr>
              <w:t>Внедрение подхода КСГ</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_Toc357415389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23</w:t>
            </w:r>
            <w:r w:rsidRPr="00357994">
              <w:rPr>
                <w:rFonts w:ascii="Times New Roman" w:hAnsi="Times New Roman" w:cs="Times New Roman"/>
                <w:noProof/>
                <w:webHidden/>
                <w:sz w:val="28"/>
                <w:szCs w:val="28"/>
              </w:rPr>
              <w:fldChar w:fldCharType="end"/>
            </w:r>
          </w:hyperlink>
        </w:p>
        <w:p w:rsidR="00357994" w:rsidRPr="00357994" w:rsidRDefault="00A43CAF">
          <w:pPr>
            <w:pStyle w:val="21"/>
            <w:tabs>
              <w:tab w:val="left" w:pos="880"/>
              <w:tab w:val="right" w:leader="dot" w:pos="9060"/>
            </w:tabs>
            <w:rPr>
              <w:rFonts w:ascii="Times New Roman" w:eastAsiaTheme="minorEastAsia" w:hAnsi="Times New Roman" w:cs="Times New Roman"/>
              <w:noProof/>
              <w:sz w:val="28"/>
              <w:szCs w:val="28"/>
              <w:lang w:eastAsia="ru-RU"/>
            </w:rPr>
          </w:pPr>
          <w:hyperlink w:anchor="_Toc357415390" w:history="1">
            <w:r w:rsidR="00357994" w:rsidRPr="00357994">
              <w:rPr>
                <w:rStyle w:val="ad"/>
                <w:rFonts w:ascii="Times New Roman" w:hAnsi="Times New Roman" w:cs="Times New Roman"/>
                <w:noProof/>
                <w:sz w:val="28"/>
                <w:szCs w:val="28"/>
              </w:rPr>
              <w:t>2.3.</w:t>
            </w:r>
            <w:r w:rsidR="00357994" w:rsidRPr="00357994">
              <w:rPr>
                <w:rFonts w:ascii="Times New Roman" w:eastAsiaTheme="minorEastAsia" w:hAnsi="Times New Roman" w:cs="Times New Roman"/>
                <w:noProof/>
                <w:sz w:val="28"/>
                <w:szCs w:val="28"/>
                <w:lang w:eastAsia="ru-RU"/>
              </w:rPr>
              <w:tab/>
            </w:r>
            <w:r w:rsidR="00357994" w:rsidRPr="00357994">
              <w:rPr>
                <w:rStyle w:val="ad"/>
                <w:rFonts w:ascii="Times New Roman" w:hAnsi="Times New Roman" w:cs="Times New Roman"/>
                <w:noProof/>
                <w:sz w:val="28"/>
                <w:szCs w:val="28"/>
              </w:rPr>
              <w:t>Стимулы, создаваемые подходом КСГ</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_Toc357415390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31</w:t>
            </w:r>
            <w:r w:rsidRPr="00357994">
              <w:rPr>
                <w:rFonts w:ascii="Times New Roman" w:hAnsi="Times New Roman" w:cs="Times New Roman"/>
                <w:noProof/>
                <w:webHidden/>
                <w:sz w:val="28"/>
                <w:szCs w:val="28"/>
              </w:rPr>
              <w:fldChar w:fldCharType="end"/>
            </w:r>
          </w:hyperlink>
        </w:p>
        <w:p w:rsidR="00357994" w:rsidRPr="00357994" w:rsidRDefault="00A43CAF">
          <w:pPr>
            <w:pStyle w:val="21"/>
            <w:tabs>
              <w:tab w:val="left" w:pos="880"/>
              <w:tab w:val="right" w:leader="dot" w:pos="9060"/>
            </w:tabs>
            <w:rPr>
              <w:rFonts w:ascii="Times New Roman" w:eastAsiaTheme="minorEastAsia" w:hAnsi="Times New Roman" w:cs="Times New Roman"/>
              <w:noProof/>
              <w:sz w:val="28"/>
              <w:szCs w:val="28"/>
              <w:lang w:eastAsia="ru-RU"/>
            </w:rPr>
          </w:pPr>
          <w:hyperlink w:anchor="_Toc357415391" w:history="1">
            <w:r w:rsidR="00357994" w:rsidRPr="00357994">
              <w:rPr>
                <w:rStyle w:val="ad"/>
                <w:rFonts w:ascii="Times New Roman" w:hAnsi="Times New Roman" w:cs="Times New Roman"/>
                <w:noProof/>
                <w:sz w:val="28"/>
                <w:szCs w:val="28"/>
              </w:rPr>
              <w:t>2.4.</w:t>
            </w:r>
            <w:r w:rsidR="00357994" w:rsidRPr="00357994">
              <w:rPr>
                <w:rFonts w:ascii="Times New Roman" w:eastAsiaTheme="minorEastAsia" w:hAnsi="Times New Roman" w:cs="Times New Roman"/>
                <w:noProof/>
                <w:sz w:val="28"/>
                <w:szCs w:val="28"/>
                <w:lang w:eastAsia="ru-RU"/>
              </w:rPr>
              <w:tab/>
            </w:r>
            <w:r w:rsidR="00357994" w:rsidRPr="00357994">
              <w:rPr>
                <w:rStyle w:val="ad"/>
                <w:rFonts w:ascii="Times New Roman" w:hAnsi="Times New Roman" w:cs="Times New Roman"/>
                <w:noProof/>
                <w:sz w:val="28"/>
                <w:szCs w:val="28"/>
              </w:rPr>
              <w:t>Основные выводы</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_Toc357415391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35</w:t>
            </w:r>
            <w:r w:rsidRPr="00357994">
              <w:rPr>
                <w:rFonts w:ascii="Times New Roman" w:hAnsi="Times New Roman" w:cs="Times New Roman"/>
                <w:noProof/>
                <w:webHidden/>
                <w:sz w:val="28"/>
                <w:szCs w:val="28"/>
              </w:rPr>
              <w:fldChar w:fldCharType="end"/>
            </w:r>
          </w:hyperlink>
        </w:p>
        <w:p w:rsidR="00357994" w:rsidRPr="00357994" w:rsidRDefault="00A43CAF">
          <w:pPr>
            <w:pStyle w:val="11"/>
            <w:tabs>
              <w:tab w:val="right" w:leader="dot" w:pos="9060"/>
            </w:tabs>
            <w:rPr>
              <w:rFonts w:ascii="Times New Roman" w:eastAsiaTheme="minorEastAsia" w:hAnsi="Times New Roman" w:cs="Times New Roman"/>
              <w:noProof/>
              <w:sz w:val="28"/>
              <w:szCs w:val="28"/>
              <w:lang w:eastAsia="ru-RU"/>
            </w:rPr>
          </w:pPr>
          <w:hyperlink w:anchor="_Toc357415392" w:history="1">
            <w:r w:rsidR="00357994" w:rsidRPr="00357994">
              <w:rPr>
                <w:rStyle w:val="ad"/>
                <w:rFonts w:ascii="Times New Roman" w:hAnsi="Times New Roman" w:cs="Times New Roman"/>
                <w:noProof/>
                <w:sz w:val="28"/>
                <w:szCs w:val="28"/>
              </w:rPr>
              <w:t>Глава 3. Применение инновационных подходов к оплате стационарной медицинской помощи в системе обязательного медицинского страхования Российской Федерации</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_Toc357415392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37</w:t>
            </w:r>
            <w:r w:rsidRPr="00357994">
              <w:rPr>
                <w:rFonts w:ascii="Times New Roman" w:hAnsi="Times New Roman" w:cs="Times New Roman"/>
                <w:noProof/>
                <w:webHidden/>
                <w:sz w:val="28"/>
                <w:szCs w:val="28"/>
              </w:rPr>
              <w:fldChar w:fldCharType="end"/>
            </w:r>
          </w:hyperlink>
        </w:p>
        <w:p w:rsidR="00357994" w:rsidRPr="00357994" w:rsidRDefault="00A43CAF">
          <w:pPr>
            <w:pStyle w:val="21"/>
            <w:tabs>
              <w:tab w:val="left" w:pos="880"/>
              <w:tab w:val="right" w:leader="dot" w:pos="9060"/>
            </w:tabs>
            <w:rPr>
              <w:rFonts w:ascii="Times New Roman" w:eastAsiaTheme="minorEastAsia" w:hAnsi="Times New Roman" w:cs="Times New Roman"/>
              <w:noProof/>
              <w:sz w:val="28"/>
              <w:szCs w:val="28"/>
              <w:lang w:eastAsia="ru-RU"/>
            </w:rPr>
          </w:pPr>
          <w:hyperlink w:anchor="_Toc357415393" w:history="1">
            <w:r w:rsidR="00357994" w:rsidRPr="00357994">
              <w:rPr>
                <w:rStyle w:val="ad"/>
                <w:rFonts w:ascii="Times New Roman" w:hAnsi="Times New Roman" w:cs="Times New Roman"/>
                <w:noProof/>
                <w:sz w:val="28"/>
                <w:szCs w:val="28"/>
              </w:rPr>
              <w:t>3.1.</w:t>
            </w:r>
            <w:r w:rsidR="00357994" w:rsidRPr="00357994">
              <w:rPr>
                <w:rFonts w:ascii="Times New Roman" w:eastAsiaTheme="minorEastAsia" w:hAnsi="Times New Roman" w:cs="Times New Roman"/>
                <w:noProof/>
                <w:sz w:val="28"/>
                <w:szCs w:val="28"/>
                <w:lang w:eastAsia="ru-RU"/>
              </w:rPr>
              <w:tab/>
            </w:r>
            <w:r w:rsidR="00357994" w:rsidRPr="00357994">
              <w:rPr>
                <w:rStyle w:val="ad"/>
                <w:rFonts w:ascii="Times New Roman" w:hAnsi="Times New Roman" w:cs="Times New Roman"/>
                <w:noProof/>
                <w:sz w:val="28"/>
                <w:szCs w:val="28"/>
              </w:rPr>
              <w:t>Оплата стационарной медицинской помощи в России</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_Toc357415393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37</w:t>
            </w:r>
            <w:r w:rsidRPr="00357994">
              <w:rPr>
                <w:rFonts w:ascii="Times New Roman" w:hAnsi="Times New Roman" w:cs="Times New Roman"/>
                <w:noProof/>
                <w:webHidden/>
                <w:sz w:val="28"/>
                <w:szCs w:val="28"/>
              </w:rPr>
              <w:fldChar w:fldCharType="end"/>
            </w:r>
          </w:hyperlink>
        </w:p>
        <w:p w:rsidR="00357994" w:rsidRPr="00357994" w:rsidRDefault="00A43CAF">
          <w:pPr>
            <w:pStyle w:val="21"/>
            <w:tabs>
              <w:tab w:val="left" w:pos="880"/>
              <w:tab w:val="right" w:leader="dot" w:pos="9060"/>
            </w:tabs>
            <w:rPr>
              <w:rFonts w:ascii="Times New Roman" w:eastAsiaTheme="minorEastAsia" w:hAnsi="Times New Roman" w:cs="Times New Roman"/>
              <w:noProof/>
              <w:sz w:val="28"/>
              <w:szCs w:val="28"/>
              <w:lang w:eastAsia="ru-RU"/>
            </w:rPr>
          </w:pPr>
          <w:hyperlink w:anchor="_Toc357415394" w:history="1">
            <w:r w:rsidR="00357994" w:rsidRPr="00357994">
              <w:rPr>
                <w:rStyle w:val="ad"/>
                <w:rFonts w:ascii="Times New Roman" w:hAnsi="Times New Roman" w:cs="Times New Roman"/>
                <w:noProof/>
                <w:sz w:val="28"/>
                <w:szCs w:val="28"/>
              </w:rPr>
              <w:t>3.2.</w:t>
            </w:r>
            <w:r w:rsidR="00357994" w:rsidRPr="00357994">
              <w:rPr>
                <w:rFonts w:ascii="Times New Roman" w:eastAsiaTheme="minorEastAsia" w:hAnsi="Times New Roman" w:cs="Times New Roman"/>
                <w:noProof/>
                <w:sz w:val="28"/>
                <w:szCs w:val="28"/>
                <w:lang w:eastAsia="ru-RU"/>
              </w:rPr>
              <w:tab/>
            </w:r>
            <w:r w:rsidR="00357994" w:rsidRPr="00357994">
              <w:rPr>
                <w:rStyle w:val="ad"/>
                <w:rFonts w:ascii="Times New Roman" w:hAnsi="Times New Roman" w:cs="Times New Roman"/>
                <w:noProof/>
                <w:sz w:val="28"/>
                <w:szCs w:val="28"/>
              </w:rPr>
              <w:t>Предложения по развитию подхода КСГ и обязательных к применению стандартов медицинской помощи</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_Toc357415394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41</w:t>
            </w:r>
            <w:r w:rsidRPr="00357994">
              <w:rPr>
                <w:rFonts w:ascii="Times New Roman" w:hAnsi="Times New Roman" w:cs="Times New Roman"/>
                <w:noProof/>
                <w:webHidden/>
                <w:sz w:val="28"/>
                <w:szCs w:val="28"/>
              </w:rPr>
              <w:fldChar w:fldCharType="end"/>
            </w:r>
          </w:hyperlink>
        </w:p>
        <w:p w:rsidR="00357994" w:rsidRPr="00357994" w:rsidRDefault="00A43CAF">
          <w:pPr>
            <w:pStyle w:val="11"/>
            <w:tabs>
              <w:tab w:val="right" w:leader="dot" w:pos="9060"/>
            </w:tabs>
            <w:rPr>
              <w:rFonts w:ascii="Times New Roman" w:eastAsiaTheme="minorEastAsia" w:hAnsi="Times New Roman" w:cs="Times New Roman"/>
              <w:noProof/>
              <w:sz w:val="28"/>
              <w:szCs w:val="28"/>
              <w:lang w:eastAsia="ru-RU"/>
            </w:rPr>
          </w:pPr>
          <w:hyperlink w:anchor="_Toc357415395" w:history="1">
            <w:r w:rsidR="00357994" w:rsidRPr="00357994">
              <w:rPr>
                <w:rStyle w:val="ad"/>
                <w:rFonts w:ascii="Times New Roman" w:hAnsi="Times New Roman" w:cs="Times New Roman"/>
                <w:noProof/>
                <w:sz w:val="28"/>
                <w:szCs w:val="28"/>
              </w:rPr>
              <w:t>Заключение</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_Toc357415395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55</w:t>
            </w:r>
            <w:r w:rsidRPr="00357994">
              <w:rPr>
                <w:rFonts w:ascii="Times New Roman" w:hAnsi="Times New Roman" w:cs="Times New Roman"/>
                <w:noProof/>
                <w:webHidden/>
                <w:sz w:val="28"/>
                <w:szCs w:val="28"/>
              </w:rPr>
              <w:fldChar w:fldCharType="end"/>
            </w:r>
          </w:hyperlink>
        </w:p>
        <w:p w:rsidR="00357994" w:rsidRPr="00357994" w:rsidRDefault="00A43CAF">
          <w:pPr>
            <w:pStyle w:val="11"/>
            <w:tabs>
              <w:tab w:val="right" w:leader="dot" w:pos="9060"/>
            </w:tabs>
            <w:rPr>
              <w:rFonts w:ascii="Times New Roman" w:eastAsiaTheme="minorEastAsia" w:hAnsi="Times New Roman" w:cs="Times New Roman"/>
              <w:noProof/>
              <w:sz w:val="28"/>
              <w:szCs w:val="28"/>
              <w:lang w:eastAsia="ru-RU"/>
            </w:rPr>
          </w:pPr>
          <w:hyperlink w:anchor="_Toc357415396" w:history="1">
            <w:r w:rsidR="00357994" w:rsidRPr="00357994">
              <w:rPr>
                <w:rStyle w:val="ad"/>
                <w:rFonts w:ascii="Times New Roman" w:hAnsi="Times New Roman" w:cs="Times New Roman"/>
                <w:noProof/>
                <w:sz w:val="28"/>
                <w:szCs w:val="28"/>
              </w:rPr>
              <w:t>Литература</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_Toc357415396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57</w:t>
            </w:r>
            <w:r w:rsidRPr="00357994">
              <w:rPr>
                <w:rFonts w:ascii="Times New Roman" w:hAnsi="Times New Roman" w:cs="Times New Roman"/>
                <w:noProof/>
                <w:webHidden/>
                <w:sz w:val="28"/>
                <w:szCs w:val="28"/>
              </w:rPr>
              <w:fldChar w:fldCharType="end"/>
            </w:r>
          </w:hyperlink>
        </w:p>
        <w:p w:rsidR="00357994" w:rsidRPr="00357994" w:rsidRDefault="00A43CAF">
          <w:pPr>
            <w:pStyle w:val="11"/>
            <w:tabs>
              <w:tab w:val="right" w:leader="dot" w:pos="9060"/>
            </w:tabs>
            <w:rPr>
              <w:rFonts w:ascii="Times New Roman" w:eastAsiaTheme="minorEastAsia" w:hAnsi="Times New Roman" w:cs="Times New Roman"/>
              <w:noProof/>
              <w:sz w:val="28"/>
              <w:szCs w:val="28"/>
              <w:lang w:eastAsia="ru-RU"/>
            </w:rPr>
          </w:pPr>
          <w:hyperlink w:anchor="_Toc357415397" w:history="1">
            <w:r w:rsidR="00357994" w:rsidRPr="00357994">
              <w:rPr>
                <w:rStyle w:val="ad"/>
                <w:rFonts w:ascii="Times New Roman" w:hAnsi="Times New Roman" w:cs="Times New Roman"/>
                <w:noProof/>
                <w:sz w:val="28"/>
                <w:szCs w:val="28"/>
              </w:rPr>
              <w:t>Приложения</w:t>
            </w:r>
            <w:r w:rsidR="00357994" w:rsidRPr="00357994">
              <w:rPr>
                <w:rFonts w:ascii="Times New Roman" w:hAnsi="Times New Roman" w:cs="Times New Roman"/>
                <w:noProof/>
                <w:webHidden/>
                <w:sz w:val="28"/>
                <w:szCs w:val="28"/>
              </w:rPr>
              <w:tab/>
            </w:r>
            <w:r w:rsidRPr="00357994">
              <w:rPr>
                <w:rFonts w:ascii="Times New Roman" w:hAnsi="Times New Roman" w:cs="Times New Roman"/>
                <w:noProof/>
                <w:webHidden/>
                <w:sz w:val="28"/>
                <w:szCs w:val="28"/>
              </w:rPr>
              <w:fldChar w:fldCharType="begin"/>
            </w:r>
            <w:r w:rsidR="00357994" w:rsidRPr="00357994">
              <w:rPr>
                <w:rFonts w:ascii="Times New Roman" w:hAnsi="Times New Roman" w:cs="Times New Roman"/>
                <w:noProof/>
                <w:webHidden/>
                <w:sz w:val="28"/>
                <w:szCs w:val="28"/>
              </w:rPr>
              <w:instrText xml:space="preserve"> PAGEREF _Toc357415397 \h </w:instrText>
            </w:r>
            <w:r w:rsidRPr="00357994">
              <w:rPr>
                <w:rFonts w:ascii="Times New Roman" w:hAnsi="Times New Roman" w:cs="Times New Roman"/>
                <w:noProof/>
                <w:webHidden/>
                <w:sz w:val="28"/>
                <w:szCs w:val="28"/>
              </w:rPr>
            </w:r>
            <w:r w:rsidRPr="00357994">
              <w:rPr>
                <w:rFonts w:ascii="Times New Roman" w:hAnsi="Times New Roman" w:cs="Times New Roman"/>
                <w:noProof/>
                <w:webHidden/>
                <w:sz w:val="28"/>
                <w:szCs w:val="28"/>
              </w:rPr>
              <w:fldChar w:fldCharType="separate"/>
            </w:r>
            <w:r w:rsidR="00636B90">
              <w:rPr>
                <w:rFonts w:ascii="Times New Roman" w:hAnsi="Times New Roman" w:cs="Times New Roman"/>
                <w:noProof/>
                <w:webHidden/>
                <w:sz w:val="28"/>
                <w:szCs w:val="28"/>
              </w:rPr>
              <w:t>61</w:t>
            </w:r>
            <w:r w:rsidRPr="00357994">
              <w:rPr>
                <w:rFonts w:ascii="Times New Roman" w:hAnsi="Times New Roman" w:cs="Times New Roman"/>
                <w:noProof/>
                <w:webHidden/>
                <w:sz w:val="28"/>
                <w:szCs w:val="28"/>
              </w:rPr>
              <w:fldChar w:fldCharType="end"/>
            </w:r>
          </w:hyperlink>
        </w:p>
        <w:p w:rsidR="00171048" w:rsidRPr="00127805" w:rsidRDefault="00A43CAF" w:rsidP="008F61AF">
          <w:pPr>
            <w:spacing w:line="360" w:lineRule="auto"/>
            <w:rPr>
              <w:rFonts w:ascii="Times New Roman" w:hAnsi="Times New Roman" w:cs="Times New Roman"/>
              <w:sz w:val="28"/>
              <w:szCs w:val="28"/>
            </w:rPr>
          </w:pPr>
          <w:r w:rsidRPr="00357994">
            <w:rPr>
              <w:rFonts w:ascii="Times New Roman" w:hAnsi="Times New Roman" w:cs="Times New Roman"/>
              <w:sz w:val="28"/>
              <w:szCs w:val="28"/>
            </w:rPr>
            <w:fldChar w:fldCharType="end"/>
          </w:r>
        </w:p>
      </w:sdtContent>
    </w:sdt>
    <w:p w:rsidR="00171048" w:rsidRDefault="00171048">
      <w:pPr>
        <w:rPr>
          <w:rFonts w:ascii="Times New Roman" w:hAnsi="Times New Roman"/>
          <w:b/>
          <w:sz w:val="36"/>
          <w:szCs w:val="36"/>
        </w:rPr>
      </w:pPr>
    </w:p>
    <w:p w:rsidR="00171048" w:rsidRDefault="00171048">
      <w:pPr>
        <w:rPr>
          <w:rFonts w:ascii="Times New Roman" w:hAnsi="Times New Roman"/>
          <w:b/>
          <w:sz w:val="36"/>
          <w:szCs w:val="36"/>
        </w:rPr>
      </w:pPr>
      <w:r>
        <w:rPr>
          <w:rFonts w:ascii="Times New Roman" w:hAnsi="Times New Roman"/>
          <w:b/>
          <w:sz w:val="36"/>
          <w:szCs w:val="36"/>
        </w:rPr>
        <w:br w:type="page"/>
      </w:r>
    </w:p>
    <w:p w:rsidR="00842259" w:rsidRPr="001E61C7" w:rsidRDefault="00842259" w:rsidP="00E548C3">
      <w:pPr>
        <w:pStyle w:val="1"/>
        <w:spacing w:before="360" w:after="360" w:line="360" w:lineRule="auto"/>
        <w:rPr>
          <w:rFonts w:ascii="Times New Roman" w:hAnsi="Times New Roman" w:cs="Times New Roman"/>
          <w:b w:val="0"/>
          <w:color w:val="auto"/>
          <w:sz w:val="36"/>
          <w:szCs w:val="36"/>
        </w:rPr>
      </w:pPr>
      <w:bookmarkStart w:id="0" w:name="_Toc357415381"/>
      <w:r w:rsidRPr="001E61C7">
        <w:rPr>
          <w:rFonts w:ascii="Times New Roman" w:hAnsi="Times New Roman" w:cs="Times New Roman"/>
          <w:color w:val="auto"/>
          <w:sz w:val="36"/>
          <w:szCs w:val="36"/>
        </w:rPr>
        <w:lastRenderedPageBreak/>
        <w:t>Введение</w:t>
      </w:r>
      <w:bookmarkEnd w:id="0"/>
    </w:p>
    <w:p w:rsidR="001C6149" w:rsidRDefault="00842259" w:rsidP="000A639E">
      <w:pPr>
        <w:spacing w:line="360" w:lineRule="auto"/>
        <w:jc w:val="both"/>
        <w:rPr>
          <w:rFonts w:ascii="Times New Roman" w:hAnsi="Times New Roman"/>
          <w:sz w:val="28"/>
          <w:szCs w:val="28"/>
        </w:rPr>
      </w:pPr>
      <w:r w:rsidRPr="00AD1A31">
        <w:rPr>
          <w:rFonts w:ascii="Times New Roman" w:hAnsi="Times New Roman"/>
          <w:sz w:val="28"/>
          <w:szCs w:val="28"/>
        </w:rPr>
        <w:t xml:space="preserve">В то время как основной задачей развивающихся стран постсоветского пространства является изменение структуры системы здравоохранения </w:t>
      </w:r>
      <w:r w:rsidR="00111198">
        <w:rPr>
          <w:rFonts w:ascii="Times New Roman" w:hAnsi="Times New Roman"/>
          <w:sz w:val="28"/>
          <w:szCs w:val="28"/>
        </w:rPr>
        <w:t>таким образом</w:t>
      </w:r>
      <w:r w:rsidRPr="00AD1A31">
        <w:rPr>
          <w:rFonts w:ascii="Times New Roman" w:hAnsi="Times New Roman"/>
          <w:sz w:val="28"/>
          <w:szCs w:val="28"/>
        </w:rPr>
        <w:t>, чтобы она имела возможность гибко реагировать на стимулы рыночной экономики, развитые страны также сталкиваются с серьезными нерешенными проблемами. В сферу здравоохранения развитых западных стран вложено большое количество ресурсов, но</w:t>
      </w:r>
      <w:r w:rsidR="00111198">
        <w:rPr>
          <w:rFonts w:ascii="Times New Roman" w:hAnsi="Times New Roman"/>
          <w:sz w:val="28"/>
          <w:szCs w:val="28"/>
        </w:rPr>
        <w:t>,</w:t>
      </w:r>
      <w:r w:rsidRPr="00AD1A31">
        <w:rPr>
          <w:rFonts w:ascii="Times New Roman" w:hAnsi="Times New Roman"/>
          <w:sz w:val="28"/>
          <w:szCs w:val="28"/>
        </w:rPr>
        <w:t xml:space="preserve"> несмотря на это, видимого насыщения системы не происходит. Статистика показывает растущую долю расходов на здравоохранение (в процентах </w:t>
      </w:r>
      <w:r w:rsidR="00184F5B">
        <w:rPr>
          <w:rFonts w:ascii="Times New Roman" w:hAnsi="Times New Roman"/>
          <w:sz w:val="28"/>
          <w:szCs w:val="28"/>
        </w:rPr>
        <w:t xml:space="preserve">к ВВП) в Европе, США и Канаде </w:t>
      </w:r>
      <w:r w:rsidR="00184F5B" w:rsidRPr="00184F5B">
        <w:rPr>
          <w:rFonts w:ascii="Times New Roman" w:hAnsi="Times New Roman"/>
          <w:sz w:val="28"/>
          <w:szCs w:val="28"/>
        </w:rPr>
        <w:t>[</w:t>
      </w:r>
      <w:r w:rsidR="000E1641">
        <w:rPr>
          <w:rFonts w:ascii="Times New Roman" w:hAnsi="Times New Roman"/>
          <w:sz w:val="28"/>
          <w:szCs w:val="28"/>
        </w:rPr>
        <w:t>23</w:t>
      </w:r>
      <w:r w:rsidR="00184F5B" w:rsidRPr="00184F5B">
        <w:rPr>
          <w:rFonts w:ascii="Times New Roman" w:hAnsi="Times New Roman"/>
          <w:sz w:val="28"/>
          <w:szCs w:val="28"/>
        </w:rPr>
        <w:t>]</w:t>
      </w:r>
      <w:r w:rsidRPr="00AD1A31">
        <w:rPr>
          <w:rFonts w:ascii="Times New Roman" w:hAnsi="Times New Roman"/>
          <w:sz w:val="28"/>
          <w:szCs w:val="28"/>
        </w:rPr>
        <w:t xml:space="preserve">. </w:t>
      </w:r>
      <w:r w:rsidR="001C6149">
        <w:rPr>
          <w:rFonts w:ascii="Times New Roman" w:hAnsi="Times New Roman"/>
          <w:sz w:val="28"/>
          <w:szCs w:val="28"/>
        </w:rPr>
        <w:t>Благодаря улучшению</w:t>
      </w:r>
      <w:r w:rsidRPr="00AD1A31">
        <w:rPr>
          <w:rFonts w:ascii="Times New Roman" w:hAnsi="Times New Roman"/>
          <w:sz w:val="28"/>
          <w:szCs w:val="28"/>
        </w:rPr>
        <w:t xml:space="preserve"> выявления заболеваний, </w:t>
      </w:r>
      <w:r w:rsidR="001C6149">
        <w:rPr>
          <w:rFonts w:ascii="Times New Roman" w:hAnsi="Times New Roman"/>
          <w:sz w:val="28"/>
          <w:szCs w:val="28"/>
        </w:rPr>
        <w:t>что стало возможным</w:t>
      </w:r>
      <w:r w:rsidRPr="00AD1A31">
        <w:rPr>
          <w:rFonts w:ascii="Times New Roman" w:hAnsi="Times New Roman"/>
          <w:sz w:val="28"/>
          <w:szCs w:val="28"/>
        </w:rPr>
        <w:t xml:space="preserve"> </w:t>
      </w:r>
      <w:r w:rsidR="001C6149">
        <w:rPr>
          <w:rFonts w:ascii="Times New Roman" w:hAnsi="Times New Roman"/>
          <w:sz w:val="28"/>
          <w:szCs w:val="28"/>
        </w:rPr>
        <w:t>из-за создания более точного</w:t>
      </w:r>
      <w:r w:rsidRPr="00AD1A31">
        <w:rPr>
          <w:rFonts w:ascii="Times New Roman" w:hAnsi="Times New Roman"/>
          <w:sz w:val="28"/>
          <w:szCs w:val="28"/>
        </w:rPr>
        <w:t xml:space="preserve"> медицинск</w:t>
      </w:r>
      <w:r w:rsidR="001C6149">
        <w:rPr>
          <w:rFonts w:ascii="Times New Roman" w:hAnsi="Times New Roman"/>
          <w:sz w:val="28"/>
          <w:szCs w:val="28"/>
        </w:rPr>
        <w:t>ого диагностического</w:t>
      </w:r>
      <w:r w:rsidRPr="00AD1A31">
        <w:rPr>
          <w:rFonts w:ascii="Times New Roman" w:hAnsi="Times New Roman"/>
          <w:sz w:val="28"/>
          <w:szCs w:val="28"/>
        </w:rPr>
        <w:t xml:space="preserve"> инструментари</w:t>
      </w:r>
      <w:r w:rsidR="001C6149">
        <w:rPr>
          <w:rFonts w:ascii="Times New Roman" w:hAnsi="Times New Roman"/>
          <w:sz w:val="28"/>
          <w:szCs w:val="28"/>
        </w:rPr>
        <w:t>я</w:t>
      </w:r>
      <w:r w:rsidRPr="00AD1A31">
        <w:rPr>
          <w:rFonts w:ascii="Times New Roman" w:hAnsi="Times New Roman"/>
          <w:sz w:val="28"/>
          <w:szCs w:val="28"/>
        </w:rPr>
        <w:t xml:space="preserve">, и соответственно, количественным ростом случаев лечения и расходов на них, вновь встает вопрос о структурной эффективности существующих в развитых странах систем управления здравоохранением, о верности и адекватности стимулов, которые она создает для всех участников процесса оказания медицинских услуг. </w:t>
      </w:r>
    </w:p>
    <w:p w:rsidR="001C6149" w:rsidRDefault="00842259" w:rsidP="000A639E">
      <w:pPr>
        <w:spacing w:line="360" w:lineRule="auto"/>
        <w:ind w:firstLine="624"/>
        <w:jc w:val="both"/>
        <w:rPr>
          <w:rFonts w:ascii="Times New Roman" w:hAnsi="Times New Roman"/>
          <w:sz w:val="28"/>
          <w:szCs w:val="28"/>
        </w:rPr>
      </w:pPr>
      <w:r w:rsidRPr="00AD1A31">
        <w:rPr>
          <w:rFonts w:ascii="Times New Roman" w:hAnsi="Times New Roman"/>
          <w:sz w:val="28"/>
          <w:szCs w:val="28"/>
        </w:rPr>
        <w:t>Традиционные модели оплаты медицинской помощи</w:t>
      </w:r>
      <w:r w:rsidR="00F8385E">
        <w:rPr>
          <w:rFonts w:ascii="Times New Roman" w:hAnsi="Times New Roman"/>
          <w:sz w:val="28"/>
          <w:szCs w:val="28"/>
        </w:rPr>
        <w:t xml:space="preserve"> (глобальный бюджет, оплата отдельных услуг)</w:t>
      </w:r>
      <w:r w:rsidRPr="00AD1A31">
        <w:rPr>
          <w:rFonts w:ascii="Times New Roman" w:hAnsi="Times New Roman"/>
          <w:sz w:val="28"/>
          <w:szCs w:val="28"/>
        </w:rPr>
        <w:t xml:space="preserve"> часто признаются устаревшими, не отвечающими современным потребностям общества. В поисках новых, адекватных стимулов для участников рынка оказания медицинских услуг многие развитые страны экспериментируют с механизмами финансирования, поскольку инструмент материального стимулирования, наряду с прочими достоинствами, обладает большо</w:t>
      </w:r>
      <w:r w:rsidR="001C6149">
        <w:rPr>
          <w:rFonts w:ascii="Times New Roman" w:hAnsi="Times New Roman"/>
          <w:sz w:val="28"/>
          <w:szCs w:val="28"/>
        </w:rPr>
        <w:t>й</w:t>
      </w:r>
      <w:r w:rsidRPr="00AD1A31">
        <w:rPr>
          <w:rFonts w:ascii="Times New Roman" w:hAnsi="Times New Roman"/>
          <w:sz w:val="28"/>
          <w:szCs w:val="28"/>
        </w:rPr>
        <w:t xml:space="preserve"> гибкостью и быстротой реагирования на изменения, что позволяет в короткие сроки проверять новые схемы в пилотных проектах и при удачном исходе внедрять их в регулярную практику. Основными ориентирами при этом являются повышение качества получаемой населением медицинской </w:t>
      </w:r>
      <w:r w:rsidRPr="00AD1A31">
        <w:rPr>
          <w:rFonts w:ascii="Times New Roman" w:hAnsi="Times New Roman"/>
          <w:sz w:val="28"/>
          <w:szCs w:val="28"/>
        </w:rPr>
        <w:lastRenderedPageBreak/>
        <w:t xml:space="preserve">помощи, охват приоритетных услуг и сокращение затрат (за счет повышения эффективности работы системы, а не за счет сокращения количества вылеченных больных). </w:t>
      </w:r>
    </w:p>
    <w:p w:rsidR="00111198" w:rsidRDefault="00842259" w:rsidP="000A639E">
      <w:pPr>
        <w:spacing w:line="360" w:lineRule="auto"/>
        <w:ind w:firstLine="624"/>
        <w:jc w:val="both"/>
        <w:rPr>
          <w:rFonts w:ascii="Times New Roman" w:hAnsi="Times New Roman"/>
          <w:sz w:val="28"/>
          <w:szCs w:val="28"/>
        </w:rPr>
      </w:pPr>
      <w:r w:rsidRPr="00AD1A31">
        <w:rPr>
          <w:rFonts w:ascii="Times New Roman" w:hAnsi="Times New Roman"/>
          <w:sz w:val="28"/>
          <w:szCs w:val="28"/>
        </w:rPr>
        <w:t xml:space="preserve">Таким образом, основной задачей развитых стран можно назвать достижение большей отдачи от вложенных в сферу здравоохранения ресурсов. Этот процесс имеет, во многом, качественную направленность, тогда как задачи развивающихся стран имеют часто количественные ориентиры (увеличение доли населения, которая имеет доступ к медицинской помощи, сокращение смертности от эпидемий и т.п.). </w:t>
      </w:r>
      <w:r w:rsidR="001C6149">
        <w:rPr>
          <w:rFonts w:ascii="Times New Roman" w:hAnsi="Times New Roman"/>
          <w:sz w:val="28"/>
          <w:szCs w:val="28"/>
        </w:rPr>
        <w:t>Смена</w:t>
      </w:r>
      <w:r w:rsidRPr="00AD1A31">
        <w:rPr>
          <w:rFonts w:ascii="Times New Roman" w:hAnsi="Times New Roman"/>
          <w:sz w:val="28"/>
          <w:szCs w:val="28"/>
        </w:rPr>
        <w:t xml:space="preserve"> приоритета количества на приоритет качества является естественным результатом завершения </w:t>
      </w:r>
      <w:r w:rsidR="001C6149" w:rsidRPr="00AD1A31">
        <w:rPr>
          <w:rFonts w:ascii="Times New Roman" w:hAnsi="Times New Roman"/>
          <w:sz w:val="28"/>
          <w:szCs w:val="28"/>
        </w:rPr>
        <w:t>некоторого</w:t>
      </w:r>
      <w:r w:rsidRPr="00AD1A31">
        <w:rPr>
          <w:rFonts w:ascii="Times New Roman" w:hAnsi="Times New Roman"/>
          <w:sz w:val="28"/>
          <w:szCs w:val="28"/>
        </w:rPr>
        <w:t xml:space="preserve"> этапа развития страны – первичное насыщение рынка, создание необходимой </w:t>
      </w:r>
      <w:r w:rsidR="001C6149" w:rsidRPr="00AD1A31">
        <w:rPr>
          <w:rFonts w:ascii="Times New Roman" w:hAnsi="Times New Roman"/>
          <w:sz w:val="28"/>
          <w:szCs w:val="28"/>
        </w:rPr>
        <w:t>инфраструктуры</w:t>
      </w:r>
      <w:r w:rsidRPr="00AD1A31">
        <w:rPr>
          <w:rFonts w:ascii="Times New Roman" w:hAnsi="Times New Roman"/>
          <w:sz w:val="28"/>
          <w:szCs w:val="28"/>
        </w:rPr>
        <w:t xml:space="preserve">, установление </w:t>
      </w:r>
      <w:r w:rsidR="001C6149" w:rsidRPr="00AD1A31">
        <w:rPr>
          <w:rFonts w:ascii="Times New Roman" w:hAnsi="Times New Roman"/>
          <w:sz w:val="28"/>
          <w:szCs w:val="28"/>
        </w:rPr>
        <w:t>определенных</w:t>
      </w:r>
      <w:r w:rsidRPr="00AD1A31">
        <w:rPr>
          <w:rFonts w:ascii="Times New Roman" w:hAnsi="Times New Roman"/>
          <w:sz w:val="28"/>
          <w:szCs w:val="28"/>
        </w:rPr>
        <w:t xml:space="preserve"> стабильных связей между участниками отношений. На качественном этапе требуются более тонкие инструменты влияния, таким образом, чтобы новая политика не ухудшала текущее состояние сферы здравоохранения (по крайней мере, в среднесрочной перспективе). </w:t>
      </w:r>
    </w:p>
    <w:p w:rsidR="005716C0" w:rsidRDefault="00842259" w:rsidP="000A639E">
      <w:pPr>
        <w:spacing w:line="360" w:lineRule="auto"/>
        <w:ind w:firstLine="624"/>
        <w:jc w:val="both"/>
        <w:rPr>
          <w:rFonts w:ascii="Times New Roman" w:hAnsi="Times New Roman"/>
          <w:sz w:val="28"/>
          <w:szCs w:val="28"/>
        </w:rPr>
      </w:pPr>
      <w:r w:rsidRPr="00AD1A31">
        <w:rPr>
          <w:rFonts w:ascii="Times New Roman" w:hAnsi="Times New Roman"/>
          <w:sz w:val="28"/>
          <w:szCs w:val="28"/>
        </w:rPr>
        <w:t xml:space="preserve">Несмотря на различия, связанные с особенностями исторического развития, социального устройства и др., развивающиеся страны (в том числе Россия) непременно должны учитывать опыт развитых стран, </w:t>
      </w:r>
      <w:r w:rsidR="001C6149">
        <w:rPr>
          <w:rFonts w:ascii="Times New Roman" w:hAnsi="Times New Roman"/>
          <w:sz w:val="28"/>
          <w:szCs w:val="28"/>
        </w:rPr>
        <w:t>поскольку</w:t>
      </w:r>
      <w:r w:rsidRPr="00AD1A31">
        <w:rPr>
          <w:rFonts w:ascii="Times New Roman" w:hAnsi="Times New Roman"/>
          <w:sz w:val="28"/>
          <w:szCs w:val="28"/>
        </w:rPr>
        <w:t xml:space="preserve"> многие закономерности развития повторяются и их невозможно избежать даже в отличных от изначальных условиях. Изучение опыта стран, прошедших </w:t>
      </w:r>
      <w:r w:rsidR="001C6149" w:rsidRPr="00AD1A31">
        <w:rPr>
          <w:rFonts w:ascii="Times New Roman" w:hAnsi="Times New Roman"/>
          <w:sz w:val="28"/>
          <w:szCs w:val="28"/>
        </w:rPr>
        <w:t>некоторые</w:t>
      </w:r>
      <w:r w:rsidRPr="00AD1A31">
        <w:rPr>
          <w:rFonts w:ascii="Times New Roman" w:hAnsi="Times New Roman"/>
          <w:sz w:val="28"/>
          <w:szCs w:val="28"/>
        </w:rPr>
        <w:t xml:space="preserve"> этапы развития раньше, позволяют не только избежать значительных ошибок, но и сэкономить на исследованиях и апробациях новых подходов.</w:t>
      </w:r>
      <w:r w:rsidR="005716C0">
        <w:rPr>
          <w:rFonts w:ascii="Times New Roman" w:hAnsi="Times New Roman"/>
          <w:sz w:val="28"/>
          <w:szCs w:val="28"/>
        </w:rPr>
        <w:t xml:space="preserve"> </w:t>
      </w:r>
    </w:p>
    <w:p w:rsidR="00720F50" w:rsidRDefault="00720F50" w:rsidP="000A639E">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В конце 1990-х годов в России была введена Программа государственных гарантий оказания гражданам Российской Федерации бесплатной медицинской помощи (ПГГ). Ежегодно более 85% финансовых средств, выделяемых государством на систему здравоохранения, используются на обеспечение ПГГ </w:t>
      </w:r>
      <w:r w:rsidR="009E3870">
        <w:rPr>
          <w:rFonts w:ascii="Times New Roman" w:hAnsi="Times New Roman" w:cs="Times New Roman"/>
          <w:sz w:val="28"/>
          <w:szCs w:val="28"/>
        </w:rPr>
        <w:t>[3</w:t>
      </w:r>
      <w:r w:rsidRPr="003838A8">
        <w:rPr>
          <w:rFonts w:ascii="Times New Roman" w:hAnsi="Times New Roman" w:cs="Times New Roman"/>
          <w:sz w:val="28"/>
          <w:szCs w:val="28"/>
        </w:rPr>
        <w:t>]</w:t>
      </w:r>
      <w:r>
        <w:rPr>
          <w:rFonts w:ascii="Times New Roman" w:hAnsi="Times New Roman" w:cs="Times New Roman"/>
          <w:sz w:val="28"/>
          <w:szCs w:val="28"/>
        </w:rPr>
        <w:t xml:space="preserve">. Законодательство Российской </w:t>
      </w:r>
      <w:r>
        <w:rPr>
          <w:rFonts w:ascii="Times New Roman" w:hAnsi="Times New Roman" w:cs="Times New Roman"/>
          <w:sz w:val="28"/>
          <w:szCs w:val="28"/>
        </w:rPr>
        <w:lastRenderedPageBreak/>
        <w:t xml:space="preserve">Федерации </w:t>
      </w:r>
      <w:r w:rsidR="009E3870">
        <w:rPr>
          <w:rFonts w:ascii="Times New Roman" w:hAnsi="Times New Roman" w:cs="Times New Roman"/>
          <w:sz w:val="28"/>
          <w:szCs w:val="28"/>
        </w:rPr>
        <w:t>[10</w:t>
      </w:r>
      <w:r w:rsidRPr="003838A8">
        <w:rPr>
          <w:rFonts w:ascii="Times New Roman" w:hAnsi="Times New Roman" w:cs="Times New Roman"/>
          <w:sz w:val="28"/>
          <w:szCs w:val="28"/>
        </w:rPr>
        <w:t>]</w:t>
      </w:r>
      <w:r>
        <w:rPr>
          <w:rFonts w:ascii="Times New Roman" w:hAnsi="Times New Roman" w:cs="Times New Roman"/>
          <w:sz w:val="28"/>
          <w:szCs w:val="28"/>
        </w:rPr>
        <w:t xml:space="preserve"> предусматривает двухканальную систему финансирования здравоохранения – через систему обязательного медицинского страхования и напрямую из государственного бюджета. В последние годы политика в сфере здравоохранения имеет тенденцию к централизации и приведению структуры финансирования к одноканальному типу (через ОМС) </w:t>
      </w:r>
      <w:r w:rsidR="009E3870">
        <w:rPr>
          <w:rFonts w:ascii="Times New Roman" w:hAnsi="Times New Roman" w:cs="Times New Roman"/>
          <w:sz w:val="28"/>
          <w:szCs w:val="28"/>
        </w:rPr>
        <w:t>[4</w:t>
      </w:r>
      <w:r w:rsidRPr="00720F50">
        <w:rPr>
          <w:rFonts w:ascii="Times New Roman" w:hAnsi="Times New Roman" w:cs="Times New Roman"/>
          <w:sz w:val="28"/>
          <w:szCs w:val="28"/>
        </w:rPr>
        <w:t>]</w:t>
      </w:r>
      <w:r>
        <w:rPr>
          <w:rFonts w:ascii="Times New Roman" w:hAnsi="Times New Roman" w:cs="Times New Roman"/>
          <w:sz w:val="28"/>
          <w:szCs w:val="28"/>
        </w:rPr>
        <w:t xml:space="preserve">. Таким образом, учитывая объемы средств, проходящие через систему обязательного медицинского страхования и тенденцию к увеличению их доли </w:t>
      </w:r>
      <w:r w:rsidR="00111198">
        <w:rPr>
          <w:rFonts w:ascii="Times New Roman" w:hAnsi="Times New Roman" w:cs="Times New Roman"/>
          <w:sz w:val="28"/>
          <w:szCs w:val="28"/>
        </w:rPr>
        <w:t>в общей сумме расходов</w:t>
      </w:r>
      <w:r>
        <w:rPr>
          <w:rFonts w:ascii="Times New Roman" w:hAnsi="Times New Roman" w:cs="Times New Roman"/>
          <w:sz w:val="28"/>
          <w:szCs w:val="28"/>
        </w:rPr>
        <w:t xml:space="preserve"> на здравоохранение, необходимо заранее подготовить механизмы наиболее оптимального управления данными ресурсами. В этой связи необходимым является изучение возможности применения инновационных методов оплаты медицинской</w:t>
      </w:r>
      <w:r w:rsidR="00111198">
        <w:rPr>
          <w:rFonts w:ascii="Times New Roman" w:hAnsi="Times New Roman" w:cs="Times New Roman"/>
          <w:sz w:val="28"/>
          <w:szCs w:val="28"/>
        </w:rPr>
        <w:t xml:space="preserve"> помощи, в частности, стационарной</w:t>
      </w:r>
      <w:r>
        <w:rPr>
          <w:rFonts w:ascii="Times New Roman" w:hAnsi="Times New Roman" w:cs="Times New Roman"/>
          <w:sz w:val="28"/>
          <w:szCs w:val="28"/>
        </w:rPr>
        <w:t xml:space="preserve">. </w:t>
      </w:r>
    </w:p>
    <w:p w:rsidR="005716C0" w:rsidRPr="005716C0" w:rsidRDefault="005716C0" w:rsidP="000A639E">
      <w:pPr>
        <w:spacing w:line="360" w:lineRule="auto"/>
        <w:ind w:firstLine="624"/>
        <w:jc w:val="both"/>
        <w:rPr>
          <w:rFonts w:ascii="Times New Roman" w:hAnsi="Times New Roman" w:cs="Times New Roman"/>
          <w:sz w:val="28"/>
          <w:szCs w:val="28"/>
        </w:rPr>
      </w:pPr>
      <w:r>
        <w:rPr>
          <w:rFonts w:ascii="Times New Roman" w:hAnsi="Times New Roman"/>
          <w:sz w:val="28"/>
          <w:szCs w:val="28"/>
        </w:rPr>
        <w:t xml:space="preserve">В настоящее время наиболее распространенными </w:t>
      </w:r>
      <w:r w:rsidR="00752311">
        <w:rPr>
          <w:rFonts w:ascii="Times New Roman" w:hAnsi="Times New Roman"/>
          <w:sz w:val="28"/>
          <w:szCs w:val="28"/>
        </w:rPr>
        <w:t xml:space="preserve">инновационными </w:t>
      </w:r>
      <w:r>
        <w:rPr>
          <w:rFonts w:ascii="Times New Roman" w:hAnsi="Times New Roman"/>
          <w:sz w:val="28"/>
          <w:szCs w:val="28"/>
        </w:rPr>
        <w:t>подходами к оплате медицинской помощи являются оплата по результатам деятельности медицинской организации (тем или иным образом предусматривающая достижение заранее оговоренных результатов) и оплата на основе клинико-статистических групп заболеваний.</w:t>
      </w:r>
      <w:r w:rsidR="00752311">
        <w:rPr>
          <w:rFonts w:ascii="Times New Roman" w:hAnsi="Times New Roman"/>
          <w:sz w:val="28"/>
          <w:szCs w:val="28"/>
        </w:rPr>
        <w:t xml:space="preserve"> П</w:t>
      </w:r>
      <w:r>
        <w:rPr>
          <w:rFonts w:ascii="Times New Roman" w:hAnsi="Times New Roman" w:cs="Times New Roman"/>
          <w:sz w:val="28"/>
          <w:szCs w:val="28"/>
        </w:rPr>
        <w:t xml:space="preserve">о мнению экспертов </w:t>
      </w:r>
      <w:r w:rsidR="006C3012">
        <w:rPr>
          <w:rFonts w:ascii="Times New Roman" w:hAnsi="Times New Roman" w:cs="Times New Roman"/>
          <w:sz w:val="28"/>
          <w:szCs w:val="28"/>
        </w:rPr>
        <w:t>[3</w:t>
      </w:r>
      <w:r w:rsidRPr="00C934A3">
        <w:rPr>
          <w:rFonts w:ascii="Times New Roman" w:hAnsi="Times New Roman" w:cs="Times New Roman"/>
          <w:sz w:val="28"/>
          <w:szCs w:val="28"/>
        </w:rPr>
        <w:t>]</w:t>
      </w:r>
      <w:r>
        <w:rPr>
          <w:rFonts w:ascii="Times New Roman" w:hAnsi="Times New Roman" w:cs="Times New Roman"/>
          <w:sz w:val="28"/>
          <w:szCs w:val="28"/>
        </w:rPr>
        <w:t xml:space="preserve">, </w:t>
      </w:r>
      <w:r w:rsidR="009C4C2F">
        <w:rPr>
          <w:rFonts w:ascii="Times New Roman" w:hAnsi="Times New Roman" w:cs="Times New Roman"/>
          <w:sz w:val="28"/>
          <w:szCs w:val="28"/>
        </w:rPr>
        <w:t>«</w:t>
      </w:r>
      <w:r>
        <w:rPr>
          <w:rFonts w:ascii="Times New Roman" w:hAnsi="Times New Roman" w:cs="Times New Roman"/>
          <w:sz w:val="28"/>
          <w:szCs w:val="28"/>
        </w:rPr>
        <w:t>страховые принципы финансового обеспечения медицинской помощи позволяют наиболее успешно внедрять способы ее оплаты, ориентированные на результаты деятельно</w:t>
      </w:r>
      <w:r w:rsidR="00752311">
        <w:rPr>
          <w:rFonts w:ascii="Times New Roman" w:hAnsi="Times New Roman" w:cs="Times New Roman"/>
          <w:sz w:val="28"/>
          <w:szCs w:val="28"/>
        </w:rPr>
        <w:t>сти учреждений здравоохранения</w:t>
      </w:r>
      <w:r w:rsidR="009C4C2F">
        <w:rPr>
          <w:rFonts w:ascii="Times New Roman" w:hAnsi="Times New Roman" w:cs="Times New Roman"/>
          <w:sz w:val="28"/>
          <w:szCs w:val="28"/>
        </w:rPr>
        <w:t>»</w:t>
      </w:r>
      <w:r w:rsidR="00752311">
        <w:rPr>
          <w:rFonts w:ascii="Times New Roman" w:hAnsi="Times New Roman" w:cs="Times New Roman"/>
          <w:sz w:val="28"/>
          <w:szCs w:val="28"/>
        </w:rPr>
        <w:t xml:space="preserve">, что дополнительно указывает на необходимость исследования способов оплаты медицинской помощи через систему обязательного медицинского страхования. </w:t>
      </w:r>
    </w:p>
    <w:p w:rsidR="00782052" w:rsidRPr="00782052" w:rsidRDefault="00782052" w:rsidP="000A639E">
      <w:pPr>
        <w:spacing w:line="360" w:lineRule="auto"/>
        <w:ind w:firstLine="624"/>
        <w:jc w:val="both"/>
        <w:rPr>
          <w:rFonts w:ascii="Times New Roman" w:hAnsi="Times New Roman"/>
          <w:sz w:val="28"/>
          <w:szCs w:val="28"/>
        </w:rPr>
      </w:pPr>
      <w:r>
        <w:rPr>
          <w:rFonts w:ascii="Times New Roman" w:hAnsi="Times New Roman"/>
          <w:sz w:val="28"/>
          <w:szCs w:val="28"/>
        </w:rPr>
        <w:t xml:space="preserve">При сметном финансировании, которое за малым исключением применялось для оплаты оказанным медицинских услуг в Советском Союзе </w:t>
      </w:r>
      <w:r w:rsidR="006C3012">
        <w:rPr>
          <w:rFonts w:ascii="Times New Roman" w:hAnsi="Times New Roman"/>
          <w:sz w:val="28"/>
          <w:szCs w:val="28"/>
        </w:rPr>
        <w:t>[1</w:t>
      </w:r>
      <w:r w:rsidRPr="00DB26DE">
        <w:rPr>
          <w:rFonts w:ascii="Times New Roman" w:hAnsi="Times New Roman"/>
          <w:sz w:val="28"/>
          <w:szCs w:val="28"/>
        </w:rPr>
        <w:t>]</w:t>
      </w:r>
      <w:r>
        <w:rPr>
          <w:rFonts w:ascii="Times New Roman" w:hAnsi="Times New Roman"/>
          <w:sz w:val="28"/>
          <w:szCs w:val="28"/>
        </w:rPr>
        <w:t xml:space="preserve">, соглашение о </w:t>
      </w:r>
      <w:r w:rsidR="005716C0">
        <w:rPr>
          <w:rFonts w:ascii="Times New Roman" w:hAnsi="Times New Roman"/>
          <w:sz w:val="28"/>
          <w:szCs w:val="28"/>
        </w:rPr>
        <w:t>закупке медицинской помощи носило</w:t>
      </w:r>
      <w:r>
        <w:rPr>
          <w:rFonts w:ascii="Times New Roman" w:hAnsi="Times New Roman"/>
          <w:sz w:val="28"/>
          <w:szCs w:val="28"/>
        </w:rPr>
        <w:t xml:space="preserve"> пассивный характер: список услуг и цены на них определяет поставщик услуг (ЛПУ). В другом крайнем случае</w:t>
      </w:r>
      <w:r w:rsidR="00111198">
        <w:rPr>
          <w:rFonts w:ascii="Times New Roman" w:hAnsi="Times New Roman"/>
          <w:sz w:val="28"/>
          <w:szCs w:val="28"/>
        </w:rPr>
        <w:t xml:space="preserve"> (ситуация США середины прошлого века)</w:t>
      </w:r>
      <w:r>
        <w:rPr>
          <w:rFonts w:ascii="Times New Roman" w:hAnsi="Times New Roman"/>
          <w:sz w:val="28"/>
          <w:szCs w:val="28"/>
        </w:rPr>
        <w:t xml:space="preserve"> – при сильном давлении рынка и большом влиянии страховых компаний – </w:t>
      </w:r>
      <w:r>
        <w:rPr>
          <w:rFonts w:ascii="Times New Roman" w:hAnsi="Times New Roman"/>
          <w:sz w:val="28"/>
          <w:szCs w:val="28"/>
        </w:rPr>
        <w:lastRenderedPageBreak/>
        <w:t xml:space="preserve">услуги и цены определяются покупателем (активные закупки). Промежуточное положение занимают так называемые стратегические соглашения о закупках. Это ситуация, когда заранее определено, какие услуги, как и в каком количестве будут оказаны, а цены на них предсказуемы. Стратегические соглашения о закупках кажутся наиболее стабильными и предсказуемыми, они (как будет показано </w:t>
      </w:r>
      <w:r w:rsidR="00D61E35">
        <w:rPr>
          <w:rFonts w:ascii="Times New Roman" w:hAnsi="Times New Roman"/>
          <w:sz w:val="28"/>
          <w:szCs w:val="28"/>
        </w:rPr>
        <w:t>в работе</w:t>
      </w:r>
      <w:r>
        <w:rPr>
          <w:rFonts w:ascii="Times New Roman" w:hAnsi="Times New Roman"/>
          <w:sz w:val="28"/>
          <w:szCs w:val="28"/>
        </w:rPr>
        <w:t>) создают довольно эффективные стимулы за счет того, что ни одна сторона отношений не подавляется, интересы участников учитываются, а условия контрактов могут быть пересмотрены (в том числе условия долгосрочных контрактов на макро-уровне, которыми</w:t>
      </w:r>
      <w:r w:rsidRPr="00D24AE3">
        <w:rPr>
          <w:rFonts w:ascii="Times New Roman" w:hAnsi="Times New Roman"/>
          <w:sz w:val="28"/>
          <w:szCs w:val="28"/>
        </w:rPr>
        <w:t xml:space="preserve"> </w:t>
      </w:r>
      <w:r>
        <w:rPr>
          <w:rFonts w:ascii="Times New Roman" w:hAnsi="Times New Roman"/>
          <w:sz w:val="28"/>
          <w:szCs w:val="28"/>
        </w:rPr>
        <w:t xml:space="preserve">по сути являются законы и другие регламентирующие деятельность системы здравоохранения документы – например, договоренности некоммерческих объединений, профсоюзов и т.п.). </w:t>
      </w:r>
      <w:r w:rsidR="00D61E35">
        <w:rPr>
          <w:rFonts w:ascii="Times New Roman" w:hAnsi="Times New Roman"/>
          <w:sz w:val="28"/>
          <w:szCs w:val="28"/>
        </w:rPr>
        <w:t xml:space="preserve">Наиболее популярный в развитых странах метод оплаты стационарной медицинской помощи – оплата по клинико-статистическим группам заболеваний – способствует возникновению более сбалансированных стимулов у всех участников отношений и, таким образом, заключению стратегических соглашений между ними. </w:t>
      </w:r>
    </w:p>
    <w:p w:rsidR="00C63573" w:rsidRDefault="00752311" w:rsidP="000A639E">
      <w:pPr>
        <w:spacing w:line="360" w:lineRule="auto"/>
        <w:ind w:firstLine="624"/>
        <w:jc w:val="both"/>
        <w:rPr>
          <w:rFonts w:ascii="Times New Roman" w:hAnsi="Times New Roman"/>
          <w:sz w:val="28"/>
          <w:szCs w:val="28"/>
        </w:rPr>
      </w:pPr>
      <w:r>
        <w:rPr>
          <w:rFonts w:ascii="Times New Roman" w:hAnsi="Times New Roman"/>
          <w:sz w:val="28"/>
          <w:szCs w:val="28"/>
        </w:rPr>
        <w:t>В европейских государствах</w:t>
      </w:r>
      <w:r w:rsidR="000B4693">
        <w:rPr>
          <w:rFonts w:ascii="Times New Roman" w:hAnsi="Times New Roman"/>
          <w:sz w:val="28"/>
          <w:szCs w:val="28"/>
        </w:rPr>
        <w:t>, как и в России,</w:t>
      </w:r>
      <w:r>
        <w:rPr>
          <w:rFonts w:ascii="Times New Roman" w:hAnsi="Times New Roman"/>
          <w:sz w:val="28"/>
          <w:szCs w:val="28"/>
        </w:rPr>
        <w:t xml:space="preserve"> расходы на стационар являются крупнейшей расходной статьей </w:t>
      </w:r>
      <w:r w:rsidR="000B4693">
        <w:rPr>
          <w:rFonts w:ascii="Times New Roman" w:hAnsi="Times New Roman"/>
          <w:sz w:val="28"/>
          <w:szCs w:val="28"/>
        </w:rPr>
        <w:t>бюджета системы здравоохранения</w:t>
      </w:r>
      <w:r w:rsidR="007141FC">
        <w:rPr>
          <w:rFonts w:ascii="Times New Roman" w:hAnsi="Times New Roman"/>
          <w:sz w:val="28"/>
          <w:szCs w:val="28"/>
        </w:rPr>
        <w:t xml:space="preserve">. </w:t>
      </w:r>
      <w:r w:rsidR="00782052">
        <w:rPr>
          <w:rFonts w:ascii="Times New Roman" w:hAnsi="Times New Roman"/>
          <w:sz w:val="28"/>
          <w:szCs w:val="28"/>
        </w:rPr>
        <w:t>Отмечается</w:t>
      </w:r>
      <w:r w:rsidR="006C3012">
        <w:rPr>
          <w:rFonts w:ascii="Times New Roman" w:hAnsi="Times New Roman"/>
          <w:sz w:val="28"/>
          <w:szCs w:val="28"/>
        </w:rPr>
        <w:t xml:space="preserve"> </w:t>
      </w:r>
      <w:r w:rsidR="006C3012" w:rsidRPr="006C3012">
        <w:rPr>
          <w:rFonts w:ascii="Times New Roman" w:hAnsi="Times New Roman"/>
          <w:sz w:val="28"/>
          <w:szCs w:val="28"/>
        </w:rPr>
        <w:t>[</w:t>
      </w:r>
      <w:r w:rsidR="000E1641">
        <w:rPr>
          <w:rFonts w:ascii="Times New Roman" w:hAnsi="Times New Roman"/>
          <w:sz w:val="28"/>
          <w:szCs w:val="28"/>
        </w:rPr>
        <w:t>22</w:t>
      </w:r>
      <w:r w:rsidR="00C63573" w:rsidRPr="00C32080">
        <w:rPr>
          <w:rFonts w:ascii="Times New Roman" w:hAnsi="Times New Roman"/>
          <w:sz w:val="28"/>
          <w:szCs w:val="28"/>
        </w:rPr>
        <w:t>]</w:t>
      </w:r>
      <w:r w:rsidR="00C63573">
        <w:rPr>
          <w:rFonts w:ascii="Times New Roman" w:hAnsi="Times New Roman"/>
          <w:sz w:val="28"/>
          <w:szCs w:val="28"/>
        </w:rPr>
        <w:t>, что на протяжении долгого времени стационар рассматривал</w:t>
      </w:r>
      <w:r w:rsidR="000157DD">
        <w:rPr>
          <w:rFonts w:ascii="Times New Roman" w:hAnsi="Times New Roman"/>
          <w:sz w:val="28"/>
          <w:szCs w:val="28"/>
        </w:rPr>
        <w:t>ся лишь</w:t>
      </w:r>
      <w:r w:rsidR="00C63573">
        <w:rPr>
          <w:rFonts w:ascii="Times New Roman" w:hAnsi="Times New Roman"/>
          <w:sz w:val="28"/>
          <w:szCs w:val="28"/>
        </w:rPr>
        <w:t xml:space="preserve"> как место, предоставляющее </w:t>
      </w:r>
      <w:r w:rsidR="009C4C2F">
        <w:rPr>
          <w:rFonts w:ascii="Times New Roman" w:hAnsi="Times New Roman"/>
          <w:sz w:val="28"/>
          <w:szCs w:val="28"/>
        </w:rPr>
        <w:t>«</w:t>
      </w:r>
      <w:r w:rsidR="00C63573">
        <w:rPr>
          <w:rFonts w:ascii="Times New Roman" w:hAnsi="Times New Roman"/>
          <w:sz w:val="28"/>
          <w:szCs w:val="28"/>
        </w:rPr>
        <w:t>постель, питание и постоянные уход и помощь со стороны младшего медицинского персонала, в то время как пациент проходит медицинскую терапию под наблюдением профессиональных врачей. Оказывая эти услуги, больница стремится восстановить здоровье пациента</w:t>
      </w:r>
      <w:r w:rsidR="009C4C2F">
        <w:rPr>
          <w:rFonts w:ascii="Times New Roman" w:hAnsi="Times New Roman"/>
          <w:sz w:val="28"/>
          <w:szCs w:val="28"/>
        </w:rPr>
        <w:t>»</w:t>
      </w:r>
      <w:r w:rsidR="00C63573">
        <w:rPr>
          <w:rFonts w:ascii="Times New Roman" w:hAnsi="Times New Roman"/>
          <w:sz w:val="28"/>
          <w:szCs w:val="28"/>
        </w:rPr>
        <w:t xml:space="preserve">. Таким образом, большая доля стационарной помощи </w:t>
      </w:r>
      <w:r w:rsidR="00782052">
        <w:rPr>
          <w:rFonts w:ascii="Times New Roman" w:hAnsi="Times New Roman"/>
          <w:sz w:val="28"/>
          <w:szCs w:val="28"/>
        </w:rPr>
        <w:t xml:space="preserve">в общих расходах </w:t>
      </w:r>
      <w:r w:rsidR="00C63573">
        <w:rPr>
          <w:rFonts w:ascii="Times New Roman" w:hAnsi="Times New Roman"/>
          <w:sz w:val="28"/>
          <w:szCs w:val="28"/>
        </w:rPr>
        <w:t>объясняется</w:t>
      </w:r>
      <w:r w:rsidR="00782052">
        <w:rPr>
          <w:rFonts w:ascii="Times New Roman" w:hAnsi="Times New Roman"/>
          <w:sz w:val="28"/>
          <w:szCs w:val="28"/>
        </w:rPr>
        <w:t>,</w:t>
      </w:r>
      <w:r w:rsidR="00C63573">
        <w:rPr>
          <w:rFonts w:ascii="Times New Roman" w:hAnsi="Times New Roman"/>
          <w:sz w:val="28"/>
          <w:szCs w:val="28"/>
        </w:rPr>
        <w:t xml:space="preserve"> в </w:t>
      </w:r>
      <w:r w:rsidR="00D61E35">
        <w:rPr>
          <w:rFonts w:ascii="Times New Roman" w:hAnsi="Times New Roman"/>
          <w:sz w:val="28"/>
          <w:szCs w:val="28"/>
        </w:rPr>
        <w:t>числе прочего</w:t>
      </w:r>
      <w:r w:rsidR="00782052">
        <w:rPr>
          <w:rFonts w:ascii="Times New Roman" w:hAnsi="Times New Roman"/>
          <w:sz w:val="28"/>
          <w:szCs w:val="28"/>
        </w:rPr>
        <w:t>,</w:t>
      </w:r>
      <w:r w:rsidR="007141FC">
        <w:rPr>
          <w:rFonts w:ascii="Times New Roman" w:hAnsi="Times New Roman"/>
          <w:sz w:val="28"/>
          <w:szCs w:val="28"/>
        </w:rPr>
        <w:t xml:space="preserve"> дороговизной обслуживания, а также</w:t>
      </w:r>
      <w:r w:rsidR="00C63573">
        <w:rPr>
          <w:rFonts w:ascii="Times New Roman" w:hAnsi="Times New Roman"/>
          <w:sz w:val="28"/>
          <w:szCs w:val="28"/>
        </w:rPr>
        <w:t xml:space="preserve"> длительной историей своего существования (в основном, военной и послевоенной, когда госпитали работали в режиме постоянного ухода за ранеными и больными). </w:t>
      </w:r>
      <w:r w:rsidR="00C63573">
        <w:rPr>
          <w:rFonts w:ascii="Times New Roman" w:hAnsi="Times New Roman"/>
          <w:sz w:val="28"/>
          <w:szCs w:val="28"/>
        </w:rPr>
        <w:lastRenderedPageBreak/>
        <w:t>Современная медицина шагнула далеко вперед и с помощью более активного участия врача в излечивании и восстановлении пациента становится возможным сокращение объема медицинской помощи, оказываемой в стационарных условиях, за счет амбулатории и домашнего восстановления пациента после разного рода вмешательств (и других, альтернативных стационару, способов реабилитации).</w:t>
      </w:r>
    </w:p>
    <w:p w:rsidR="00C63573" w:rsidRDefault="00C63573" w:rsidP="000A639E">
      <w:pPr>
        <w:spacing w:line="360" w:lineRule="auto"/>
        <w:ind w:firstLine="624"/>
        <w:jc w:val="both"/>
        <w:rPr>
          <w:rFonts w:ascii="Times New Roman" w:hAnsi="Times New Roman"/>
          <w:sz w:val="28"/>
          <w:szCs w:val="28"/>
        </w:rPr>
      </w:pPr>
      <w:r>
        <w:rPr>
          <w:rFonts w:ascii="Times New Roman" w:hAnsi="Times New Roman"/>
          <w:sz w:val="28"/>
          <w:szCs w:val="28"/>
        </w:rPr>
        <w:t>Но система, просуществовавшая долгие десятилетия, достаточно ригидна и медленно реагирует на любые изменения. В особенности, это касается системы здравоохранения постсоветского пространства, поскольку размер больницы, численность медицинского персонала и количество коек часто выступают как показатель статуса для главного врача и чиновников, к чьей территории прикреплено учреждение. За неимением четко определенных и понятных руководству медицинских организаций стимулов к изменению существующей ситуации (например, к сокращению количества дорогостоящих в обслуживании коек), оно (руководство)</w:t>
      </w:r>
      <w:r w:rsidR="007141FC">
        <w:rPr>
          <w:rFonts w:ascii="Times New Roman" w:hAnsi="Times New Roman"/>
          <w:sz w:val="28"/>
          <w:szCs w:val="28"/>
        </w:rPr>
        <w:t xml:space="preserve"> может принимать недостаточно</w:t>
      </w:r>
      <w:r>
        <w:rPr>
          <w:rFonts w:ascii="Times New Roman" w:hAnsi="Times New Roman"/>
          <w:sz w:val="28"/>
          <w:szCs w:val="28"/>
        </w:rPr>
        <w:t xml:space="preserve"> мер по внедрению инновационных методов оплаты медицинской помощи в организации (например, введению</w:t>
      </w:r>
      <w:r w:rsidR="00752311">
        <w:rPr>
          <w:rFonts w:ascii="Times New Roman" w:hAnsi="Times New Roman"/>
          <w:sz w:val="28"/>
          <w:szCs w:val="28"/>
        </w:rPr>
        <w:t xml:space="preserve"> показателей результативности).</w:t>
      </w:r>
    </w:p>
    <w:p w:rsidR="00752311" w:rsidRPr="001C7C28" w:rsidRDefault="00752311" w:rsidP="000A639E">
      <w:pPr>
        <w:spacing w:line="360" w:lineRule="auto"/>
        <w:ind w:firstLine="624"/>
        <w:jc w:val="both"/>
        <w:rPr>
          <w:rFonts w:ascii="Times New Roman" w:hAnsi="Times New Roman"/>
          <w:sz w:val="28"/>
          <w:szCs w:val="28"/>
        </w:rPr>
      </w:pPr>
      <w:r>
        <w:rPr>
          <w:rFonts w:ascii="Times New Roman" w:hAnsi="Times New Roman"/>
          <w:sz w:val="28"/>
          <w:szCs w:val="28"/>
        </w:rPr>
        <w:t>Таким образом, методы оплаты стационарной медицинской помощи в системе обязательного медицинского страхования должны быть изучены на предмет их актуальности и эффективности. Зарубежный опыт показывает, что внедрение инновационных подходов к оплате медицинских услуг может создать верные стимулы для участников отношений в сфере здравоохранения и</w:t>
      </w:r>
      <w:r w:rsidR="00111198">
        <w:rPr>
          <w:rFonts w:ascii="Times New Roman" w:hAnsi="Times New Roman"/>
          <w:sz w:val="28"/>
          <w:szCs w:val="28"/>
        </w:rPr>
        <w:t>, в целом,</w:t>
      </w:r>
      <w:r>
        <w:rPr>
          <w:rFonts w:ascii="Times New Roman" w:hAnsi="Times New Roman"/>
          <w:sz w:val="28"/>
          <w:szCs w:val="28"/>
        </w:rPr>
        <w:t xml:space="preserve"> способствовать более сбалансированному функционированию </w:t>
      </w:r>
      <w:r w:rsidR="00111198">
        <w:rPr>
          <w:rFonts w:ascii="Times New Roman" w:hAnsi="Times New Roman"/>
          <w:sz w:val="28"/>
          <w:szCs w:val="28"/>
        </w:rPr>
        <w:t>данного</w:t>
      </w:r>
      <w:r>
        <w:rPr>
          <w:rFonts w:ascii="Times New Roman" w:hAnsi="Times New Roman"/>
          <w:sz w:val="28"/>
          <w:szCs w:val="28"/>
        </w:rPr>
        <w:t xml:space="preserve"> сектора, что особенно актуально в ситуации крайне неоднородного количества и качества оказываемых медицинских услуг в различных субъектах Российской Федерации.</w:t>
      </w:r>
    </w:p>
    <w:p w:rsidR="008D2C43" w:rsidRDefault="008D2C43" w:rsidP="008A45D7">
      <w:pPr>
        <w:spacing w:line="360" w:lineRule="auto"/>
        <w:ind w:firstLine="624"/>
        <w:jc w:val="both"/>
        <w:rPr>
          <w:rFonts w:ascii="Times New Roman" w:hAnsi="Times New Roman"/>
          <w:sz w:val="28"/>
          <w:szCs w:val="28"/>
        </w:rPr>
      </w:pPr>
      <w:r>
        <w:rPr>
          <w:rFonts w:ascii="Times New Roman" w:hAnsi="Times New Roman"/>
          <w:sz w:val="28"/>
          <w:szCs w:val="28"/>
        </w:rPr>
        <w:lastRenderedPageBreak/>
        <w:t>Цель данной работы состоит в предложении подходов по развитию в Российской Федерации системы оплаты стационарной медицинской помощи с помощью применения инновационных методов оплаты.</w:t>
      </w:r>
    </w:p>
    <w:p w:rsidR="008A45D7" w:rsidRDefault="008A45D7" w:rsidP="008A45D7">
      <w:pPr>
        <w:spacing w:line="360" w:lineRule="auto"/>
        <w:ind w:firstLine="624"/>
        <w:jc w:val="both"/>
        <w:rPr>
          <w:rFonts w:ascii="Times New Roman" w:hAnsi="Times New Roman"/>
          <w:sz w:val="28"/>
          <w:szCs w:val="28"/>
        </w:rPr>
      </w:pPr>
      <w:r>
        <w:rPr>
          <w:rFonts w:ascii="Times New Roman" w:hAnsi="Times New Roman"/>
          <w:sz w:val="28"/>
          <w:szCs w:val="28"/>
        </w:rPr>
        <w:t>Для достижения данной цели автором были поставлены следующие задачи:</w:t>
      </w:r>
    </w:p>
    <w:p w:rsidR="008A45D7" w:rsidRDefault="008A45D7" w:rsidP="008A45D7">
      <w:pPr>
        <w:pStyle w:val="a3"/>
        <w:numPr>
          <w:ilvl w:val="0"/>
          <w:numId w:val="27"/>
        </w:numPr>
        <w:spacing w:line="360" w:lineRule="auto"/>
        <w:ind w:left="0" w:firstLine="624"/>
        <w:jc w:val="both"/>
        <w:rPr>
          <w:rFonts w:ascii="Times New Roman" w:hAnsi="Times New Roman"/>
          <w:sz w:val="28"/>
          <w:szCs w:val="28"/>
        </w:rPr>
      </w:pPr>
      <w:r>
        <w:rPr>
          <w:rFonts w:ascii="Times New Roman" w:hAnsi="Times New Roman"/>
          <w:sz w:val="28"/>
          <w:szCs w:val="28"/>
        </w:rPr>
        <w:t>Обобщить опыт зарубежных стран в части оплаты медицинской помощи, в том числе в условиях стационара;</w:t>
      </w:r>
    </w:p>
    <w:p w:rsidR="008A45D7" w:rsidRDefault="008A45D7" w:rsidP="008A45D7">
      <w:pPr>
        <w:pStyle w:val="a3"/>
        <w:numPr>
          <w:ilvl w:val="0"/>
          <w:numId w:val="27"/>
        </w:numPr>
        <w:spacing w:line="360" w:lineRule="auto"/>
        <w:ind w:left="0" w:firstLine="624"/>
        <w:jc w:val="both"/>
        <w:rPr>
          <w:rFonts w:ascii="Times New Roman" w:hAnsi="Times New Roman"/>
          <w:sz w:val="28"/>
          <w:szCs w:val="28"/>
        </w:rPr>
      </w:pPr>
      <w:r>
        <w:rPr>
          <w:rFonts w:ascii="Times New Roman" w:hAnsi="Times New Roman"/>
          <w:sz w:val="28"/>
          <w:szCs w:val="28"/>
        </w:rPr>
        <w:t>Проанализировать российскую практику применения методов оплаты стационарной медицинской помощи, в том числе инновационных;</w:t>
      </w:r>
    </w:p>
    <w:p w:rsidR="008A45D7" w:rsidRDefault="008A45D7" w:rsidP="000A645D">
      <w:pPr>
        <w:pStyle w:val="a3"/>
        <w:numPr>
          <w:ilvl w:val="0"/>
          <w:numId w:val="27"/>
        </w:numPr>
        <w:spacing w:line="360" w:lineRule="auto"/>
        <w:ind w:left="0" w:firstLine="624"/>
        <w:jc w:val="both"/>
        <w:rPr>
          <w:rFonts w:ascii="Times New Roman" w:hAnsi="Times New Roman"/>
          <w:sz w:val="28"/>
          <w:szCs w:val="28"/>
        </w:rPr>
      </w:pPr>
      <w:r>
        <w:rPr>
          <w:rFonts w:ascii="Times New Roman" w:hAnsi="Times New Roman"/>
          <w:sz w:val="28"/>
          <w:szCs w:val="28"/>
        </w:rPr>
        <w:t>Предложить подходы по развитию практики применения инновационных методов оплаты стационарной медицинской помощи в России в рамках политики, проводимой государством в этой сфере.</w:t>
      </w:r>
    </w:p>
    <w:p w:rsidR="008A45D7" w:rsidRDefault="008A45D7" w:rsidP="000A645D">
      <w:pPr>
        <w:pStyle w:val="a3"/>
        <w:spacing w:line="360" w:lineRule="auto"/>
        <w:ind w:left="0" w:firstLine="624"/>
        <w:jc w:val="both"/>
        <w:rPr>
          <w:rFonts w:ascii="Times New Roman" w:hAnsi="Times New Roman"/>
          <w:sz w:val="28"/>
          <w:szCs w:val="28"/>
        </w:rPr>
      </w:pPr>
      <w:r>
        <w:rPr>
          <w:rFonts w:ascii="Times New Roman" w:hAnsi="Times New Roman"/>
          <w:sz w:val="28"/>
          <w:szCs w:val="28"/>
        </w:rPr>
        <w:t>Объектом данной работы являются методы оплаты стационарной медицинской помощь.</w:t>
      </w:r>
    </w:p>
    <w:p w:rsidR="008A45D7" w:rsidRDefault="008A45D7" w:rsidP="000A645D">
      <w:pPr>
        <w:pStyle w:val="a3"/>
        <w:spacing w:line="360" w:lineRule="auto"/>
        <w:ind w:left="0" w:firstLine="624"/>
        <w:jc w:val="both"/>
        <w:rPr>
          <w:rFonts w:ascii="Times New Roman" w:hAnsi="Times New Roman"/>
          <w:sz w:val="28"/>
          <w:szCs w:val="28"/>
        </w:rPr>
      </w:pPr>
      <w:r>
        <w:rPr>
          <w:rFonts w:ascii="Times New Roman" w:hAnsi="Times New Roman"/>
          <w:sz w:val="28"/>
          <w:szCs w:val="28"/>
        </w:rPr>
        <w:t>Предмет данной работы состоит в</w:t>
      </w:r>
      <w:r w:rsidR="00AE41D8">
        <w:rPr>
          <w:rFonts w:ascii="Times New Roman" w:hAnsi="Times New Roman"/>
          <w:sz w:val="28"/>
          <w:szCs w:val="28"/>
        </w:rPr>
        <w:t xml:space="preserve"> </w:t>
      </w:r>
      <w:r w:rsidR="000A645D">
        <w:rPr>
          <w:rFonts w:ascii="Times New Roman" w:hAnsi="Times New Roman"/>
          <w:sz w:val="28"/>
          <w:szCs w:val="28"/>
        </w:rPr>
        <w:t>эффективности внедрения инновационных методов оплаты стационарной медицинской помощи в Российской Федерации.</w:t>
      </w:r>
    </w:p>
    <w:p w:rsidR="000A645D" w:rsidRPr="008A45D7" w:rsidRDefault="000A645D" w:rsidP="000A645D">
      <w:pPr>
        <w:pStyle w:val="a3"/>
        <w:spacing w:line="360" w:lineRule="auto"/>
        <w:ind w:left="0" w:firstLine="624"/>
        <w:jc w:val="both"/>
        <w:rPr>
          <w:rFonts w:ascii="Times New Roman" w:hAnsi="Times New Roman"/>
          <w:sz w:val="28"/>
          <w:szCs w:val="28"/>
        </w:rPr>
      </w:pPr>
      <w:r>
        <w:rPr>
          <w:rFonts w:ascii="Times New Roman" w:hAnsi="Times New Roman"/>
          <w:sz w:val="28"/>
          <w:szCs w:val="28"/>
        </w:rPr>
        <w:t xml:space="preserve">Методы исследования: </w:t>
      </w:r>
      <w:r w:rsidRPr="000A645D">
        <w:rPr>
          <w:rFonts w:ascii="Times New Roman" w:hAnsi="Times New Roman"/>
          <w:sz w:val="28"/>
          <w:szCs w:val="28"/>
        </w:rPr>
        <w:t>эмпирические (сравнение, опосредованное наблюдение), теоретические (статистический, гипотетический, формализация и визуализация, общелогические методы анализа, синтеза и др.).</w:t>
      </w:r>
    </w:p>
    <w:p w:rsidR="000A639E" w:rsidRDefault="000A639E" w:rsidP="000A645D">
      <w:pPr>
        <w:ind w:firstLine="624"/>
        <w:rPr>
          <w:rFonts w:ascii="Times New Roman" w:hAnsi="Times New Roman"/>
          <w:b/>
          <w:sz w:val="36"/>
          <w:szCs w:val="36"/>
        </w:rPr>
      </w:pPr>
      <w:r>
        <w:rPr>
          <w:rFonts w:ascii="Times New Roman" w:hAnsi="Times New Roman"/>
          <w:b/>
          <w:sz w:val="36"/>
          <w:szCs w:val="36"/>
        </w:rPr>
        <w:br w:type="page"/>
      </w:r>
    </w:p>
    <w:p w:rsidR="00F92BCC" w:rsidRPr="001E61C7" w:rsidRDefault="0055020B" w:rsidP="001E61C7">
      <w:pPr>
        <w:pStyle w:val="1"/>
        <w:spacing w:before="360" w:after="360" w:line="360" w:lineRule="auto"/>
        <w:rPr>
          <w:rFonts w:ascii="Times New Roman" w:hAnsi="Times New Roman" w:cs="Times New Roman"/>
          <w:b w:val="0"/>
          <w:color w:val="auto"/>
          <w:sz w:val="36"/>
          <w:szCs w:val="36"/>
        </w:rPr>
      </w:pPr>
      <w:bookmarkStart w:id="1" w:name="_Toc357415382"/>
      <w:r>
        <w:rPr>
          <w:rFonts w:ascii="Times New Roman" w:hAnsi="Times New Roman" w:cs="Times New Roman"/>
          <w:color w:val="auto"/>
          <w:sz w:val="36"/>
          <w:szCs w:val="36"/>
        </w:rPr>
        <w:lastRenderedPageBreak/>
        <w:t xml:space="preserve">Глава 1. </w:t>
      </w:r>
      <w:r w:rsidR="00F92BCC" w:rsidRPr="001E61C7">
        <w:rPr>
          <w:rFonts w:ascii="Times New Roman" w:hAnsi="Times New Roman" w:cs="Times New Roman"/>
          <w:color w:val="auto"/>
          <w:sz w:val="36"/>
          <w:szCs w:val="36"/>
        </w:rPr>
        <w:t>Оплата медицинских услуг по результату</w:t>
      </w:r>
      <w:bookmarkEnd w:id="1"/>
    </w:p>
    <w:p w:rsidR="00726140" w:rsidRPr="0055020B" w:rsidRDefault="00726140" w:rsidP="00726140">
      <w:pPr>
        <w:pStyle w:val="2"/>
        <w:numPr>
          <w:ilvl w:val="1"/>
          <w:numId w:val="16"/>
        </w:numPr>
        <w:spacing w:before="480" w:after="240" w:line="360" w:lineRule="auto"/>
        <w:rPr>
          <w:rFonts w:ascii="Times New Roman" w:hAnsi="Times New Roman"/>
          <w:color w:val="auto"/>
          <w:sz w:val="32"/>
          <w:szCs w:val="32"/>
        </w:rPr>
      </w:pPr>
      <w:bookmarkStart w:id="2" w:name="_Toc357415383"/>
      <w:r w:rsidRPr="0055020B">
        <w:rPr>
          <w:rFonts w:ascii="Times New Roman" w:hAnsi="Times New Roman"/>
          <w:color w:val="auto"/>
          <w:sz w:val="32"/>
          <w:szCs w:val="32"/>
        </w:rPr>
        <w:t>Эволюция подхода оплаты по результату</w:t>
      </w:r>
      <w:bookmarkEnd w:id="2"/>
    </w:p>
    <w:p w:rsidR="001A5E3C" w:rsidRDefault="001A5E3C" w:rsidP="000A639E">
      <w:pPr>
        <w:spacing w:line="360" w:lineRule="auto"/>
        <w:jc w:val="both"/>
        <w:rPr>
          <w:rFonts w:ascii="Times New Roman" w:hAnsi="Times New Roman" w:cs="Times New Roman"/>
          <w:sz w:val="28"/>
          <w:szCs w:val="28"/>
        </w:rPr>
      </w:pPr>
      <w:r>
        <w:rPr>
          <w:rFonts w:ascii="Times New Roman" w:hAnsi="Times New Roman" w:cs="Times New Roman"/>
          <w:sz w:val="28"/>
          <w:szCs w:val="28"/>
        </w:rPr>
        <w:t>В последние десятилетия четко прослеживается тенденция к переходу экономически развитых стран от традиционных методов финансирования медицинской помощи (глобальный бюджет, оплата отдельных услуг</w:t>
      </w:r>
      <w:r w:rsidRPr="00D61E35">
        <w:rPr>
          <w:rFonts w:ascii="Times New Roman" w:hAnsi="Times New Roman" w:cs="Times New Roman"/>
          <w:sz w:val="28"/>
          <w:szCs w:val="28"/>
        </w:rPr>
        <w:t>)</w:t>
      </w:r>
      <w:r>
        <w:rPr>
          <w:rFonts w:ascii="Times New Roman" w:hAnsi="Times New Roman" w:cs="Times New Roman"/>
          <w:sz w:val="28"/>
          <w:szCs w:val="28"/>
        </w:rPr>
        <w:t xml:space="preserve"> к оплате услуг по результатам деятельности медицинских организаций </w:t>
      </w:r>
      <w:r w:rsidRPr="00D61E35">
        <w:rPr>
          <w:rFonts w:ascii="Times New Roman" w:hAnsi="Times New Roman" w:cs="Times New Roman"/>
          <w:sz w:val="28"/>
          <w:szCs w:val="28"/>
        </w:rPr>
        <w:t>[</w:t>
      </w:r>
      <w:r w:rsidR="000E1641">
        <w:rPr>
          <w:rFonts w:ascii="Times New Roman" w:hAnsi="Times New Roman" w:cs="Times New Roman"/>
          <w:sz w:val="28"/>
          <w:szCs w:val="28"/>
        </w:rPr>
        <w:t>22</w:t>
      </w:r>
      <w:r w:rsidRPr="00D61E35">
        <w:rPr>
          <w:rFonts w:ascii="Times New Roman" w:hAnsi="Times New Roman" w:cs="Times New Roman"/>
          <w:sz w:val="28"/>
          <w:szCs w:val="28"/>
        </w:rPr>
        <w:t>]</w:t>
      </w:r>
      <w:r>
        <w:rPr>
          <w:rFonts w:ascii="Times New Roman" w:hAnsi="Times New Roman" w:cs="Times New Roman"/>
          <w:sz w:val="28"/>
          <w:szCs w:val="28"/>
        </w:rPr>
        <w:t>. Перенимая опыт зарубежных стран, Россия движется по схожему пути, внедряя инновационные способы финансирования системы здравоохранения в практику отдельных регионов.</w:t>
      </w:r>
    </w:p>
    <w:p w:rsidR="001A5E3C" w:rsidRDefault="001A5E3C" w:rsidP="00726140">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Отмечается </w:t>
      </w:r>
      <w:r w:rsidR="006C3012">
        <w:rPr>
          <w:rFonts w:ascii="Times New Roman" w:hAnsi="Times New Roman" w:cs="Times New Roman"/>
          <w:sz w:val="28"/>
          <w:szCs w:val="28"/>
        </w:rPr>
        <w:t>[</w:t>
      </w:r>
      <w:r w:rsidR="000E1641">
        <w:rPr>
          <w:rFonts w:ascii="Times New Roman" w:hAnsi="Times New Roman" w:cs="Times New Roman"/>
          <w:sz w:val="28"/>
          <w:szCs w:val="28"/>
        </w:rPr>
        <w:t>22</w:t>
      </w:r>
      <w:r w:rsidRPr="00AA667D">
        <w:rPr>
          <w:rFonts w:ascii="Times New Roman" w:hAnsi="Times New Roman" w:cs="Times New Roman"/>
          <w:sz w:val="28"/>
          <w:szCs w:val="28"/>
        </w:rPr>
        <w:t>]</w:t>
      </w:r>
      <w:r>
        <w:rPr>
          <w:rFonts w:ascii="Times New Roman" w:hAnsi="Times New Roman" w:cs="Times New Roman"/>
          <w:sz w:val="28"/>
          <w:szCs w:val="28"/>
        </w:rPr>
        <w:t>, что разработка систем оплаты за результат, а также оплаты по клинико-статистическим группам, может и должна проводиться в рамках программно-целевого планирования системы здравоохранения. Цели и конкретные ориентиры, устанавливаемые программами развития лучшим образом соответствуют методам оплаты медицинской помощи, основанным на результате деятельности медицинских организаций. Таким образом, планирование на макроуровне может быть приведено в соответствие с планированием на уровне отдельных организаций.</w:t>
      </w:r>
    </w:p>
    <w:p w:rsidR="001A5E3C" w:rsidRDefault="001A5E3C" w:rsidP="00726140">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В данной части работы будут более подробно рассмотрены традиционные и инновационные подходы к оплате медицинских услуг.</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 xml:space="preserve">В целом, в эволюции моделей оплаты медицинской помощи выделяют несколько этапов </w:t>
      </w:r>
      <w:r w:rsidRPr="00A82C84">
        <w:rPr>
          <w:rFonts w:ascii="Times New Roman" w:hAnsi="Times New Roman"/>
          <w:sz w:val="28"/>
          <w:szCs w:val="28"/>
        </w:rPr>
        <w:t>[</w:t>
      </w:r>
      <w:r w:rsidR="000E1641">
        <w:rPr>
          <w:rFonts w:ascii="Times New Roman" w:hAnsi="Times New Roman"/>
          <w:sz w:val="28"/>
          <w:szCs w:val="28"/>
        </w:rPr>
        <w:t>23</w:t>
      </w:r>
      <w:r w:rsidRPr="00A82C84">
        <w:rPr>
          <w:rFonts w:ascii="Times New Roman" w:hAnsi="Times New Roman"/>
          <w:sz w:val="28"/>
          <w:szCs w:val="28"/>
        </w:rPr>
        <w:t>]</w:t>
      </w:r>
      <w:r>
        <w:rPr>
          <w:rFonts w:ascii="Times New Roman" w:hAnsi="Times New Roman"/>
          <w:sz w:val="28"/>
          <w:szCs w:val="28"/>
        </w:rPr>
        <w:t>:</w:t>
      </w:r>
    </w:p>
    <w:p w:rsidR="001A5E3C" w:rsidRDefault="001A5E3C" w:rsidP="000A639E">
      <w:pPr>
        <w:pStyle w:val="a3"/>
        <w:numPr>
          <w:ilvl w:val="0"/>
          <w:numId w:val="1"/>
        </w:numPr>
        <w:spacing w:line="360" w:lineRule="auto"/>
        <w:ind w:left="0" w:firstLine="624"/>
        <w:jc w:val="both"/>
        <w:rPr>
          <w:rFonts w:ascii="Times New Roman" w:hAnsi="Times New Roman"/>
          <w:sz w:val="28"/>
          <w:szCs w:val="28"/>
        </w:rPr>
      </w:pPr>
      <w:r>
        <w:rPr>
          <w:rFonts w:ascii="Times New Roman" w:hAnsi="Times New Roman"/>
          <w:sz w:val="28"/>
          <w:szCs w:val="28"/>
        </w:rPr>
        <w:t>Оплата (возмещение) использованных ресурсов (сметное финансирование, в т.ч. постатейный бюджет, оплата услуг без заранее определенных тарифов);</w:t>
      </w:r>
    </w:p>
    <w:p w:rsidR="001A5E3C" w:rsidRDefault="001A5E3C" w:rsidP="000A639E">
      <w:pPr>
        <w:pStyle w:val="a3"/>
        <w:numPr>
          <w:ilvl w:val="0"/>
          <w:numId w:val="1"/>
        </w:numPr>
        <w:spacing w:line="360" w:lineRule="auto"/>
        <w:ind w:left="0" w:firstLine="624"/>
        <w:jc w:val="both"/>
        <w:rPr>
          <w:rFonts w:ascii="Times New Roman" w:hAnsi="Times New Roman"/>
          <w:sz w:val="28"/>
          <w:szCs w:val="28"/>
        </w:rPr>
      </w:pPr>
      <w:r>
        <w:rPr>
          <w:rFonts w:ascii="Times New Roman" w:hAnsi="Times New Roman"/>
          <w:sz w:val="28"/>
          <w:szCs w:val="28"/>
        </w:rPr>
        <w:t xml:space="preserve">Оплата за оказанные (отдельные) услуги </w:t>
      </w:r>
      <w:r w:rsidRPr="00A82C84">
        <w:rPr>
          <w:rFonts w:ascii="Times New Roman" w:hAnsi="Times New Roman"/>
          <w:sz w:val="28"/>
          <w:szCs w:val="28"/>
        </w:rPr>
        <w:t>(</w:t>
      </w:r>
      <w:r>
        <w:rPr>
          <w:rFonts w:ascii="Times New Roman" w:hAnsi="Times New Roman"/>
          <w:sz w:val="28"/>
          <w:szCs w:val="28"/>
          <w:lang w:val="en-US"/>
        </w:rPr>
        <w:t>FFS</w:t>
      </w:r>
      <w:r w:rsidRPr="00A82C84">
        <w:rPr>
          <w:rFonts w:ascii="Times New Roman" w:hAnsi="Times New Roman"/>
          <w:sz w:val="28"/>
          <w:szCs w:val="28"/>
        </w:rPr>
        <w:t xml:space="preserve"> – </w:t>
      </w:r>
      <w:r>
        <w:rPr>
          <w:rFonts w:ascii="Times New Roman" w:hAnsi="Times New Roman"/>
          <w:sz w:val="28"/>
          <w:szCs w:val="28"/>
          <w:lang w:val="en-US"/>
        </w:rPr>
        <w:t>fee</w:t>
      </w:r>
      <w:r w:rsidRPr="00A82C84">
        <w:rPr>
          <w:rFonts w:ascii="Times New Roman" w:hAnsi="Times New Roman"/>
          <w:sz w:val="28"/>
          <w:szCs w:val="28"/>
        </w:rPr>
        <w:t xml:space="preserve"> </w:t>
      </w:r>
      <w:r>
        <w:rPr>
          <w:rFonts w:ascii="Times New Roman" w:hAnsi="Times New Roman"/>
          <w:sz w:val="28"/>
          <w:szCs w:val="28"/>
          <w:lang w:val="en-US"/>
        </w:rPr>
        <w:t>for</w:t>
      </w:r>
      <w:r w:rsidRPr="00A82C84">
        <w:rPr>
          <w:rFonts w:ascii="Times New Roman" w:hAnsi="Times New Roman"/>
          <w:sz w:val="28"/>
          <w:szCs w:val="28"/>
        </w:rPr>
        <w:t xml:space="preserve"> </w:t>
      </w:r>
      <w:r>
        <w:rPr>
          <w:rFonts w:ascii="Times New Roman" w:hAnsi="Times New Roman"/>
          <w:sz w:val="28"/>
          <w:szCs w:val="28"/>
          <w:lang w:val="en-US"/>
        </w:rPr>
        <w:t>service</w:t>
      </w:r>
      <w:r w:rsidRPr="00A82C84">
        <w:rPr>
          <w:rFonts w:ascii="Times New Roman" w:hAnsi="Times New Roman"/>
          <w:sz w:val="28"/>
          <w:szCs w:val="28"/>
        </w:rPr>
        <w:t>)</w:t>
      </w:r>
      <w:r>
        <w:rPr>
          <w:rFonts w:ascii="Times New Roman" w:hAnsi="Times New Roman"/>
          <w:sz w:val="28"/>
          <w:szCs w:val="28"/>
        </w:rPr>
        <w:t>;</w:t>
      </w:r>
    </w:p>
    <w:p w:rsidR="001A5E3C" w:rsidRPr="00A82C84" w:rsidRDefault="001A5E3C" w:rsidP="000A639E">
      <w:pPr>
        <w:pStyle w:val="a3"/>
        <w:numPr>
          <w:ilvl w:val="0"/>
          <w:numId w:val="1"/>
        </w:numPr>
        <w:spacing w:line="360" w:lineRule="auto"/>
        <w:ind w:left="0" w:firstLine="624"/>
        <w:jc w:val="both"/>
        <w:rPr>
          <w:rFonts w:ascii="Times New Roman" w:hAnsi="Times New Roman"/>
          <w:sz w:val="28"/>
          <w:szCs w:val="28"/>
          <w:lang w:val="en-US"/>
        </w:rPr>
      </w:pPr>
      <w:r>
        <w:rPr>
          <w:rFonts w:ascii="Times New Roman" w:hAnsi="Times New Roman"/>
          <w:sz w:val="28"/>
          <w:szCs w:val="28"/>
        </w:rPr>
        <w:t>Оплата</w:t>
      </w:r>
      <w:r w:rsidRPr="00A82C84">
        <w:rPr>
          <w:rFonts w:ascii="Times New Roman" w:hAnsi="Times New Roman"/>
          <w:sz w:val="28"/>
          <w:szCs w:val="28"/>
          <w:lang w:val="en-US"/>
        </w:rPr>
        <w:t xml:space="preserve"> </w:t>
      </w:r>
      <w:r>
        <w:rPr>
          <w:rFonts w:ascii="Times New Roman" w:hAnsi="Times New Roman"/>
          <w:sz w:val="28"/>
          <w:szCs w:val="28"/>
        </w:rPr>
        <w:t>за</w:t>
      </w:r>
      <w:r w:rsidRPr="00A82C84">
        <w:rPr>
          <w:rFonts w:ascii="Times New Roman" w:hAnsi="Times New Roman"/>
          <w:sz w:val="28"/>
          <w:szCs w:val="28"/>
          <w:lang w:val="en-US"/>
        </w:rPr>
        <w:t xml:space="preserve"> </w:t>
      </w:r>
      <w:r>
        <w:rPr>
          <w:rFonts w:ascii="Times New Roman" w:hAnsi="Times New Roman"/>
          <w:sz w:val="28"/>
          <w:szCs w:val="28"/>
        </w:rPr>
        <w:t>результаты</w:t>
      </w:r>
      <w:r w:rsidRPr="00A82C84">
        <w:rPr>
          <w:rFonts w:ascii="Times New Roman" w:hAnsi="Times New Roman"/>
          <w:sz w:val="28"/>
          <w:szCs w:val="28"/>
          <w:lang w:val="en-US"/>
        </w:rPr>
        <w:t xml:space="preserve"> (</w:t>
      </w:r>
      <w:r>
        <w:rPr>
          <w:rFonts w:ascii="Times New Roman" w:hAnsi="Times New Roman"/>
          <w:sz w:val="28"/>
          <w:szCs w:val="28"/>
          <w:lang w:val="en-US"/>
        </w:rPr>
        <w:t>P</w:t>
      </w:r>
      <w:r w:rsidRPr="00A82C84">
        <w:rPr>
          <w:rFonts w:ascii="Times New Roman" w:hAnsi="Times New Roman"/>
          <w:sz w:val="28"/>
          <w:szCs w:val="28"/>
          <w:lang w:val="en-US"/>
        </w:rPr>
        <w:t>4</w:t>
      </w:r>
      <w:r>
        <w:rPr>
          <w:rFonts w:ascii="Times New Roman" w:hAnsi="Times New Roman"/>
          <w:sz w:val="28"/>
          <w:szCs w:val="28"/>
          <w:lang w:val="en-US"/>
        </w:rPr>
        <w:t>P</w:t>
      </w:r>
      <w:r w:rsidRPr="00A82C84">
        <w:rPr>
          <w:rFonts w:ascii="Times New Roman" w:hAnsi="Times New Roman"/>
          <w:sz w:val="28"/>
          <w:szCs w:val="28"/>
          <w:lang w:val="en-US"/>
        </w:rPr>
        <w:t xml:space="preserve"> – </w:t>
      </w:r>
      <w:r>
        <w:rPr>
          <w:rFonts w:ascii="Times New Roman" w:hAnsi="Times New Roman"/>
          <w:sz w:val="28"/>
          <w:szCs w:val="28"/>
          <w:lang w:val="en-US"/>
        </w:rPr>
        <w:t>payment</w:t>
      </w:r>
      <w:r w:rsidRPr="00A82C84">
        <w:rPr>
          <w:rFonts w:ascii="Times New Roman" w:hAnsi="Times New Roman"/>
          <w:sz w:val="28"/>
          <w:szCs w:val="28"/>
          <w:lang w:val="en-US"/>
        </w:rPr>
        <w:t xml:space="preserve"> </w:t>
      </w:r>
      <w:r>
        <w:rPr>
          <w:rFonts w:ascii="Times New Roman" w:hAnsi="Times New Roman"/>
          <w:sz w:val="28"/>
          <w:szCs w:val="28"/>
          <w:lang w:val="en-US"/>
        </w:rPr>
        <w:t>for</w:t>
      </w:r>
      <w:r w:rsidRPr="00A82C84">
        <w:rPr>
          <w:rFonts w:ascii="Times New Roman" w:hAnsi="Times New Roman"/>
          <w:sz w:val="28"/>
          <w:szCs w:val="28"/>
          <w:lang w:val="en-US"/>
        </w:rPr>
        <w:t xml:space="preserve"> </w:t>
      </w:r>
      <w:r>
        <w:rPr>
          <w:rFonts w:ascii="Times New Roman" w:hAnsi="Times New Roman"/>
          <w:sz w:val="28"/>
          <w:szCs w:val="28"/>
          <w:lang w:val="en-US"/>
        </w:rPr>
        <w:t>performance)</w:t>
      </w:r>
      <w:r w:rsidRPr="00A82C84">
        <w:rPr>
          <w:rFonts w:ascii="Times New Roman" w:hAnsi="Times New Roman"/>
          <w:sz w:val="28"/>
          <w:szCs w:val="28"/>
          <w:lang w:val="en-US"/>
        </w:rPr>
        <w:t>;</w:t>
      </w:r>
    </w:p>
    <w:p w:rsidR="001A5E3C" w:rsidRDefault="001A5E3C" w:rsidP="000A639E">
      <w:pPr>
        <w:pStyle w:val="a3"/>
        <w:numPr>
          <w:ilvl w:val="0"/>
          <w:numId w:val="1"/>
        </w:numPr>
        <w:spacing w:line="360" w:lineRule="auto"/>
        <w:ind w:left="0" w:firstLine="624"/>
        <w:jc w:val="both"/>
        <w:rPr>
          <w:rFonts w:ascii="Times New Roman" w:hAnsi="Times New Roman"/>
          <w:sz w:val="28"/>
          <w:szCs w:val="28"/>
        </w:rPr>
      </w:pPr>
      <w:r>
        <w:rPr>
          <w:rFonts w:ascii="Times New Roman" w:hAnsi="Times New Roman"/>
          <w:sz w:val="28"/>
          <w:szCs w:val="28"/>
        </w:rPr>
        <w:lastRenderedPageBreak/>
        <w:t>Оплата по конечным результатам (сочетание 2-го и 3-го этапа – подушевая оплата либо оплата за эпизод с премией по оцененным показателям результата).</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Переходными методами оплаты между оплатой за услуги и оплатой по результатам можно назвать оплату по клинико-статистическим группам (КСГ</w:t>
      </w:r>
      <w:r w:rsidRPr="00CA69F9">
        <w:rPr>
          <w:rFonts w:ascii="Times New Roman" w:hAnsi="Times New Roman"/>
          <w:sz w:val="28"/>
          <w:szCs w:val="28"/>
        </w:rPr>
        <w:t>/</w:t>
      </w:r>
      <w:r>
        <w:rPr>
          <w:rFonts w:ascii="Times New Roman" w:hAnsi="Times New Roman"/>
          <w:sz w:val="28"/>
          <w:szCs w:val="28"/>
          <w:lang w:val="en-US"/>
        </w:rPr>
        <w:t>DRG</w:t>
      </w:r>
      <w:r w:rsidRPr="00CA69F9">
        <w:rPr>
          <w:rFonts w:ascii="Times New Roman" w:hAnsi="Times New Roman"/>
          <w:sz w:val="28"/>
          <w:szCs w:val="28"/>
        </w:rPr>
        <w:t>)</w:t>
      </w:r>
      <w:r>
        <w:rPr>
          <w:rFonts w:ascii="Times New Roman" w:hAnsi="Times New Roman"/>
          <w:sz w:val="28"/>
          <w:szCs w:val="28"/>
        </w:rPr>
        <w:t xml:space="preserve"> и подушевую оплату – то есть оплату некоторого </w:t>
      </w:r>
      <w:r w:rsidR="009C4C2F">
        <w:rPr>
          <w:rFonts w:ascii="Times New Roman" w:hAnsi="Times New Roman"/>
          <w:sz w:val="28"/>
          <w:szCs w:val="28"/>
        </w:rPr>
        <w:t>«</w:t>
      </w:r>
      <w:r>
        <w:rPr>
          <w:rFonts w:ascii="Times New Roman" w:hAnsi="Times New Roman"/>
          <w:sz w:val="28"/>
          <w:szCs w:val="28"/>
        </w:rPr>
        <w:t>события</w:t>
      </w:r>
      <w:r w:rsidR="009C4C2F">
        <w:rPr>
          <w:rFonts w:ascii="Times New Roman" w:hAnsi="Times New Roman"/>
          <w:sz w:val="28"/>
          <w:szCs w:val="28"/>
        </w:rPr>
        <w:t>»</w:t>
      </w:r>
      <w:r>
        <w:rPr>
          <w:rFonts w:ascii="Times New Roman" w:hAnsi="Times New Roman"/>
          <w:sz w:val="28"/>
          <w:szCs w:val="28"/>
        </w:rPr>
        <w:t>, пролеченного больного (без учета результата лечения).</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 xml:space="preserve">Среди методов оплаты за результат можно выделить следующие (перечислены по усложнению и возрастанию актуальности применения) </w:t>
      </w:r>
      <w:r w:rsidR="00095F40" w:rsidRPr="00095F40">
        <w:rPr>
          <w:rFonts w:ascii="Times New Roman" w:hAnsi="Times New Roman"/>
          <w:sz w:val="28"/>
          <w:szCs w:val="28"/>
        </w:rPr>
        <w:t>[</w:t>
      </w:r>
      <w:r w:rsidR="000E1641">
        <w:rPr>
          <w:rFonts w:ascii="Times New Roman" w:hAnsi="Times New Roman"/>
          <w:sz w:val="28"/>
          <w:szCs w:val="28"/>
        </w:rPr>
        <w:t>23</w:t>
      </w:r>
      <w:r w:rsidRPr="00095F40">
        <w:rPr>
          <w:rFonts w:ascii="Times New Roman" w:hAnsi="Times New Roman"/>
          <w:sz w:val="28"/>
          <w:szCs w:val="28"/>
        </w:rPr>
        <w:t>]:</w:t>
      </w:r>
    </w:p>
    <w:p w:rsidR="001A5E3C" w:rsidRDefault="001A5E3C" w:rsidP="000A639E">
      <w:pPr>
        <w:pStyle w:val="a3"/>
        <w:numPr>
          <w:ilvl w:val="0"/>
          <w:numId w:val="2"/>
        </w:numPr>
        <w:spacing w:line="360" w:lineRule="auto"/>
        <w:ind w:left="0" w:firstLine="624"/>
        <w:jc w:val="both"/>
        <w:rPr>
          <w:rFonts w:ascii="Times New Roman" w:hAnsi="Times New Roman"/>
          <w:sz w:val="28"/>
          <w:szCs w:val="28"/>
        </w:rPr>
      </w:pPr>
      <w:r>
        <w:rPr>
          <w:rFonts w:ascii="Times New Roman" w:hAnsi="Times New Roman"/>
          <w:sz w:val="28"/>
          <w:szCs w:val="28"/>
        </w:rPr>
        <w:t>Оплата за отдельные услуги. Данный метод оплаты подходит для низкоэффективных медицинских организаций и ситуаций, когда система здравоохранения переживает переходный период (т.е. когда разрушены старые связи между участниками отношений и еще не налажены новые, примером может быть постсоветская Россия 1990-х годов).</w:t>
      </w:r>
    </w:p>
    <w:p w:rsidR="001A5E3C" w:rsidRDefault="001A5E3C" w:rsidP="000A639E">
      <w:pPr>
        <w:pStyle w:val="a3"/>
        <w:numPr>
          <w:ilvl w:val="0"/>
          <w:numId w:val="2"/>
        </w:numPr>
        <w:spacing w:line="360" w:lineRule="auto"/>
        <w:ind w:left="0" w:firstLine="624"/>
        <w:jc w:val="both"/>
        <w:rPr>
          <w:rFonts w:ascii="Times New Roman" w:hAnsi="Times New Roman"/>
          <w:sz w:val="28"/>
          <w:szCs w:val="28"/>
        </w:rPr>
      </w:pPr>
      <w:r>
        <w:rPr>
          <w:rFonts w:ascii="Times New Roman" w:hAnsi="Times New Roman"/>
          <w:sz w:val="28"/>
          <w:szCs w:val="28"/>
        </w:rPr>
        <w:t>Оплата за отчетность. Оплата за ряд фактически оказанных услуг. Данный метод может быть полезен для стимулирования ЛПУ к предоставлению информации (например, о качестве).</w:t>
      </w:r>
    </w:p>
    <w:p w:rsidR="001A5E3C" w:rsidRDefault="001A5E3C" w:rsidP="000A639E">
      <w:pPr>
        <w:pStyle w:val="a3"/>
        <w:numPr>
          <w:ilvl w:val="0"/>
          <w:numId w:val="2"/>
        </w:numPr>
        <w:spacing w:line="360" w:lineRule="auto"/>
        <w:ind w:left="0" w:firstLine="624"/>
        <w:jc w:val="both"/>
        <w:rPr>
          <w:rFonts w:ascii="Times New Roman" w:hAnsi="Times New Roman"/>
          <w:sz w:val="28"/>
          <w:szCs w:val="28"/>
        </w:rPr>
      </w:pPr>
      <w:r>
        <w:rPr>
          <w:rFonts w:ascii="Times New Roman" w:hAnsi="Times New Roman"/>
          <w:sz w:val="28"/>
          <w:szCs w:val="28"/>
        </w:rPr>
        <w:t>Оплата за результаты (например, подушевая оплата плюс бонусы за качество). При такой системе оплаты медицинской помощи присутствуют элементы более сильного стимулирования, но часто они оказываются неэффективными из-за большой инерции медицинского сообщества, предпочитающего игнорировать подобные дополнительные элементы оплаты.</w:t>
      </w:r>
    </w:p>
    <w:p w:rsidR="001A5E3C" w:rsidRDefault="001A5E3C" w:rsidP="000A639E">
      <w:pPr>
        <w:pStyle w:val="a3"/>
        <w:numPr>
          <w:ilvl w:val="0"/>
          <w:numId w:val="2"/>
        </w:numPr>
        <w:spacing w:line="360" w:lineRule="auto"/>
        <w:ind w:left="0" w:firstLine="624"/>
        <w:jc w:val="both"/>
        <w:rPr>
          <w:rFonts w:ascii="Times New Roman" w:hAnsi="Times New Roman"/>
          <w:sz w:val="28"/>
          <w:szCs w:val="28"/>
        </w:rPr>
      </w:pPr>
      <w:r>
        <w:rPr>
          <w:rFonts w:ascii="Times New Roman" w:hAnsi="Times New Roman"/>
          <w:sz w:val="28"/>
          <w:szCs w:val="28"/>
        </w:rPr>
        <w:t>Оплата за интегрированную услугу. В данном случае оплата производится за эпизод помощи (несколько объединенных услуг) или продолжительные услуги при оказании медицинской помощи по хроническим заболеваниям.</w:t>
      </w:r>
    </w:p>
    <w:p w:rsidR="001A5E3C" w:rsidRDefault="001A5E3C" w:rsidP="000A639E">
      <w:pPr>
        <w:pStyle w:val="a3"/>
        <w:numPr>
          <w:ilvl w:val="0"/>
          <w:numId w:val="2"/>
        </w:numPr>
        <w:spacing w:line="360" w:lineRule="auto"/>
        <w:ind w:left="0" w:firstLine="624"/>
        <w:jc w:val="both"/>
        <w:rPr>
          <w:rFonts w:ascii="Times New Roman" w:hAnsi="Times New Roman"/>
          <w:sz w:val="28"/>
          <w:szCs w:val="28"/>
        </w:rPr>
      </w:pPr>
      <w:r>
        <w:rPr>
          <w:rFonts w:ascii="Times New Roman" w:hAnsi="Times New Roman"/>
          <w:sz w:val="28"/>
          <w:szCs w:val="28"/>
        </w:rPr>
        <w:lastRenderedPageBreak/>
        <w:t>Оплата за полностью интегрированную услугу с учетом показателей результатов. Наиболее совершенный способ оплаты на текущий момент, соответствует 4-му пункту классификации, приведенной выше.</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 xml:space="preserve">Оплата за результат деятельности медицинской организации и оплата за интегрированную услугу в настоящее время считаются наиболее инновационными подходами к оплате медицинской помощи, их сочетание может также привести к еще более эффективному оказанию услуг в сфере здравоохранения. Но нужно также учитывать, что на переходных этапах развития государства правительством могут вводиться более традиционные методы оплаты медпомощи, так как они могут позволить достичь краткосрочных целей в условиях нестабильной инфраструктуры. В дальнейшем политика государства может быть изменена и внедрены более инновационные подходы к оплате медицинских услуг. </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З</w:t>
      </w:r>
      <w:r w:rsidRPr="006E295F">
        <w:rPr>
          <w:rFonts w:ascii="Times New Roman" w:hAnsi="Times New Roman"/>
          <w:sz w:val="28"/>
          <w:szCs w:val="28"/>
        </w:rPr>
        <w:t>адачи</w:t>
      </w:r>
      <w:r>
        <w:rPr>
          <w:rFonts w:ascii="Times New Roman" w:hAnsi="Times New Roman"/>
          <w:sz w:val="28"/>
          <w:szCs w:val="28"/>
        </w:rPr>
        <w:t xml:space="preserve">, которые ставят перед собой государства, внедряющие системы оплаты медицинской помощи по результатам деятельности могут сильно различаться. В целом, они могут быть разделены на два основных блока </w:t>
      </w:r>
      <w:r w:rsidR="00095F40">
        <w:rPr>
          <w:rFonts w:ascii="Times New Roman" w:hAnsi="Times New Roman"/>
          <w:sz w:val="28"/>
          <w:szCs w:val="28"/>
        </w:rPr>
        <w:t>[</w:t>
      </w:r>
      <w:r w:rsidR="000E1641">
        <w:rPr>
          <w:rFonts w:ascii="Times New Roman" w:hAnsi="Times New Roman"/>
          <w:sz w:val="28"/>
          <w:szCs w:val="28"/>
        </w:rPr>
        <w:t>23</w:t>
      </w:r>
      <w:r w:rsidRPr="009D5C88">
        <w:rPr>
          <w:rFonts w:ascii="Times New Roman" w:hAnsi="Times New Roman"/>
          <w:sz w:val="28"/>
          <w:szCs w:val="28"/>
        </w:rPr>
        <w:t>]</w:t>
      </w:r>
      <w:r>
        <w:rPr>
          <w:rFonts w:ascii="Times New Roman" w:hAnsi="Times New Roman"/>
          <w:sz w:val="28"/>
          <w:szCs w:val="28"/>
        </w:rPr>
        <w:t>:</w:t>
      </w:r>
    </w:p>
    <w:p w:rsidR="001A5E3C" w:rsidRDefault="001A5E3C" w:rsidP="000A639E">
      <w:pPr>
        <w:pStyle w:val="a3"/>
        <w:numPr>
          <w:ilvl w:val="0"/>
          <w:numId w:val="4"/>
        </w:numPr>
        <w:spacing w:line="360" w:lineRule="auto"/>
        <w:ind w:left="0" w:firstLine="624"/>
        <w:jc w:val="both"/>
        <w:rPr>
          <w:rFonts w:ascii="Times New Roman" w:hAnsi="Times New Roman"/>
          <w:sz w:val="28"/>
          <w:szCs w:val="28"/>
        </w:rPr>
      </w:pPr>
      <w:r>
        <w:rPr>
          <w:rFonts w:ascii="Times New Roman" w:hAnsi="Times New Roman"/>
          <w:sz w:val="28"/>
          <w:szCs w:val="28"/>
        </w:rPr>
        <w:t>Имеющие строгую количественную оценку:</w:t>
      </w:r>
    </w:p>
    <w:p w:rsidR="001A5E3C" w:rsidRDefault="001A5E3C" w:rsidP="000A639E">
      <w:pPr>
        <w:pStyle w:val="a3"/>
        <w:numPr>
          <w:ilvl w:val="1"/>
          <w:numId w:val="4"/>
        </w:numPr>
        <w:spacing w:line="360" w:lineRule="auto"/>
        <w:ind w:left="0" w:firstLine="624"/>
        <w:jc w:val="both"/>
        <w:rPr>
          <w:rFonts w:ascii="Times New Roman" w:hAnsi="Times New Roman"/>
          <w:sz w:val="28"/>
          <w:szCs w:val="28"/>
        </w:rPr>
      </w:pPr>
      <w:r>
        <w:rPr>
          <w:rFonts w:ascii="Times New Roman" w:hAnsi="Times New Roman"/>
          <w:sz w:val="28"/>
          <w:szCs w:val="28"/>
        </w:rPr>
        <w:t>Расширение охвата медицинской</w:t>
      </w:r>
      <w:r>
        <w:rPr>
          <w:rFonts w:ascii="Times New Roman" w:hAnsi="Times New Roman"/>
          <w:sz w:val="28"/>
          <w:szCs w:val="28"/>
        </w:rPr>
        <w:tab/>
        <w:t>помощью, доступности первичной медицинской помощи;</w:t>
      </w:r>
    </w:p>
    <w:p w:rsidR="001A5E3C" w:rsidRDefault="001A5E3C" w:rsidP="000A639E">
      <w:pPr>
        <w:pStyle w:val="a3"/>
        <w:numPr>
          <w:ilvl w:val="1"/>
          <w:numId w:val="4"/>
        </w:numPr>
        <w:spacing w:line="360" w:lineRule="auto"/>
        <w:ind w:left="0" w:firstLine="624"/>
        <w:jc w:val="both"/>
        <w:rPr>
          <w:rFonts w:ascii="Times New Roman" w:hAnsi="Times New Roman"/>
          <w:sz w:val="28"/>
          <w:szCs w:val="28"/>
        </w:rPr>
      </w:pPr>
      <w:r>
        <w:rPr>
          <w:rFonts w:ascii="Times New Roman" w:hAnsi="Times New Roman"/>
          <w:sz w:val="28"/>
          <w:szCs w:val="28"/>
        </w:rPr>
        <w:t>Повышение эффективности труда медицинских организаций;</w:t>
      </w:r>
    </w:p>
    <w:p w:rsidR="001A5E3C" w:rsidRPr="009D5C88" w:rsidRDefault="001A5E3C" w:rsidP="000A639E">
      <w:pPr>
        <w:pStyle w:val="a3"/>
        <w:numPr>
          <w:ilvl w:val="1"/>
          <w:numId w:val="4"/>
        </w:numPr>
        <w:spacing w:line="360" w:lineRule="auto"/>
        <w:ind w:left="0" w:firstLine="624"/>
        <w:jc w:val="both"/>
        <w:rPr>
          <w:rFonts w:ascii="Times New Roman" w:hAnsi="Times New Roman"/>
          <w:sz w:val="28"/>
          <w:szCs w:val="28"/>
        </w:rPr>
      </w:pPr>
      <w:r>
        <w:rPr>
          <w:rFonts w:ascii="Times New Roman" w:hAnsi="Times New Roman"/>
          <w:sz w:val="28"/>
          <w:szCs w:val="28"/>
        </w:rPr>
        <w:t>Повышение эффективности внедрения и использования информационных технологий;</w:t>
      </w:r>
    </w:p>
    <w:p w:rsidR="001A5E3C" w:rsidRDefault="001A5E3C" w:rsidP="000A639E">
      <w:pPr>
        <w:pStyle w:val="a3"/>
        <w:numPr>
          <w:ilvl w:val="1"/>
          <w:numId w:val="4"/>
        </w:numPr>
        <w:spacing w:line="360" w:lineRule="auto"/>
        <w:ind w:left="0" w:firstLine="624"/>
        <w:jc w:val="both"/>
        <w:rPr>
          <w:rFonts w:ascii="Times New Roman" w:hAnsi="Times New Roman"/>
          <w:sz w:val="28"/>
          <w:szCs w:val="28"/>
        </w:rPr>
      </w:pPr>
      <w:r>
        <w:rPr>
          <w:rFonts w:ascii="Times New Roman" w:hAnsi="Times New Roman"/>
          <w:sz w:val="28"/>
          <w:szCs w:val="28"/>
        </w:rPr>
        <w:t>Общее увеличение эффективности деятельности медицинских организаций.</w:t>
      </w:r>
    </w:p>
    <w:p w:rsidR="001A5E3C" w:rsidRDefault="001A5E3C" w:rsidP="000A639E">
      <w:pPr>
        <w:pStyle w:val="a3"/>
        <w:numPr>
          <w:ilvl w:val="0"/>
          <w:numId w:val="4"/>
        </w:numPr>
        <w:spacing w:line="360" w:lineRule="auto"/>
        <w:ind w:left="0" w:firstLine="624"/>
        <w:jc w:val="both"/>
        <w:rPr>
          <w:rFonts w:ascii="Times New Roman" w:hAnsi="Times New Roman"/>
          <w:sz w:val="28"/>
          <w:szCs w:val="28"/>
        </w:rPr>
      </w:pPr>
      <w:r>
        <w:rPr>
          <w:rFonts w:ascii="Times New Roman" w:hAnsi="Times New Roman"/>
          <w:sz w:val="28"/>
          <w:szCs w:val="28"/>
        </w:rPr>
        <w:t>Имеющие в основном качественный характер:</w:t>
      </w:r>
    </w:p>
    <w:p w:rsidR="001A5E3C" w:rsidRDefault="001A5E3C" w:rsidP="000A639E">
      <w:pPr>
        <w:pStyle w:val="a3"/>
        <w:numPr>
          <w:ilvl w:val="1"/>
          <w:numId w:val="4"/>
        </w:numPr>
        <w:spacing w:line="360" w:lineRule="auto"/>
        <w:ind w:left="0" w:firstLine="624"/>
        <w:jc w:val="both"/>
        <w:rPr>
          <w:rFonts w:ascii="Times New Roman" w:hAnsi="Times New Roman"/>
          <w:sz w:val="28"/>
          <w:szCs w:val="28"/>
        </w:rPr>
      </w:pPr>
      <w:r>
        <w:rPr>
          <w:rFonts w:ascii="Times New Roman" w:hAnsi="Times New Roman"/>
          <w:sz w:val="28"/>
          <w:szCs w:val="28"/>
        </w:rPr>
        <w:t>Повышение качества медицинской помощи;</w:t>
      </w:r>
    </w:p>
    <w:p w:rsidR="001A5E3C" w:rsidRDefault="001A5E3C" w:rsidP="000A639E">
      <w:pPr>
        <w:pStyle w:val="a3"/>
        <w:numPr>
          <w:ilvl w:val="1"/>
          <w:numId w:val="4"/>
        </w:numPr>
        <w:spacing w:line="360" w:lineRule="auto"/>
        <w:ind w:left="0" w:firstLine="624"/>
        <w:jc w:val="both"/>
        <w:rPr>
          <w:rFonts w:ascii="Times New Roman" w:hAnsi="Times New Roman"/>
          <w:sz w:val="28"/>
          <w:szCs w:val="28"/>
        </w:rPr>
      </w:pPr>
      <w:r>
        <w:rPr>
          <w:rFonts w:ascii="Times New Roman" w:hAnsi="Times New Roman"/>
          <w:sz w:val="28"/>
          <w:szCs w:val="28"/>
        </w:rPr>
        <w:lastRenderedPageBreak/>
        <w:t>Сокращение неравенства при предоставлении медицинских услуг;</w:t>
      </w:r>
    </w:p>
    <w:p w:rsidR="001A5E3C" w:rsidRDefault="001A5E3C" w:rsidP="000A639E">
      <w:pPr>
        <w:pStyle w:val="a3"/>
        <w:numPr>
          <w:ilvl w:val="1"/>
          <w:numId w:val="4"/>
        </w:numPr>
        <w:spacing w:line="360" w:lineRule="auto"/>
        <w:ind w:left="0" w:firstLine="624"/>
        <w:jc w:val="both"/>
        <w:rPr>
          <w:rFonts w:ascii="Times New Roman" w:hAnsi="Times New Roman"/>
          <w:sz w:val="28"/>
          <w:szCs w:val="28"/>
        </w:rPr>
      </w:pPr>
      <w:r>
        <w:rPr>
          <w:rFonts w:ascii="Times New Roman" w:hAnsi="Times New Roman"/>
          <w:sz w:val="28"/>
          <w:szCs w:val="28"/>
        </w:rPr>
        <w:t>Развитие индивидуального и комплексного подхода к пациенту;</w:t>
      </w:r>
    </w:p>
    <w:p w:rsidR="001A5E3C" w:rsidRPr="00CC1894" w:rsidRDefault="001A5E3C" w:rsidP="000A639E">
      <w:pPr>
        <w:pStyle w:val="a3"/>
        <w:numPr>
          <w:ilvl w:val="1"/>
          <w:numId w:val="4"/>
        </w:numPr>
        <w:spacing w:line="360" w:lineRule="auto"/>
        <w:ind w:left="0" w:firstLine="624"/>
        <w:jc w:val="both"/>
        <w:rPr>
          <w:rFonts w:ascii="Times New Roman" w:hAnsi="Times New Roman"/>
          <w:sz w:val="28"/>
          <w:szCs w:val="28"/>
        </w:rPr>
      </w:pPr>
      <w:r>
        <w:rPr>
          <w:rFonts w:ascii="Times New Roman" w:hAnsi="Times New Roman"/>
          <w:sz w:val="28"/>
          <w:szCs w:val="28"/>
        </w:rPr>
        <w:t>Рост квалификации медицинского персонала и соблюдения ими этических норм.</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 xml:space="preserve">Нужно отметить, что при внедрении систем оплаты по результату приоритеты политики государства в сфере здравоохранения обычно бывают отражены через целевые показатели, на основании которых возникают те или иные стимулы у участников отношений. Например, во Франции приоритетами являются профилактическая помощь и помощь при хронических заболеваниях, в Эстонии – помощь при артериальной гипертонии, в Новой Зеландии в приоритете сокращение неравенства среди населения </w:t>
      </w:r>
      <w:r w:rsidR="00095F40">
        <w:rPr>
          <w:rFonts w:ascii="Times New Roman" w:hAnsi="Times New Roman"/>
          <w:sz w:val="28"/>
          <w:szCs w:val="28"/>
        </w:rPr>
        <w:t>[</w:t>
      </w:r>
      <w:r w:rsidR="000E1641">
        <w:rPr>
          <w:rFonts w:ascii="Times New Roman" w:hAnsi="Times New Roman"/>
          <w:sz w:val="28"/>
          <w:szCs w:val="28"/>
        </w:rPr>
        <w:t>23</w:t>
      </w:r>
      <w:r w:rsidRPr="009D5C88">
        <w:rPr>
          <w:rFonts w:ascii="Times New Roman" w:hAnsi="Times New Roman"/>
          <w:sz w:val="28"/>
          <w:szCs w:val="28"/>
        </w:rPr>
        <w:t>]</w:t>
      </w:r>
      <w:r>
        <w:rPr>
          <w:rFonts w:ascii="Times New Roman" w:hAnsi="Times New Roman"/>
          <w:sz w:val="28"/>
          <w:szCs w:val="28"/>
        </w:rPr>
        <w:t>.</w:t>
      </w:r>
    </w:p>
    <w:p w:rsidR="00F92BCC" w:rsidRPr="0055020B" w:rsidRDefault="00F92BCC" w:rsidP="0055020B">
      <w:pPr>
        <w:pStyle w:val="2"/>
        <w:numPr>
          <w:ilvl w:val="1"/>
          <w:numId w:val="16"/>
        </w:numPr>
        <w:spacing w:before="480" w:after="240" w:line="360" w:lineRule="auto"/>
        <w:rPr>
          <w:rFonts w:ascii="Times New Roman" w:hAnsi="Times New Roman"/>
          <w:color w:val="auto"/>
          <w:sz w:val="32"/>
          <w:szCs w:val="32"/>
        </w:rPr>
      </w:pPr>
      <w:bookmarkStart w:id="3" w:name="_Toc357415384"/>
      <w:r w:rsidRPr="0055020B">
        <w:rPr>
          <w:rFonts w:ascii="Times New Roman" w:hAnsi="Times New Roman"/>
          <w:color w:val="auto"/>
          <w:sz w:val="32"/>
          <w:szCs w:val="32"/>
        </w:rPr>
        <w:t>Основные элементы подход</w:t>
      </w:r>
      <w:r w:rsidR="00CE0C28">
        <w:rPr>
          <w:rFonts w:ascii="Times New Roman" w:hAnsi="Times New Roman"/>
          <w:color w:val="auto"/>
          <w:sz w:val="32"/>
          <w:szCs w:val="32"/>
        </w:rPr>
        <w:t>а</w:t>
      </w:r>
      <w:bookmarkEnd w:id="3"/>
    </w:p>
    <w:p w:rsidR="001A5E3C" w:rsidRDefault="001A5E3C" w:rsidP="001E61C7">
      <w:pPr>
        <w:spacing w:line="360" w:lineRule="auto"/>
        <w:jc w:val="both"/>
        <w:rPr>
          <w:rFonts w:ascii="Times New Roman" w:hAnsi="Times New Roman"/>
          <w:sz w:val="28"/>
          <w:szCs w:val="28"/>
        </w:rPr>
      </w:pPr>
      <w:r>
        <w:rPr>
          <w:rFonts w:ascii="Times New Roman" w:hAnsi="Times New Roman"/>
          <w:sz w:val="28"/>
          <w:szCs w:val="28"/>
        </w:rPr>
        <w:t xml:space="preserve">Помимо целевых показателей при внедрении подхода оплаты медицинской помощи за результаты должны учитываться следующие элементы </w:t>
      </w:r>
      <w:r w:rsidRPr="0089782E">
        <w:rPr>
          <w:rFonts w:ascii="Times New Roman" w:hAnsi="Times New Roman"/>
          <w:sz w:val="28"/>
          <w:szCs w:val="28"/>
        </w:rPr>
        <w:t>[</w:t>
      </w:r>
      <w:r w:rsidR="000E1641">
        <w:rPr>
          <w:rFonts w:ascii="Times New Roman" w:hAnsi="Times New Roman"/>
          <w:sz w:val="28"/>
          <w:szCs w:val="28"/>
        </w:rPr>
        <w:t>23</w:t>
      </w:r>
      <w:r w:rsidRPr="0089782E">
        <w:rPr>
          <w:rFonts w:ascii="Times New Roman" w:hAnsi="Times New Roman"/>
          <w:sz w:val="28"/>
          <w:szCs w:val="28"/>
        </w:rPr>
        <w:t>]</w:t>
      </w:r>
      <w:r>
        <w:rPr>
          <w:rFonts w:ascii="Times New Roman" w:hAnsi="Times New Roman"/>
          <w:sz w:val="28"/>
          <w:szCs w:val="28"/>
        </w:rPr>
        <w:t>:</w:t>
      </w:r>
    </w:p>
    <w:p w:rsidR="001A5E3C" w:rsidRDefault="001A5E3C" w:rsidP="000A639E">
      <w:pPr>
        <w:pStyle w:val="a3"/>
        <w:numPr>
          <w:ilvl w:val="0"/>
          <w:numId w:val="6"/>
        </w:numPr>
        <w:spacing w:line="360" w:lineRule="auto"/>
        <w:ind w:left="0" w:firstLine="624"/>
        <w:jc w:val="both"/>
        <w:rPr>
          <w:rFonts w:ascii="Times New Roman" w:hAnsi="Times New Roman"/>
          <w:sz w:val="28"/>
          <w:szCs w:val="28"/>
        </w:rPr>
      </w:pPr>
      <w:r>
        <w:rPr>
          <w:rFonts w:ascii="Times New Roman" w:hAnsi="Times New Roman"/>
          <w:sz w:val="28"/>
          <w:szCs w:val="28"/>
        </w:rPr>
        <w:t>Отчетность и проверка данных (каким образом будет собираться и мониторироваться информация, лежащая в основе оплаты медицинских услуг);</w:t>
      </w:r>
    </w:p>
    <w:p w:rsidR="001A5E3C" w:rsidRDefault="001A5E3C" w:rsidP="000A639E">
      <w:pPr>
        <w:pStyle w:val="a3"/>
        <w:numPr>
          <w:ilvl w:val="0"/>
          <w:numId w:val="6"/>
        </w:numPr>
        <w:spacing w:line="360" w:lineRule="auto"/>
        <w:ind w:left="0" w:firstLine="624"/>
        <w:jc w:val="both"/>
        <w:rPr>
          <w:rFonts w:ascii="Times New Roman" w:hAnsi="Times New Roman"/>
          <w:sz w:val="28"/>
          <w:szCs w:val="28"/>
        </w:rPr>
      </w:pPr>
      <w:r>
        <w:rPr>
          <w:rFonts w:ascii="Times New Roman" w:hAnsi="Times New Roman"/>
          <w:sz w:val="28"/>
          <w:szCs w:val="28"/>
        </w:rPr>
        <w:t>Измерители результатов (показатели, индикаторы, которые имеют приоритетное значение для заказчика);</w:t>
      </w:r>
    </w:p>
    <w:p w:rsidR="001A5E3C" w:rsidRDefault="001A5E3C" w:rsidP="000A639E">
      <w:pPr>
        <w:pStyle w:val="a3"/>
        <w:numPr>
          <w:ilvl w:val="0"/>
          <w:numId w:val="6"/>
        </w:numPr>
        <w:spacing w:line="360" w:lineRule="auto"/>
        <w:ind w:left="0" w:firstLine="624"/>
        <w:jc w:val="both"/>
        <w:rPr>
          <w:rFonts w:ascii="Times New Roman" w:hAnsi="Times New Roman"/>
          <w:sz w:val="28"/>
          <w:szCs w:val="28"/>
        </w:rPr>
      </w:pPr>
      <w:r>
        <w:rPr>
          <w:rFonts w:ascii="Times New Roman" w:hAnsi="Times New Roman"/>
          <w:sz w:val="28"/>
          <w:szCs w:val="28"/>
        </w:rPr>
        <w:t>База для вознаграждения (абсолютные уровни целевых показателей, динамика их изменения/прирост, относительное ранжирование);</w:t>
      </w:r>
    </w:p>
    <w:p w:rsidR="001A5E3C" w:rsidRDefault="001A5E3C" w:rsidP="000A639E">
      <w:pPr>
        <w:pStyle w:val="a3"/>
        <w:numPr>
          <w:ilvl w:val="0"/>
          <w:numId w:val="6"/>
        </w:numPr>
        <w:spacing w:line="360" w:lineRule="auto"/>
        <w:ind w:left="0" w:firstLine="624"/>
        <w:jc w:val="both"/>
        <w:rPr>
          <w:rFonts w:ascii="Times New Roman" w:hAnsi="Times New Roman"/>
          <w:sz w:val="28"/>
          <w:szCs w:val="28"/>
        </w:rPr>
      </w:pPr>
      <w:r>
        <w:rPr>
          <w:rFonts w:ascii="Times New Roman" w:hAnsi="Times New Roman"/>
          <w:sz w:val="28"/>
          <w:szCs w:val="28"/>
        </w:rPr>
        <w:lastRenderedPageBreak/>
        <w:t>Вознаграждение (материальное стимулирование – премиальная выплата, нематериальное стимулирование – публикация показателей и/или рангов).</w:t>
      </w:r>
    </w:p>
    <w:p w:rsidR="001A5E3C" w:rsidRPr="00C103AF"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 xml:space="preserve">В качестве базы для вознаграждения чаще всего выступают абсолютные величины показателей, по достижении которых производится оплата. Недостатком такого подхода является сложность верного определения значения показателя (в частности, для принятия решения нужна качественная статистическая база, что часто бывает проблемой). В </w:t>
      </w:r>
      <w:r w:rsidR="00157385">
        <w:rPr>
          <w:rFonts w:ascii="Times New Roman" w:hAnsi="Times New Roman"/>
          <w:sz w:val="28"/>
          <w:szCs w:val="28"/>
        </w:rPr>
        <w:t>Таблице 1</w:t>
      </w:r>
      <w:r w:rsidR="007A6CD9">
        <w:rPr>
          <w:rFonts w:ascii="Times New Roman" w:hAnsi="Times New Roman"/>
          <w:sz w:val="28"/>
          <w:szCs w:val="28"/>
        </w:rPr>
        <w:t xml:space="preserve"> </w:t>
      </w:r>
      <w:r>
        <w:rPr>
          <w:rFonts w:ascii="Times New Roman" w:hAnsi="Times New Roman"/>
          <w:sz w:val="28"/>
          <w:szCs w:val="28"/>
        </w:rPr>
        <w:t>приведены некоторые примеры целевых показателей, применяемых в разных странах</w:t>
      </w:r>
      <w:r w:rsidR="00C60C1C">
        <w:rPr>
          <w:rFonts w:ascii="Times New Roman" w:hAnsi="Times New Roman"/>
          <w:sz w:val="28"/>
          <w:szCs w:val="28"/>
        </w:rPr>
        <w:t xml:space="preserve"> </w:t>
      </w:r>
      <w:r w:rsidR="00C60C1C" w:rsidRPr="00C60C1C">
        <w:rPr>
          <w:rFonts w:ascii="Times New Roman" w:hAnsi="Times New Roman"/>
          <w:sz w:val="28"/>
          <w:szCs w:val="28"/>
        </w:rPr>
        <w:t>(источник – [23])</w:t>
      </w:r>
      <w:r>
        <w:rPr>
          <w:rFonts w:ascii="Times New Roman" w:hAnsi="Times New Roman"/>
          <w:sz w:val="28"/>
          <w:szCs w:val="28"/>
        </w:rPr>
        <w:t>. Ряд подходов к оплате медицинской помощи по результату довольно категоричен (как, например, в Бразилии) – как показывает практика, наиболее жесткими оказываются системы развивающихся стран. В отличие от них, государства с развитыми экономическими отношениям, в том числе в сфере здравоохранения, устанавливают более гибкие системы оплаты, учитывающие разнообразные весовые коэффициенты для каждой отдельной цели.</w:t>
      </w:r>
    </w:p>
    <w:tbl>
      <w:tblPr>
        <w:tblStyle w:val="a7"/>
        <w:tblW w:w="9571" w:type="dxa"/>
        <w:tblLook w:val="04A0"/>
      </w:tblPr>
      <w:tblGrid>
        <w:gridCol w:w="3085"/>
        <w:gridCol w:w="6486"/>
      </w:tblGrid>
      <w:tr w:rsidR="001A5E3C" w:rsidRPr="00CC1894" w:rsidTr="00C60C1C">
        <w:trPr>
          <w:trHeight w:val="1111"/>
        </w:trPr>
        <w:tc>
          <w:tcPr>
            <w:tcW w:w="3085" w:type="dxa"/>
            <w:hideMark/>
          </w:tcPr>
          <w:p w:rsidR="001A5E3C" w:rsidRPr="000821AC" w:rsidRDefault="001A5E3C" w:rsidP="00C60C1C">
            <w:pPr>
              <w:spacing w:line="276" w:lineRule="auto"/>
              <w:rPr>
                <w:rFonts w:ascii="Times New Roman" w:hAnsi="Times New Roman"/>
                <w:sz w:val="28"/>
                <w:szCs w:val="28"/>
              </w:rPr>
            </w:pPr>
            <w:r w:rsidRPr="000821AC">
              <w:rPr>
                <w:rFonts w:ascii="Times New Roman" w:hAnsi="Times New Roman"/>
                <w:sz w:val="28"/>
                <w:szCs w:val="28"/>
              </w:rPr>
              <w:t xml:space="preserve">Австралия </w:t>
            </w:r>
            <w:r>
              <w:rPr>
                <w:rFonts w:ascii="Times New Roman" w:hAnsi="Times New Roman"/>
                <w:sz w:val="28"/>
                <w:szCs w:val="28"/>
              </w:rPr>
              <w:t>(</w:t>
            </w:r>
            <w:r w:rsidRPr="000821AC">
              <w:rPr>
                <w:rFonts w:ascii="Times New Roman" w:hAnsi="Times New Roman"/>
                <w:sz w:val="28"/>
                <w:szCs w:val="28"/>
              </w:rPr>
              <w:t>PIP</w:t>
            </w:r>
            <w:r>
              <w:rPr>
                <w:rFonts w:ascii="Times New Roman" w:hAnsi="Times New Roman"/>
                <w:sz w:val="28"/>
                <w:szCs w:val="28"/>
              </w:rPr>
              <w:t>)</w:t>
            </w:r>
          </w:p>
        </w:tc>
        <w:tc>
          <w:tcPr>
            <w:tcW w:w="6486" w:type="dxa"/>
            <w:hideMark/>
          </w:tcPr>
          <w:p w:rsidR="001A5E3C" w:rsidRPr="000821AC" w:rsidRDefault="001A5E3C" w:rsidP="00C60C1C">
            <w:pPr>
              <w:spacing w:line="276" w:lineRule="auto"/>
              <w:rPr>
                <w:rFonts w:ascii="Times New Roman" w:hAnsi="Times New Roman"/>
                <w:sz w:val="28"/>
                <w:szCs w:val="28"/>
              </w:rPr>
            </w:pPr>
            <w:r w:rsidRPr="000821AC">
              <w:rPr>
                <w:rFonts w:ascii="Times New Roman" w:hAnsi="Times New Roman"/>
                <w:sz w:val="28"/>
                <w:szCs w:val="28"/>
              </w:rPr>
              <w:t>Базовая ставка за достижение минимальных критериев, далее за пациенто-эквивалент или за услугу</w:t>
            </w:r>
            <w:r>
              <w:rPr>
                <w:rFonts w:ascii="Times New Roman" w:hAnsi="Times New Roman"/>
                <w:sz w:val="28"/>
                <w:szCs w:val="28"/>
              </w:rPr>
              <w:t>.</w:t>
            </w:r>
          </w:p>
        </w:tc>
      </w:tr>
      <w:tr w:rsidR="001A5E3C" w:rsidRPr="00CC1894" w:rsidTr="00C60C1C">
        <w:trPr>
          <w:trHeight w:val="490"/>
        </w:trPr>
        <w:tc>
          <w:tcPr>
            <w:tcW w:w="3085" w:type="dxa"/>
            <w:hideMark/>
          </w:tcPr>
          <w:p w:rsidR="001A5E3C" w:rsidRPr="000821AC" w:rsidRDefault="001A5E3C" w:rsidP="00C60C1C">
            <w:pPr>
              <w:spacing w:line="276" w:lineRule="auto"/>
              <w:rPr>
                <w:rFonts w:ascii="Times New Roman" w:hAnsi="Times New Roman"/>
                <w:sz w:val="28"/>
                <w:szCs w:val="28"/>
              </w:rPr>
            </w:pPr>
            <w:r w:rsidRPr="000821AC">
              <w:rPr>
                <w:rFonts w:ascii="Times New Roman" w:hAnsi="Times New Roman"/>
                <w:sz w:val="28"/>
                <w:szCs w:val="28"/>
              </w:rPr>
              <w:t xml:space="preserve">Бразилия </w:t>
            </w:r>
            <w:r>
              <w:rPr>
                <w:rFonts w:ascii="Times New Roman" w:hAnsi="Times New Roman"/>
                <w:sz w:val="28"/>
                <w:szCs w:val="28"/>
              </w:rPr>
              <w:t>(</w:t>
            </w:r>
            <w:r w:rsidRPr="000821AC">
              <w:rPr>
                <w:rFonts w:ascii="Times New Roman" w:hAnsi="Times New Roman"/>
                <w:sz w:val="28"/>
                <w:szCs w:val="28"/>
              </w:rPr>
              <w:t>PIMESF</w:t>
            </w:r>
            <w:r>
              <w:rPr>
                <w:rFonts w:ascii="Times New Roman" w:hAnsi="Times New Roman"/>
                <w:sz w:val="28"/>
                <w:szCs w:val="28"/>
              </w:rPr>
              <w:t>)</w:t>
            </w:r>
          </w:p>
        </w:tc>
        <w:tc>
          <w:tcPr>
            <w:tcW w:w="6486" w:type="dxa"/>
            <w:hideMark/>
          </w:tcPr>
          <w:p w:rsidR="001A5E3C" w:rsidRPr="000821AC" w:rsidRDefault="001A5E3C" w:rsidP="00C60C1C">
            <w:pPr>
              <w:spacing w:line="276" w:lineRule="auto"/>
              <w:rPr>
                <w:rFonts w:ascii="Times New Roman" w:hAnsi="Times New Roman"/>
                <w:sz w:val="28"/>
                <w:szCs w:val="28"/>
              </w:rPr>
            </w:pPr>
            <w:r w:rsidRPr="000821AC">
              <w:rPr>
                <w:rFonts w:ascii="Times New Roman" w:hAnsi="Times New Roman"/>
                <w:sz w:val="28"/>
                <w:szCs w:val="28"/>
              </w:rPr>
              <w:t>“Все-или-ничег</w:t>
            </w:r>
            <w:r>
              <w:rPr>
                <w:rFonts w:ascii="Times New Roman" w:hAnsi="Times New Roman"/>
                <w:sz w:val="28"/>
                <w:szCs w:val="28"/>
              </w:rPr>
              <w:t>о”, оплата только в случае, когда достигнуты все 6 целей.</w:t>
            </w:r>
          </w:p>
        </w:tc>
      </w:tr>
      <w:tr w:rsidR="001A5E3C" w:rsidRPr="00CC1894" w:rsidTr="00C60C1C">
        <w:trPr>
          <w:trHeight w:val="600"/>
        </w:trPr>
        <w:tc>
          <w:tcPr>
            <w:tcW w:w="3085" w:type="dxa"/>
            <w:hideMark/>
          </w:tcPr>
          <w:p w:rsidR="001A5E3C" w:rsidRPr="000821AC" w:rsidRDefault="001A5E3C" w:rsidP="00C60C1C">
            <w:pPr>
              <w:spacing w:line="276" w:lineRule="auto"/>
              <w:rPr>
                <w:rFonts w:ascii="Times New Roman" w:hAnsi="Times New Roman"/>
                <w:sz w:val="28"/>
                <w:szCs w:val="28"/>
              </w:rPr>
            </w:pPr>
            <w:r w:rsidRPr="000821AC">
              <w:rPr>
                <w:rFonts w:ascii="Times New Roman" w:hAnsi="Times New Roman"/>
                <w:sz w:val="28"/>
                <w:szCs w:val="28"/>
              </w:rPr>
              <w:t xml:space="preserve">Франция </w:t>
            </w:r>
            <w:r>
              <w:rPr>
                <w:rFonts w:ascii="Times New Roman" w:hAnsi="Times New Roman"/>
                <w:sz w:val="28"/>
                <w:szCs w:val="28"/>
              </w:rPr>
              <w:t>(</w:t>
            </w:r>
            <w:r w:rsidRPr="000821AC">
              <w:rPr>
                <w:rFonts w:ascii="Times New Roman" w:hAnsi="Times New Roman"/>
                <w:sz w:val="28"/>
                <w:szCs w:val="28"/>
              </w:rPr>
              <w:t>CAPI</w:t>
            </w:r>
            <w:r>
              <w:rPr>
                <w:rFonts w:ascii="Times New Roman" w:hAnsi="Times New Roman"/>
                <w:sz w:val="28"/>
                <w:szCs w:val="28"/>
              </w:rPr>
              <w:t>)</w:t>
            </w:r>
          </w:p>
        </w:tc>
        <w:tc>
          <w:tcPr>
            <w:tcW w:w="6486" w:type="dxa"/>
            <w:hideMark/>
          </w:tcPr>
          <w:p w:rsidR="001A5E3C" w:rsidRPr="000821AC" w:rsidRDefault="001A5E3C" w:rsidP="00C60C1C">
            <w:pPr>
              <w:spacing w:line="276" w:lineRule="auto"/>
              <w:rPr>
                <w:rFonts w:ascii="Times New Roman" w:hAnsi="Times New Roman"/>
                <w:sz w:val="28"/>
                <w:szCs w:val="28"/>
              </w:rPr>
            </w:pPr>
            <w:r w:rsidRPr="000821AC">
              <w:rPr>
                <w:rFonts w:ascii="Times New Roman" w:hAnsi="Times New Roman"/>
                <w:sz w:val="28"/>
                <w:szCs w:val="28"/>
              </w:rPr>
              <w:t>Расчет коэффициента достижения цели по каждому индикатору</w:t>
            </w:r>
            <w:r>
              <w:rPr>
                <w:rFonts w:ascii="Times New Roman" w:hAnsi="Times New Roman"/>
                <w:sz w:val="28"/>
                <w:szCs w:val="28"/>
              </w:rPr>
              <w:t>.</w:t>
            </w:r>
          </w:p>
        </w:tc>
      </w:tr>
      <w:tr w:rsidR="001A5E3C" w:rsidRPr="00CC1894" w:rsidTr="00C60C1C">
        <w:trPr>
          <w:trHeight w:val="1035"/>
        </w:trPr>
        <w:tc>
          <w:tcPr>
            <w:tcW w:w="3085" w:type="dxa"/>
            <w:hideMark/>
          </w:tcPr>
          <w:p w:rsidR="001A5E3C" w:rsidRPr="000821AC" w:rsidRDefault="001A5E3C" w:rsidP="00C60C1C">
            <w:pPr>
              <w:spacing w:line="276" w:lineRule="auto"/>
              <w:rPr>
                <w:rFonts w:ascii="Times New Roman" w:hAnsi="Times New Roman"/>
                <w:sz w:val="28"/>
                <w:szCs w:val="28"/>
                <w:lang w:val="en-US"/>
              </w:rPr>
            </w:pPr>
            <w:r w:rsidRPr="000821AC">
              <w:rPr>
                <w:rFonts w:ascii="Times New Roman" w:hAnsi="Times New Roman"/>
                <w:sz w:val="28"/>
                <w:szCs w:val="28"/>
              </w:rPr>
              <w:t>Новая</w:t>
            </w:r>
            <w:r w:rsidRPr="000821AC">
              <w:rPr>
                <w:rFonts w:ascii="Times New Roman" w:hAnsi="Times New Roman"/>
                <w:sz w:val="28"/>
                <w:szCs w:val="28"/>
                <w:lang w:val="en-US"/>
              </w:rPr>
              <w:t xml:space="preserve"> </w:t>
            </w:r>
            <w:r w:rsidRPr="000821AC">
              <w:rPr>
                <w:rFonts w:ascii="Times New Roman" w:hAnsi="Times New Roman"/>
                <w:sz w:val="28"/>
                <w:szCs w:val="28"/>
              </w:rPr>
              <w:t>Зеландия</w:t>
            </w:r>
            <w:r w:rsidRPr="000821AC">
              <w:rPr>
                <w:rFonts w:ascii="Times New Roman" w:hAnsi="Times New Roman"/>
                <w:sz w:val="28"/>
                <w:szCs w:val="28"/>
                <w:lang w:val="en-US"/>
              </w:rPr>
              <w:t xml:space="preserve"> (PHO Performance Programme)</w:t>
            </w:r>
          </w:p>
        </w:tc>
        <w:tc>
          <w:tcPr>
            <w:tcW w:w="6486" w:type="dxa"/>
            <w:hideMark/>
          </w:tcPr>
          <w:p w:rsidR="001A5E3C" w:rsidRPr="000821AC" w:rsidRDefault="001A5E3C" w:rsidP="00C60C1C">
            <w:pPr>
              <w:spacing w:line="276" w:lineRule="auto"/>
              <w:rPr>
                <w:rFonts w:ascii="Times New Roman" w:hAnsi="Times New Roman"/>
                <w:sz w:val="28"/>
                <w:szCs w:val="28"/>
              </w:rPr>
            </w:pPr>
            <w:r w:rsidRPr="000821AC">
              <w:rPr>
                <w:rFonts w:ascii="Times New Roman" w:hAnsi="Times New Roman"/>
                <w:sz w:val="28"/>
                <w:szCs w:val="28"/>
              </w:rPr>
              <w:t>Оплата по базовой ставке за приписанного за каждый индикатор, если цель достигнута</w:t>
            </w:r>
            <w:r>
              <w:rPr>
                <w:rFonts w:ascii="Times New Roman" w:hAnsi="Times New Roman"/>
                <w:sz w:val="28"/>
                <w:szCs w:val="28"/>
              </w:rPr>
              <w:t>.</w:t>
            </w:r>
          </w:p>
        </w:tc>
      </w:tr>
      <w:tr w:rsidR="001A5E3C" w:rsidRPr="00CC1894" w:rsidTr="00C60C1C">
        <w:trPr>
          <w:trHeight w:val="670"/>
        </w:trPr>
        <w:tc>
          <w:tcPr>
            <w:tcW w:w="3085" w:type="dxa"/>
            <w:hideMark/>
          </w:tcPr>
          <w:p w:rsidR="001A5E3C" w:rsidRPr="000821AC" w:rsidRDefault="001A5E3C" w:rsidP="00C60C1C">
            <w:pPr>
              <w:spacing w:line="276" w:lineRule="auto"/>
              <w:rPr>
                <w:rFonts w:ascii="Times New Roman" w:hAnsi="Times New Roman"/>
                <w:sz w:val="28"/>
                <w:szCs w:val="28"/>
              </w:rPr>
            </w:pPr>
            <w:r>
              <w:rPr>
                <w:rFonts w:ascii="Times New Roman" w:hAnsi="Times New Roman"/>
                <w:sz w:val="28"/>
                <w:szCs w:val="28"/>
              </w:rPr>
              <w:t>Великобритания (</w:t>
            </w:r>
            <w:r w:rsidRPr="000821AC">
              <w:rPr>
                <w:rFonts w:ascii="Times New Roman" w:hAnsi="Times New Roman"/>
                <w:sz w:val="28"/>
                <w:szCs w:val="28"/>
              </w:rPr>
              <w:t>QOF</w:t>
            </w:r>
            <w:r>
              <w:rPr>
                <w:rFonts w:ascii="Times New Roman" w:hAnsi="Times New Roman"/>
                <w:sz w:val="28"/>
                <w:szCs w:val="28"/>
              </w:rPr>
              <w:t>)</w:t>
            </w:r>
            <w:r w:rsidRPr="000821AC">
              <w:rPr>
                <w:rFonts w:ascii="Times New Roman" w:hAnsi="Times New Roman"/>
                <w:sz w:val="28"/>
                <w:szCs w:val="28"/>
              </w:rPr>
              <w:t xml:space="preserve"> </w:t>
            </w:r>
          </w:p>
        </w:tc>
        <w:tc>
          <w:tcPr>
            <w:tcW w:w="6486" w:type="dxa"/>
            <w:hideMark/>
          </w:tcPr>
          <w:p w:rsidR="001A5E3C" w:rsidRPr="000821AC" w:rsidRDefault="001A5E3C" w:rsidP="00C60C1C">
            <w:pPr>
              <w:spacing w:line="276" w:lineRule="auto"/>
              <w:rPr>
                <w:rFonts w:ascii="Times New Roman" w:hAnsi="Times New Roman"/>
                <w:sz w:val="28"/>
                <w:szCs w:val="28"/>
              </w:rPr>
            </w:pPr>
            <w:r w:rsidRPr="000821AC">
              <w:rPr>
                <w:rFonts w:ascii="Times New Roman" w:hAnsi="Times New Roman"/>
                <w:sz w:val="28"/>
                <w:szCs w:val="28"/>
              </w:rPr>
              <w:t>Цели с максимальным числом баллов</w:t>
            </w:r>
            <w:r>
              <w:rPr>
                <w:rFonts w:ascii="Times New Roman" w:hAnsi="Times New Roman"/>
                <w:sz w:val="28"/>
                <w:szCs w:val="28"/>
              </w:rPr>
              <w:t xml:space="preserve">, </w:t>
            </w:r>
            <w:r w:rsidRPr="000821AC">
              <w:rPr>
                <w:rFonts w:ascii="Times New Roman" w:hAnsi="Times New Roman"/>
                <w:sz w:val="28"/>
                <w:szCs w:val="28"/>
              </w:rPr>
              <w:t>ставка за каждый набранный балл</w:t>
            </w:r>
            <w:r>
              <w:rPr>
                <w:rFonts w:ascii="Times New Roman" w:hAnsi="Times New Roman"/>
                <w:sz w:val="28"/>
                <w:szCs w:val="28"/>
              </w:rPr>
              <w:t>.</w:t>
            </w:r>
          </w:p>
        </w:tc>
      </w:tr>
      <w:tr w:rsidR="001A5E3C" w:rsidRPr="00CC1894" w:rsidTr="00C60C1C">
        <w:trPr>
          <w:trHeight w:val="886"/>
        </w:trPr>
        <w:tc>
          <w:tcPr>
            <w:tcW w:w="3085" w:type="dxa"/>
            <w:hideMark/>
          </w:tcPr>
          <w:p w:rsidR="001A5E3C" w:rsidRPr="000821AC" w:rsidRDefault="001A5E3C" w:rsidP="00C60C1C">
            <w:pPr>
              <w:spacing w:line="276" w:lineRule="auto"/>
              <w:jc w:val="both"/>
              <w:rPr>
                <w:rFonts w:ascii="Times New Roman" w:hAnsi="Times New Roman"/>
                <w:sz w:val="28"/>
                <w:szCs w:val="28"/>
              </w:rPr>
            </w:pPr>
            <w:r>
              <w:rPr>
                <w:rFonts w:ascii="Times New Roman" w:hAnsi="Times New Roman"/>
                <w:sz w:val="28"/>
                <w:szCs w:val="28"/>
              </w:rPr>
              <w:t>США</w:t>
            </w:r>
            <w:r w:rsidRPr="000821AC">
              <w:rPr>
                <w:rFonts w:ascii="Times New Roman" w:hAnsi="Times New Roman"/>
                <w:sz w:val="28"/>
                <w:szCs w:val="28"/>
              </w:rPr>
              <w:t xml:space="preserve"> </w:t>
            </w:r>
            <w:r>
              <w:rPr>
                <w:rFonts w:ascii="Times New Roman" w:hAnsi="Times New Roman"/>
                <w:sz w:val="28"/>
                <w:szCs w:val="28"/>
              </w:rPr>
              <w:t>(</w:t>
            </w:r>
            <w:r w:rsidRPr="000821AC">
              <w:rPr>
                <w:rFonts w:ascii="Times New Roman" w:hAnsi="Times New Roman"/>
                <w:sz w:val="28"/>
                <w:szCs w:val="28"/>
              </w:rPr>
              <w:t>HQID</w:t>
            </w:r>
            <w:r>
              <w:rPr>
                <w:rFonts w:ascii="Times New Roman" w:hAnsi="Times New Roman"/>
                <w:sz w:val="28"/>
                <w:szCs w:val="28"/>
              </w:rPr>
              <w:t>)</w:t>
            </w:r>
            <w:r w:rsidRPr="000821AC">
              <w:rPr>
                <w:rFonts w:ascii="Times New Roman" w:hAnsi="Times New Roman"/>
                <w:sz w:val="28"/>
                <w:szCs w:val="28"/>
              </w:rPr>
              <w:t xml:space="preserve"> </w:t>
            </w:r>
          </w:p>
        </w:tc>
        <w:tc>
          <w:tcPr>
            <w:tcW w:w="6486" w:type="dxa"/>
            <w:hideMark/>
          </w:tcPr>
          <w:p w:rsidR="001A5E3C" w:rsidRPr="000821AC" w:rsidRDefault="001A5E3C" w:rsidP="00C60C1C">
            <w:pPr>
              <w:spacing w:line="276" w:lineRule="auto"/>
              <w:jc w:val="both"/>
              <w:rPr>
                <w:rFonts w:ascii="Times New Roman" w:hAnsi="Times New Roman"/>
                <w:sz w:val="28"/>
                <w:szCs w:val="28"/>
              </w:rPr>
            </w:pPr>
            <w:r w:rsidRPr="000821AC">
              <w:rPr>
                <w:rFonts w:ascii="Times New Roman" w:hAnsi="Times New Roman"/>
                <w:sz w:val="28"/>
                <w:szCs w:val="28"/>
              </w:rPr>
              <w:t>Конкурентная</w:t>
            </w:r>
            <w:r>
              <w:rPr>
                <w:rFonts w:ascii="Times New Roman" w:hAnsi="Times New Roman"/>
                <w:sz w:val="28"/>
                <w:szCs w:val="28"/>
              </w:rPr>
              <w:t xml:space="preserve"> – </w:t>
            </w:r>
            <w:r w:rsidRPr="000821AC">
              <w:rPr>
                <w:rFonts w:ascii="Times New Roman" w:hAnsi="Times New Roman"/>
                <w:sz w:val="28"/>
                <w:szCs w:val="28"/>
              </w:rPr>
              <w:t>лучшие 20% поставщиков получают 2% от возмещения в системе Medicare</w:t>
            </w:r>
            <w:r>
              <w:rPr>
                <w:rFonts w:ascii="Times New Roman" w:hAnsi="Times New Roman"/>
                <w:sz w:val="28"/>
                <w:szCs w:val="28"/>
              </w:rPr>
              <w:t>.</w:t>
            </w:r>
          </w:p>
        </w:tc>
      </w:tr>
    </w:tbl>
    <w:p w:rsidR="001A5E3C" w:rsidRPr="007A6CD9" w:rsidRDefault="007A6CD9" w:rsidP="007A6CD9">
      <w:pPr>
        <w:spacing w:before="240" w:after="240" w:line="360" w:lineRule="auto"/>
        <w:ind w:left="709" w:right="567"/>
        <w:jc w:val="both"/>
        <w:rPr>
          <w:rFonts w:ascii="Times New Roman" w:hAnsi="Times New Roman"/>
          <w:b/>
        </w:rPr>
      </w:pPr>
      <w:r w:rsidRPr="007A6CD9">
        <w:rPr>
          <w:rFonts w:ascii="Times New Roman" w:hAnsi="Times New Roman"/>
          <w:b/>
        </w:rPr>
        <w:t xml:space="preserve"> Таблица 1. Примеры целевых показателей при оплате по результатам деятельности медицинских организаций в разных странах (источник – [23])</w:t>
      </w:r>
      <w:r w:rsidR="00C60C1C">
        <w:rPr>
          <w:rFonts w:ascii="Times New Roman" w:hAnsi="Times New Roman"/>
          <w:b/>
        </w:rPr>
        <w:t>.</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lastRenderedPageBreak/>
        <w:t xml:space="preserve">Целевые показатели, имеющие количественное выражение, способствуют более ясному пониманию требований, предъявляемых к медицинским организациям и медицинскому персоналу, и соответственно большей фокусировке именно на приоритетных для государства показателях. В то же время, введение целевых показателей может привести к отбору медицинскими организациями </w:t>
      </w:r>
      <w:r w:rsidR="009C4C2F">
        <w:rPr>
          <w:rFonts w:ascii="Times New Roman" w:hAnsi="Times New Roman"/>
          <w:sz w:val="28"/>
          <w:szCs w:val="28"/>
        </w:rPr>
        <w:t>«</w:t>
      </w:r>
      <w:r>
        <w:rPr>
          <w:rFonts w:ascii="Times New Roman" w:hAnsi="Times New Roman"/>
          <w:sz w:val="28"/>
          <w:szCs w:val="28"/>
        </w:rPr>
        <w:t>легких</w:t>
      </w:r>
      <w:r w:rsidR="009C4C2F">
        <w:rPr>
          <w:rFonts w:ascii="Times New Roman" w:hAnsi="Times New Roman"/>
          <w:sz w:val="28"/>
          <w:szCs w:val="28"/>
        </w:rPr>
        <w:t>»</w:t>
      </w:r>
      <w:r>
        <w:rPr>
          <w:rFonts w:ascii="Times New Roman" w:hAnsi="Times New Roman"/>
          <w:sz w:val="28"/>
          <w:szCs w:val="28"/>
        </w:rPr>
        <w:t xml:space="preserve"> пациентов, чтобы получить полную оплату при наименьших затратах. </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Также существуют серьезные риски того, что если стимулирующая часть будет институционально введена после долголетнего опыта применения основной системы оплаты медицинских услуг, то эффект от новых стимулов будет нивелирован инертностью старой системы. Возможным ответом на это может быть сокращение базовой ставки и перенос части денежного вознаграждения из оклада в премию, выплачиваемую по результатам деятельности.</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Например, если ранее оклад врача составлял 3000 евро в месяц, то после введения системы оплаты медицинской помощи по результатам, он будет составлять 2000 евро плюс премия 1200 евро, выплачиваемая при достижении определенных целевых показателей. Такой подход позволит выделить лучших врачей, т.к. врачи, не способные достичь целевых показателей, будут принимать решение об уходе из организации. Отметим также, что суммарный доход врача после внедрения новой системы оплаты должен быть больше, чем до этого, поскольку нельзя игнорировать тот факт, что в большинстве своем люди склонны к неприятию риска, порождаемому введением бонусной части.</w:t>
      </w:r>
    </w:p>
    <w:p w:rsidR="00F92BCC" w:rsidRPr="00CE0C28" w:rsidRDefault="00F92BCC" w:rsidP="00127805">
      <w:pPr>
        <w:pStyle w:val="2"/>
        <w:numPr>
          <w:ilvl w:val="1"/>
          <w:numId w:val="16"/>
        </w:numPr>
        <w:spacing w:before="360" w:after="240" w:line="360" w:lineRule="auto"/>
        <w:rPr>
          <w:rFonts w:ascii="Times New Roman" w:hAnsi="Times New Roman"/>
          <w:color w:val="auto"/>
          <w:sz w:val="32"/>
          <w:szCs w:val="32"/>
        </w:rPr>
      </w:pPr>
      <w:bookmarkStart w:id="4" w:name="_Toc357415385"/>
      <w:r w:rsidRPr="00CE0C28">
        <w:rPr>
          <w:rFonts w:ascii="Times New Roman" w:hAnsi="Times New Roman"/>
          <w:color w:val="auto"/>
          <w:sz w:val="32"/>
          <w:szCs w:val="32"/>
        </w:rPr>
        <w:t>Достоинства и недостатки подхода</w:t>
      </w:r>
      <w:bookmarkEnd w:id="4"/>
    </w:p>
    <w:p w:rsidR="001A5E3C" w:rsidRDefault="001A5E3C" w:rsidP="0055020B">
      <w:pPr>
        <w:spacing w:line="360" w:lineRule="auto"/>
        <w:jc w:val="both"/>
        <w:rPr>
          <w:rFonts w:ascii="Times New Roman" w:hAnsi="Times New Roman"/>
          <w:sz w:val="28"/>
          <w:szCs w:val="28"/>
        </w:rPr>
      </w:pPr>
      <w:r>
        <w:rPr>
          <w:rFonts w:ascii="Times New Roman" w:hAnsi="Times New Roman"/>
          <w:sz w:val="28"/>
          <w:szCs w:val="28"/>
        </w:rPr>
        <w:t xml:space="preserve">Экспертами отмечается, что схемы оплаты медицинской помощи по результату обладают рядом серьезных недостатков </w:t>
      </w:r>
      <w:r w:rsidR="00E66036">
        <w:rPr>
          <w:rFonts w:ascii="Times New Roman" w:hAnsi="Times New Roman"/>
          <w:sz w:val="28"/>
          <w:szCs w:val="28"/>
        </w:rPr>
        <w:t>[</w:t>
      </w:r>
      <w:r w:rsidR="000E1641">
        <w:rPr>
          <w:rFonts w:ascii="Times New Roman" w:hAnsi="Times New Roman"/>
          <w:sz w:val="28"/>
          <w:szCs w:val="28"/>
        </w:rPr>
        <w:t>23</w:t>
      </w:r>
      <w:r w:rsidRPr="00833EAB">
        <w:rPr>
          <w:rFonts w:ascii="Times New Roman" w:hAnsi="Times New Roman"/>
          <w:sz w:val="28"/>
          <w:szCs w:val="28"/>
        </w:rPr>
        <w:t>]</w:t>
      </w:r>
      <w:r>
        <w:rPr>
          <w:rFonts w:ascii="Times New Roman" w:hAnsi="Times New Roman"/>
          <w:sz w:val="28"/>
          <w:szCs w:val="28"/>
        </w:rPr>
        <w:t>:</w:t>
      </w:r>
    </w:p>
    <w:p w:rsidR="001A5E3C" w:rsidRDefault="001A5E3C" w:rsidP="000A639E">
      <w:pPr>
        <w:pStyle w:val="a3"/>
        <w:numPr>
          <w:ilvl w:val="0"/>
          <w:numId w:val="5"/>
        </w:numPr>
        <w:spacing w:line="360" w:lineRule="auto"/>
        <w:ind w:left="0" w:firstLine="624"/>
        <w:jc w:val="both"/>
        <w:rPr>
          <w:rFonts w:ascii="Times New Roman" w:hAnsi="Times New Roman"/>
          <w:sz w:val="28"/>
          <w:szCs w:val="28"/>
        </w:rPr>
      </w:pPr>
      <w:r>
        <w:rPr>
          <w:rFonts w:ascii="Times New Roman" w:hAnsi="Times New Roman"/>
          <w:sz w:val="28"/>
          <w:szCs w:val="28"/>
        </w:rPr>
        <w:lastRenderedPageBreak/>
        <w:t>Обычно они очень дорогостоящи при внедрении и мониторинге;</w:t>
      </w:r>
    </w:p>
    <w:p w:rsidR="001A5E3C" w:rsidRDefault="001A5E3C" w:rsidP="000A639E">
      <w:pPr>
        <w:pStyle w:val="a3"/>
        <w:numPr>
          <w:ilvl w:val="0"/>
          <w:numId w:val="5"/>
        </w:numPr>
        <w:spacing w:line="360" w:lineRule="auto"/>
        <w:ind w:left="0" w:firstLine="624"/>
        <w:jc w:val="both"/>
        <w:rPr>
          <w:rFonts w:ascii="Times New Roman" w:hAnsi="Times New Roman"/>
          <w:sz w:val="28"/>
          <w:szCs w:val="28"/>
        </w:rPr>
      </w:pPr>
      <w:r>
        <w:rPr>
          <w:rFonts w:ascii="Times New Roman" w:hAnsi="Times New Roman"/>
          <w:sz w:val="28"/>
          <w:szCs w:val="28"/>
        </w:rPr>
        <w:t>Методологические недостатки, связанные с невозможностью охвата всех важных показателей результативности деятельности медицинских организации, сложностью оценки качественных характеристик и недостаточной проработанностью теоретических подходов.</w:t>
      </w:r>
    </w:p>
    <w:p w:rsidR="001A5E3C" w:rsidRDefault="001A5E3C" w:rsidP="000A639E">
      <w:pPr>
        <w:pStyle w:val="a3"/>
        <w:numPr>
          <w:ilvl w:val="0"/>
          <w:numId w:val="5"/>
        </w:numPr>
        <w:spacing w:line="360" w:lineRule="auto"/>
        <w:ind w:left="0" w:firstLine="624"/>
        <w:jc w:val="both"/>
        <w:rPr>
          <w:rFonts w:ascii="Times New Roman" w:hAnsi="Times New Roman"/>
          <w:sz w:val="28"/>
          <w:szCs w:val="28"/>
        </w:rPr>
      </w:pPr>
      <w:r>
        <w:rPr>
          <w:rFonts w:ascii="Times New Roman" w:hAnsi="Times New Roman"/>
          <w:sz w:val="28"/>
          <w:szCs w:val="28"/>
        </w:rPr>
        <w:t>Достаточно скромное воздействие на результаты медицинской помощи и качество.</w:t>
      </w:r>
    </w:p>
    <w:p w:rsidR="001A5E3C" w:rsidRDefault="001A5E3C" w:rsidP="000A639E">
      <w:pPr>
        <w:pStyle w:val="a3"/>
        <w:numPr>
          <w:ilvl w:val="0"/>
          <w:numId w:val="5"/>
        </w:numPr>
        <w:spacing w:line="360" w:lineRule="auto"/>
        <w:ind w:left="0" w:firstLine="624"/>
        <w:jc w:val="both"/>
        <w:rPr>
          <w:rFonts w:ascii="Times New Roman" w:hAnsi="Times New Roman"/>
          <w:sz w:val="28"/>
          <w:szCs w:val="28"/>
        </w:rPr>
      </w:pPr>
      <w:r>
        <w:rPr>
          <w:rFonts w:ascii="Times New Roman" w:hAnsi="Times New Roman"/>
          <w:sz w:val="28"/>
          <w:szCs w:val="28"/>
        </w:rPr>
        <w:t>Роль и значение стимулов не всегда можно ясно донести до медицинских работников.</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Основным достоинством методов оплаты по результатам называют налаживание коммуникации между участниками процесса оказания медицинской помощи (государственными органами, регулирующими организациями, страховыми и медицинскими организациями) и лучший обмен информацией между ними. Это позволяет учитывать интересы всех сторон и в дальнейшем, при последующей доработке методологических инструментов создавать более адекватные и приемлемые стимулы. На практике подобная коммуникация положительно влияет на разработку контрактов при закупке медицинской помощи и постепенный переход к стратегической модели закупок.</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 xml:space="preserve">Несмотря на то, что модели оплаты за результат кажутся интуитивно понятными и способствующими улучшению основных показателей системы здравоохранения (главным образом, показателя качества оказываемой медицинской помощи), лишь часть из них была оценена по их реальному воздействию на систему. Ниже приведены некоторые результаты введения в практику подобных моделей. Влияние оплаты за результат на показатели заболеваемости может показаться несколько более </w:t>
      </w:r>
      <w:r>
        <w:rPr>
          <w:rFonts w:ascii="Times New Roman" w:hAnsi="Times New Roman"/>
          <w:sz w:val="28"/>
          <w:szCs w:val="28"/>
        </w:rPr>
        <w:lastRenderedPageBreak/>
        <w:t>слабым, чем могло бы ожидаться, но нужно учитывать, что после внедрения новых способов оплаты прошло довольно мало времени.</w:t>
      </w:r>
    </w:p>
    <w:p w:rsidR="00F92BCC" w:rsidRPr="0055020B" w:rsidRDefault="00F92BCC" w:rsidP="00127805">
      <w:pPr>
        <w:pStyle w:val="2"/>
        <w:numPr>
          <w:ilvl w:val="1"/>
          <w:numId w:val="16"/>
        </w:numPr>
        <w:spacing w:before="360" w:after="240" w:line="360" w:lineRule="auto"/>
        <w:rPr>
          <w:rFonts w:ascii="Times New Roman" w:hAnsi="Times New Roman"/>
          <w:color w:val="auto"/>
          <w:sz w:val="32"/>
          <w:szCs w:val="32"/>
        </w:rPr>
      </w:pPr>
      <w:bookmarkStart w:id="5" w:name="_Toc357415386"/>
      <w:r w:rsidRPr="0055020B">
        <w:rPr>
          <w:rFonts w:ascii="Times New Roman" w:hAnsi="Times New Roman"/>
          <w:color w:val="auto"/>
          <w:sz w:val="32"/>
          <w:szCs w:val="32"/>
        </w:rPr>
        <w:t>Основные выводы</w:t>
      </w:r>
      <w:bookmarkEnd w:id="5"/>
    </w:p>
    <w:p w:rsidR="001A5E3C" w:rsidRDefault="001A5E3C" w:rsidP="0055020B">
      <w:pPr>
        <w:spacing w:line="360" w:lineRule="auto"/>
        <w:jc w:val="both"/>
        <w:rPr>
          <w:rFonts w:ascii="Times New Roman" w:hAnsi="Times New Roman"/>
          <w:sz w:val="28"/>
          <w:szCs w:val="28"/>
        </w:rPr>
      </w:pPr>
      <w:r>
        <w:rPr>
          <w:rFonts w:ascii="Times New Roman" w:hAnsi="Times New Roman"/>
          <w:sz w:val="28"/>
          <w:szCs w:val="28"/>
        </w:rPr>
        <w:t>В целом, подход к оплате медицинских услуг по результату является достаточно распространенным и считается, что целевые показатели способны создать верные стимулы для участников отношений в сфере здравоохранения. Но, несмотря на популярность подхода, он обладает также рядом существенных недостатков. Основными выводами, которые можно сделать после обобщения приведенной в данной части работы информации по методу оплаты медицинской помощью по результатам деятельности организации, являются следующие:</w:t>
      </w:r>
    </w:p>
    <w:p w:rsidR="001A5E3C" w:rsidRDefault="001A5E3C" w:rsidP="000A639E">
      <w:pPr>
        <w:pStyle w:val="a3"/>
        <w:numPr>
          <w:ilvl w:val="0"/>
          <w:numId w:val="3"/>
        </w:numPr>
        <w:spacing w:line="360" w:lineRule="auto"/>
        <w:ind w:left="0" w:firstLine="624"/>
        <w:jc w:val="both"/>
        <w:rPr>
          <w:rFonts w:ascii="Times New Roman" w:hAnsi="Times New Roman"/>
          <w:sz w:val="28"/>
          <w:szCs w:val="28"/>
        </w:rPr>
      </w:pPr>
      <w:r>
        <w:rPr>
          <w:rFonts w:ascii="Times New Roman" w:hAnsi="Times New Roman"/>
          <w:sz w:val="28"/>
          <w:szCs w:val="28"/>
        </w:rPr>
        <w:t>Доказательства о воздействии на результаты достаточно слабые, что осложняется недолгим временем, прошедшим после внедрения инновационных методов оплаты, и затрудненной оценкой изм</w:t>
      </w:r>
      <w:r w:rsidR="000045EC">
        <w:rPr>
          <w:rFonts w:ascii="Times New Roman" w:hAnsi="Times New Roman"/>
          <w:sz w:val="28"/>
          <w:szCs w:val="28"/>
        </w:rPr>
        <w:t>енения качественных показателей.</w:t>
      </w:r>
    </w:p>
    <w:p w:rsidR="001A5E3C" w:rsidRDefault="001A5E3C" w:rsidP="000A639E">
      <w:pPr>
        <w:pStyle w:val="a3"/>
        <w:numPr>
          <w:ilvl w:val="0"/>
          <w:numId w:val="3"/>
        </w:numPr>
        <w:spacing w:line="360" w:lineRule="auto"/>
        <w:ind w:left="0" w:firstLine="624"/>
        <w:jc w:val="both"/>
        <w:rPr>
          <w:rFonts w:ascii="Times New Roman" w:hAnsi="Times New Roman"/>
          <w:sz w:val="28"/>
          <w:szCs w:val="28"/>
        </w:rPr>
      </w:pPr>
      <w:r>
        <w:rPr>
          <w:rFonts w:ascii="Times New Roman" w:hAnsi="Times New Roman"/>
          <w:sz w:val="28"/>
          <w:szCs w:val="28"/>
        </w:rPr>
        <w:t xml:space="preserve">Стимулы, порождаемые оплатой по результатам, неоднозначны. Основной проблемой подобных методов часто называют возникающее у медицинских работников стремление </w:t>
      </w:r>
      <w:r w:rsidR="009C4C2F">
        <w:rPr>
          <w:rFonts w:ascii="Times New Roman" w:hAnsi="Times New Roman"/>
          <w:sz w:val="28"/>
          <w:szCs w:val="28"/>
        </w:rPr>
        <w:t>«</w:t>
      </w:r>
      <w:r>
        <w:rPr>
          <w:rFonts w:ascii="Times New Roman" w:hAnsi="Times New Roman"/>
          <w:sz w:val="28"/>
          <w:szCs w:val="28"/>
        </w:rPr>
        <w:t>работать на показатели</w:t>
      </w:r>
      <w:r w:rsidR="009C4C2F">
        <w:rPr>
          <w:rFonts w:ascii="Times New Roman" w:hAnsi="Times New Roman"/>
          <w:sz w:val="28"/>
          <w:szCs w:val="28"/>
        </w:rPr>
        <w:t>»</w:t>
      </w:r>
      <w:r>
        <w:rPr>
          <w:rFonts w:ascii="Times New Roman" w:hAnsi="Times New Roman"/>
          <w:sz w:val="28"/>
          <w:szCs w:val="28"/>
        </w:rPr>
        <w:t>, а не на предоставление качественной медицинской помощи в оптимальном для пациентов объеме.</w:t>
      </w:r>
    </w:p>
    <w:p w:rsidR="001A5E3C" w:rsidRDefault="001A5E3C" w:rsidP="000A639E">
      <w:pPr>
        <w:pStyle w:val="a3"/>
        <w:numPr>
          <w:ilvl w:val="0"/>
          <w:numId w:val="3"/>
        </w:numPr>
        <w:spacing w:line="360" w:lineRule="auto"/>
        <w:ind w:left="0" w:firstLine="624"/>
        <w:jc w:val="both"/>
        <w:rPr>
          <w:rFonts w:ascii="Times New Roman" w:hAnsi="Times New Roman"/>
          <w:sz w:val="28"/>
          <w:szCs w:val="28"/>
        </w:rPr>
      </w:pPr>
      <w:r>
        <w:rPr>
          <w:rFonts w:ascii="Times New Roman" w:hAnsi="Times New Roman"/>
          <w:sz w:val="28"/>
          <w:szCs w:val="28"/>
        </w:rPr>
        <w:t xml:space="preserve">Внедрение инновационных методов оплаты медицинской помощи, в т.ч. оплата по результату, оказывает наибольшее влияние на сравнительно неразвитые системы здравоохранения (например, высокие показатели роста были отмечены в Руанде и Гаити). </w:t>
      </w:r>
    </w:p>
    <w:p w:rsidR="001A5E3C" w:rsidRDefault="001A5E3C" w:rsidP="000A639E">
      <w:pPr>
        <w:pStyle w:val="a3"/>
        <w:numPr>
          <w:ilvl w:val="0"/>
          <w:numId w:val="3"/>
        </w:numPr>
        <w:spacing w:line="360" w:lineRule="auto"/>
        <w:ind w:left="0" w:firstLine="624"/>
        <w:jc w:val="both"/>
        <w:rPr>
          <w:rFonts w:ascii="Times New Roman" w:hAnsi="Times New Roman"/>
          <w:sz w:val="28"/>
          <w:szCs w:val="28"/>
        </w:rPr>
      </w:pPr>
      <w:r>
        <w:rPr>
          <w:rFonts w:ascii="Times New Roman" w:hAnsi="Times New Roman"/>
          <w:sz w:val="28"/>
          <w:szCs w:val="28"/>
        </w:rPr>
        <w:t xml:space="preserve">Влияние метода оплаты за результат на количественные показатели выше, чем на качественные. Во-первых, это объясняется самим определением метода оплата за результат (показатели-ориентиры, которые устанавливаются для медицинских организаций и по которым проводится </w:t>
      </w:r>
      <w:r>
        <w:rPr>
          <w:rFonts w:ascii="Times New Roman" w:hAnsi="Times New Roman"/>
          <w:sz w:val="28"/>
          <w:szCs w:val="28"/>
        </w:rPr>
        <w:lastRenderedPageBreak/>
        <w:t>оплата, обычно имеют количественную оценку).  Во-вторых, системы оценки качественных показателей еще не так подробно проработаны, как количественные.</w:t>
      </w:r>
    </w:p>
    <w:p w:rsidR="00F92BCC" w:rsidRDefault="001A5E3C" w:rsidP="000A639E">
      <w:pPr>
        <w:pStyle w:val="a3"/>
        <w:numPr>
          <w:ilvl w:val="0"/>
          <w:numId w:val="3"/>
        </w:numPr>
        <w:spacing w:line="360" w:lineRule="auto"/>
        <w:ind w:left="0" w:firstLine="624"/>
        <w:jc w:val="both"/>
        <w:rPr>
          <w:rFonts w:ascii="Times New Roman" w:hAnsi="Times New Roman"/>
          <w:sz w:val="28"/>
          <w:szCs w:val="28"/>
        </w:rPr>
      </w:pPr>
      <w:r>
        <w:rPr>
          <w:rFonts w:ascii="Times New Roman" w:hAnsi="Times New Roman"/>
          <w:sz w:val="28"/>
          <w:szCs w:val="28"/>
        </w:rPr>
        <w:t>Нет однозначного ответа о действительной экономической эффективности методов оплаты за результат.</w:t>
      </w:r>
    </w:p>
    <w:p w:rsidR="00F92BCC" w:rsidRDefault="00F92BCC" w:rsidP="000A639E">
      <w:pPr>
        <w:ind w:firstLine="624"/>
        <w:rPr>
          <w:rFonts w:ascii="Times New Roman" w:hAnsi="Times New Roman"/>
          <w:sz w:val="28"/>
          <w:szCs w:val="28"/>
        </w:rPr>
      </w:pPr>
      <w:r>
        <w:rPr>
          <w:rFonts w:ascii="Times New Roman" w:hAnsi="Times New Roman"/>
          <w:sz w:val="28"/>
          <w:szCs w:val="28"/>
        </w:rPr>
        <w:br w:type="page"/>
      </w:r>
    </w:p>
    <w:p w:rsidR="001A5E3C" w:rsidRPr="0055020B" w:rsidRDefault="0055020B" w:rsidP="0055020B">
      <w:pPr>
        <w:pStyle w:val="1"/>
        <w:spacing w:after="240" w:line="360" w:lineRule="auto"/>
        <w:rPr>
          <w:rFonts w:ascii="Times New Roman" w:hAnsi="Times New Roman" w:cstheme="minorBidi"/>
          <w:b w:val="0"/>
          <w:color w:val="auto"/>
        </w:rPr>
      </w:pPr>
      <w:bookmarkStart w:id="6" w:name="_Toc357415387"/>
      <w:r>
        <w:rPr>
          <w:rFonts w:ascii="Times New Roman" w:hAnsi="Times New Roman" w:cs="Times New Roman"/>
          <w:color w:val="auto"/>
          <w:sz w:val="36"/>
          <w:szCs w:val="36"/>
        </w:rPr>
        <w:lastRenderedPageBreak/>
        <w:t xml:space="preserve">Глава 2. </w:t>
      </w:r>
      <w:r w:rsidR="001A5E3C" w:rsidRPr="0055020B">
        <w:rPr>
          <w:rFonts w:ascii="Times New Roman" w:hAnsi="Times New Roman" w:cs="Times New Roman"/>
          <w:color w:val="auto"/>
          <w:sz w:val="36"/>
          <w:szCs w:val="36"/>
        </w:rPr>
        <w:t>Оплата на основе клинико-статистических групп (КСГ)</w:t>
      </w:r>
      <w:bookmarkEnd w:id="6"/>
    </w:p>
    <w:p w:rsidR="00726140" w:rsidRPr="00127805" w:rsidRDefault="00726140" w:rsidP="00726140">
      <w:pPr>
        <w:pStyle w:val="2"/>
        <w:numPr>
          <w:ilvl w:val="0"/>
          <w:numId w:val="19"/>
        </w:numPr>
        <w:spacing w:before="360" w:after="240" w:line="360" w:lineRule="auto"/>
        <w:ind w:left="426" w:hanging="357"/>
        <w:rPr>
          <w:rFonts w:ascii="Times New Roman" w:hAnsi="Times New Roman" w:cs="Times New Roman"/>
          <w:color w:val="auto"/>
          <w:sz w:val="32"/>
          <w:szCs w:val="32"/>
        </w:rPr>
      </w:pPr>
      <w:bookmarkStart w:id="7" w:name="_Toc357415388"/>
      <w:r w:rsidRPr="00127805">
        <w:rPr>
          <w:rFonts w:ascii="Times New Roman" w:hAnsi="Times New Roman" w:cs="Times New Roman"/>
          <w:color w:val="auto"/>
          <w:sz w:val="32"/>
          <w:szCs w:val="32"/>
        </w:rPr>
        <w:t xml:space="preserve">История развития </w:t>
      </w:r>
      <w:r>
        <w:rPr>
          <w:rFonts w:ascii="Times New Roman" w:hAnsi="Times New Roman" w:cs="Times New Roman"/>
          <w:color w:val="auto"/>
          <w:sz w:val="32"/>
          <w:szCs w:val="32"/>
        </w:rPr>
        <w:t>подхода</w:t>
      </w:r>
      <w:r w:rsidRPr="00127805">
        <w:rPr>
          <w:rFonts w:ascii="Times New Roman" w:hAnsi="Times New Roman" w:cs="Times New Roman"/>
          <w:color w:val="auto"/>
          <w:sz w:val="32"/>
          <w:szCs w:val="32"/>
        </w:rPr>
        <w:t xml:space="preserve"> КСГ</w:t>
      </w:r>
      <w:bookmarkEnd w:id="7"/>
    </w:p>
    <w:p w:rsidR="001A5E3C" w:rsidRPr="00DF4D10" w:rsidRDefault="001A5E3C" w:rsidP="000A639E">
      <w:pPr>
        <w:spacing w:line="360" w:lineRule="auto"/>
        <w:jc w:val="both"/>
        <w:rPr>
          <w:rFonts w:ascii="Times New Roman" w:hAnsi="Times New Roman"/>
          <w:sz w:val="28"/>
          <w:szCs w:val="28"/>
        </w:rPr>
      </w:pPr>
      <w:r w:rsidRPr="00DF4D10">
        <w:rPr>
          <w:rFonts w:ascii="Times New Roman" w:hAnsi="Times New Roman"/>
          <w:sz w:val="28"/>
          <w:szCs w:val="28"/>
        </w:rPr>
        <w:t>Наиболее популярным в Европе методом оплаты стационарной помощи на сегодняшний день являет</w:t>
      </w:r>
      <w:r>
        <w:rPr>
          <w:rFonts w:ascii="Times New Roman" w:hAnsi="Times New Roman"/>
          <w:sz w:val="28"/>
          <w:szCs w:val="28"/>
        </w:rPr>
        <w:t>ся оплата по клинико-статистиче</w:t>
      </w:r>
      <w:r w:rsidRPr="00DF4D10">
        <w:rPr>
          <w:rFonts w:ascii="Times New Roman" w:hAnsi="Times New Roman"/>
          <w:sz w:val="28"/>
          <w:szCs w:val="28"/>
        </w:rPr>
        <w:t xml:space="preserve">ским группам (международный термин </w:t>
      </w:r>
      <w:r>
        <w:rPr>
          <w:rFonts w:ascii="Times New Roman" w:hAnsi="Times New Roman"/>
          <w:sz w:val="28"/>
          <w:szCs w:val="28"/>
        </w:rPr>
        <w:t>–</w:t>
      </w:r>
      <w:r w:rsidRPr="00DF4D10">
        <w:rPr>
          <w:rFonts w:ascii="Times New Roman" w:hAnsi="Times New Roman"/>
          <w:sz w:val="28"/>
          <w:szCs w:val="28"/>
        </w:rPr>
        <w:t xml:space="preserve"> </w:t>
      </w:r>
      <w:r w:rsidRPr="00DF4D10">
        <w:rPr>
          <w:rFonts w:ascii="Times New Roman" w:hAnsi="Times New Roman"/>
          <w:sz w:val="28"/>
          <w:szCs w:val="28"/>
          <w:lang w:val="en-US"/>
        </w:rPr>
        <w:t>diagnosis</w:t>
      </w:r>
      <w:r w:rsidRPr="00DF4D10">
        <w:rPr>
          <w:rFonts w:ascii="Times New Roman" w:hAnsi="Times New Roman"/>
          <w:sz w:val="28"/>
          <w:szCs w:val="28"/>
        </w:rPr>
        <w:t>-</w:t>
      </w:r>
      <w:r w:rsidRPr="00DF4D10">
        <w:rPr>
          <w:rFonts w:ascii="Times New Roman" w:hAnsi="Times New Roman"/>
          <w:sz w:val="28"/>
          <w:szCs w:val="28"/>
          <w:lang w:val="en-US"/>
        </w:rPr>
        <w:t>related</w:t>
      </w:r>
      <w:r w:rsidRPr="00DF4D10">
        <w:rPr>
          <w:rFonts w:ascii="Times New Roman" w:hAnsi="Times New Roman"/>
          <w:sz w:val="28"/>
          <w:szCs w:val="28"/>
        </w:rPr>
        <w:t xml:space="preserve"> </w:t>
      </w:r>
      <w:r w:rsidRPr="00DF4D10">
        <w:rPr>
          <w:rFonts w:ascii="Times New Roman" w:hAnsi="Times New Roman"/>
          <w:sz w:val="28"/>
          <w:szCs w:val="28"/>
          <w:lang w:val="en-US"/>
        </w:rPr>
        <w:t>groups</w:t>
      </w:r>
      <w:r w:rsidRPr="00DF4D10">
        <w:rPr>
          <w:rFonts w:ascii="Times New Roman" w:hAnsi="Times New Roman"/>
          <w:sz w:val="28"/>
          <w:szCs w:val="28"/>
        </w:rPr>
        <w:t xml:space="preserve"> / </w:t>
      </w:r>
      <w:r w:rsidRPr="00DF4D10">
        <w:rPr>
          <w:rFonts w:ascii="Times New Roman" w:hAnsi="Times New Roman"/>
          <w:sz w:val="28"/>
          <w:szCs w:val="28"/>
          <w:lang w:val="en-US"/>
        </w:rPr>
        <w:t>DRG</w:t>
      </w:r>
      <w:r w:rsidRPr="00DF4D10">
        <w:rPr>
          <w:rFonts w:ascii="Times New Roman" w:hAnsi="Times New Roman"/>
          <w:sz w:val="28"/>
          <w:szCs w:val="28"/>
        </w:rPr>
        <w:t>)</w:t>
      </w:r>
      <w:r w:rsidR="001374C0">
        <w:rPr>
          <w:rFonts w:ascii="Times New Roman" w:hAnsi="Times New Roman"/>
          <w:sz w:val="28"/>
          <w:szCs w:val="28"/>
        </w:rPr>
        <w:t xml:space="preserve"> [</w:t>
      </w:r>
      <w:r w:rsidR="001374C0" w:rsidRPr="001374C0">
        <w:rPr>
          <w:rFonts w:ascii="Times New Roman" w:hAnsi="Times New Roman"/>
          <w:sz w:val="28"/>
          <w:szCs w:val="28"/>
        </w:rPr>
        <w:t>2</w:t>
      </w:r>
      <w:r w:rsidR="000E1641">
        <w:rPr>
          <w:rFonts w:ascii="Times New Roman" w:hAnsi="Times New Roman"/>
          <w:sz w:val="28"/>
          <w:szCs w:val="28"/>
        </w:rPr>
        <w:t>5</w:t>
      </w:r>
      <w:r w:rsidRPr="00DD3B48">
        <w:rPr>
          <w:rFonts w:ascii="Times New Roman" w:hAnsi="Times New Roman"/>
          <w:sz w:val="28"/>
          <w:szCs w:val="28"/>
        </w:rPr>
        <w:t>]</w:t>
      </w:r>
      <w:r w:rsidRPr="00DF4D10">
        <w:rPr>
          <w:rFonts w:ascii="Times New Roman" w:hAnsi="Times New Roman"/>
          <w:sz w:val="28"/>
          <w:szCs w:val="28"/>
        </w:rPr>
        <w:t xml:space="preserve">. </w:t>
      </w:r>
      <w:r>
        <w:rPr>
          <w:rFonts w:ascii="Times New Roman" w:hAnsi="Times New Roman"/>
          <w:sz w:val="28"/>
          <w:szCs w:val="28"/>
        </w:rPr>
        <w:t>Клинико-статистические группы –</w:t>
      </w:r>
      <w:r w:rsidRPr="00DF4D10">
        <w:rPr>
          <w:rFonts w:ascii="Times New Roman" w:hAnsi="Times New Roman"/>
          <w:sz w:val="28"/>
          <w:szCs w:val="28"/>
        </w:rPr>
        <w:t xml:space="preserve"> это классификация, объединяющая пациентов в групп</w:t>
      </w:r>
      <w:r>
        <w:rPr>
          <w:rFonts w:ascii="Times New Roman" w:hAnsi="Times New Roman"/>
          <w:sz w:val="28"/>
          <w:szCs w:val="28"/>
        </w:rPr>
        <w:t>ы, однородные по диагнозу (клин</w:t>
      </w:r>
      <w:r w:rsidRPr="00DF4D10">
        <w:rPr>
          <w:rFonts w:ascii="Times New Roman" w:hAnsi="Times New Roman"/>
          <w:sz w:val="28"/>
          <w:szCs w:val="28"/>
        </w:rPr>
        <w:t>ически однородные) и сходные по ресурсоемкости (однородные по стоимости, структуре затрат и потребляемым в ходе лечения ресурсам).</w:t>
      </w:r>
    </w:p>
    <w:p w:rsidR="001A5E3C" w:rsidRPr="00DF4D10" w:rsidRDefault="001A5E3C" w:rsidP="000A639E">
      <w:pPr>
        <w:spacing w:line="360" w:lineRule="auto"/>
        <w:ind w:firstLine="624"/>
        <w:jc w:val="both"/>
        <w:rPr>
          <w:rFonts w:ascii="Times New Roman" w:hAnsi="Times New Roman"/>
          <w:sz w:val="28"/>
          <w:szCs w:val="28"/>
        </w:rPr>
      </w:pPr>
      <w:r w:rsidRPr="00DF4D10">
        <w:rPr>
          <w:rFonts w:ascii="Times New Roman" w:hAnsi="Times New Roman"/>
          <w:sz w:val="28"/>
          <w:szCs w:val="28"/>
        </w:rPr>
        <w:t>В русскоязычной литературе встречаются следующие, несколько различающиеся по смысловым оттенкам, но обозначающие одно и то же понятие, термины:</w:t>
      </w:r>
    </w:p>
    <w:p w:rsidR="001A5E3C" w:rsidRPr="00DD3B48" w:rsidRDefault="001A5E3C" w:rsidP="000A639E">
      <w:pPr>
        <w:pStyle w:val="a3"/>
        <w:numPr>
          <w:ilvl w:val="0"/>
          <w:numId w:val="10"/>
        </w:numPr>
        <w:spacing w:line="360" w:lineRule="auto"/>
        <w:ind w:left="0" w:firstLine="624"/>
        <w:jc w:val="both"/>
        <w:rPr>
          <w:rFonts w:ascii="Times New Roman" w:hAnsi="Times New Roman"/>
          <w:sz w:val="28"/>
          <w:szCs w:val="28"/>
        </w:rPr>
      </w:pPr>
      <w:r w:rsidRPr="00DD3B48">
        <w:rPr>
          <w:rFonts w:ascii="Times New Roman" w:hAnsi="Times New Roman"/>
          <w:sz w:val="28"/>
          <w:szCs w:val="28"/>
        </w:rPr>
        <w:t>клинико-затратные группы (КЗГ);</w:t>
      </w:r>
    </w:p>
    <w:p w:rsidR="001A5E3C" w:rsidRPr="00DD3B48" w:rsidRDefault="001A5E3C" w:rsidP="000A639E">
      <w:pPr>
        <w:pStyle w:val="a3"/>
        <w:numPr>
          <w:ilvl w:val="0"/>
          <w:numId w:val="10"/>
        </w:numPr>
        <w:spacing w:line="360" w:lineRule="auto"/>
        <w:ind w:left="0" w:firstLine="624"/>
        <w:jc w:val="both"/>
        <w:rPr>
          <w:rFonts w:ascii="Times New Roman" w:hAnsi="Times New Roman"/>
          <w:sz w:val="28"/>
          <w:szCs w:val="28"/>
        </w:rPr>
      </w:pPr>
      <w:r w:rsidRPr="00DD3B48">
        <w:rPr>
          <w:rFonts w:ascii="Times New Roman" w:hAnsi="Times New Roman"/>
          <w:sz w:val="28"/>
          <w:szCs w:val="28"/>
        </w:rPr>
        <w:t>клинико-статистические группы (КСГ);</w:t>
      </w:r>
    </w:p>
    <w:p w:rsidR="001A5E3C" w:rsidRPr="00DD3B48" w:rsidRDefault="001A5E3C" w:rsidP="000A639E">
      <w:pPr>
        <w:pStyle w:val="a3"/>
        <w:numPr>
          <w:ilvl w:val="0"/>
          <w:numId w:val="10"/>
        </w:numPr>
        <w:spacing w:line="360" w:lineRule="auto"/>
        <w:ind w:left="0" w:firstLine="624"/>
        <w:jc w:val="both"/>
        <w:rPr>
          <w:rFonts w:ascii="Times New Roman" w:hAnsi="Times New Roman"/>
          <w:sz w:val="28"/>
          <w:szCs w:val="28"/>
        </w:rPr>
      </w:pPr>
      <w:r w:rsidRPr="00DD3B48">
        <w:rPr>
          <w:rFonts w:ascii="Times New Roman" w:hAnsi="Times New Roman"/>
          <w:sz w:val="28"/>
          <w:szCs w:val="28"/>
        </w:rPr>
        <w:t>диагностически-связанные группы (ДСГ).</w:t>
      </w:r>
    </w:p>
    <w:p w:rsidR="001A5E3C" w:rsidRDefault="001A5E3C" w:rsidP="000A639E">
      <w:pPr>
        <w:spacing w:line="360" w:lineRule="auto"/>
        <w:ind w:firstLine="624"/>
        <w:jc w:val="both"/>
        <w:rPr>
          <w:rFonts w:ascii="Times New Roman" w:hAnsi="Times New Roman"/>
          <w:sz w:val="28"/>
          <w:szCs w:val="28"/>
        </w:rPr>
      </w:pPr>
      <w:r w:rsidRPr="00DF4D10">
        <w:rPr>
          <w:rFonts w:ascii="Times New Roman" w:hAnsi="Times New Roman"/>
          <w:sz w:val="28"/>
          <w:szCs w:val="28"/>
        </w:rPr>
        <w:t xml:space="preserve">Изначально подобная классификация пациентов разрабатывалась с целью добиться лучшей оценки эффективности деятельности стационара. В настоящее время клинико-статистические группы </w:t>
      </w:r>
      <w:r>
        <w:rPr>
          <w:rFonts w:ascii="Times New Roman" w:hAnsi="Times New Roman"/>
          <w:sz w:val="28"/>
          <w:szCs w:val="28"/>
        </w:rPr>
        <w:t>применяются также для амбулатор</w:t>
      </w:r>
      <w:r w:rsidRPr="00DF4D10">
        <w:rPr>
          <w:rFonts w:ascii="Times New Roman" w:hAnsi="Times New Roman"/>
          <w:sz w:val="28"/>
          <w:szCs w:val="28"/>
        </w:rPr>
        <w:t>ии, разрабатываются подходы к классификации социально-значимых болезней (туберкулез, психологические заболевания, др.). Как будет показано ниже, в первую очередь, КСГ разрабатывались под нужды стационарной медицинской помощи и неоспоримая популярность данного подхода к оценке деятельности стационара может служить косвенным доказательством того, какой проблемной областью является данны</w:t>
      </w:r>
      <w:r>
        <w:rPr>
          <w:rFonts w:ascii="Times New Roman" w:hAnsi="Times New Roman"/>
          <w:sz w:val="28"/>
          <w:szCs w:val="28"/>
        </w:rPr>
        <w:t xml:space="preserve">й сектор здравоохранения и какую потребность в </w:t>
      </w:r>
      <w:r w:rsidRPr="00DF4D10">
        <w:rPr>
          <w:rFonts w:ascii="Times New Roman" w:hAnsi="Times New Roman"/>
          <w:sz w:val="28"/>
          <w:szCs w:val="28"/>
        </w:rPr>
        <w:t>метод</w:t>
      </w:r>
      <w:r>
        <w:rPr>
          <w:rFonts w:ascii="Times New Roman" w:hAnsi="Times New Roman"/>
          <w:sz w:val="28"/>
          <w:szCs w:val="28"/>
        </w:rPr>
        <w:t xml:space="preserve">ологически проработанных </w:t>
      </w:r>
      <w:r>
        <w:rPr>
          <w:rFonts w:ascii="Times New Roman" w:hAnsi="Times New Roman"/>
          <w:sz w:val="28"/>
          <w:szCs w:val="28"/>
        </w:rPr>
        <w:lastRenderedPageBreak/>
        <w:t>подходах</w:t>
      </w:r>
      <w:r w:rsidRPr="00DF4D10">
        <w:rPr>
          <w:rFonts w:ascii="Times New Roman" w:hAnsi="Times New Roman"/>
          <w:sz w:val="28"/>
          <w:szCs w:val="28"/>
        </w:rPr>
        <w:t xml:space="preserve"> к воздействию, оценке и мониторингу стационарной медицинской помощи испытывают государства во всем мире.</w:t>
      </w:r>
    </w:p>
    <w:p w:rsidR="001A5E3C" w:rsidRDefault="001A5E3C" w:rsidP="00726140">
      <w:pPr>
        <w:spacing w:line="360" w:lineRule="auto"/>
        <w:ind w:firstLine="567"/>
        <w:jc w:val="both"/>
        <w:rPr>
          <w:rFonts w:ascii="Times New Roman" w:eastAsia="Calibri" w:hAnsi="Times New Roman" w:cs="Times New Roman"/>
          <w:sz w:val="28"/>
          <w:szCs w:val="28"/>
        </w:rPr>
      </w:pPr>
      <w:r>
        <w:rPr>
          <w:rFonts w:ascii="Times New Roman" w:hAnsi="Times New Roman"/>
          <w:sz w:val="28"/>
          <w:szCs w:val="28"/>
        </w:rPr>
        <w:t>Уже в 1913 году доктор</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w:t>
      </w:r>
      <w:r w:rsidRPr="00D20FCD">
        <w:rPr>
          <w:rFonts w:ascii="Times New Roman" w:eastAsia="Calibri" w:hAnsi="Times New Roman" w:cs="Times New Roman"/>
          <w:sz w:val="28"/>
          <w:szCs w:val="28"/>
        </w:rPr>
        <w:t>.</w:t>
      </w:r>
      <w:r>
        <w:rPr>
          <w:rFonts w:ascii="Times New Roman" w:eastAsia="Calibri" w:hAnsi="Times New Roman" w:cs="Times New Roman"/>
          <w:sz w:val="28"/>
          <w:szCs w:val="28"/>
          <w:lang w:val="en-US"/>
        </w:rPr>
        <w:t>Codman</w:t>
      </w:r>
      <w:r>
        <w:rPr>
          <w:rFonts w:ascii="Times New Roman" w:hAnsi="Times New Roman"/>
          <w:sz w:val="28"/>
          <w:szCs w:val="28"/>
        </w:rPr>
        <w:t xml:space="preserve"> </w:t>
      </w:r>
      <w:r>
        <w:rPr>
          <w:rFonts w:ascii="Times New Roman" w:eastAsia="Calibri" w:hAnsi="Times New Roman" w:cs="Times New Roman"/>
          <w:sz w:val="28"/>
          <w:szCs w:val="28"/>
        </w:rPr>
        <w:t xml:space="preserve">обозначил потребность системы здравоохранения в классификации, подобной клинико-статистическим группам. Ниже приводится </w:t>
      </w:r>
      <w:r>
        <w:rPr>
          <w:rFonts w:ascii="Times New Roman" w:hAnsi="Times New Roman"/>
          <w:sz w:val="28"/>
          <w:szCs w:val="28"/>
        </w:rPr>
        <w:t>цитата, с которой начинается о</w:t>
      </w:r>
      <w:r>
        <w:rPr>
          <w:rFonts w:ascii="Times New Roman" w:eastAsia="Calibri" w:hAnsi="Times New Roman" w:cs="Times New Roman"/>
          <w:sz w:val="28"/>
          <w:szCs w:val="28"/>
        </w:rPr>
        <w:t xml:space="preserve">бзор Европейской Обсерватории ВОЗ </w:t>
      </w:r>
      <w:r w:rsidRPr="00D20FCD">
        <w:rPr>
          <w:rFonts w:ascii="Times New Roman" w:eastAsia="Calibri" w:hAnsi="Times New Roman" w:cs="Times New Roman"/>
          <w:sz w:val="28"/>
          <w:szCs w:val="28"/>
        </w:rPr>
        <w:t>[</w:t>
      </w:r>
      <w:r w:rsidR="000E1641">
        <w:rPr>
          <w:rFonts w:ascii="Times New Roman" w:eastAsia="Calibri" w:hAnsi="Times New Roman" w:cs="Times New Roman"/>
          <w:sz w:val="28"/>
          <w:szCs w:val="28"/>
        </w:rPr>
        <w:t>22</w:t>
      </w:r>
      <w:r w:rsidRPr="00D20FC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системам </w:t>
      </w:r>
      <w:r>
        <w:rPr>
          <w:rFonts w:ascii="Times New Roman" w:eastAsia="Calibri" w:hAnsi="Times New Roman" w:cs="Times New Roman"/>
          <w:sz w:val="28"/>
          <w:szCs w:val="28"/>
          <w:lang w:val="en-US"/>
        </w:rPr>
        <w:t>DRG</w:t>
      </w:r>
      <w:r>
        <w:rPr>
          <w:rFonts w:ascii="Times New Roman" w:eastAsia="Calibri" w:hAnsi="Times New Roman" w:cs="Times New Roman"/>
          <w:sz w:val="28"/>
          <w:szCs w:val="28"/>
        </w:rPr>
        <w:t xml:space="preserve"> в Европе:</w:t>
      </w:r>
    </w:p>
    <w:p w:rsidR="001A5E3C" w:rsidRDefault="009C4C2F" w:rsidP="00726140">
      <w:pPr>
        <w:spacing w:line="360" w:lineRule="auto"/>
        <w:ind w:firstLine="567"/>
        <w:jc w:val="both"/>
        <w:rPr>
          <w:rFonts w:ascii="Times New Roman" w:hAnsi="Times New Roman"/>
          <w:sz w:val="28"/>
          <w:szCs w:val="28"/>
        </w:rPr>
      </w:pPr>
      <w:r>
        <w:rPr>
          <w:rFonts w:ascii="Times New Roman" w:eastAsia="Calibri" w:hAnsi="Times New Roman" w:cs="Times New Roman"/>
          <w:sz w:val="28"/>
          <w:szCs w:val="28"/>
        </w:rPr>
        <w:t>«</w:t>
      </w:r>
      <w:r w:rsidR="001A5E3C">
        <w:rPr>
          <w:rFonts w:ascii="Times New Roman" w:eastAsia="Calibri" w:hAnsi="Times New Roman" w:cs="Times New Roman"/>
          <w:sz w:val="28"/>
          <w:szCs w:val="28"/>
        </w:rPr>
        <w:t xml:space="preserve">В действительности вся проблема </w:t>
      </w:r>
      <w:r w:rsidR="001A5E3C">
        <w:rPr>
          <w:rFonts w:ascii="Times New Roman" w:hAnsi="Times New Roman"/>
          <w:sz w:val="28"/>
          <w:szCs w:val="28"/>
        </w:rPr>
        <w:t>со стационаром</w:t>
      </w:r>
      <w:r w:rsidR="001A5E3C">
        <w:rPr>
          <w:rFonts w:ascii="Times New Roman" w:eastAsia="Calibri" w:hAnsi="Times New Roman" w:cs="Times New Roman"/>
          <w:sz w:val="28"/>
          <w:szCs w:val="28"/>
        </w:rPr>
        <w:t xml:space="preserve"> сводится к вопросу: что происходит с пациентами? </w:t>
      </w:r>
      <w:r w:rsidR="001A5E3C" w:rsidRPr="00AC5C78">
        <w:rPr>
          <w:rFonts w:ascii="Times New Roman" w:eastAsia="Calibri" w:hAnsi="Times New Roman" w:cs="Times New Roman"/>
          <w:sz w:val="28"/>
          <w:szCs w:val="28"/>
        </w:rPr>
        <w:t>[…]</w:t>
      </w:r>
      <w:r w:rsidR="001A5E3C">
        <w:rPr>
          <w:rFonts w:ascii="Times New Roman" w:eastAsia="Calibri" w:hAnsi="Times New Roman" w:cs="Times New Roman"/>
          <w:sz w:val="28"/>
          <w:szCs w:val="28"/>
        </w:rPr>
        <w:t xml:space="preserve"> Нужно сформулировать метод, который бы позволял получать от медицинских организации максимально точную информацию о результатах лечения в каждом конкретном стационаре. Организации должны вносить данную информацию в стандартизированную форму, таким образом, делая возможным проведение сравнения. Имея подобный отчет </w:t>
      </w:r>
      <w:r w:rsidR="001A5E3C">
        <w:rPr>
          <w:rFonts w:ascii="Times New Roman" w:hAnsi="Times New Roman"/>
          <w:sz w:val="28"/>
          <w:szCs w:val="28"/>
        </w:rPr>
        <w:t>в качестве отправной точки</w:t>
      </w:r>
      <w:r w:rsidR="001A5E3C">
        <w:rPr>
          <w:rFonts w:ascii="Times New Roman" w:eastAsia="Calibri" w:hAnsi="Times New Roman" w:cs="Times New Roman"/>
          <w:sz w:val="28"/>
          <w:szCs w:val="28"/>
        </w:rPr>
        <w:t xml:space="preserve">, любой заинтересованный специалист может </w:t>
      </w:r>
      <w:r w:rsidR="001A5E3C">
        <w:rPr>
          <w:rFonts w:ascii="Times New Roman" w:hAnsi="Times New Roman"/>
          <w:sz w:val="28"/>
          <w:szCs w:val="28"/>
        </w:rPr>
        <w:t>провести</w:t>
      </w:r>
      <w:r w:rsidR="001A5E3C">
        <w:rPr>
          <w:rFonts w:ascii="Times New Roman" w:eastAsia="Calibri" w:hAnsi="Times New Roman" w:cs="Times New Roman"/>
          <w:sz w:val="28"/>
          <w:szCs w:val="28"/>
        </w:rPr>
        <w:t xml:space="preserve"> исследовани</w:t>
      </w:r>
      <w:r w:rsidR="001A5E3C">
        <w:rPr>
          <w:rFonts w:ascii="Times New Roman" w:hAnsi="Times New Roman"/>
          <w:sz w:val="28"/>
          <w:szCs w:val="28"/>
        </w:rPr>
        <w:t>е</w:t>
      </w:r>
      <w:r w:rsidR="001A5E3C">
        <w:rPr>
          <w:rFonts w:ascii="Times New Roman" w:eastAsia="Calibri" w:hAnsi="Times New Roman" w:cs="Times New Roman"/>
          <w:sz w:val="28"/>
          <w:szCs w:val="28"/>
        </w:rPr>
        <w:t xml:space="preserve"> по вопросам </w:t>
      </w:r>
      <w:r w:rsidR="001A5E3C">
        <w:rPr>
          <w:rFonts w:ascii="Times New Roman" w:hAnsi="Times New Roman"/>
          <w:sz w:val="28"/>
          <w:szCs w:val="28"/>
        </w:rPr>
        <w:t>управления</w:t>
      </w:r>
      <w:r w:rsidR="001A5E3C">
        <w:rPr>
          <w:rFonts w:ascii="Times New Roman" w:eastAsia="Calibri" w:hAnsi="Times New Roman" w:cs="Times New Roman"/>
          <w:sz w:val="28"/>
          <w:szCs w:val="28"/>
        </w:rPr>
        <w:t xml:space="preserve"> и эффективности.</w:t>
      </w:r>
      <w:r>
        <w:rPr>
          <w:rFonts w:ascii="Times New Roman" w:eastAsia="Calibri" w:hAnsi="Times New Roman" w:cs="Times New Roman"/>
          <w:sz w:val="28"/>
          <w:szCs w:val="28"/>
        </w:rPr>
        <w:t>»</w:t>
      </w:r>
    </w:p>
    <w:p w:rsidR="001A5E3C" w:rsidRDefault="001A5E3C" w:rsidP="000A639E">
      <w:pPr>
        <w:spacing w:line="360" w:lineRule="auto"/>
        <w:ind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Идеи доктора </w:t>
      </w:r>
      <w:r>
        <w:rPr>
          <w:rFonts w:ascii="Times New Roman" w:eastAsia="Calibri" w:hAnsi="Times New Roman" w:cs="Times New Roman"/>
          <w:sz w:val="28"/>
          <w:szCs w:val="28"/>
          <w:lang w:val="en-US"/>
        </w:rPr>
        <w:t>Codman</w:t>
      </w:r>
      <w:r>
        <w:rPr>
          <w:rFonts w:ascii="Times New Roman" w:eastAsia="Calibri" w:hAnsi="Times New Roman" w:cs="Times New Roman"/>
          <w:sz w:val="28"/>
          <w:szCs w:val="28"/>
        </w:rPr>
        <w:t xml:space="preserve"> легли в основу работы группы исследователей при Йельском университете под руководством профессора </w:t>
      </w:r>
      <w:r>
        <w:rPr>
          <w:rFonts w:ascii="Times New Roman" w:eastAsia="Calibri" w:hAnsi="Times New Roman" w:cs="Times New Roman"/>
          <w:sz w:val="28"/>
          <w:szCs w:val="28"/>
          <w:lang w:val="en-US"/>
        </w:rPr>
        <w:t>R</w:t>
      </w:r>
      <w:r w:rsidRPr="00CD7ADA">
        <w:rPr>
          <w:rFonts w:ascii="Times New Roman" w:eastAsia="Calibri" w:hAnsi="Times New Roman" w:cs="Times New Roman"/>
          <w:sz w:val="28"/>
          <w:szCs w:val="28"/>
        </w:rPr>
        <w:t>.</w:t>
      </w:r>
      <w:r>
        <w:rPr>
          <w:rFonts w:ascii="Times New Roman" w:eastAsia="Calibri" w:hAnsi="Times New Roman" w:cs="Times New Roman"/>
          <w:sz w:val="28"/>
          <w:szCs w:val="28"/>
          <w:lang w:val="en-US"/>
        </w:rPr>
        <w:t>Fetter</w:t>
      </w:r>
      <w:r>
        <w:rPr>
          <w:rFonts w:ascii="Times New Roman" w:eastAsia="Calibri" w:hAnsi="Times New Roman" w:cs="Times New Roman"/>
          <w:sz w:val="28"/>
          <w:szCs w:val="28"/>
        </w:rPr>
        <w:t xml:space="preserve"> в конце 1960-х годов. В результате этой работы были разработаны первые клинико-статистические группы, а в 1983 году в рамках американской программы </w:t>
      </w:r>
      <w:r>
        <w:rPr>
          <w:rFonts w:ascii="Times New Roman" w:eastAsia="Calibri" w:hAnsi="Times New Roman" w:cs="Times New Roman"/>
          <w:sz w:val="28"/>
          <w:szCs w:val="28"/>
          <w:lang w:val="en-US"/>
        </w:rPr>
        <w:t>Medicare</w:t>
      </w:r>
      <w:r>
        <w:rPr>
          <w:rFonts w:ascii="Times New Roman" w:eastAsia="Calibri" w:hAnsi="Times New Roman" w:cs="Times New Roman"/>
          <w:sz w:val="28"/>
          <w:szCs w:val="28"/>
        </w:rPr>
        <w:t xml:space="preserve"> они были впервые внедрены в практику. Первоначальная система классификации (без учета предварительных</w:t>
      </w:r>
      <w:r>
        <w:rPr>
          <w:rFonts w:ascii="Times New Roman" w:hAnsi="Times New Roman"/>
          <w:sz w:val="28"/>
          <w:szCs w:val="28"/>
        </w:rPr>
        <w:t xml:space="preserve"> вариантов</w:t>
      </w:r>
      <w:r>
        <w:rPr>
          <w:rFonts w:ascii="Times New Roman" w:eastAsia="Calibri" w:hAnsi="Times New Roman" w:cs="Times New Roman"/>
          <w:sz w:val="28"/>
          <w:szCs w:val="28"/>
        </w:rPr>
        <w:t xml:space="preserve">) включала в себя 470 групп заболеваний </w:t>
      </w:r>
      <w:r w:rsidRPr="00CD7ADA">
        <w:rPr>
          <w:rFonts w:ascii="Times New Roman" w:eastAsia="Calibri" w:hAnsi="Times New Roman" w:cs="Times New Roman"/>
          <w:sz w:val="28"/>
          <w:szCs w:val="28"/>
        </w:rPr>
        <w:t>(</w:t>
      </w:r>
      <w:r>
        <w:rPr>
          <w:rFonts w:ascii="Times New Roman" w:eastAsia="Calibri" w:hAnsi="Times New Roman" w:cs="Times New Roman"/>
          <w:sz w:val="28"/>
          <w:szCs w:val="28"/>
          <w:lang w:val="en-US"/>
        </w:rPr>
        <w:t>DRGs</w:t>
      </w:r>
      <w:r w:rsidRPr="00CD7ADA">
        <w:rPr>
          <w:rFonts w:ascii="Times New Roman" w:eastAsia="Calibri" w:hAnsi="Times New Roman" w:cs="Times New Roman"/>
          <w:sz w:val="28"/>
          <w:szCs w:val="28"/>
        </w:rPr>
        <w:t>)</w:t>
      </w:r>
      <w:r>
        <w:rPr>
          <w:rFonts w:ascii="Times New Roman" w:eastAsia="Calibri" w:hAnsi="Times New Roman" w:cs="Times New Roman"/>
          <w:sz w:val="28"/>
          <w:szCs w:val="28"/>
        </w:rPr>
        <w:t>, объединенных</w:t>
      </w:r>
      <w:r w:rsidRPr="00CD7A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23 основные медицинские категории </w:t>
      </w:r>
      <w:r w:rsidRPr="00CD7ADA">
        <w:rPr>
          <w:rFonts w:ascii="Times New Roman" w:eastAsia="Calibri" w:hAnsi="Times New Roman" w:cs="Times New Roman"/>
          <w:sz w:val="28"/>
          <w:szCs w:val="28"/>
        </w:rPr>
        <w:t>(</w:t>
      </w:r>
      <w:r>
        <w:rPr>
          <w:rFonts w:ascii="Times New Roman" w:eastAsia="Calibri" w:hAnsi="Times New Roman" w:cs="Times New Roman"/>
          <w:sz w:val="28"/>
          <w:szCs w:val="28"/>
          <w:lang w:val="en-US"/>
        </w:rPr>
        <w:t>major</w:t>
      </w:r>
      <w:r w:rsidRPr="00CD7AD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diagnostic</w:t>
      </w:r>
      <w:r w:rsidRPr="00CD7AD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groups</w:t>
      </w:r>
      <w:r w:rsidRPr="00CD7ADA">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MDGs</w:t>
      </w:r>
      <w:r w:rsidRPr="00CD7ADA">
        <w:rPr>
          <w:rFonts w:ascii="Times New Roman" w:eastAsia="Calibri" w:hAnsi="Times New Roman" w:cs="Times New Roman"/>
          <w:sz w:val="28"/>
          <w:szCs w:val="28"/>
        </w:rPr>
        <w:t>)</w:t>
      </w:r>
      <w:r>
        <w:rPr>
          <w:rFonts w:ascii="Times New Roman" w:eastAsia="Calibri" w:hAnsi="Times New Roman" w:cs="Times New Roman"/>
          <w:sz w:val="28"/>
          <w:szCs w:val="28"/>
        </w:rPr>
        <w:t>. Критериями для выделения групп послужили сходство заболеваний и однородность использованных при лечении ресурсов.</w:t>
      </w:r>
    </w:p>
    <w:p w:rsidR="001A5E3C" w:rsidRDefault="001A5E3C" w:rsidP="000A639E">
      <w:pPr>
        <w:spacing w:line="360" w:lineRule="auto"/>
        <w:ind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Спустя некоторое время введение в практику системы </w:t>
      </w:r>
      <w:r>
        <w:rPr>
          <w:rFonts w:ascii="Times New Roman" w:eastAsia="Calibri" w:hAnsi="Times New Roman" w:cs="Times New Roman"/>
          <w:sz w:val="28"/>
          <w:szCs w:val="28"/>
          <w:lang w:val="en-US"/>
        </w:rPr>
        <w:t>DRG</w:t>
      </w:r>
      <w:r>
        <w:rPr>
          <w:rFonts w:ascii="Times New Roman" w:eastAsia="Calibri" w:hAnsi="Times New Roman" w:cs="Times New Roman"/>
          <w:sz w:val="28"/>
          <w:szCs w:val="28"/>
        </w:rPr>
        <w:t xml:space="preserve"> было названо </w:t>
      </w:r>
      <w:r w:rsidR="009C4C2F">
        <w:rPr>
          <w:rFonts w:ascii="Times New Roman" w:eastAsia="Calibri" w:hAnsi="Times New Roman" w:cs="Times New Roman"/>
          <w:sz w:val="28"/>
          <w:szCs w:val="28"/>
        </w:rPr>
        <w:t>«</w:t>
      </w:r>
      <w:r>
        <w:rPr>
          <w:rFonts w:ascii="Times New Roman" w:eastAsia="Calibri" w:hAnsi="Times New Roman" w:cs="Times New Roman"/>
          <w:sz w:val="28"/>
          <w:szCs w:val="28"/>
        </w:rPr>
        <w:t>единственной и наиболее влиятельной послевоенной инновацией в медицинском финансировании</w:t>
      </w:r>
      <w:r w:rsidR="009C4C2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D28CA">
        <w:rPr>
          <w:rFonts w:ascii="Times New Roman" w:eastAsia="Calibri" w:hAnsi="Times New Roman" w:cs="Times New Roman"/>
          <w:sz w:val="28"/>
          <w:szCs w:val="28"/>
        </w:rPr>
        <w:t>[</w:t>
      </w:r>
      <w:r w:rsidR="000E1641">
        <w:rPr>
          <w:rFonts w:ascii="Times New Roman" w:eastAsia="Calibri" w:hAnsi="Times New Roman" w:cs="Times New Roman"/>
          <w:sz w:val="28"/>
          <w:szCs w:val="28"/>
        </w:rPr>
        <w:t>26</w:t>
      </w:r>
      <w:r w:rsidRPr="004D28CA">
        <w:rPr>
          <w:rFonts w:ascii="Times New Roman" w:eastAsia="Calibri" w:hAnsi="Times New Roman" w:cs="Times New Roman"/>
          <w:sz w:val="28"/>
          <w:szCs w:val="28"/>
        </w:rPr>
        <w:t>].</w:t>
      </w:r>
      <w:r>
        <w:rPr>
          <w:rFonts w:ascii="Times New Roman" w:eastAsia="Calibri" w:hAnsi="Times New Roman" w:cs="Times New Roman"/>
          <w:sz w:val="28"/>
          <w:szCs w:val="28"/>
        </w:rPr>
        <w:t xml:space="preserve"> Основной целью разработки </w:t>
      </w:r>
      <w:r>
        <w:rPr>
          <w:rFonts w:ascii="Times New Roman" w:eastAsia="Calibri" w:hAnsi="Times New Roman" w:cs="Times New Roman"/>
          <w:sz w:val="28"/>
          <w:szCs w:val="28"/>
        </w:rPr>
        <w:lastRenderedPageBreak/>
        <w:t xml:space="preserve">клинико-статистических групп в США было создание верных стимулов для сокращения медицинскими учреждениями </w:t>
      </w:r>
      <w:r w:rsidR="009C4C2F">
        <w:rPr>
          <w:rFonts w:ascii="Times New Roman" w:eastAsia="Calibri" w:hAnsi="Times New Roman" w:cs="Times New Roman"/>
          <w:sz w:val="28"/>
          <w:szCs w:val="28"/>
        </w:rPr>
        <w:t>«</w:t>
      </w:r>
      <w:r>
        <w:rPr>
          <w:rFonts w:ascii="Times New Roman" w:eastAsia="Calibri" w:hAnsi="Times New Roman" w:cs="Times New Roman"/>
          <w:sz w:val="28"/>
          <w:szCs w:val="28"/>
        </w:rPr>
        <w:t>избыточного</w:t>
      </w:r>
      <w:r w:rsidR="009C4C2F">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количества медицинских услуг. При этом отмечается </w:t>
      </w:r>
      <w:r w:rsidR="00F14A67">
        <w:rPr>
          <w:rFonts w:ascii="Times New Roman" w:eastAsia="Calibri" w:hAnsi="Times New Roman" w:cs="Times New Roman"/>
          <w:sz w:val="28"/>
          <w:szCs w:val="28"/>
        </w:rPr>
        <w:t>[</w:t>
      </w:r>
      <w:r w:rsidR="00F14A67" w:rsidRPr="00F14A67">
        <w:rPr>
          <w:rFonts w:ascii="Times New Roman" w:eastAsia="Calibri" w:hAnsi="Times New Roman" w:cs="Times New Roman"/>
          <w:sz w:val="28"/>
          <w:szCs w:val="28"/>
        </w:rPr>
        <w:t>2</w:t>
      </w:r>
      <w:r w:rsidR="000E1641">
        <w:rPr>
          <w:rFonts w:ascii="Times New Roman" w:eastAsia="Calibri" w:hAnsi="Times New Roman" w:cs="Times New Roman"/>
          <w:sz w:val="28"/>
          <w:szCs w:val="28"/>
        </w:rPr>
        <w:t>6</w:t>
      </w:r>
      <w:r w:rsidRPr="00BA6899">
        <w:rPr>
          <w:rFonts w:ascii="Times New Roman" w:eastAsia="Calibri" w:hAnsi="Times New Roman" w:cs="Times New Roman"/>
          <w:sz w:val="28"/>
          <w:szCs w:val="28"/>
        </w:rPr>
        <w:t>]</w:t>
      </w:r>
      <w:r>
        <w:rPr>
          <w:rFonts w:ascii="Times New Roman" w:eastAsia="Calibri" w:hAnsi="Times New Roman" w:cs="Times New Roman"/>
          <w:sz w:val="28"/>
          <w:szCs w:val="28"/>
        </w:rPr>
        <w:t xml:space="preserve">, что система оплаты, основанная на </w:t>
      </w:r>
      <w:r>
        <w:rPr>
          <w:rFonts w:ascii="Times New Roman" w:eastAsia="Calibri" w:hAnsi="Times New Roman" w:cs="Times New Roman"/>
          <w:sz w:val="28"/>
          <w:szCs w:val="28"/>
          <w:lang w:val="en-US"/>
        </w:rPr>
        <w:t>DRG</w:t>
      </w:r>
      <w:r>
        <w:rPr>
          <w:rFonts w:ascii="Times New Roman" w:eastAsia="Calibri" w:hAnsi="Times New Roman" w:cs="Times New Roman"/>
          <w:sz w:val="28"/>
          <w:szCs w:val="28"/>
        </w:rPr>
        <w:t xml:space="preserve">, способствовала установлению баланса между поставщиками медицинских услуг и </w:t>
      </w:r>
      <w:r>
        <w:rPr>
          <w:rFonts w:ascii="Times New Roman" w:hAnsi="Times New Roman"/>
          <w:sz w:val="28"/>
          <w:szCs w:val="28"/>
        </w:rPr>
        <w:t>оплачивающими их структурами</w:t>
      </w:r>
      <w:r>
        <w:rPr>
          <w:rFonts w:ascii="Times New Roman" w:eastAsia="Calibri" w:hAnsi="Times New Roman" w:cs="Times New Roman"/>
          <w:sz w:val="28"/>
          <w:szCs w:val="28"/>
        </w:rPr>
        <w:t>.</w:t>
      </w:r>
      <w:r>
        <w:rPr>
          <w:rFonts w:ascii="Times New Roman" w:hAnsi="Times New Roman"/>
          <w:sz w:val="28"/>
          <w:szCs w:val="28"/>
        </w:rPr>
        <w:t xml:space="preserve"> </w:t>
      </w:r>
      <w:r>
        <w:rPr>
          <w:rFonts w:ascii="Times New Roman" w:eastAsia="Calibri" w:hAnsi="Times New Roman" w:cs="Times New Roman"/>
          <w:sz w:val="28"/>
          <w:szCs w:val="28"/>
        </w:rPr>
        <w:t>Таким образом, внедрение системы оплаты по клинико-статистическим группам может содействовать переходу к системе стратегических соглашений о закупках медицинской помощи.</w:t>
      </w:r>
    </w:p>
    <w:p w:rsidR="001A5E3C" w:rsidRDefault="001A5E3C" w:rsidP="000A639E">
      <w:pPr>
        <w:spacing w:line="360" w:lineRule="auto"/>
        <w:ind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t>Уже в 1987 году 15 европейских стран, заинтересованных в проведении исследований и внедрении клинико-статистических групп, объединились для более эффективного обмена информацией</w:t>
      </w:r>
      <w:r>
        <w:rPr>
          <w:rFonts w:ascii="Times New Roman" w:hAnsi="Times New Roman"/>
          <w:sz w:val="28"/>
          <w:szCs w:val="28"/>
        </w:rPr>
        <w:t xml:space="preserve">, что способствовало быстрому распространению системы </w:t>
      </w:r>
      <w:r>
        <w:rPr>
          <w:rFonts w:ascii="Times New Roman" w:hAnsi="Times New Roman"/>
          <w:sz w:val="28"/>
          <w:szCs w:val="28"/>
          <w:lang w:val="en-US"/>
        </w:rPr>
        <w:t>DRG</w:t>
      </w:r>
      <w:r>
        <w:rPr>
          <w:rFonts w:ascii="Times New Roman" w:hAnsi="Times New Roman"/>
          <w:sz w:val="28"/>
          <w:szCs w:val="28"/>
        </w:rPr>
        <w:t xml:space="preserve"> в Европе</w:t>
      </w:r>
      <w:r w:rsidR="00F14A67" w:rsidRPr="00F14A67">
        <w:rPr>
          <w:rFonts w:ascii="Times New Roman" w:hAnsi="Times New Roman"/>
          <w:sz w:val="28"/>
          <w:szCs w:val="28"/>
        </w:rPr>
        <w:t xml:space="preserve"> [14]</w:t>
      </w:r>
      <w:r>
        <w:rPr>
          <w:rFonts w:ascii="Times New Roman" w:eastAsia="Calibri" w:hAnsi="Times New Roman" w:cs="Times New Roman"/>
          <w:sz w:val="28"/>
          <w:szCs w:val="28"/>
        </w:rPr>
        <w:t xml:space="preserve">. Параллельно процесс </w:t>
      </w:r>
      <w:r>
        <w:rPr>
          <w:rFonts w:ascii="Times New Roman" w:hAnsi="Times New Roman"/>
          <w:sz w:val="28"/>
          <w:szCs w:val="28"/>
        </w:rPr>
        <w:t xml:space="preserve">интеграции данного подхода </w:t>
      </w:r>
      <w:r w:rsidR="007A6CD9">
        <w:rPr>
          <w:rFonts w:ascii="Times New Roman" w:eastAsia="Calibri" w:hAnsi="Times New Roman" w:cs="Times New Roman"/>
          <w:sz w:val="28"/>
          <w:szCs w:val="28"/>
        </w:rPr>
        <w:t xml:space="preserve">проходил в Австралии. </w:t>
      </w:r>
      <w:r w:rsidR="007A6CD9" w:rsidRPr="00622A03">
        <w:rPr>
          <w:rFonts w:ascii="Times New Roman" w:eastAsia="Calibri" w:hAnsi="Times New Roman" w:cs="Times New Roman"/>
          <w:sz w:val="28"/>
          <w:szCs w:val="28"/>
        </w:rPr>
        <w:t>В П</w:t>
      </w:r>
      <w:r w:rsidRPr="00622A03">
        <w:rPr>
          <w:rFonts w:ascii="Times New Roman" w:eastAsia="Calibri" w:hAnsi="Times New Roman" w:cs="Times New Roman"/>
          <w:sz w:val="28"/>
          <w:szCs w:val="28"/>
        </w:rPr>
        <w:t>рил</w:t>
      </w:r>
      <w:r w:rsidR="007A6CD9" w:rsidRPr="00622A03">
        <w:rPr>
          <w:rFonts w:ascii="Times New Roman" w:eastAsia="Calibri" w:hAnsi="Times New Roman" w:cs="Times New Roman"/>
          <w:sz w:val="28"/>
          <w:szCs w:val="28"/>
        </w:rPr>
        <w:t>ожении 1</w:t>
      </w:r>
      <w:r w:rsidRPr="00622A03">
        <w:rPr>
          <w:rFonts w:ascii="Times New Roman" w:eastAsia="Calibri" w:hAnsi="Times New Roman" w:cs="Times New Roman"/>
          <w:sz w:val="28"/>
          <w:szCs w:val="28"/>
        </w:rPr>
        <w:t xml:space="preserve"> показан</w:t>
      </w:r>
      <w:r>
        <w:rPr>
          <w:rFonts w:ascii="Times New Roman" w:eastAsia="Calibri" w:hAnsi="Times New Roman" w:cs="Times New Roman"/>
          <w:sz w:val="28"/>
          <w:szCs w:val="28"/>
        </w:rPr>
        <w:t xml:space="preserve"> процесс разработки и внедрения различных подвидов системы </w:t>
      </w:r>
      <w:r>
        <w:rPr>
          <w:rFonts w:ascii="Times New Roman" w:eastAsia="Calibri" w:hAnsi="Times New Roman" w:cs="Times New Roman"/>
          <w:sz w:val="28"/>
          <w:szCs w:val="28"/>
          <w:lang w:val="en-US"/>
        </w:rPr>
        <w:t>DRG</w:t>
      </w:r>
      <w:r>
        <w:rPr>
          <w:rFonts w:ascii="Times New Roman" w:eastAsia="Calibri" w:hAnsi="Times New Roman" w:cs="Times New Roman"/>
          <w:sz w:val="28"/>
          <w:szCs w:val="28"/>
        </w:rPr>
        <w:t xml:space="preserve"> по всему миру, многие страны импортировали </w:t>
      </w:r>
      <w:r>
        <w:rPr>
          <w:rFonts w:ascii="Times New Roman" w:hAnsi="Times New Roman"/>
          <w:sz w:val="28"/>
          <w:szCs w:val="28"/>
        </w:rPr>
        <w:t>зарубежную</w:t>
      </w:r>
      <w:r>
        <w:rPr>
          <w:rFonts w:ascii="Times New Roman" w:eastAsia="Calibri" w:hAnsi="Times New Roman" w:cs="Times New Roman"/>
          <w:sz w:val="28"/>
          <w:szCs w:val="28"/>
        </w:rPr>
        <w:t xml:space="preserve"> систему </w:t>
      </w:r>
      <w:r>
        <w:rPr>
          <w:rFonts w:ascii="Times New Roman" w:eastAsia="Calibri" w:hAnsi="Times New Roman" w:cs="Times New Roman"/>
          <w:sz w:val="28"/>
          <w:szCs w:val="28"/>
          <w:lang w:val="en-US"/>
        </w:rPr>
        <w:t>DRG</w:t>
      </w:r>
      <w:r>
        <w:rPr>
          <w:rFonts w:ascii="Times New Roman" w:hAnsi="Times New Roman"/>
          <w:sz w:val="28"/>
          <w:szCs w:val="28"/>
        </w:rPr>
        <w:t>, часть из них адаптировали</w:t>
      </w:r>
      <w:r>
        <w:rPr>
          <w:rFonts w:ascii="Times New Roman" w:eastAsia="Calibri" w:hAnsi="Times New Roman" w:cs="Times New Roman"/>
          <w:sz w:val="28"/>
          <w:szCs w:val="28"/>
        </w:rPr>
        <w:t xml:space="preserve"> </w:t>
      </w:r>
      <w:r>
        <w:rPr>
          <w:rFonts w:ascii="Times New Roman" w:hAnsi="Times New Roman"/>
          <w:sz w:val="28"/>
          <w:szCs w:val="28"/>
        </w:rPr>
        <w:t xml:space="preserve">ее </w:t>
      </w:r>
      <w:r>
        <w:rPr>
          <w:rFonts w:ascii="Times New Roman" w:eastAsia="Calibri" w:hAnsi="Times New Roman" w:cs="Times New Roman"/>
          <w:sz w:val="28"/>
          <w:szCs w:val="28"/>
        </w:rPr>
        <w:t>под свои потребности</w:t>
      </w:r>
      <w:r>
        <w:rPr>
          <w:rFonts w:ascii="Times New Roman" w:hAnsi="Times New Roman"/>
          <w:sz w:val="28"/>
          <w:szCs w:val="28"/>
        </w:rPr>
        <w:t xml:space="preserve">, некоторые страны самостоятельно разрабатывали системы, схожие с </w:t>
      </w:r>
      <w:r>
        <w:rPr>
          <w:rFonts w:ascii="Times New Roman" w:hAnsi="Times New Roman"/>
          <w:sz w:val="28"/>
          <w:szCs w:val="28"/>
          <w:lang w:val="en-US"/>
        </w:rPr>
        <w:t>DRG</w:t>
      </w:r>
      <w:r>
        <w:rPr>
          <w:rFonts w:ascii="Times New Roman" w:hAnsi="Times New Roman"/>
          <w:sz w:val="28"/>
          <w:szCs w:val="28"/>
        </w:rPr>
        <w:t xml:space="preserve"> </w:t>
      </w:r>
      <w:r>
        <w:rPr>
          <w:rFonts w:ascii="Times New Roman" w:eastAsia="Calibri" w:hAnsi="Times New Roman" w:cs="Times New Roman"/>
          <w:sz w:val="28"/>
          <w:szCs w:val="28"/>
        </w:rPr>
        <w:t xml:space="preserve">(источник – </w:t>
      </w:r>
      <w:r w:rsidRPr="005B1E3E">
        <w:rPr>
          <w:rFonts w:ascii="Times New Roman" w:eastAsia="Calibri" w:hAnsi="Times New Roman" w:cs="Times New Roman"/>
          <w:sz w:val="28"/>
          <w:szCs w:val="28"/>
        </w:rPr>
        <w:t>[</w:t>
      </w:r>
      <w:r w:rsidR="000E1641">
        <w:rPr>
          <w:rFonts w:ascii="Times New Roman" w:eastAsia="Calibri" w:hAnsi="Times New Roman" w:cs="Times New Roman"/>
          <w:sz w:val="28"/>
          <w:szCs w:val="28"/>
        </w:rPr>
        <w:t>22</w:t>
      </w:r>
      <w:r w:rsidRPr="005B1E3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A5E3C" w:rsidRPr="000E1304" w:rsidRDefault="001A5E3C" w:rsidP="000A639E">
      <w:pPr>
        <w:spacing w:line="360" w:lineRule="auto"/>
        <w:ind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различиями в подходах к группировке и применению </w:t>
      </w:r>
      <w:r>
        <w:rPr>
          <w:rFonts w:ascii="Times New Roman" w:eastAsia="Calibri" w:hAnsi="Times New Roman" w:cs="Times New Roman"/>
          <w:sz w:val="28"/>
          <w:szCs w:val="28"/>
          <w:lang w:val="en-US"/>
        </w:rPr>
        <w:t>DRG</w:t>
      </w:r>
      <w:r>
        <w:rPr>
          <w:rFonts w:ascii="Times New Roman" w:eastAsia="Calibri" w:hAnsi="Times New Roman" w:cs="Times New Roman"/>
          <w:sz w:val="28"/>
          <w:szCs w:val="28"/>
        </w:rPr>
        <w:t xml:space="preserve"> сама трактовка клинико-статистических групп несколько различается от страны к стране. Также отметим, что система, носящая американское название </w:t>
      </w:r>
      <w:r>
        <w:rPr>
          <w:rFonts w:ascii="Times New Roman" w:eastAsia="Calibri" w:hAnsi="Times New Roman" w:cs="Times New Roman"/>
          <w:sz w:val="28"/>
          <w:szCs w:val="28"/>
          <w:lang w:val="en-US"/>
        </w:rPr>
        <w:t>DRG</w:t>
      </w:r>
      <w:r w:rsidRPr="000E1304">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Diagnosis</w:t>
      </w:r>
      <w:r w:rsidRPr="000E1304">
        <w:rPr>
          <w:rFonts w:ascii="Times New Roman" w:eastAsia="Calibri" w:hAnsi="Times New Roman" w:cs="Times New Roman"/>
          <w:sz w:val="28"/>
          <w:szCs w:val="28"/>
        </w:rPr>
        <w:t>-</w:t>
      </w:r>
      <w:r>
        <w:rPr>
          <w:rFonts w:ascii="Times New Roman" w:eastAsia="Calibri" w:hAnsi="Times New Roman" w:cs="Times New Roman"/>
          <w:sz w:val="28"/>
          <w:szCs w:val="28"/>
          <w:lang w:val="en-US"/>
        </w:rPr>
        <w:t>RelatedGroups</w:t>
      </w:r>
      <w:r>
        <w:rPr>
          <w:rFonts w:ascii="Times New Roman" w:eastAsia="Calibri" w:hAnsi="Times New Roman" w:cs="Times New Roman"/>
          <w:sz w:val="28"/>
          <w:szCs w:val="28"/>
        </w:rPr>
        <w:t xml:space="preserve">, может называться иначе в других странах. Сходная классификация в Великобритании известна как </w:t>
      </w:r>
      <w:r>
        <w:rPr>
          <w:rFonts w:ascii="Times New Roman" w:eastAsia="Calibri" w:hAnsi="Times New Roman" w:cs="Times New Roman"/>
          <w:sz w:val="28"/>
          <w:szCs w:val="28"/>
          <w:lang w:val="en-US"/>
        </w:rPr>
        <w:t>HRGs</w:t>
      </w:r>
      <w:r w:rsidRPr="000E1304">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HealthCareResourceGroups</w:t>
      </w:r>
      <w:r>
        <w:rPr>
          <w:rFonts w:ascii="Times New Roman" w:eastAsia="Calibri" w:hAnsi="Times New Roman" w:cs="Times New Roman"/>
          <w:sz w:val="28"/>
          <w:szCs w:val="28"/>
        </w:rPr>
        <w:t xml:space="preserve">, в Канаде – </w:t>
      </w:r>
      <w:r>
        <w:rPr>
          <w:rFonts w:ascii="Times New Roman" w:eastAsia="Calibri" w:hAnsi="Times New Roman" w:cs="Times New Roman"/>
          <w:sz w:val="28"/>
          <w:szCs w:val="28"/>
          <w:lang w:val="en-US"/>
        </w:rPr>
        <w:t>CMG</w:t>
      </w:r>
      <w:r w:rsidRPr="000E1304">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CaseMixGroup</w:t>
      </w:r>
      <w:r>
        <w:rPr>
          <w:rFonts w:ascii="Times New Roman" w:eastAsia="Calibri" w:hAnsi="Times New Roman" w:cs="Times New Roman"/>
          <w:sz w:val="28"/>
          <w:szCs w:val="28"/>
        </w:rPr>
        <w:t>.</w:t>
      </w:r>
    </w:p>
    <w:p w:rsidR="001A5E3C" w:rsidRDefault="001A5E3C" w:rsidP="000A639E">
      <w:pPr>
        <w:spacing w:line="360" w:lineRule="auto"/>
        <w:ind w:firstLine="624"/>
        <w:jc w:val="both"/>
        <w:rPr>
          <w:rFonts w:ascii="Times New Roman" w:hAnsi="Times New Roman"/>
          <w:sz w:val="28"/>
          <w:szCs w:val="28"/>
        </w:rPr>
      </w:pPr>
      <w:r>
        <w:rPr>
          <w:rFonts w:ascii="Times New Roman" w:eastAsia="Calibri" w:hAnsi="Times New Roman" w:cs="Times New Roman"/>
          <w:sz w:val="28"/>
          <w:szCs w:val="28"/>
        </w:rPr>
        <w:t xml:space="preserve">В настоящее время оплата по клинико-статистическим группам – это основной метод оплаты медицинской помощи в развитых странах </w:t>
      </w:r>
      <w:r w:rsidRPr="00495DE3">
        <w:rPr>
          <w:rFonts w:ascii="Times New Roman" w:eastAsia="Calibri" w:hAnsi="Times New Roman" w:cs="Times New Roman"/>
          <w:sz w:val="28"/>
          <w:szCs w:val="28"/>
        </w:rPr>
        <w:t>[</w:t>
      </w:r>
      <w:r w:rsidR="00F14A67" w:rsidRPr="00F14A67">
        <w:rPr>
          <w:rFonts w:ascii="Times New Roman" w:eastAsia="Calibri" w:hAnsi="Times New Roman" w:cs="Times New Roman"/>
          <w:sz w:val="28"/>
          <w:szCs w:val="28"/>
        </w:rPr>
        <w:t>2</w:t>
      </w:r>
      <w:r w:rsidR="000E1641">
        <w:rPr>
          <w:rFonts w:ascii="Times New Roman" w:eastAsia="Calibri" w:hAnsi="Times New Roman" w:cs="Times New Roman"/>
          <w:sz w:val="28"/>
          <w:szCs w:val="28"/>
        </w:rPr>
        <w:t>5</w:t>
      </w:r>
      <w:r w:rsidRPr="00495DE3">
        <w:rPr>
          <w:rFonts w:ascii="Times New Roman" w:eastAsia="Calibri" w:hAnsi="Times New Roman" w:cs="Times New Roman"/>
          <w:sz w:val="28"/>
          <w:szCs w:val="28"/>
        </w:rPr>
        <w:t>].</w:t>
      </w:r>
      <w:r>
        <w:rPr>
          <w:rFonts w:ascii="Times New Roman" w:eastAsia="Calibri" w:hAnsi="Times New Roman" w:cs="Times New Roman"/>
          <w:sz w:val="28"/>
          <w:szCs w:val="28"/>
        </w:rPr>
        <w:t xml:space="preserve"> Государства, вводящие в практику оплату по клинико-статистическим группам, </w:t>
      </w:r>
      <w:r>
        <w:rPr>
          <w:rFonts w:ascii="Times New Roman" w:hAnsi="Times New Roman"/>
          <w:sz w:val="28"/>
          <w:szCs w:val="28"/>
        </w:rPr>
        <w:t xml:space="preserve">преследуют довольно схожие цели. Основные ожидания </w:t>
      </w:r>
      <w:r>
        <w:rPr>
          <w:rFonts w:ascii="Times New Roman" w:hAnsi="Times New Roman"/>
          <w:sz w:val="28"/>
          <w:szCs w:val="28"/>
        </w:rPr>
        <w:lastRenderedPageBreak/>
        <w:t xml:space="preserve">правительств стран от введения системы </w:t>
      </w:r>
      <w:r>
        <w:rPr>
          <w:rFonts w:ascii="Times New Roman" w:hAnsi="Times New Roman"/>
          <w:sz w:val="28"/>
          <w:szCs w:val="28"/>
          <w:lang w:val="en-US"/>
        </w:rPr>
        <w:t>DRG</w:t>
      </w:r>
      <w:r>
        <w:rPr>
          <w:rFonts w:ascii="Times New Roman" w:hAnsi="Times New Roman"/>
          <w:sz w:val="28"/>
          <w:szCs w:val="28"/>
        </w:rPr>
        <w:t xml:space="preserve"> можно представить следующим образом: </w:t>
      </w:r>
      <w:r>
        <w:rPr>
          <w:rFonts w:ascii="Times New Roman" w:eastAsia="Calibri" w:hAnsi="Times New Roman" w:cs="Times New Roman"/>
          <w:sz w:val="28"/>
          <w:szCs w:val="28"/>
        </w:rPr>
        <w:t xml:space="preserve"> </w:t>
      </w:r>
    </w:p>
    <w:p w:rsidR="001A5E3C" w:rsidRPr="00525A07" w:rsidRDefault="001A5E3C" w:rsidP="000A639E">
      <w:pPr>
        <w:pStyle w:val="a3"/>
        <w:numPr>
          <w:ilvl w:val="0"/>
          <w:numId w:val="7"/>
        </w:numPr>
        <w:spacing w:line="360" w:lineRule="auto"/>
        <w:ind w:left="0" w:firstLine="624"/>
        <w:jc w:val="both"/>
        <w:rPr>
          <w:rFonts w:ascii="Times New Roman" w:eastAsia="Calibri" w:hAnsi="Times New Roman" w:cs="Times New Roman"/>
          <w:sz w:val="28"/>
          <w:szCs w:val="28"/>
        </w:rPr>
      </w:pPr>
      <w:r w:rsidRPr="00525A07">
        <w:rPr>
          <w:rFonts w:ascii="Times New Roman" w:eastAsia="Calibri" w:hAnsi="Times New Roman" w:cs="Times New Roman"/>
          <w:sz w:val="28"/>
          <w:szCs w:val="28"/>
        </w:rPr>
        <w:t xml:space="preserve">Ожидается, что введение оплаты по </w:t>
      </w:r>
      <w:r w:rsidRPr="00525A07">
        <w:rPr>
          <w:rFonts w:ascii="Times New Roman" w:eastAsia="Calibri" w:hAnsi="Times New Roman" w:cs="Times New Roman"/>
          <w:sz w:val="28"/>
          <w:szCs w:val="28"/>
          <w:lang w:val="en-US"/>
        </w:rPr>
        <w:t>DRG</w:t>
      </w:r>
      <w:r w:rsidRPr="00525A07">
        <w:rPr>
          <w:rFonts w:ascii="Times New Roman" w:eastAsia="Calibri" w:hAnsi="Times New Roman" w:cs="Times New Roman"/>
          <w:sz w:val="28"/>
          <w:szCs w:val="28"/>
        </w:rPr>
        <w:t xml:space="preserve"> увеличит прозрачность системы предоставления медицинских услуг;</w:t>
      </w:r>
    </w:p>
    <w:p w:rsidR="001A5E3C" w:rsidRPr="00080FD7" w:rsidRDefault="001A5E3C" w:rsidP="000A639E">
      <w:pPr>
        <w:pStyle w:val="a3"/>
        <w:numPr>
          <w:ilvl w:val="0"/>
          <w:numId w:val="7"/>
        </w:numPr>
        <w:spacing w:line="360" w:lineRule="auto"/>
        <w:ind w:left="0" w:firstLine="624"/>
        <w:jc w:val="both"/>
        <w:rPr>
          <w:rFonts w:ascii="Times New Roman" w:hAnsi="Times New Roman" w:cs="Times New Roman"/>
          <w:sz w:val="28"/>
          <w:szCs w:val="28"/>
        </w:rPr>
      </w:pPr>
      <w:r w:rsidRPr="00080FD7">
        <w:rPr>
          <w:rFonts w:ascii="Times New Roman" w:eastAsia="Calibri" w:hAnsi="Times New Roman" w:cs="Times New Roman"/>
          <w:sz w:val="28"/>
          <w:szCs w:val="28"/>
        </w:rPr>
        <w:t xml:space="preserve">Ожидается, что система </w:t>
      </w:r>
      <w:r w:rsidRPr="00080FD7">
        <w:rPr>
          <w:rFonts w:ascii="Times New Roman" w:eastAsia="Calibri" w:hAnsi="Times New Roman" w:cs="Times New Roman"/>
          <w:sz w:val="28"/>
          <w:szCs w:val="28"/>
          <w:lang w:val="en-US"/>
        </w:rPr>
        <w:t>DRG</w:t>
      </w:r>
      <w:r w:rsidRPr="00080FD7">
        <w:rPr>
          <w:rFonts w:ascii="Times New Roman" w:eastAsia="Calibri" w:hAnsi="Times New Roman" w:cs="Times New Roman"/>
          <w:sz w:val="28"/>
          <w:szCs w:val="28"/>
        </w:rPr>
        <w:t xml:space="preserve"> сможет обеспечить верные стимулы для эффективного распределения ресурсов медицинскими организациями за счет того, что услуги будут оплачиваться по количеству и типу пролеченных случаев;</w:t>
      </w:r>
    </w:p>
    <w:p w:rsidR="001A5E3C" w:rsidRPr="000E1304" w:rsidRDefault="001A5E3C" w:rsidP="000A639E">
      <w:pPr>
        <w:pStyle w:val="a3"/>
        <w:numPr>
          <w:ilvl w:val="0"/>
          <w:numId w:val="7"/>
        </w:numPr>
        <w:spacing w:line="360" w:lineRule="auto"/>
        <w:ind w:left="0" w:firstLine="624"/>
        <w:jc w:val="both"/>
        <w:rPr>
          <w:rFonts w:ascii="Times New Roman" w:hAnsi="Times New Roman"/>
          <w:sz w:val="28"/>
          <w:szCs w:val="28"/>
        </w:rPr>
      </w:pPr>
      <w:r w:rsidRPr="00080FD7">
        <w:rPr>
          <w:rFonts w:ascii="Times New Roman" w:eastAsia="Calibri" w:hAnsi="Times New Roman" w:cs="Times New Roman"/>
          <w:sz w:val="28"/>
          <w:szCs w:val="28"/>
        </w:rPr>
        <w:t>Через усиление прозрачности и увеличение эффективности распределения ресурсов также возможно улучшение качества предоставляемых медицинских услуг.</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 xml:space="preserve">Широкое распространение разнообразных классификаций типа </w:t>
      </w:r>
      <w:r>
        <w:rPr>
          <w:rFonts w:ascii="Times New Roman" w:hAnsi="Times New Roman"/>
          <w:sz w:val="28"/>
          <w:szCs w:val="28"/>
          <w:lang w:val="en-US"/>
        </w:rPr>
        <w:t>DRG</w:t>
      </w:r>
      <w:r>
        <w:rPr>
          <w:rFonts w:ascii="Times New Roman" w:hAnsi="Times New Roman"/>
          <w:sz w:val="28"/>
          <w:szCs w:val="28"/>
        </w:rPr>
        <w:t xml:space="preserve"> на территории Европы и повышение мобильности населения европейских государств способствовало созданию проекта </w:t>
      </w:r>
      <w:r>
        <w:rPr>
          <w:rFonts w:ascii="Times New Roman" w:hAnsi="Times New Roman"/>
          <w:sz w:val="28"/>
          <w:szCs w:val="28"/>
          <w:lang w:val="en-US"/>
        </w:rPr>
        <w:t>EuroDRG</w:t>
      </w:r>
      <w:r w:rsidR="00F14A67" w:rsidRPr="00F14A67">
        <w:rPr>
          <w:rFonts w:ascii="Times New Roman" w:hAnsi="Times New Roman"/>
          <w:sz w:val="28"/>
          <w:szCs w:val="28"/>
        </w:rPr>
        <w:t xml:space="preserve"> [14]</w:t>
      </w:r>
      <w:r>
        <w:rPr>
          <w:rFonts w:ascii="Times New Roman" w:hAnsi="Times New Roman"/>
          <w:sz w:val="28"/>
          <w:szCs w:val="28"/>
        </w:rPr>
        <w:t xml:space="preserve">, в рамках которого проводится подробный анализ национальных систем оплаты медицинской помощи и стимулов, создание которых провоцируется данными системами оплаты. Основная цель проекта состоит в выявлении возможности и разработке методологических подходов к гармонизации отдельных европейских механизмов оплаты медицинской помощи. Опыт </w:t>
      </w:r>
      <w:r>
        <w:rPr>
          <w:rFonts w:ascii="Times New Roman" w:hAnsi="Times New Roman"/>
          <w:sz w:val="28"/>
          <w:szCs w:val="28"/>
          <w:lang w:val="en-US"/>
        </w:rPr>
        <w:t>EuroDRG</w:t>
      </w:r>
      <w:r>
        <w:rPr>
          <w:rFonts w:ascii="Times New Roman" w:hAnsi="Times New Roman"/>
          <w:sz w:val="28"/>
          <w:szCs w:val="28"/>
        </w:rPr>
        <w:t xml:space="preserve"> может быть весьма полезен при разработке стратегии к переходу к единому подходу оплаты услуг, предоставляемых медицинскими организациями в Российской Федерации.</w:t>
      </w:r>
    </w:p>
    <w:p w:rsidR="001A5E3C" w:rsidRPr="00BA7429" w:rsidRDefault="001A5E3C" w:rsidP="000A639E">
      <w:pPr>
        <w:spacing w:line="360" w:lineRule="auto"/>
        <w:ind w:firstLine="624"/>
        <w:jc w:val="both"/>
        <w:rPr>
          <w:rFonts w:ascii="Times New Roman" w:hAnsi="Times New Roman"/>
          <w:sz w:val="28"/>
          <w:szCs w:val="28"/>
        </w:rPr>
      </w:pPr>
      <w:r w:rsidRPr="00BA7429">
        <w:rPr>
          <w:rFonts w:ascii="Times New Roman" w:hAnsi="Times New Roman"/>
          <w:sz w:val="28"/>
          <w:szCs w:val="28"/>
        </w:rPr>
        <w:t xml:space="preserve">Из-за различия в методах оплаты в разных странах Европейского Союза произведение реальных расчетов между национальными бюджетами за предоставление медицинской помощи нерезидентам достаточно затруднено. Также довольно непростым оказывается межстрановое сравнение эффективности и прозрачности функционирования стационаров. Таким образом, 12 европейских государств объединились в проект EuroDRG с целью выявить сходства и </w:t>
      </w:r>
      <w:r w:rsidRPr="00BA7429">
        <w:rPr>
          <w:rFonts w:ascii="Times New Roman" w:hAnsi="Times New Roman"/>
          <w:sz w:val="28"/>
          <w:szCs w:val="28"/>
        </w:rPr>
        <w:lastRenderedPageBreak/>
        <w:t>различия в отдельных страновых методологиях классификации DRG, расчета весов групп (для оплаты) и сам</w:t>
      </w:r>
      <w:r>
        <w:rPr>
          <w:rFonts w:ascii="Times New Roman" w:hAnsi="Times New Roman"/>
          <w:sz w:val="28"/>
          <w:szCs w:val="28"/>
        </w:rPr>
        <w:t>ого</w:t>
      </w:r>
      <w:r w:rsidRPr="00BA7429">
        <w:rPr>
          <w:rFonts w:ascii="Times New Roman" w:hAnsi="Times New Roman"/>
          <w:sz w:val="28"/>
          <w:szCs w:val="28"/>
        </w:rPr>
        <w:t xml:space="preserve"> подход</w:t>
      </w:r>
      <w:r>
        <w:rPr>
          <w:rFonts w:ascii="Times New Roman" w:hAnsi="Times New Roman"/>
          <w:sz w:val="28"/>
          <w:szCs w:val="28"/>
        </w:rPr>
        <w:t>а</w:t>
      </w:r>
      <w:r w:rsidRPr="00BA7429">
        <w:rPr>
          <w:rFonts w:ascii="Times New Roman" w:hAnsi="Times New Roman"/>
          <w:sz w:val="28"/>
          <w:szCs w:val="28"/>
        </w:rPr>
        <w:t xml:space="preserve"> к оплате медицинских услуг. </w:t>
      </w:r>
    </w:p>
    <w:p w:rsidR="001A5E3C" w:rsidRPr="00BA7429" w:rsidRDefault="001A5E3C" w:rsidP="000A639E">
      <w:pPr>
        <w:spacing w:line="360" w:lineRule="auto"/>
        <w:ind w:firstLine="624"/>
        <w:jc w:val="both"/>
        <w:rPr>
          <w:rFonts w:ascii="Times New Roman" w:hAnsi="Times New Roman"/>
          <w:sz w:val="28"/>
          <w:szCs w:val="28"/>
        </w:rPr>
      </w:pPr>
      <w:r w:rsidRPr="00BA7429">
        <w:rPr>
          <w:rFonts w:ascii="Times New Roman" w:hAnsi="Times New Roman"/>
          <w:sz w:val="28"/>
          <w:szCs w:val="28"/>
        </w:rPr>
        <w:t xml:space="preserve">Проект EuroDRG имеет большое значение для сферы здравоохранения не только Европы, но и других развитых и развивающихся стран, поскольку, с одной стороны, он ставит перед собой задачу максимальной интеграции </w:t>
      </w:r>
      <w:r>
        <w:rPr>
          <w:rFonts w:ascii="Times New Roman" w:hAnsi="Times New Roman"/>
          <w:sz w:val="28"/>
          <w:szCs w:val="28"/>
        </w:rPr>
        <w:t xml:space="preserve">в </w:t>
      </w:r>
      <w:r w:rsidRPr="00BA7429">
        <w:rPr>
          <w:rFonts w:ascii="Times New Roman" w:hAnsi="Times New Roman"/>
          <w:sz w:val="28"/>
          <w:szCs w:val="28"/>
        </w:rPr>
        <w:t>практику всех теоретических наработок и результатов исследований, которые были произведены в последние десятилетия по вопросам клинико-статистических групп. С другой стороны, EuroDRG представляет собой первый крупный международный проект, объектом анализа которого выступает сама методология DRG (не отдельные проблемы классификации и расчета коэффициентов, а оценка реальных последствий внедрения клинико-статистических групп</w:t>
      </w:r>
      <w:r>
        <w:rPr>
          <w:rFonts w:ascii="Times New Roman" w:hAnsi="Times New Roman"/>
          <w:sz w:val="28"/>
          <w:szCs w:val="28"/>
        </w:rPr>
        <w:t xml:space="preserve"> </w:t>
      </w:r>
      <w:r w:rsidRPr="00BA7429">
        <w:rPr>
          <w:rFonts w:ascii="Times New Roman" w:hAnsi="Times New Roman"/>
          <w:sz w:val="28"/>
          <w:szCs w:val="28"/>
        </w:rPr>
        <w:t>в систему здравоохранения стран и произведения оплаты на их основе).</w:t>
      </w:r>
    </w:p>
    <w:p w:rsidR="00171048" w:rsidRDefault="001A5E3C" w:rsidP="000A639E">
      <w:pPr>
        <w:spacing w:line="360" w:lineRule="auto"/>
        <w:ind w:firstLine="624"/>
        <w:jc w:val="both"/>
        <w:rPr>
          <w:rFonts w:ascii="Times New Roman" w:hAnsi="Times New Roman"/>
          <w:sz w:val="28"/>
          <w:szCs w:val="28"/>
        </w:rPr>
      </w:pPr>
      <w:r w:rsidRPr="00BA7429">
        <w:rPr>
          <w:rFonts w:ascii="Times New Roman" w:hAnsi="Times New Roman"/>
          <w:sz w:val="28"/>
          <w:szCs w:val="28"/>
        </w:rPr>
        <w:t xml:space="preserve">Как уже упоминалось ранее, в сфере оценки деятельности стационаров в мире существовал (и по сей день существует) существенный недостаток в теоретически проработанных методиках. Потребность в таких методиках была частично закрыта с помощью классификатора клинико-статистических групп. Но поскольку альтернатив практически не было, а подход DRG казался </w:t>
      </w:r>
      <w:r>
        <w:rPr>
          <w:rFonts w:ascii="Times New Roman" w:hAnsi="Times New Roman"/>
          <w:sz w:val="28"/>
          <w:szCs w:val="28"/>
        </w:rPr>
        <w:t>более структурированным и прозрачным по сравнению с ранее использовавшимися подходами</w:t>
      </w:r>
      <w:r w:rsidRPr="00BA7429">
        <w:rPr>
          <w:rFonts w:ascii="Times New Roman" w:hAnsi="Times New Roman"/>
          <w:sz w:val="28"/>
          <w:szCs w:val="28"/>
        </w:rPr>
        <w:t xml:space="preserve"> (</w:t>
      </w:r>
      <w:r>
        <w:rPr>
          <w:rFonts w:ascii="Times New Roman" w:hAnsi="Times New Roman"/>
          <w:sz w:val="28"/>
          <w:szCs w:val="28"/>
        </w:rPr>
        <w:t>оплата за услуги и глобальный б</w:t>
      </w:r>
      <w:r w:rsidRPr="00BA7429">
        <w:rPr>
          <w:rFonts w:ascii="Times New Roman" w:hAnsi="Times New Roman"/>
          <w:sz w:val="28"/>
          <w:szCs w:val="28"/>
        </w:rPr>
        <w:t xml:space="preserve">юджет), быстрое распространения DRG не было подкреплено оценкой самой системы. </w:t>
      </w:r>
    </w:p>
    <w:p w:rsidR="001A5E3C" w:rsidRPr="00BA7429" w:rsidRDefault="00F14A67" w:rsidP="000A639E">
      <w:pPr>
        <w:spacing w:line="360" w:lineRule="auto"/>
        <w:ind w:firstLine="624"/>
        <w:jc w:val="both"/>
        <w:rPr>
          <w:rFonts w:ascii="Times New Roman" w:hAnsi="Times New Roman"/>
          <w:sz w:val="28"/>
          <w:szCs w:val="28"/>
        </w:rPr>
      </w:pPr>
      <w:r>
        <w:rPr>
          <w:rFonts w:ascii="Times New Roman" w:hAnsi="Times New Roman"/>
          <w:sz w:val="28"/>
          <w:szCs w:val="28"/>
        </w:rPr>
        <w:t>Исследователями отмечается [</w:t>
      </w:r>
      <w:r w:rsidRPr="00F14A67">
        <w:rPr>
          <w:rFonts w:ascii="Times New Roman" w:hAnsi="Times New Roman"/>
          <w:sz w:val="28"/>
          <w:szCs w:val="28"/>
        </w:rPr>
        <w:t>2</w:t>
      </w:r>
      <w:r w:rsidR="000E1641">
        <w:rPr>
          <w:rFonts w:ascii="Times New Roman" w:hAnsi="Times New Roman"/>
          <w:sz w:val="28"/>
          <w:szCs w:val="28"/>
        </w:rPr>
        <w:t>4</w:t>
      </w:r>
      <w:r w:rsidR="001A5E3C" w:rsidRPr="00BA7429">
        <w:rPr>
          <w:rFonts w:ascii="Times New Roman" w:hAnsi="Times New Roman"/>
          <w:sz w:val="28"/>
          <w:szCs w:val="28"/>
        </w:rPr>
        <w:t xml:space="preserve">], что </w:t>
      </w:r>
      <w:r w:rsidR="009C4C2F">
        <w:rPr>
          <w:rFonts w:ascii="Times New Roman" w:hAnsi="Times New Roman"/>
          <w:sz w:val="28"/>
          <w:szCs w:val="28"/>
        </w:rPr>
        <w:t>«</w:t>
      </w:r>
      <w:r w:rsidR="001A5E3C" w:rsidRPr="00BA7429">
        <w:rPr>
          <w:rFonts w:ascii="Times New Roman" w:hAnsi="Times New Roman"/>
          <w:sz w:val="28"/>
          <w:szCs w:val="28"/>
        </w:rPr>
        <w:t>знание и понимание эффектов от внедрения системы DRG и способов оплаты на ее основе, а также оптимальных характеристик дизайна данных систем остается на удивление ограниченным</w:t>
      </w:r>
      <w:r w:rsidR="009C4C2F">
        <w:rPr>
          <w:rFonts w:ascii="Times New Roman" w:hAnsi="Times New Roman"/>
          <w:sz w:val="28"/>
          <w:szCs w:val="28"/>
        </w:rPr>
        <w:t>»</w:t>
      </w:r>
      <w:r w:rsidR="001A5E3C" w:rsidRPr="00BA7429">
        <w:rPr>
          <w:rFonts w:ascii="Times New Roman" w:hAnsi="Times New Roman"/>
          <w:sz w:val="28"/>
          <w:szCs w:val="28"/>
        </w:rPr>
        <w:t>.</w:t>
      </w:r>
      <w:r w:rsidR="001A5E3C">
        <w:rPr>
          <w:rFonts w:ascii="Times New Roman" w:hAnsi="Times New Roman"/>
          <w:sz w:val="28"/>
          <w:szCs w:val="28"/>
        </w:rPr>
        <w:t xml:space="preserve"> При этом м</w:t>
      </w:r>
      <w:r w:rsidR="001A5E3C" w:rsidRPr="00BA7429">
        <w:rPr>
          <w:rFonts w:ascii="Times New Roman" w:hAnsi="Times New Roman"/>
          <w:sz w:val="28"/>
          <w:szCs w:val="28"/>
        </w:rPr>
        <w:t xml:space="preserve">етодология клинико-статистических групп по сей день остается, по большей части, прикладным подходом к разработке </w:t>
      </w:r>
      <w:r w:rsidR="001A5E3C" w:rsidRPr="00BA7429">
        <w:rPr>
          <w:rFonts w:ascii="Times New Roman" w:hAnsi="Times New Roman"/>
          <w:sz w:val="28"/>
          <w:szCs w:val="28"/>
        </w:rPr>
        <w:lastRenderedPageBreak/>
        <w:t>групп заболеваний, их весов для оплаты медицинских услуг и планирования бюджета.</w:t>
      </w:r>
    </w:p>
    <w:p w:rsidR="001A5E3C" w:rsidRPr="00127805" w:rsidRDefault="001A5E3C" w:rsidP="00127805">
      <w:pPr>
        <w:pStyle w:val="2"/>
        <w:numPr>
          <w:ilvl w:val="0"/>
          <w:numId w:val="19"/>
        </w:numPr>
        <w:spacing w:before="360" w:after="240" w:line="360" w:lineRule="auto"/>
        <w:ind w:left="425" w:hanging="357"/>
        <w:rPr>
          <w:rFonts w:ascii="Times New Roman" w:hAnsi="Times New Roman"/>
          <w:b w:val="0"/>
          <w:color w:val="auto"/>
          <w:sz w:val="32"/>
          <w:szCs w:val="32"/>
        </w:rPr>
      </w:pPr>
      <w:bookmarkStart w:id="8" w:name="_Toc357415389"/>
      <w:r w:rsidRPr="00127805">
        <w:rPr>
          <w:rFonts w:ascii="Times New Roman" w:hAnsi="Times New Roman"/>
          <w:color w:val="auto"/>
          <w:sz w:val="32"/>
          <w:szCs w:val="32"/>
        </w:rPr>
        <w:t>Внедрение подхода КСГ</w:t>
      </w:r>
      <w:bookmarkEnd w:id="8"/>
    </w:p>
    <w:p w:rsidR="00171048" w:rsidRDefault="001A5E3C" w:rsidP="0055020B">
      <w:pPr>
        <w:spacing w:line="360" w:lineRule="auto"/>
        <w:jc w:val="both"/>
        <w:rPr>
          <w:rFonts w:ascii="Times New Roman" w:hAnsi="Times New Roman"/>
          <w:sz w:val="28"/>
          <w:szCs w:val="28"/>
        </w:rPr>
      </w:pPr>
      <w:r w:rsidRPr="00DF4D10">
        <w:rPr>
          <w:rFonts w:ascii="Times New Roman" w:hAnsi="Times New Roman"/>
          <w:sz w:val="28"/>
          <w:szCs w:val="28"/>
        </w:rPr>
        <w:t>Система клинико-статистических групп может быть полностью им</w:t>
      </w:r>
      <w:r>
        <w:rPr>
          <w:rFonts w:ascii="Times New Roman" w:hAnsi="Times New Roman"/>
          <w:sz w:val="28"/>
          <w:szCs w:val="28"/>
        </w:rPr>
        <w:t>портирована и без изменений внед</w:t>
      </w:r>
      <w:r w:rsidRPr="00DF4D10">
        <w:rPr>
          <w:rFonts w:ascii="Times New Roman" w:hAnsi="Times New Roman"/>
          <w:sz w:val="28"/>
          <w:szCs w:val="28"/>
        </w:rPr>
        <w:t xml:space="preserve">рена в структуру государства, выступающего в качестве принимающей стороны. По ряду причин страна также может предпочесть начать с нуля разрабатывать собственную </w:t>
      </w:r>
      <w:r w:rsidRPr="00622A03">
        <w:rPr>
          <w:rFonts w:ascii="Times New Roman" w:hAnsi="Times New Roman"/>
          <w:sz w:val="28"/>
          <w:szCs w:val="28"/>
        </w:rPr>
        <w:t xml:space="preserve">классификацию, сходную по идее и основным характеристикам с </w:t>
      </w:r>
      <w:r w:rsidRPr="00622A03">
        <w:rPr>
          <w:rFonts w:ascii="Times New Roman" w:hAnsi="Times New Roman"/>
          <w:sz w:val="28"/>
          <w:szCs w:val="28"/>
          <w:lang w:val="en-US"/>
        </w:rPr>
        <w:t>DRG</w:t>
      </w:r>
      <w:r w:rsidRPr="00622A03">
        <w:rPr>
          <w:rFonts w:ascii="Times New Roman" w:hAnsi="Times New Roman"/>
          <w:sz w:val="28"/>
          <w:szCs w:val="28"/>
        </w:rPr>
        <w:t xml:space="preserve"> (см. </w:t>
      </w:r>
      <w:r w:rsidR="007A6CD9" w:rsidRPr="00622A03">
        <w:rPr>
          <w:rFonts w:ascii="Times New Roman" w:hAnsi="Times New Roman"/>
          <w:sz w:val="28"/>
          <w:szCs w:val="28"/>
        </w:rPr>
        <w:t>Приложение 1</w:t>
      </w:r>
      <w:r w:rsidRPr="00622A03">
        <w:rPr>
          <w:rFonts w:ascii="Times New Roman" w:hAnsi="Times New Roman"/>
          <w:sz w:val="28"/>
          <w:szCs w:val="28"/>
        </w:rPr>
        <w:t>). Но большинство</w:t>
      </w:r>
      <w:r w:rsidRPr="00DF4D10">
        <w:rPr>
          <w:rFonts w:ascii="Times New Roman" w:hAnsi="Times New Roman"/>
          <w:sz w:val="28"/>
          <w:szCs w:val="28"/>
        </w:rPr>
        <w:t xml:space="preserve"> стран все-таки предпочитает некоторое промежуточное решение. </w:t>
      </w:r>
    </w:p>
    <w:p w:rsidR="00171048" w:rsidRDefault="001A5E3C" w:rsidP="000A639E">
      <w:pPr>
        <w:spacing w:line="360" w:lineRule="auto"/>
        <w:ind w:firstLine="624"/>
        <w:jc w:val="both"/>
        <w:rPr>
          <w:rFonts w:ascii="Times New Roman" w:hAnsi="Times New Roman"/>
          <w:sz w:val="28"/>
          <w:szCs w:val="28"/>
        </w:rPr>
      </w:pPr>
      <w:r w:rsidRPr="00DF4D10">
        <w:rPr>
          <w:rFonts w:ascii="Times New Roman" w:hAnsi="Times New Roman"/>
          <w:sz w:val="28"/>
          <w:szCs w:val="28"/>
        </w:rPr>
        <w:t xml:space="preserve">На настоящий момент существует огромное количество страновых классификаторов и государство, только планирующее начать применять подход </w:t>
      </w:r>
      <w:r w:rsidRPr="00DF4D10">
        <w:rPr>
          <w:rFonts w:ascii="Times New Roman" w:hAnsi="Times New Roman"/>
          <w:sz w:val="28"/>
          <w:szCs w:val="28"/>
          <w:lang w:val="en-US"/>
        </w:rPr>
        <w:t>DRG</w:t>
      </w:r>
      <w:r w:rsidRPr="00DF4D10">
        <w:rPr>
          <w:rFonts w:ascii="Times New Roman" w:hAnsi="Times New Roman"/>
          <w:sz w:val="28"/>
          <w:szCs w:val="28"/>
        </w:rPr>
        <w:t xml:space="preserve"> на практике должно воспользоваться возможностью изучить все разнообразие моделей и их особенностей (а также, возможно, переходные и тупиковые варианты отдельных подходов) для того, чтобы понимать существующие альтернативы и, по крайней мере, примерно, представлять вероятные последствия принятия решения о внедрении метода клинико-статистических групп с тем или иным уникальным набором характеристик. </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В данной части работы</w:t>
      </w:r>
      <w:r w:rsidRPr="00DF4D10">
        <w:rPr>
          <w:rFonts w:ascii="Times New Roman" w:hAnsi="Times New Roman"/>
          <w:sz w:val="28"/>
          <w:szCs w:val="28"/>
        </w:rPr>
        <w:t xml:space="preserve"> будут подробно рассмотрены этапы разработки и внедрения клинико-статистических групп и оплаты на их основе, а также основные проблемные области, на которые должно быть обращено особо пристальное внимание лиц, участвующих в разработке политики в данном сегменте сферы здравоохранения</w:t>
      </w:r>
      <w:r>
        <w:rPr>
          <w:rFonts w:ascii="Times New Roman" w:hAnsi="Times New Roman"/>
          <w:sz w:val="28"/>
          <w:szCs w:val="28"/>
        </w:rPr>
        <w:t>.</w:t>
      </w:r>
    </w:p>
    <w:p w:rsidR="001A5E3C" w:rsidRPr="00E0167D"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 xml:space="preserve">Выделяют три этапа развития метода </w:t>
      </w:r>
      <w:r>
        <w:rPr>
          <w:rFonts w:ascii="Times New Roman" w:hAnsi="Times New Roman"/>
          <w:sz w:val="28"/>
          <w:szCs w:val="28"/>
          <w:lang w:val="en-US"/>
        </w:rPr>
        <w:t>DRG</w:t>
      </w:r>
      <w:r>
        <w:rPr>
          <w:rFonts w:ascii="Times New Roman" w:hAnsi="Times New Roman"/>
          <w:sz w:val="28"/>
          <w:szCs w:val="28"/>
        </w:rPr>
        <w:t>, при этом, в зависимости от целей, государство, импортирующее систему, может остановиться на любом из них.</w:t>
      </w:r>
    </w:p>
    <w:p w:rsidR="001A5E3C"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lastRenderedPageBreak/>
        <w:t>Первым этапом</w:t>
      </w:r>
      <w:r w:rsidRPr="00DF4D10">
        <w:rPr>
          <w:rFonts w:ascii="Times New Roman" w:hAnsi="Times New Roman"/>
          <w:sz w:val="28"/>
          <w:szCs w:val="28"/>
        </w:rPr>
        <w:t xml:space="preserve"> развития метода </w:t>
      </w:r>
      <w:r>
        <w:rPr>
          <w:rFonts w:ascii="Times New Roman" w:hAnsi="Times New Roman"/>
          <w:sz w:val="28"/>
          <w:szCs w:val="28"/>
        </w:rPr>
        <w:t>является</w:t>
      </w:r>
      <w:r w:rsidRPr="00DF4D10">
        <w:rPr>
          <w:rFonts w:ascii="Times New Roman" w:hAnsi="Times New Roman"/>
          <w:sz w:val="28"/>
          <w:szCs w:val="28"/>
        </w:rPr>
        <w:t xml:space="preserve"> создание классификатора, который позволял бы сравнивать между собой совершенно разные случаи заболевания (или пациентов). Это позвол</w:t>
      </w:r>
      <w:r>
        <w:rPr>
          <w:rFonts w:ascii="Times New Roman" w:hAnsi="Times New Roman"/>
          <w:sz w:val="28"/>
          <w:szCs w:val="28"/>
        </w:rPr>
        <w:t>яет</w:t>
      </w:r>
      <w:r w:rsidRPr="00DF4D10">
        <w:rPr>
          <w:rFonts w:ascii="Times New Roman" w:hAnsi="Times New Roman"/>
          <w:sz w:val="28"/>
          <w:szCs w:val="28"/>
        </w:rPr>
        <w:t xml:space="preserve"> начать говорить об улучшении прозрачности деятельности стационаров. </w:t>
      </w:r>
    </w:p>
    <w:p w:rsidR="001A5E3C" w:rsidRPr="00DF4D10" w:rsidRDefault="001A5E3C" w:rsidP="000A639E">
      <w:pPr>
        <w:spacing w:line="360" w:lineRule="auto"/>
        <w:ind w:firstLine="624"/>
        <w:jc w:val="both"/>
        <w:rPr>
          <w:rFonts w:ascii="Times New Roman" w:hAnsi="Times New Roman"/>
          <w:sz w:val="28"/>
          <w:szCs w:val="28"/>
        </w:rPr>
      </w:pPr>
      <w:r w:rsidRPr="00DF4D10">
        <w:rPr>
          <w:rFonts w:ascii="Times New Roman" w:hAnsi="Times New Roman"/>
          <w:sz w:val="28"/>
          <w:szCs w:val="28"/>
        </w:rPr>
        <w:t xml:space="preserve">Следующим шагом </w:t>
      </w:r>
      <w:r>
        <w:rPr>
          <w:rFonts w:ascii="Times New Roman" w:hAnsi="Times New Roman"/>
          <w:sz w:val="28"/>
          <w:szCs w:val="28"/>
        </w:rPr>
        <w:t>может стать</w:t>
      </w:r>
      <w:r w:rsidRPr="00DF4D10">
        <w:rPr>
          <w:rFonts w:ascii="Times New Roman" w:hAnsi="Times New Roman"/>
          <w:sz w:val="28"/>
          <w:szCs w:val="28"/>
        </w:rPr>
        <w:t xml:space="preserve"> разработка для стационаров финансовых стимулов, основанных на классификаторе </w:t>
      </w:r>
      <w:r w:rsidRPr="00DF4D10">
        <w:rPr>
          <w:rFonts w:ascii="Times New Roman" w:hAnsi="Times New Roman"/>
          <w:sz w:val="28"/>
          <w:szCs w:val="28"/>
          <w:lang w:val="en-US"/>
        </w:rPr>
        <w:t>DRG</w:t>
      </w:r>
      <w:r w:rsidRPr="00DF4D10">
        <w:rPr>
          <w:rFonts w:ascii="Times New Roman" w:hAnsi="Times New Roman"/>
          <w:sz w:val="28"/>
          <w:szCs w:val="28"/>
        </w:rPr>
        <w:t xml:space="preserve">. Таким образом, не следует использовать понятия </w:t>
      </w:r>
      <w:r w:rsidR="009C4C2F">
        <w:rPr>
          <w:rFonts w:ascii="Times New Roman" w:hAnsi="Times New Roman"/>
          <w:sz w:val="28"/>
          <w:szCs w:val="28"/>
        </w:rPr>
        <w:t>«</w:t>
      </w:r>
      <w:r w:rsidRPr="00DF4D10">
        <w:rPr>
          <w:rFonts w:ascii="Times New Roman" w:hAnsi="Times New Roman"/>
          <w:sz w:val="28"/>
          <w:szCs w:val="28"/>
        </w:rPr>
        <w:t>клинико-статистические группы/</w:t>
      </w:r>
      <w:r w:rsidRPr="00DF4D10">
        <w:rPr>
          <w:rFonts w:ascii="Times New Roman" w:hAnsi="Times New Roman"/>
          <w:sz w:val="28"/>
          <w:szCs w:val="28"/>
          <w:lang w:val="en-US"/>
        </w:rPr>
        <w:t>DRG</w:t>
      </w:r>
      <w:r w:rsidR="009C4C2F">
        <w:rPr>
          <w:rFonts w:ascii="Times New Roman" w:hAnsi="Times New Roman"/>
          <w:sz w:val="28"/>
          <w:szCs w:val="28"/>
        </w:rPr>
        <w:t>»</w:t>
      </w:r>
      <w:r w:rsidRPr="00DF4D10">
        <w:rPr>
          <w:rFonts w:ascii="Times New Roman" w:hAnsi="Times New Roman"/>
          <w:sz w:val="28"/>
          <w:szCs w:val="28"/>
        </w:rPr>
        <w:t xml:space="preserve"> и </w:t>
      </w:r>
      <w:r w:rsidR="009C4C2F">
        <w:rPr>
          <w:rFonts w:ascii="Times New Roman" w:hAnsi="Times New Roman"/>
          <w:sz w:val="28"/>
          <w:szCs w:val="28"/>
        </w:rPr>
        <w:t>«</w:t>
      </w:r>
      <w:r w:rsidRPr="00DF4D10">
        <w:rPr>
          <w:rFonts w:ascii="Times New Roman" w:hAnsi="Times New Roman"/>
          <w:sz w:val="28"/>
          <w:szCs w:val="28"/>
        </w:rPr>
        <w:t>оплата по клинико-статистическим группам/</w:t>
      </w:r>
      <w:r w:rsidRPr="00DF4D10">
        <w:rPr>
          <w:rFonts w:ascii="Times New Roman" w:hAnsi="Times New Roman"/>
          <w:sz w:val="28"/>
          <w:szCs w:val="28"/>
          <w:lang w:val="en-US"/>
        </w:rPr>
        <w:t>DRG</w:t>
      </w:r>
      <w:r w:rsidR="009C4C2F">
        <w:rPr>
          <w:rFonts w:ascii="Times New Roman" w:hAnsi="Times New Roman"/>
          <w:sz w:val="28"/>
          <w:szCs w:val="28"/>
        </w:rPr>
        <w:t>»</w:t>
      </w:r>
      <w:r w:rsidRPr="00DF4D10">
        <w:rPr>
          <w:rFonts w:ascii="Times New Roman" w:hAnsi="Times New Roman"/>
          <w:sz w:val="28"/>
          <w:szCs w:val="28"/>
        </w:rPr>
        <w:t xml:space="preserve"> как взаимозаменяемые. С точки зрения исторического проце</w:t>
      </w:r>
      <w:r>
        <w:rPr>
          <w:rFonts w:ascii="Times New Roman" w:hAnsi="Times New Roman"/>
          <w:sz w:val="28"/>
          <w:szCs w:val="28"/>
        </w:rPr>
        <w:t>сса развития метода</w:t>
      </w:r>
      <w:r w:rsidRPr="00DF4D10">
        <w:rPr>
          <w:rFonts w:ascii="Times New Roman" w:hAnsi="Times New Roman"/>
          <w:sz w:val="28"/>
          <w:szCs w:val="28"/>
        </w:rPr>
        <w:t xml:space="preserve"> создание первых групп и разработка системы оплаты на их основе были разделены десятилетиями активных исследований.</w:t>
      </w:r>
    </w:p>
    <w:p w:rsidR="001A5E3C" w:rsidRPr="00C92723" w:rsidRDefault="001A5E3C" w:rsidP="000A639E">
      <w:pPr>
        <w:spacing w:line="360" w:lineRule="auto"/>
        <w:ind w:firstLine="624"/>
        <w:jc w:val="both"/>
        <w:rPr>
          <w:rFonts w:ascii="Times New Roman" w:hAnsi="Times New Roman"/>
          <w:sz w:val="28"/>
          <w:szCs w:val="28"/>
        </w:rPr>
      </w:pPr>
      <w:r w:rsidRPr="00C92723">
        <w:rPr>
          <w:rFonts w:ascii="Times New Roman" w:hAnsi="Times New Roman"/>
          <w:sz w:val="28"/>
          <w:szCs w:val="28"/>
        </w:rPr>
        <w:t>Не все страны, импортировавшие систему DRG (с изменениями или без) сразу переходили ко второму этапу, формированию коэ</w:t>
      </w:r>
      <w:r>
        <w:rPr>
          <w:rFonts w:ascii="Times New Roman" w:hAnsi="Times New Roman"/>
          <w:sz w:val="28"/>
          <w:szCs w:val="28"/>
        </w:rPr>
        <w:t>ф</w:t>
      </w:r>
      <w:r w:rsidRPr="00C92723">
        <w:rPr>
          <w:rFonts w:ascii="Times New Roman" w:hAnsi="Times New Roman"/>
          <w:sz w:val="28"/>
          <w:szCs w:val="28"/>
        </w:rPr>
        <w:t>фициентов для оплаты на основе клинико-статистических групп заболеваний с использованием имеющейся в наличии статистики. Некоторые государства сначала использовали DRG на протяжени</w:t>
      </w:r>
      <w:r>
        <w:rPr>
          <w:rFonts w:ascii="Times New Roman" w:hAnsi="Times New Roman"/>
          <w:sz w:val="28"/>
          <w:szCs w:val="28"/>
        </w:rPr>
        <w:t>и длительного периода времени ли</w:t>
      </w:r>
      <w:r w:rsidRPr="00C92723">
        <w:rPr>
          <w:rFonts w:ascii="Times New Roman" w:hAnsi="Times New Roman"/>
          <w:sz w:val="28"/>
          <w:szCs w:val="28"/>
        </w:rPr>
        <w:t>шь для оценки эффективности и улучшения прозрачности деятельности стационаров (например, в Великобритании э</w:t>
      </w:r>
      <w:r w:rsidR="0057219D">
        <w:rPr>
          <w:rFonts w:ascii="Times New Roman" w:hAnsi="Times New Roman"/>
          <w:sz w:val="28"/>
          <w:szCs w:val="28"/>
        </w:rPr>
        <w:t>тот процесс занял десять лет [</w:t>
      </w:r>
      <w:r w:rsidR="000E1641">
        <w:rPr>
          <w:rFonts w:ascii="Times New Roman" w:hAnsi="Times New Roman"/>
          <w:sz w:val="28"/>
          <w:szCs w:val="28"/>
        </w:rPr>
        <w:t>22</w:t>
      </w:r>
      <w:r w:rsidRPr="00C92723">
        <w:rPr>
          <w:rFonts w:ascii="Times New Roman" w:hAnsi="Times New Roman"/>
          <w:sz w:val="28"/>
          <w:szCs w:val="28"/>
        </w:rPr>
        <w:t xml:space="preserve">]). Другие же страны </w:t>
      </w:r>
      <w:r>
        <w:rPr>
          <w:rFonts w:ascii="Times New Roman" w:hAnsi="Times New Roman"/>
          <w:sz w:val="28"/>
          <w:szCs w:val="28"/>
        </w:rPr>
        <w:t>вводили</w:t>
      </w:r>
      <w:r w:rsidRPr="00C92723">
        <w:rPr>
          <w:rFonts w:ascii="Times New Roman" w:hAnsi="Times New Roman"/>
          <w:sz w:val="28"/>
          <w:szCs w:val="28"/>
        </w:rPr>
        <w:t xml:space="preserve"> метод оплаты по DRG практически сразу (в Ирландии п</w:t>
      </w:r>
      <w:r>
        <w:rPr>
          <w:rFonts w:ascii="Times New Roman" w:hAnsi="Times New Roman"/>
          <w:sz w:val="28"/>
          <w:szCs w:val="28"/>
        </w:rPr>
        <w:t>ереход ко второму этапу произош</w:t>
      </w:r>
      <w:r w:rsidR="0057219D">
        <w:rPr>
          <w:rFonts w:ascii="Times New Roman" w:hAnsi="Times New Roman"/>
          <w:sz w:val="28"/>
          <w:szCs w:val="28"/>
        </w:rPr>
        <w:t>ло за один год [</w:t>
      </w:r>
      <w:r w:rsidR="000E1641">
        <w:rPr>
          <w:rFonts w:ascii="Times New Roman" w:hAnsi="Times New Roman"/>
          <w:sz w:val="28"/>
          <w:szCs w:val="28"/>
        </w:rPr>
        <w:t>22</w:t>
      </w:r>
      <w:r w:rsidRPr="00C92723">
        <w:rPr>
          <w:rFonts w:ascii="Times New Roman" w:hAnsi="Times New Roman"/>
          <w:sz w:val="28"/>
          <w:szCs w:val="28"/>
        </w:rPr>
        <w:t>]).</w:t>
      </w:r>
    </w:p>
    <w:p w:rsidR="001A5E3C" w:rsidRPr="00DF4D10" w:rsidRDefault="001A5E3C" w:rsidP="000A639E">
      <w:pPr>
        <w:spacing w:line="360" w:lineRule="auto"/>
        <w:ind w:firstLine="624"/>
        <w:jc w:val="both"/>
        <w:rPr>
          <w:rFonts w:ascii="Times New Roman" w:hAnsi="Times New Roman"/>
          <w:sz w:val="28"/>
          <w:szCs w:val="28"/>
        </w:rPr>
      </w:pPr>
      <w:r w:rsidRPr="00DF4D10">
        <w:rPr>
          <w:rFonts w:ascii="Times New Roman" w:hAnsi="Times New Roman"/>
          <w:sz w:val="28"/>
          <w:szCs w:val="28"/>
        </w:rPr>
        <w:t xml:space="preserve">Следующим этапом развития подхода </w:t>
      </w:r>
      <w:r w:rsidRPr="00DF4D10">
        <w:rPr>
          <w:rFonts w:ascii="Times New Roman" w:hAnsi="Times New Roman"/>
          <w:sz w:val="28"/>
          <w:szCs w:val="28"/>
          <w:lang w:val="en-US"/>
        </w:rPr>
        <w:t>DRG</w:t>
      </w:r>
      <w:r w:rsidRPr="00DF4D10">
        <w:rPr>
          <w:rFonts w:ascii="Times New Roman" w:hAnsi="Times New Roman"/>
          <w:sz w:val="28"/>
          <w:szCs w:val="28"/>
        </w:rPr>
        <w:t xml:space="preserve"> можно назвать использование классификатора для планирования глобального бюджета медицинских организаций в части стационара</w:t>
      </w:r>
      <w:r>
        <w:rPr>
          <w:rFonts w:ascii="Times New Roman" w:hAnsi="Times New Roman"/>
          <w:sz w:val="28"/>
          <w:szCs w:val="28"/>
        </w:rPr>
        <w:t xml:space="preserve"> на микро-уровне и планирования политики в сфере здравоохранения на макро-уровне</w:t>
      </w:r>
      <w:r w:rsidRPr="00DF4D10">
        <w:rPr>
          <w:rFonts w:ascii="Times New Roman" w:hAnsi="Times New Roman"/>
          <w:sz w:val="28"/>
          <w:szCs w:val="28"/>
        </w:rPr>
        <w:t>.</w:t>
      </w:r>
      <w:r>
        <w:rPr>
          <w:rFonts w:ascii="Times New Roman" w:hAnsi="Times New Roman"/>
          <w:sz w:val="28"/>
          <w:szCs w:val="28"/>
        </w:rPr>
        <w:t xml:space="preserve"> Поскольку подход делает результаты деятельности организаций (а соответственно, и расходы) более предсказуемыми, становится возможным более точное планирование на всех уровнях.</w:t>
      </w:r>
    </w:p>
    <w:p w:rsidR="001A5E3C" w:rsidRDefault="001A5E3C" w:rsidP="000A639E">
      <w:pPr>
        <w:spacing w:line="360" w:lineRule="auto"/>
        <w:ind w:firstLine="624"/>
        <w:jc w:val="both"/>
        <w:rPr>
          <w:rFonts w:ascii="Times New Roman" w:hAnsi="Times New Roman"/>
          <w:sz w:val="28"/>
          <w:szCs w:val="28"/>
        </w:rPr>
      </w:pPr>
      <w:r w:rsidRPr="00BA7429">
        <w:rPr>
          <w:rFonts w:ascii="Times New Roman" w:hAnsi="Times New Roman"/>
          <w:sz w:val="28"/>
          <w:szCs w:val="28"/>
        </w:rPr>
        <w:lastRenderedPageBreak/>
        <w:t xml:space="preserve">Далее будет более детально рассмотрен способ формирования </w:t>
      </w:r>
      <w:r>
        <w:rPr>
          <w:rFonts w:ascii="Times New Roman" w:hAnsi="Times New Roman"/>
          <w:sz w:val="28"/>
          <w:szCs w:val="28"/>
        </w:rPr>
        <w:t xml:space="preserve">страновых классификаций </w:t>
      </w:r>
      <w:r w:rsidRPr="00BA7429">
        <w:rPr>
          <w:rFonts w:ascii="Times New Roman" w:hAnsi="Times New Roman"/>
          <w:sz w:val="28"/>
          <w:szCs w:val="28"/>
        </w:rPr>
        <w:t>диагностически-связанных групп и основные практические проблемы, которые могут возникать при разр</w:t>
      </w:r>
      <w:r>
        <w:rPr>
          <w:rFonts w:ascii="Times New Roman" w:hAnsi="Times New Roman"/>
          <w:sz w:val="28"/>
          <w:szCs w:val="28"/>
        </w:rPr>
        <w:t>аботке и внедрении системы DRG.</w:t>
      </w:r>
    </w:p>
    <w:p w:rsidR="001A5E3C" w:rsidRDefault="001A5E3C" w:rsidP="000A639E">
      <w:pPr>
        <w:spacing w:line="360" w:lineRule="auto"/>
        <w:ind w:firstLine="624"/>
        <w:jc w:val="both"/>
        <w:rPr>
          <w:rFonts w:ascii="Times New Roman" w:hAnsi="Times New Roman"/>
          <w:sz w:val="28"/>
          <w:szCs w:val="28"/>
        </w:rPr>
      </w:pPr>
      <w:r w:rsidRPr="007A6CD9">
        <w:rPr>
          <w:rFonts w:ascii="Times New Roman" w:hAnsi="Times New Roman"/>
          <w:sz w:val="28"/>
          <w:szCs w:val="28"/>
        </w:rPr>
        <w:t xml:space="preserve">На </w:t>
      </w:r>
      <w:r w:rsidR="007A6CD9" w:rsidRPr="007A6CD9">
        <w:rPr>
          <w:rFonts w:ascii="Times New Roman" w:hAnsi="Times New Roman"/>
          <w:sz w:val="28"/>
          <w:szCs w:val="28"/>
        </w:rPr>
        <w:t>Рисунке 2</w:t>
      </w:r>
      <w:r w:rsidRPr="007A6CD9">
        <w:rPr>
          <w:rFonts w:ascii="Times New Roman" w:hAnsi="Times New Roman"/>
          <w:sz w:val="28"/>
          <w:szCs w:val="28"/>
        </w:rPr>
        <w:t xml:space="preserve"> представлена</w:t>
      </w:r>
      <w:r w:rsidRPr="00D26651">
        <w:rPr>
          <w:rFonts w:ascii="Times New Roman" w:hAnsi="Times New Roman"/>
          <w:sz w:val="28"/>
          <w:szCs w:val="28"/>
        </w:rPr>
        <w:t xml:space="preserve"> схема, включающая в себя основные блоки в составе процесса разработки системы клинико-статистических гру</w:t>
      </w:r>
      <w:r w:rsidR="0057219D">
        <w:rPr>
          <w:rFonts w:ascii="Times New Roman" w:hAnsi="Times New Roman"/>
          <w:sz w:val="28"/>
          <w:szCs w:val="28"/>
        </w:rPr>
        <w:t>пп для нужд отдельной страны [</w:t>
      </w:r>
      <w:r w:rsidR="000E1641">
        <w:rPr>
          <w:rFonts w:ascii="Times New Roman" w:hAnsi="Times New Roman"/>
          <w:sz w:val="28"/>
          <w:szCs w:val="28"/>
        </w:rPr>
        <w:t>16</w:t>
      </w:r>
      <w:r w:rsidRPr="00D26651">
        <w:rPr>
          <w:rFonts w:ascii="Times New Roman" w:hAnsi="Times New Roman"/>
          <w:sz w:val="28"/>
          <w:szCs w:val="28"/>
        </w:rPr>
        <w:t>].</w:t>
      </w:r>
    </w:p>
    <w:p w:rsidR="000B4693" w:rsidRDefault="000B4693" w:rsidP="000B4693">
      <w:pPr>
        <w:spacing w:line="360" w:lineRule="auto"/>
        <w:ind w:left="-284"/>
        <w:jc w:val="both"/>
        <w:rPr>
          <w:rFonts w:ascii="Times New Roman" w:hAnsi="Times New Roman"/>
          <w:sz w:val="28"/>
          <w:szCs w:val="28"/>
        </w:rPr>
      </w:pPr>
      <w:r w:rsidRPr="000B4693">
        <w:rPr>
          <w:rFonts w:ascii="Times New Roman" w:hAnsi="Times New Roman"/>
          <w:noProof/>
          <w:sz w:val="28"/>
          <w:szCs w:val="28"/>
          <w:lang w:eastAsia="ru-RU"/>
        </w:rPr>
        <w:drawing>
          <wp:inline distT="0" distB="0" distL="0" distR="0">
            <wp:extent cx="6161009" cy="2660073"/>
            <wp:effectExtent l="19050" t="0" r="0" b="0"/>
            <wp:docPr id="6"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47137" cy="3368675"/>
                      <a:chOff x="153988" y="2417763"/>
                      <a:chExt cx="8847137" cy="3368675"/>
                    </a:xfrm>
                  </a:grpSpPr>
                  <a:sp>
                    <a:nvSpPr>
                      <a:cNvPr id="19" name="Abgerundetes Rechteck 18"/>
                      <a:cNvSpPr/>
                    </a:nvSpPr>
                    <a:spPr bwMode="auto">
                      <a:xfrm>
                        <a:off x="1919288" y="4197350"/>
                        <a:ext cx="1581150" cy="1081088"/>
                      </a:xfrm>
                      <a:prstGeom prst="roundRect">
                        <a:avLst>
                          <a:gd name="adj" fmla="val 10000"/>
                        </a:avLst>
                      </a:prstGeom>
                    </a:spPr>
                    <a:txSp>
                      <a:txBody>
                        <a:bodyP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r>
                            <a:rPr lang="ru-RU" sz="1200" b="1" dirty="0"/>
                            <a:t>Система классификации пациентов</a:t>
                          </a:r>
                          <a:endParaRPr lang="en-GB" sz="1200" b="1" dirty="0"/>
                        </a:p>
                      </a:txBody>
                      <a:useSpRect/>
                    </a:txSp>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sp>
                    <a:nvSpPr>
                      <a:cNvPr id="31" name="Abgerundetes Rechteck 30"/>
                      <a:cNvSpPr/>
                    </a:nvSpPr>
                    <a:spPr bwMode="auto">
                      <a:xfrm>
                        <a:off x="2232025" y="2417763"/>
                        <a:ext cx="1439863" cy="1079500"/>
                      </a:xfrm>
                      <a:prstGeom prst="roundRect">
                        <a:avLst>
                          <a:gd name="adj" fmla="val 10000"/>
                        </a:avLst>
                      </a:prstGeom>
                    </a:spPr>
                    <a:txSp>
                      <a:txBody>
                        <a:bodyP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r>
                            <a:rPr lang="ru-RU" sz="1200" b="1" dirty="0"/>
                            <a:t>Сбор данных</a:t>
                          </a:r>
                          <a:endParaRPr lang="en-GB" sz="1200" b="1" dirty="0"/>
                        </a:p>
                      </a:txBody>
                      <a:useSpRect/>
                    </a:txSp>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sp>
                    <a:nvSpPr>
                      <a:cNvPr id="32" name="Abgerundetes Rechteck 31"/>
                      <a:cNvSpPr/>
                    </a:nvSpPr>
                    <a:spPr bwMode="auto">
                      <a:xfrm>
                        <a:off x="5129213" y="3354388"/>
                        <a:ext cx="1439862" cy="1079500"/>
                      </a:xfrm>
                      <a:prstGeom prst="roundRect">
                        <a:avLst>
                          <a:gd name="adj" fmla="val 10000"/>
                        </a:avLst>
                      </a:prstGeom>
                    </a:spPr>
                    <a:txSp>
                      <a:txBody>
                        <a:bodyP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r>
                            <a:rPr lang="ru-RU" sz="1200" b="1" dirty="0"/>
                            <a:t>Установление цены</a:t>
                          </a:r>
                          <a:endParaRPr lang="en-GB" sz="1200" b="1" dirty="0"/>
                        </a:p>
                      </a:txBody>
                      <a:useSpRect/>
                    </a:txSp>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sp>
                    <a:nvSpPr>
                      <a:cNvPr id="33" name="Abgerundetes Rechteck 32"/>
                      <a:cNvSpPr/>
                    </a:nvSpPr>
                    <a:spPr bwMode="auto">
                      <a:xfrm>
                        <a:off x="7200900" y="3354388"/>
                        <a:ext cx="1439863" cy="1079500"/>
                      </a:xfrm>
                      <a:prstGeom prst="roundRect">
                        <a:avLst>
                          <a:gd name="adj" fmla="val 10000"/>
                        </a:avLst>
                      </a:prstGeom>
                    </a:spPr>
                    <a:txSp>
                      <a:txBody>
                        <a:bodyP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r>
                            <a:rPr lang="ru-RU" sz="1200" b="1" dirty="0"/>
                            <a:t>Фактические платежи больнице</a:t>
                          </a:r>
                          <a:endParaRPr lang="en-GB" sz="1200" b="1" dirty="0"/>
                        </a:p>
                      </a:txBody>
                      <a:useSpRect/>
                    </a:txSp>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sp>
                    <a:nvSpPr>
                      <a:cNvPr id="34" name="Pfeil nach rechts 33"/>
                      <a:cNvSpPr/>
                    </a:nvSpPr>
                    <a:spPr bwMode="auto">
                      <a:xfrm>
                        <a:off x="4464050" y="3332163"/>
                        <a:ext cx="609600" cy="488950"/>
                      </a:xfrm>
                      <a:prstGeom prst="rightArrow">
                        <a:avLst/>
                      </a:prstGeom>
                      <a:solidFill>
                        <a:schemeClr val="tx2">
                          <a:lumMod val="40000"/>
                          <a:lumOff val="60000"/>
                        </a:schemeClr>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Pfeil nach rechts 34"/>
                      <a:cNvSpPr/>
                    </a:nvSpPr>
                    <a:spPr bwMode="auto">
                      <a:xfrm>
                        <a:off x="6645275" y="3317875"/>
                        <a:ext cx="482600" cy="488950"/>
                      </a:xfrm>
                      <a:prstGeom prst="rightArrow">
                        <a:avLst/>
                      </a:prstGeom>
                      <a:solidFill>
                        <a:schemeClr val="tx2">
                          <a:lumMod val="40000"/>
                          <a:lumOff val="60000"/>
                        </a:schemeClr>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Abgerundetes Rechteck 35"/>
                      <a:cNvSpPr/>
                    </a:nvSpPr>
                    <a:spPr bwMode="auto">
                      <a:xfrm>
                        <a:off x="2335213" y="4959350"/>
                        <a:ext cx="1700212" cy="827088"/>
                      </a:xfrm>
                      <a:prstGeom prst="roundRect">
                        <a:avLst>
                          <a:gd name="adj" fmla="val 10000"/>
                        </a:avLst>
                      </a:prstGeom>
                    </a:spPr>
                    <a:txSp>
                      <a:txBody>
                        <a:bodyPr/>
                        <a:lstStyle>
                          <a:defPPr>
                            <a:defRPr lang="ru-RU"/>
                          </a:defPPr>
                          <a:lvl1pPr algn="l" rtl="0" fontAlgn="base">
                            <a:spcBef>
                              <a:spcPct val="0"/>
                            </a:spcBef>
                            <a:spcAft>
                              <a:spcPct val="0"/>
                            </a:spcAft>
                            <a:defRPr kern="1200">
                              <a:solidFill>
                                <a:schemeClr val="dk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dk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dk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dk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dk1">
                                  <a:hueOff val="0"/>
                                  <a:satOff val="0"/>
                                  <a:lumOff val="0"/>
                                  <a:alphaOff val="0"/>
                                </a:schemeClr>
                              </a:solidFill>
                              <a:latin typeface="+mn-lt"/>
                              <a:ea typeface="+mn-ea"/>
                              <a:cs typeface="+mn-cs"/>
                            </a:defRPr>
                          </a:lvl5pPr>
                          <a:lvl6pPr marL="2286000" algn="l" defTabSz="914400" rtl="0" eaLnBrk="1" latinLnBrk="0" hangingPunct="1">
                            <a:defRPr kern="1200">
                              <a:solidFill>
                                <a:schemeClr val="dk1">
                                  <a:hueOff val="0"/>
                                  <a:satOff val="0"/>
                                  <a:lumOff val="0"/>
                                  <a:alphaOff val="0"/>
                                </a:schemeClr>
                              </a:solidFill>
                              <a:latin typeface="+mn-lt"/>
                              <a:ea typeface="+mn-ea"/>
                              <a:cs typeface="+mn-cs"/>
                            </a:defRPr>
                          </a:lvl6pPr>
                          <a:lvl7pPr marL="2743200" algn="l" defTabSz="914400" rtl="0" eaLnBrk="1" latinLnBrk="0" hangingPunct="1">
                            <a:defRPr kern="1200">
                              <a:solidFill>
                                <a:schemeClr val="dk1">
                                  <a:hueOff val="0"/>
                                  <a:satOff val="0"/>
                                  <a:lumOff val="0"/>
                                  <a:alphaOff val="0"/>
                                </a:schemeClr>
                              </a:solidFill>
                              <a:latin typeface="+mn-lt"/>
                              <a:ea typeface="+mn-ea"/>
                              <a:cs typeface="+mn-cs"/>
                            </a:defRPr>
                          </a:lvl7pPr>
                          <a:lvl8pPr marL="3200400" algn="l" defTabSz="914400" rtl="0" eaLnBrk="1" latinLnBrk="0" hangingPunct="1">
                            <a:defRPr kern="1200">
                              <a:solidFill>
                                <a:schemeClr val="dk1">
                                  <a:hueOff val="0"/>
                                  <a:satOff val="0"/>
                                  <a:lumOff val="0"/>
                                  <a:alphaOff val="0"/>
                                </a:schemeClr>
                              </a:solidFill>
                              <a:latin typeface="+mn-lt"/>
                              <a:ea typeface="+mn-ea"/>
                              <a:cs typeface="+mn-cs"/>
                            </a:defRPr>
                          </a:lvl8pPr>
                          <a:lvl9pPr marL="3657600" algn="l" defTabSz="914400" rtl="0" eaLnBrk="1" latinLnBrk="0" hangingPunct="1">
                            <a:defRPr kern="1200">
                              <a:solidFill>
                                <a:schemeClr val="dk1">
                                  <a:hueOff val="0"/>
                                  <a:satOff val="0"/>
                                  <a:lumOff val="0"/>
                                  <a:alphaOff val="0"/>
                                </a:schemeClr>
                              </a:solidFill>
                              <a:latin typeface="+mn-lt"/>
                              <a:ea typeface="+mn-ea"/>
                              <a:cs typeface="+mn-cs"/>
                            </a:defRPr>
                          </a:lvl9pPr>
                        </a:lstStyle>
                        <a:p>
                          <a:pPr marL="57150" lvl="1" indent="-57150" defTabSz="488950" fontAlgn="auto">
                            <a:lnSpc>
                              <a:spcPct val="90000"/>
                            </a:lnSpc>
                            <a:spcBef>
                              <a:spcPts val="0"/>
                            </a:spcBef>
                            <a:spcAft>
                              <a:spcPct val="15000"/>
                            </a:spcAft>
                            <a:buFontTx/>
                            <a:buChar char="••"/>
                            <a:defRPr/>
                          </a:pPr>
                          <a:r>
                            <a:rPr lang="en-GB" sz="1100" dirty="0"/>
                            <a:t> </a:t>
                          </a:r>
                          <a:r>
                            <a:rPr lang="ru-RU" sz="1100" dirty="0"/>
                            <a:t>Диагнозы</a:t>
                          </a:r>
                        </a:p>
                        <a:p>
                          <a:pPr marL="57150" lvl="1" indent="-57150" defTabSz="488950" fontAlgn="auto">
                            <a:lnSpc>
                              <a:spcPct val="90000"/>
                            </a:lnSpc>
                            <a:spcBef>
                              <a:spcPts val="0"/>
                            </a:spcBef>
                            <a:spcAft>
                              <a:spcPct val="15000"/>
                            </a:spcAft>
                            <a:buFontTx/>
                            <a:buChar char="••"/>
                            <a:defRPr/>
                          </a:pPr>
                          <a:r>
                            <a:rPr lang="en-GB" sz="1100" dirty="0"/>
                            <a:t> </a:t>
                          </a:r>
                          <a:r>
                            <a:rPr lang="ru-RU" sz="1100" dirty="0"/>
                            <a:t>Процедуры</a:t>
                          </a:r>
                          <a:endParaRPr lang="en-GB" sz="1100" dirty="0"/>
                        </a:p>
                        <a:p>
                          <a:pPr marL="57150" lvl="1" indent="-57150" defTabSz="488950" fontAlgn="auto">
                            <a:lnSpc>
                              <a:spcPct val="90000"/>
                            </a:lnSpc>
                            <a:spcBef>
                              <a:spcPts val="0"/>
                            </a:spcBef>
                            <a:spcAft>
                              <a:spcPct val="15000"/>
                            </a:spcAft>
                            <a:buFontTx/>
                            <a:buChar char="••"/>
                            <a:defRPr/>
                          </a:pPr>
                          <a:r>
                            <a:rPr lang="en-GB" sz="1100" dirty="0"/>
                            <a:t> </a:t>
                          </a:r>
                          <a:r>
                            <a:rPr lang="ru-RU" sz="1100" dirty="0"/>
                            <a:t>Сложность</a:t>
                          </a:r>
                          <a:endParaRPr lang="en-GB" sz="1100" dirty="0"/>
                        </a:p>
                        <a:p>
                          <a:pPr marL="57150" lvl="1" indent="-57150" defTabSz="488950" fontAlgn="auto">
                            <a:lnSpc>
                              <a:spcPct val="90000"/>
                            </a:lnSpc>
                            <a:spcBef>
                              <a:spcPts val="0"/>
                            </a:spcBef>
                            <a:spcAft>
                              <a:spcPct val="15000"/>
                            </a:spcAft>
                            <a:buFontTx/>
                            <a:buChar char="••"/>
                            <a:defRPr/>
                          </a:pPr>
                          <a:r>
                            <a:rPr lang="en-GB" sz="1100" dirty="0"/>
                            <a:t> </a:t>
                          </a:r>
                          <a:r>
                            <a:rPr lang="ru-RU" sz="1100" dirty="0"/>
                            <a:t>Частота пересмотра</a:t>
                          </a:r>
                          <a:endParaRPr lang="en-GB" sz="1100" dirty="0"/>
                        </a:p>
                        <a:p>
                          <a:pPr fontAlgn="auto">
                            <a:spcBef>
                              <a:spcPts val="0"/>
                            </a:spcBef>
                            <a:spcAft>
                              <a:spcPts val="0"/>
                            </a:spcAft>
                            <a:defRPr/>
                          </a:pPr>
                          <a:endParaRPr lang="en-GB" dirty="0"/>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37" name="Abgerundetes Rechteck 36"/>
                      <a:cNvSpPr/>
                    </a:nvSpPr>
                    <a:spPr bwMode="auto">
                      <a:xfrm>
                        <a:off x="2763838" y="2921000"/>
                        <a:ext cx="1962150" cy="1135063"/>
                      </a:xfrm>
                      <a:prstGeom prst="roundRect">
                        <a:avLst>
                          <a:gd name="adj" fmla="val 10000"/>
                        </a:avLst>
                      </a:prstGeom>
                    </a:spPr>
                    <a:txSp>
                      <a:txBody>
                        <a:bodyPr/>
                        <a:lstStyle>
                          <a:defPPr>
                            <a:defRPr lang="ru-RU"/>
                          </a:defPPr>
                          <a:lvl1pPr algn="l" rtl="0" fontAlgn="base">
                            <a:spcBef>
                              <a:spcPct val="0"/>
                            </a:spcBef>
                            <a:spcAft>
                              <a:spcPct val="0"/>
                            </a:spcAft>
                            <a:defRPr kern="1200">
                              <a:solidFill>
                                <a:schemeClr val="dk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dk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dk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dk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dk1">
                                  <a:hueOff val="0"/>
                                  <a:satOff val="0"/>
                                  <a:lumOff val="0"/>
                                  <a:alphaOff val="0"/>
                                </a:schemeClr>
                              </a:solidFill>
                              <a:latin typeface="+mn-lt"/>
                              <a:ea typeface="+mn-ea"/>
                              <a:cs typeface="+mn-cs"/>
                            </a:defRPr>
                          </a:lvl5pPr>
                          <a:lvl6pPr marL="2286000" algn="l" defTabSz="914400" rtl="0" eaLnBrk="1" latinLnBrk="0" hangingPunct="1">
                            <a:defRPr kern="1200">
                              <a:solidFill>
                                <a:schemeClr val="dk1">
                                  <a:hueOff val="0"/>
                                  <a:satOff val="0"/>
                                  <a:lumOff val="0"/>
                                  <a:alphaOff val="0"/>
                                </a:schemeClr>
                              </a:solidFill>
                              <a:latin typeface="+mn-lt"/>
                              <a:ea typeface="+mn-ea"/>
                              <a:cs typeface="+mn-cs"/>
                            </a:defRPr>
                          </a:lvl6pPr>
                          <a:lvl7pPr marL="2743200" algn="l" defTabSz="914400" rtl="0" eaLnBrk="1" latinLnBrk="0" hangingPunct="1">
                            <a:defRPr kern="1200">
                              <a:solidFill>
                                <a:schemeClr val="dk1">
                                  <a:hueOff val="0"/>
                                  <a:satOff val="0"/>
                                  <a:lumOff val="0"/>
                                  <a:alphaOff val="0"/>
                                </a:schemeClr>
                              </a:solidFill>
                              <a:latin typeface="+mn-lt"/>
                              <a:ea typeface="+mn-ea"/>
                              <a:cs typeface="+mn-cs"/>
                            </a:defRPr>
                          </a:lvl7pPr>
                          <a:lvl8pPr marL="3200400" algn="l" defTabSz="914400" rtl="0" eaLnBrk="1" latinLnBrk="0" hangingPunct="1">
                            <a:defRPr kern="1200">
                              <a:solidFill>
                                <a:schemeClr val="dk1">
                                  <a:hueOff val="0"/>
                                  <a:satOff val="0"/>
                                  <a:lumOff val="0"/>
                                  <a:alphaOff val="0"/>
                                </a:schemeClr>
                              </a:solidFill>
                              <a:latin typeface="+mn-lt"/>
                              <a:ea typeface="+mn-ea"/>
                              <a:cs typeface="+mn-cs"/>
                            </a:defRPr>
                          </a:lvl8pPr>
                          <a:lvl9pPr marL="3657600" algn="l" defTabSz="914400" rtl="0" eaLnBrk="1" latinLnBrk="0" hangingPunct="1">
                            <a:defRPr kern="1200">
                              <a:solidFill>
                                <a:schemeClr val="dk1">
                                  <a:hueOff val="0"/>
                                  <a:satOff val="0"/>
                                  <a:lumOff val="0"/>
                                  <a:alphaOff val="0"/>
                                </a:schemeClr>
                              </a:solidFill>
                              <a:latin typeface="+mn-lt"/>
                              <a:ea typeface="+mn-ea"/>
                              <a:cs typeface="+mn-cs"/>
                            </a:defRPr>
                          </a:lvl9pPr>
                        </a:lstStyle>
                        <a:p>
                          <a:pPr marL="57150" lvl="1" indent="-57150" defTabSz="488950" fontAlgn="auto">
                            <a:lnSpc>
                              <a:spcPct val="90000"/>
                            </a:lnSpc>
                            <a:spcBef>
                              <a:spcPts val="0"/>
                            </a:spcBef>
                            <a:spcAft>
                              <a:spcPct val="15000"/>
                            </a:spcAft>
                            <a:buFontTx/>
                            <a:buChar char="••"/>
                            <a:defRPr/>
                          </a:pPr>
                          <a:r>
                            <a:rPr lang="en-GB" sz="1100" dirty="0"/>
                            <a:t> </a:t>
                          </a:r>
                          <a:r>
                            <a:rPr lang="ru-RU" sz="1100" dirty="0"/>
                            <a:t>Демографические данные</a:t>
                          </a:r>
                          <a:endParaRPr lang="en-GB" sz="1100" dirty="0"/>
                        </a:p>
                        <a:p>
                          <a:pPr marL="57150" lvl="1" indent="-57150" defTabSz="488950" fontAlgn="auto">
                            <a:lnSpc>
                              <a:spcPct val="90000"/>
                            </a:lnSpc>
                            <a:spcBef>
                              <a:spcPts val="0"/>
                            </a:spcBef>
                            <a:spcAft>
                              <a:spcPct val="15000"/>
                            </a:spcAft>
                            <a:buFontTx/>
                            <a:buChar char="••"/>
                            <a:defRPr/>
                          </a:pPr>
                          <a:r>
                            <a:rPr lang="en-GB" sz="1100" dirty="0"/>
                            <a:t> </a:t>
                          </a:r>
                          <a:r>
                            <a:rPr lang="ru-RU" sz="1100" dirty="0"/>
                            <a:t>Клинические данные</a:t>
                          </a:r>
                        </a:p>
                        <a:p>
                          <a:pPr marL="57150" lvl="1" indent="-57150" defTabSz="488950" fontAlgn="auto">
                            <a:lnSpc>
                              <a:spcPct val="90000"/>
                            </a:lnSpc>
                            <a:spcBef>
                              <a:spcPts val="0"/>
                            </a:spcBef>
                            <a:spcAft>
                              <a:spcPct val="15000"/>
                            </a:spcAft>
                            <a:buFontTx/>
                            <a:buChar char="••"/>
                            <a:defRPr/>
                          </a:pPr>
                          <a:r>
                            <a:rPr lang="ru-RU" sz="1100" dirty="0"/>
                            <a:t>Данные по затратам</a:t>
                          </a:r>
                          <a:endParaRPr lang="en-GB" sz="1100" dirty="0"/>
                        </a:p>
                        <a:p>
                          <a:pPr marL="57150" lvl="1" indent="-57150" defTabSz="488950" fontAlgn="auto">
                            <a:lnSpc>
                              <a:spcPct val="90000"/>
                            </a:lnSpc>
                            <a:spcBef>
                              <a:spcPts val="0"/>
                            </a:spcBef>
                            <a:spcAft>
                              <a:spcPct val="15000"/>
                            </a:spcAft>
                            <a:buFontTx/>
                            <a:buChar char="••"/>
                            <a:defRPr/>
                          </a:pPr>
                          <a:r>
                            <a:rPr lang="en-GB" sz="1100" dirty="0"/>
                            <a:t> </a:t>
                          </a:r>
                          <a:r>
                            <a:rPr lang="ru-RU" sz="1100" dirty="0"/>
                            <a:t>Объем выборки, периодичность</a:t>
                          </a:r>
                          <a:endParaRPr lang="en-GB" sz="1100" dirty="0"/>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38" name="Abgerundetes Rechteck 37"/>
                      <a:cNvSpPr/>
                    </a:nvSpPr>
                    <a:spPr bwMode="auto">
                      <a:xfrm>
                        <a:off x="5400675" y="3929063"/>
                        <a:ext cx="1417638" cy="1055687"/>
                      </a:xfrm>
                      <a:prstGeom prst="roundRect">
                        <a:avLst>
                          <a:gd name="adj" fmla="val 10000"/>
                        </a:avLst>
                      </a:prstGeom>
                    </a:spPr>
                    <a:txSp>
                      <a:txBody>
                        <a:bodyPr/>
                        <a:lstStyle>
                          <a:defPPr>
                            <a:defRPr lang="ru-RU"/>
                          </a:defPPr>
                          <a:lvl1pPr algn="l" rtl="0" fontAlgn="base">
                            <a:spcBef>
                              <a:spcPct val="0"/>
                            </a:spcBef>
                            <a:spcAft>
                              <a:spcPct val="0"/>
                            </a:spcAft>
                            <a:defRPr kern="1200">
                              <a:solidFill>
                                <a:schemeClr val="dk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dk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dk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dk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dk1">
                                  <a:hueOff val="0"/>
                                  <a:satOff val="0"/>
                                  <a:lumOff val="0"/>
                                  <a:alphaOff val="0"/>
                                </a:schemeClr>
                              </a:solidFill>
                              <a:latin typeface="+mn-lt"/>
                              <a:ea typeface="+mn-ea"/>
                              <a:cs typeface="+mn-cs"/>
                            </a:defRPr>
                          </a:lvl5pPr>
                          <a:lvl6pPr marL="2286000" algn="l" defTabSz="914400" rtl="0" eaLnBrk="1" latinLnBrk="0" hangingPunct="1">
                            <a:defRPr kern="1200">
                              <a:solidFill>
                                <a:schemeClr val="dk1">
                                  <a:hueOff val="0"/>
                                  <a:satOff val="0"/>
                                  <a:lumOff val="0"/>
                                  <a:alphaOff val="0"/>
                                </a:schemeClr>
                              </a:solidFill>
                              <a:latin typeface="+mn-lt"/>
                              <a:ea typeface="+mn-ea"/>
                              <a:cs typeface="+mn-cs"/>
                            </a:defRPr>
                          </a:lvl6pPr>
                          <a:lvl7pPr marL="2743200" algn="l" defTabSz="914400" rtl="0" eaLnBrk="1" latinLnBrk="0" hangingPunct="1">
                            <a:defRPr kern="1200">
                              <a:solidFill>
                                <a:schemeClr val="dk1">
                                  <a:hueOff val="0"/>
                                  <a:satOff val="0"/>
                                  <a:lumOff val="0"/>
                                  <a:alphaOff val="0"/>
                                </a:schemeClr>
                              </a:solidFill>
                              <a:latin typeface="+mn-lt"/>
                              <a:ea typeface="+mn-ea"/>
                              <a:cs typeface="+mn-cs"/>
                            </a:defRPr>
                          </a:lvl7pPr>
                          <a:lvl8pPr marL="3200400" algn="l" defTabSz="914400" rtl="0" eaLnBrk="1" latinLnBrk="0" hangingPunct="1">
                            <a:defRPr kern="1200">
                              <a:solidFill>
                                <a:schemeClr val="dk1">
                                  <a:hueOff val="0"/>
                                  <a:satOff val="0"/>
                                  <a:lumOff val="0"/>
                                  <a:alphaOff val="0"/>
                                </a:schemeClr>
                              </a:solidFill>
                              <a:latin typeface="+mn-lt"/>
                              <a:ea typeface="+mn-ea"/>
                              <a:cs typeface="+mn-cs"/>
                            </a:defRPr>
                          </a:lvl8pPr>
                          <a:lvl9pPr marL="3657600" algn="l" defTabSz="914400" rtl="0" eaLnBrk="1" latinLnBrk="0" hangingPunct="1">
                            <a:defRPr kern="1200">
                              <a:solidFill>
                                <a:schemeClr val="dk1">
                                  <a:hueOff val="0"/>
                                  <a:satOff val="0"/>
                                  <a:lumOff val="0"/>
                                  <a:alphaOff val="0"/>
                                </a:schemeClr>
                              </a:solidFill>
                              <a:latin typeface="+mn-lt"/>
                              <a:ea typeface="+mn-ea"/>
                              <a:cs typeface="+mn-cs"/>
                            </a:defRPr>
                          </a:lvl9pPr>
                        </a:lstStyle>
                        <a:p>
                          <a:pPr marL="57150" lvl="1" indent="-57150" defTabSz="488950" fontAlgn="auto">
                            <a:lnSpc>
                              <a:spcPct val="90000"/>
                            </a:lnSpc>
                            <a:spcBef>
                              <a:spcPts val="0"/>
                            </a:spcBef>
                            <a:spcAft>
                              <a:spcPct val="15000"/>
                            </a:spcAft>
                            <a:buFontTx/>
                            <a:buChar char="•"/>
                            <a:defRPr/>
                          </a:pPr>
                          <a:r>
                            <a:rPr lang="en-GB" sz="1200" dirty="0">
                              <a:solidFill>
                                <a:srgbClr val="000000"/>
                              </a:solidFill>
                            </a:rPr>
                            <a:t> </a:t>
                          </a:r>
                          <a:r>
                            <a:rPr lang="ru-RU" sz="1200" dirty="0">
                              <a:solidFill>
                                <a:srgbClr val="000000"/>
                              </a:solidFill>
                            </a:rPr>
                            <a:t>Вес затрат </a:t>
                          </a:r>
                          <a:endParaRPr lang="en-GB" sz="1100" dirty="0">
                            <a:solidFill>
                              <a:srgbClr val="000000"/>
                            </a:solidFill>
                          </a:endParaRPr>
                        </a:p>
                        <a:p>
                          <a:pPr marL="57150" lvl="1" indent="-57150" defTabSz="488950" fontAlgn="auto">
                            <a:lnSpc>
                              <a:spcPct val="90000"/>
                            </a:lnSpc>
                            <a:spcBef>
                              <a:spcPts val="0"/>
                            </a:spcBef>
                            <a:spcAft>
                              <a:spcPct val="15000"/>
                            </a:spcAft>
                            <a:buFontTx/>
                            <a:buChar char="•"/>
                            <a:defRPr/>
                          </a:pPr>
                          <a:r>
                            <a:rPr lang="en-GB" sz="1100" dirty="0">
                              <a:solidFill>
                                <a:srgbClr val="000000"/>
                              </a:solidFill>
                            </a:rPr>
                            <a:t> </a:t>
                          </a:r>
                          <a:r>
                            <a:rPr lang="ru-RU" sz="1100" dirty="0">
                              <a:solidFill>
                                <a:srgbClr val="000000"/>
                              </a:solidFill>
                            </a:rPr>
                            <a:t>Базовая ставка (ставки</a:t>
                          </a:r>
                          <a:r>
                            <a:rPr lang="en-GB" sz="1100" dirty="0">
                              <a:solidFill>
                                <a:srgbClr val="000000"/>
                              </a:solidFill>
                            </a:rPr>
                            <a:t>)</a:t>
                          </a:r>
                        </a:p>
                        <a:p>
                          <a:pPr marL="57150" lvl="1" indent="-57150" defTabSz="488950" fontAlgn="auto">
                            <a:lnSpc>
                              <a:spcPct val="90000"/>
                            </a:lnSpc>
                            <a:spcBef>
                              <a:spcPts val="0"/>
                            </a:spcBef>
                            <a:spcAft>
                              <a:spcPct val="15000"/>
                            </a:spcAft>
                            <a:buFontTx/>
                            <a:buChar char="•"/>
                            <a:defRPr/>
                          </a:pPr>
                          <a:r>
                            <a:rPr lang="en-GB" sz="1100" dirty="0">
                              <a:solidFill>
                                <a:srgbClr val="000000"/>
                              </a:solidFill>
                            </a:rPr>
                            <a:t> </a:t>
                          </a:r>
                          <a:r>
                            <a:rPr lang="ru-RU" sz="1100" dirty="0">
                              <a:solidFill>
                                <a:srgbClr val="000000"/>
                              </a:solidFill>
                            </a:rPr>
                            <a:t>Цены</a:t>
                          </a:r>
                          <a:r>
                            <a:rPr lang="en-GB" sz="1100" dirty="0">
                              <a:solidFill>
                                <a:srgbClr val="000000"/>
                              </a:solidFill>
                            </a:rPr>
                            <a:t>/ </a:t>
                          </a:r>
                          <a:r>
                            <a:rPr lang="ru-RU" sz="1100" dirty="0">
                              <a:solidFill>
                                <a:srgbClr val="000000"/>
                              </a:solidFill>
                            </a:rPr>
                            <a:t>тарифы</a:t>
                          </a:r>
                          <a:r>
                            <a:rPr lang="en-GB" sz="1100" dirty="0">
                              <a:solidFill>
                                <a:srgbClr val="000000"/>
                              </a:solidFill>
                            </a:rPr>
                            <a:t> </a:t>
                          </a:r>
                        </a:p>
                        <a:p>
                          <a:pPr marL="57150" lvl="1" indent="-57150" defTabSz="488950" fontAlgn="auto">
                            <a:lnSpc>
                              <a:spcPct val="90000"/>
                            </a:lnSpc>
                            <a:spcBef>
                              <a:spcPts val="0"/>
                            </a:spcBef>
                            <a:spcAft>
                              <a:spcPct val="15000"/>
                            </a:spcAft>
                            <a:buFontTx/>
                            <a:buChar char="•"/>
                            <a:defRPr/>
                          </a:pPr>
                          <a:r>
                            <a:rPr lang="en-GB" sz="1100" dirty="0">
                              <a:solidFill>
                                <a:srgbClr val="000000"/>
                              </a:solidFill>
                            </a:rPr>
                            <a:t> </a:t>
                          </a:r>
                          <a:r>
                            <a:rPr lang="ru-RU" sz="1100" dirty="0">
                              <a:solidFill>
                                <a:srgbClr val="000000"/>
                              </a:solidFill>
                            </a:rPr>
                            <a:t>Средняя против «наилучшей» </a:t>
                          </a:r>
                          <a:endParaRPr lang="en-GB" sz="1100" dirty="0">
                            <a:solidFill>
                              <a:srgbClr val="000000"/>
                            </a:solidFill>
                          </a:endParaRPr>
                        </a:p>
                        <a:p>
                          <a:pPr defTabSz="488950" fontAlgn="auto">
                            <a:spcBef>
                              <a:spcPts val="0"/>
                            </a:spcBef>
                            <a:spcAft>
                              <a:spcPts val="0"/>
                            </a:spcAft>
                            <a:defRPr/>
                          </a:pPr>
                          <a:endParaRPr lang="en-GB" sz="1100" dirty="0">
                            <a:solidFill>
                              <a:srgbClr val="000000"/>
                            </a:solidFill>
                          </a:endParaRPr>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39" name="Abgerundetes Rechteck 38"/>
                      <a:cNvSpPr/>
                    </a:nvSpPr>
                    <a:spPr bwMode="auto">
                      <a:xfrm>
                        <a:off x="7583488" y="4127500"/>
                        <a:ext cx="1417637" cy="1571625"/>
                      </a:xfrm>
                      <a:prstGeom prst="roundRect">
                        <a:avLst>
                          <a:gd name="adj" fmla="val 10000"/>
                        </a:avLst>
                      </a:prstGeom>
                    </a:spPr>
                    <a:txSp>
                      <a:txBody>
                        <a:bodyPr/>
                        <a:lstStyle>
                          <a:defPPr>
                            <a:defRPr lang="ru-RU"/>
                          </a:defPPr>
                          <a:lvl1pPr algn="l" rtl="0" fontAlgn="base">
                            <a:spcBef>
                              <a:spcPct val="0"/>
                            </a:spcBef>
                            <a:spcAft>
                              <a:spcPct val="0"/>
                            </a:spcAft>
                            <a:defRPr kern="1200">
                              <a:solidFill>
                                <a:schemeClr val="dk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dk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dk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dk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dk1">
                                  <a:hueOff val="0"/>
                                  <a:satOff val="0"/>
                                  <a:lumOff val="0"/>
                                  <a:alphaOff val="0"/>
                                </a:schemeClr>
                              </a:solidFill>
                              <a:latin typeface="+mn-lt"/>
                              <a:ea typeface="+mn-ea"/>
                              <a:cs typeface="+mn-cs"/>
                            </a:defRPr>
                          </a:lvl5pPr>
                          <a:lvl6pPr marL="2286000" algn="l" defTabSz="914400" rtl="0" eaLnBrk="1" latinLnBrk="0" hangingPunct="1">
                            <a:defRPr kern="1200">
                              <a:solidFill>
                                <a:schemeClr val="dk1">
                                  <a:hueOff val="0"/>
                                  <a:satOff val="0"/>
                                  <a:lumOff val="0"/>
                                  <a:alphaOff val="0"/>
                                </a:schemeClr>
                              </a:solidFill>
                              <a:latin typeface="+mn-lt"/>
                              <a:ea typeface="+mn-ea"/>
                              <a:cs typeface="+mn-cs"/>
                            </a:defRPr>
                          </a:lvl6pPr>
                          <a:lvl7pPr marL="2743200" algn="l" defTabSz="914400" rtl="0" eaLnBrk="1" latinLnBrk="0" hangingPunct="1">
                            <a:defRPr kern="1200">
                              <a:solidFill>
                                <a:schemeClr val="dk1">
                                  <a:hueOff val="0"/>
                                  <a:satOff val="0"/>
                                  <a:lumOff val="0"/>
                                  <a:alphaOff val="0"/>
                                </a:schemeClr>
                              </a:solidFill>
                              <a:latin typeface="+mn-lt"/>
                              <a:ea typeface="+mn-ea"/>
                              <a:cs typeface="+mn-cs"/>
                            </a:defRPr>
                          </a:lvl7pPr>
                          <a:lvl8pPr marL="3200400" algn="l" defTabSz="914400" rtl="0" eaLnBrk="1" latinLnBrk="0" hangingPunct="1">
                            <a:defRPr kern="1200">
                              <a:solidFill>
                                <a:schemeClr val="dk1">
                                  <a:hueOff val="0"/>
                                  <a:satOff val="0"/>
                                  <a:lumOff val="0"/>
                                  <a:alphaOff val="0"/>
                                </a:schemeClr>
                              </a:solidFill>
                              <a:latin typeface="+mn-lt"/>
                              <a:ea typeface="+mn-ea"/>
                              <a:cs typeface="+mn-cs"/>
                            </a:defRPr>
                          </a:lvl8pPr>
                          <a:lvl9pPr marL="3657600" algn="l" defTabSz="914400" rtl="0" eaLnBrk="1" latinLnBrk="0" hangingPunct="1">
                            <a:defRPr kern="1200">
                              <a:solidFill>
                                <a:schemeClr val="dk1">
                                  <a:hueOff val="0"/>
                                  <a:satOff val="0"/>
                                  <a:lumOff val="0"/>
                                  <a:alphaOff val="0"/>
                                </a:schemeClr>
                              </a:solidFill>
                              <a:latin typeface="+mn-lt"/>
                              <a:ea typeface="+mn-ea"/>
                              <a:cs typeface="+mn-cs"/>
                            </a:defRPr>
                          </a:lvl9pPr>
                        </a:lstStyle>
                        <a:p>
                          <a:pPr marL="57150" lvl="1" indent="-57150" defTabSz="488950" fontAlgn="auto">
                            <a:lnSpc>
                              <a:spcPct val="90000"/>
                            </a:lnSpc>
                            <a:spcBef>
                              <a:spcPts val="0"/>
                            </a:spcBef>
                            <a:spcAft>
                              <a:spcPct val="15000"/>
                            </a:spcAft>
                            <a:buFontTx/>
                            <a:buChar char="••"/>
                            <a:defRPr/>
                          </a:pPr>
                          <a:r>
                            <a:rPr lang="en-GB" sz="1200" dirty="0"/>
                            <a:t> </a:t>
                          </a:r>
                          <a:r>
                            <a:rPr lang="ru-RU" sz="1200" dirty="0"/>
                            <a:t>Ограничение объема </a:t>
                          </a:r>
                          <a:r>
                            <a:rPr lang="en-GB" sz="1100" dirty="0"/>
                            <a:t> </a:t>
                          </a:r>
                        </a:p>
                        <a:p>
                          <a:pPr marL="57150" lvl="1" indent="-57150" defTabSz="488950" fontAlgn="auto">
                            <a:lnSpc>
                              <a:spcPct val="90000"/>
                            </a:lnSpc>
                            <a:spcBef>
                              <a:spcPts val="0"/>
                            </a:spcBef>
                            <a:spcAft>
                              <a:spcPct val="15000"/>
                            </a:spcAft>
                            <a:buFontTx/>
                            <a:buChar char="••"/>
                            <a:defRPr/>
                          </a:pPr>
                          <a:r>
                            <a:rPr lang="en-GB" sz="1100" dirty="0"/>
                            <a:t> </a:t>
                          </a:r>
                          <a:r>
                            <a:rPr lang="ru-RU" sz="1100" dirty="0"/>
                            <a:t>Нетипичные больные </a:t>
                          </a:r>
                          <a:endParaRPr lang="en-GB" sz="1100" dirty="0"/>
                        </a:p>
                        <a:p>
                          <a:pPr marL="57150" lvl="1" indent="-57150" defTabSz="488950" fontAlgn="auto">
                            <a:lnSpc>
                              <a:spcPct val="90000"/>
                            </a:lnSpc>
                            <a:spcBef>
                              <a:spcPts val="0"/>
                            </a:spcBef>
                            <a:spcAft>
                              <a:spcPct val="15000"/>
                            </a:spcAft>
                            <a:buFontTx/>
                            <a:buChar char="••"/>
                            <a:defRPr/>
                          </a:pPr>
                          <a:r>
                            <a:rPr lang="en-GB" sz="1100" dirty="0"/>
                            <a:t> </a:t>
                          </a:r>
                          <a:r>
                            <a:rPr lang="ru-RU" sz="1100" dirty="0"/>
                            <a:t>Больные с высокими затратами  на лечение </a:t>
                          </a:r>
                          <a:endParaRPr lang="en-GB" sz="1100" dirty="0"/>
                        </a:p>
                        <a:p>
                          <a:pPr marL="57150" lvl="1" indent="-57150" defTabSz="488950" fontAlgn="auto">
                            <a:lnSpc>
                              <a:spcPct val="90000"/>
                            </a:lnSpc>
                            <a:spcBef>
                              <a:spcPts val="0"/>
                            </a:spcBef>
                            <a:spcAft>
                              <a:spcPct val="15000"/>
                            </a:spcAft>
                            <a:buFontTx/>
                            <a:buChar char="••"/>
                            <a:defRPr/>
                          </a:pPr>
                          <a:r>
                            <a:rPr lang="en-GB" sz="1100" dirty="0"/>
                            <a:t> </a:t>
                          </a:r>
                          <a:r>
                            <a:rPr lang="ru-RU" sz="1100" dirty="0"/>
                            <a:t>Переговоры</a:t>
                          </a:r>
                          <a:endParaRPr lang="en-GB" dirty="0"/>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40" name="Pfeil nach rechts 39"/>
                      <a:cNvSpPr/>
                    </a:nvSpPr>
                    <a:spPr bwMode="auto">
                      <a:xfrm>
                        <a:off x="3455988" y="4252913"/>
                        <a:ext cx="1584325" cy="487362"/>
                      </a:xfrm>
                      <a:prstGeom prst="rightArrow">
                        <a:avLst/>
                      </a:prstGeom>
                      <a:solidFill>
                        <a:schemeClr val="tx2">
                          <a:lumMod val="40000"/>
                          <a:lumOff val="60000"/>
                        </a:schemeClr>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Pfeil nach rechts 40"/>
                      <a:cNvSpPr/>
                    </a:nvSpPr>
                    <a:spPr bwMode="auto">
                      <a:xfrm rot="5400000">
                        <a:off x="2266156" y="3723482"/>
                        <a:ext cx="504825" cy="430212"/>
                      </a:xfrm>
                      <a:prstGeom prst="rightArrow">
                        <a:avLst/>
                      </a:prstGeom>
                      <a:solidFill>
                        <a:schemeClr val="tx2">
                          <a:lumMod val="40000"/>
                          <a:lumOff val="60000"/>
                        </a:schemeClr>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Abgerundetes Rechteck 41"/>
                      <a:cNvSpPr/>
                    </a:nvSpPr>
                    <a:spPr bwMode="auto">
                      <a:xfrm>
                        <a:off x="153988" y="4252913"/>
                        <a:ext cx="1241425" cy="1081087"/>
                      </a:xfrm>
                      <a:prstGeom prst="roundRect">
                        <a:avLst>
                          <a:gd name="adj" fmla="val 10000"/>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ru-RU" sz="1400" b="1" dirty="0"/>
                            <a:t>Входные данные</a:t>
                          </a:r>
                          <a:endParaRPr lang="en-GB" sz="1400" b="1" dirty="0"/>
                        </a:p>
                      </a:txBody>
                      <a:useSpRect/>
                    </a:txSp>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sp>
                    <a:nvSpPr>
                      <a:cNvPr id="43" name="Pfeil nach rechts 42"/>
                      <a:cNvSpPr/>
                    </a:nvSpPr>
                    <a:spPr bwMode="auto">
                      <a:xfrm>
                        <a:off x="1490663" y="4559300"/>
                        <a:ext cx="381000" cy="485775"/>
                      </a:xfrm>
                      <a:prstGeom prst="rightArrow">
                        <a:avLst/>
                      </a:prstGeom>
                      <a:solidFill>
                        <a:schemeClr val="tx2">
                          <a:lumMod val="40000"/>
                          <a:lumOff val="60000"/>
                        </a:schemeClr>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Pfeil nach rechts 43"/>
                      <a:cNvSpPr/>
                    </a:nvSpPr>
                    <a:spPr bwMode="auto">
                      <a:xfrm rot="16200000">
                        <a:off x="2269331" y="3561557"/>
                        <a:ext cx="504825" cy="430212"/>
                      </a:xfrm>
                      <a:prstGeom prst="rightArrow">
                        <a:avLst/>
                      </a:prstGeom>
                      <a:solidFill>
                        <a:schemeClr val="tx2">
                          <a:lumMod val="40000"/>
                          <a:lumOff val="60000"/>
                        </a:schemeClr>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A6CD9" w:rsidRPr="00622A03" w:rsidRDefault="007A6CD9" w:rsidP="007A6CD9">
      <w:pPr>
        <w:spacing w:before="240" w:after="240" w:line="360" w:lineRule="auto"/>
        <w:ind w:left="709" w:right="567"/>
        <w:jc w:val="both"/>
        <w:rPr>
          <w:rFonts w:ascii="Times New Roman" w:hAnsi="Times New Roman"/>
          <w:b/>
        </w:rPr>
      </w:pPr>
      <w:r w:rsidRPr="00622A03">
        <w:rPr>
          <w:rFonts w:ascii="Times New Roman" w:hAnsi="Times New Roman"/>
          <w:b/>
        </w:rPr>
        <w:t>Рисунок 2. Основные блоки в составе процесса разработки системы клинико-статистических групп (источник – [16]).</w:t>
      </w:r>
    </w:p>
    <w:p w:rsidR="001A5E3C" w:rsidRPr="00D26651"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Достоинства и недостатки</w:t>
      </w:r>
      <w:r w:rsidRPr="00D26651">
        <w:rPr>
          <w:rFonts w:ascii="Times New Roman" w:hAnsi="Times New Roman"/>
          <w:sz w:val="28"/>
          <w:szCs w:val="28"/>
        </w:rPr>
        <w:t xml:space="preserve"> </w:t>
      </w:r>
      <w:r>
        <w:rPr>
          <w:rFonts w:ascii="Times New Roman" w:hAnsi="Times New Roman"/>
          <w:sz w:val="28"/>
          <w:szCs w:val="28"/>
        </w:rPr>
        <w:t xml:space="preserve">внедрения неизменной зарубежной системы </w:t>
      </w:r>
      <w:r>
        <w:rPr>
          <w:rFonts w:ascii="Times New Roman" w:hAnsi="Times New Roman"/>
          <w:sz w:val="28"/>
          <w:szCs w:val="28"/>
          <w:lang w:val="en-US"/>
        </w:rPr>
        <w:t>DRG</w:t>
      </w:r>
      <w:r w:rsidRPr="00D26651">
        <w:rPr>
          <w:rFonts w:ascii="Times New Roman" w:hAnsi="Times New Roman"/>
          <w:sz w:val="28"/>
          <w:szCs w:val="28"/>
        </w:rPr>
        <w:t xml:space="preserve"> вполне очевидны. Скорость, с которой вводятся изменения, не всегда оправданна в долгосрочном периоде, когда вероятные ошибки и недостатки системы выходят на поверхность и проявляют себя на практике. Даже в случае активного участия правительства государства-импортера системы DRG в совершенствовании внедренного подхода (при проведении дополнительных исследований, уточнении компонентов клинико-статистических групп</w:t>
      </w:r>
      <w:r>
        <w:rPr>
          <w:rFonts w:ascii="Times New Roman" w:hAnsi="Times New Roman"/>
          <w:sz w:val="28"/>
          <w:szCs w:val="28"/>
        </w:rPr>
        <w:t xml:space="preserve"> </w:t>
      </w:r>
      <w:r w:rsidRPr="00D26651">
        <w:rPr>
          <w:rFonts w:ascii="Times New Roman" w:hAnsi="Times New Roman"/>
          <w:sz w:val="28"/>
          <w:szCs w:val="28"/>
        </w:rPr>
        <w:t xml:space="preserve">и корректировке коэффициентов оплаты) системные ошибки выбора изначальных характеристик модели могут быть слишком дорогостоящи (с точки зрения финансирования системы и </w:t>
      </w:r>
      <w:r w:rsidRPr="00D26651">
        <w:rPr>
          <w:rFonts w:ascii="Times New Roman" w:hAnsi="Times New Roman"/>
          <w:sz w:val="28"/>
          <w:szCs w:val="28"/>
        </w:rPr>
        <w:lastRenderedPageBreak/>
        <w:t>показателей общественного здоровья). Оптимальным вариантом при этом представляется проведение подготовительной работы и оценки альтернативных спецификаций классификации DRG с их уникальными особенностями.</w:t>
      </w:r>
    </w:p>
    <w:p w:rsidR="001A5E3C" w:rsidRPr="00D26651"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Другой крайний вариант при внедрении систе</w:t>
      </w:r>
      <w:r>
        <w:rPr>
          <w:rFonts w:ascii="Times New Roman" w:hAnsi="Times New Roman"/>
          <w:sz w:val="28"/>
          <w:szCs w:val="28"/>
        </w:rPr>
        <w:t>мы клинико-статистических групп –</w:t>
      </w:r>
      <w:r w:rsidRPr="00D26651">
        <w:rPr>
          <w:rFonts w:ascii="Times New Roman" w:hAnsi="Times New Roman"/>
          <w:sz w:val="28"/>
          <w:szCs w:val="28"/>
        </w:rPr>
        <w:t xml:space="preserve"> полностью самостоятельная разработка групп </w:t>
      </w:r>
      <w:r>
        <w:rPr>
          <w:rFonts w:ascii="Times New Roman" w:hAnsi="Times New Roman"/>
          <w:sz w:val="28"/>
          <w:szCs w:val="28"/>
        </w:rPr>
        <w:t>–</w:t>
      </w:r>
      <w:r w:rsidRPr="00D26651">
        <w:rPr>
          <w:rFonts w:ascii="Times New Roman" w:hAnsi="Times New Roman"/>
          <w:sz w:val="28"/>
          <w:szCs w:val="28"/>
        </w:rPr>
        <w:t xml:space="preserve"> также представляется не самым оптимальным с точки зрения использования ресурсов (в том числе, интеллектуальных). На сегодняшний день накоплен достаточно большой опыт как в сфере разработки и уточнении теоретических особенностей подхода DRG, так и в практике применения клинико-статистических групп, при этом нужно отметить вклад проекта EuroDRG. Использование интеллектуальных, управленческих и финансовых ресурсов государства для освоения и уточнения зарубежного опыта представляется более эффективным, чем попытка проведения независимого анализа, имеющего целью создание классификаций, сходных с DRG по назначению и применению.</w:t>
      </w:r>
    </w:p>
    <w:p w:rsidR="001A5E3C" w:rsidRPr="00D26651"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В этом кон</w:t>
      </w:r>
      <w:r w:rsidR="0057219D">
        <w:rPr>
          <w:rFonts w:ascii="Times New Roman" w:hAnsi="Times New Roman"/>
          <w:sz w:val="28"/>
          <w:szCs w:val="28"/>
        </w:rPr>
        <w:t>тексте интересен опыт Эстонии [</w:t>
      </w:r>
      <w:r w:rsidR="000E1641">
        <w:rPr>
          <w:rFonts w:ascii="Times New Roman" w:hAnsi="Times New Roman"/>
          <w:sz w:val="28"/>
          <w:szCs w:val="28"/>
        </w:rPr>
        <w:t>18</w:t>
      </w:r>
      <w:r w:rsidRPr="00D26651">
        <w:rPr>
          <w:rFonts w:ascii="Times New Roman" w:hAnsi="Times New Roman"/>
          <w:sz w:val="28"/>
          <w:szCs w:val="28"/>
        </w:rPr>
        <w:t xml:space="preserve">]. В начале 1990-х годов страна начала постепенно отходить от системы оплаты медицинской помощи по отдельным услугам (FFS), поскольку затраты в рамках существовавшего способа оплаты увеличивались нарастающими темпами. Пройдя через этап применения так называемых </w:t>
      </w:r>
      <w:r w:rsidR="009C4C2F">
        <w:rPr>
          <w:rFonts w:ascii="Times New Roman" w:hAnsi="Times New Roman"/>
          <w:sz w:val="28"/>
          <w:szCs w:val="28"/>
        </w:rPr>
        <w:t>«</w:t>
      </w:r>
      <w:r w:rsidRPr="00D26651">
        <w:rPr>
          <w:rFonts w:ascii="Times New Roman" w:hAnsi="Times New Roman"/>
          <w:sz w:val="28"/>
          <w:szCs w:val="28"/>
        </w:rPr>
        <w:t>комплексных цен</w:t>
      </w:r>
      <w:r w:rsidR="009C4C2F">
        <w:rPr>
          <w:rFonts w:ascii="Times New Roman" w:hAnsi="Times New Roman"/>
          <w:sz w:val="28"/>
          <w:szCs w:val="28"/>
        </w:rPr>
        <w:t>»</w:t>
      </w:r>
      <w:r w:rsidRPr="00D26651">
        <w:rPr>
          <w:rFonts w:ascii="Times New Roman" w:hAnsi="Times New Roman"/>
          <w:sz w:val="28"/>
          <w:szCs w:val="28"/>
        </w:rPr>
        <w:t>, самостоятельно разработанных методик оплаты ряда хирургических операций по законченному случаю, Эстония осознанно подошла к идее о необходимости внедрения системы клинико-статистиче</w:t>
      </w:r>
      <w:r>
        <w:rPr>
          <w:rFonts w:ascii="Times New Roman" w:hAnsi="Times New Roman"/>
          <w:sz w:val="28"/>
          <w:szCs w:val="28"/>
        </w:rPr>
        <w:t>с</w:t>
      </w:r>
      <w:r w:rsidRPr="00D26651">
        <w:rPr>
          <w:rFonts w:ascii="Times New Roman" w:hAnsi="Times New Roman"/>
          <w:sz w:val="28"/>
          <w:szCs w:val="28"/>
        </w:rPr>
        <w:t>ких групп, при этом страна выбрала спецификацию NordDRG.</w:t>
      </w:r>
    </w:p>
    <w:p w:rsidR="001A5E3C" w:rsidRPr="00D26651"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При выборе классификации DRG из всего многообразия существующих подходов</w:t>
      </w:r>
      <w:r>
        <w:rPr>
          <w:rFonts w:ascii="Times New Roman" w:hAnsi="Times New Roman"/>
          <w:sz w:val="28"/>
          <w:szCs w:val="28"/>
        </w:rPr>
        <w:t>, в первую очередь,</w:t>
      </w:r>
      <w:r w:rsidRPr="00D26651">
        <w:rPr>
          <w:rFonts w:ascii="Times New Roman" w:hAnsi="Times New Roman"/>
          <w:sz w:val="28"/>
          <w:szCs w:val="28"/>
        </w:rPr>
        <w:t xml:space="preserve"> нужно обратить внимание на ряд характеристик системы здравоохранения принимающего государства. </w:t>
      </w:r>
      <w:r>
        <w:rPr>
          <w:rFonts w:ascii="Times New Roman" w:hAnsi="Times New Roman"/>
          <w:sz w:val="28"/>
          <w:szCs w:val="28"/>
        </w:rPr>
        <w:t>Ниже перечислены</w:t>
      </w:r>
      <w:r w:rsidRPr="00D26651">
        <w:rPr>
          <w:rFonts w:ascii="Times New Roman" w:hAnsi="Times New Roman"/>
          <w:sz w:val="28"/>
          <w:szCs w:val="28"/>
        </w:rPr>
        <w:t xml:space="preserve"> некоторые особенности, которые нужно учитывать при </w:t>
      </w:r>
      <w:r w:rsidRPr="00D26651">
        <w:rPr>
          <w:rFonts w:ascii="Times New Roman" w:hAnsi="Times New Roman"/>
          <w:sz w:val="28"/>
          <w:szCs w:val="28"/>
        </w:rPr>
        <w:lastRenderedPageBreak/>
        <w:t>анализе возможности импортирования отдельных спецификаций системы DRG:</w:t>
      </w:r>
    </w:p>
    <w:p w:rsidR="001A5E3C" w:rsidRPr="00D26651"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1. Классификация болезней, принятая в медицинских организациях страны.</w:t>
      </w:r>
    </w:p>
    <w:p w:rsidR="00171048"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 xml:space="preserve">Различие в подходе к кодированию заболеваний, применяемом в стране, и лежащем в основе определенной спецификации DRG может стать сложнопреодолимым препятствием при внедрении нового метода. </w:t>
      </w:r>
    </w:p>
    <w:p w:rsidR="001A5E3C" w:rsidRPr="00D26651"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Важно также помнить, что принудительный переход на другую классификацию болезней в связи с введением клинико-статистических групп может вызвать резко негативную реакцию со стороны медицинского сообщества, поскольку исследования показывают негативное отношение врачей к любым изменениям в отношении регистрации больных и ведения статистического учета.</w:t>
      </w:r>
    </w:p>
    <w:p w:rsidR="001A5E3C" w:rsidRPr="00D26651"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2. Количество случаев и сложность методики DRG.</w:t>
      </w:r>
    </w:p>
    <w:p w:rsidR="00171048"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 xml:space="preserve">Очевидно, что страна с большим количеством обслуживаемого медицинскими организациями населения, такая как Россия или США, потребует более детально проработанный подход к формированию групп и оплаты на их основе, чем небольшая европейская страна, как, например, Эстония. Может сложиться ситуация, когда при импорте американской системы DRG в страну с небольшим населением (а следовательно, с небольшим числом случаев заболевания) многие разработанные клинико-статистические группы останутся невостребованными. И наоборот, возможна ситуация, при которой потребуется дополнительная проработка методологии и создание </w:t>
      </w:r>
      <w:r w:rsidR="009C4C2F">
        <w:rPr>
          <w:rFonts w:ascii="Times New Roman" w:hAnsi="Times New Roman"/>
          <w:sz w:val="28"/>
          <w:szCs w:val="28"/>
        </w:rPr>
        <w:t>«</w:t>
      </w:r>
      <w:r w:rsidRPr="00D26651">
        <w:rPr>
          <w:rFonts w:ascii="Times New Roman" w:hAnsi="Times New Roman"/>
          <w:sz w:val="28"/>
          <w:szCs w:val="28"/>
        </w:rPr>
        <w:t>собственных</w:t>
      </w:r>
      <w:r w:rsidR="009C4C2F">
        <w:rPr>
          <w:rFonts w:ascii="Times New Roman" w:hAnsi="Times New Roman"/>
          <w:sz w:val="28"/>
          <w:szCs w:val="28"/>
        </w:rPr>
        <w:t>»</w:t>
      </w:r>
      <w:r w:rsidRPr="00D26651">
        <w:rPr>
          <w:rFonts w:ascii="Times New Roman" w:hAnsi="Times New Roman"/>
          <w:sz w:val="28"/>
          <w:szCs w:val="28"/>
        </w:rPr>
        <w:t xml:space="preserve"> КСГ. Также такая потребность может возникнуть несколько позже, в процессе уточнения и модификации функционирующей системы DRG. </w:t>
      </w:r>
    </w:p>
    <w:p w:rsidR="001A5E3C" w:rsidRPr="00D26651"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lastRenderedPageBreak/>
        <w:t xml:space="preserve">Тем не менее, большое количество клинико-статистических групп не является идеалом, к которому нужно стремиться. Небольшое число групп также обладает рядом определенных достоинств </w:t>
      </w:r>
      <w:r>
        <w:rPr>
          <w:rFonts w:ascii="Times New Roman" w:hAnsi="Times New Roman"/>
          <w:sz w:val="28"/>
          <w:szCs w:val="28"/>
        </w:rPr>
        <w:t>–</w:t>
      </w:r>
      <w:r w:rsidRPr="00D26651">
        <w:rPr>
          <w:rFonts w:ascii="Times New Roman" w:hAnsi="Times New Roman"/>
          <w:sz w:val="28"/>
          <w:szCs w:val="28"/>
        </w:rPr>
        <w:t xml:space="preserve"> в частности, анализ в разрезе меньшего количества клинико-статистических групп дает более устойчивые и надежные результаты, что особенно актуально при недостатке количества или плохого качества входных статистических данных.</w:t>
      </w:r>
    </w:p>
    <w:p w:rsidR="001A5E3C" w:rsidRPr="00D26651"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3. Страны, использующие подобную спецификацию DRG.</w:t>
      </w:r>
    </w:p>
    <w:p w:rsidR="001A5E3C" w:rsidRPr="00D26651"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Поскольку подход DRG дает уникальную возможность сравнения разнородных медицинских кейсов, имеет смысл обратить внимание на страны, применяющие подходящие системы DRG и при этом руководству</w:t>
      </w:r>
      <w:r>
        <w:rPr>
          <w:rFonts w:ascii="Times New Roman" w:hAnsi="Times New Roman"/>
          <w:sz w:val="28"/>
          <w:szCs w:val="28"/>
        </w:rPr>
        <w:t>ющиеся в своей п</w:t>
      </w:r>
      <w:r w:rsidRPr="00D26651">
        <w:rPr>
          <w:rFonts w:ascii="Times New Roman" w:hAnsi="Times New Roman"/>
          <w:sz w:val="28"/>
          <w:szCs w:val="28"/>
        </w:rPr>
        <w:t>олитике здравоохранения целями и приоритетами, разделяемыми принимающей стороной. Таким образом, в д</w:t>
      </w:r>
      <w:r>
        <w:rPr>
          <w:rFonts w:ascii="Times New Roman" w:hAnsi="Times New Roman"/>
          <w:sz w:val="28"/>
          <w:szCs w:val="28"/>
        </w:rPr>
        <w:t>альнейшем станет возможным срав</w:t>
      </w:r>
      <w:r w:rsidRPr="00D26651">
        <w:rPr>
          <w:rFonts w:ascii="Times New Roman" w:hAnsi="Times New Roman"/>
          <w:sz w:val="28"/>
          <w:szCs w:val="28"/>
        </w:rPr>
        <w:t>нение эффективности деятельности медицинских организаций (в частности, стационаров) в разных странах и применение позитивного опыта других государств страной-импортером спецификации системы DRG. Также нужно отметить, что многие страны, серьезн</w:t>
      </w:r>
      <w:r>
        <w:rPr>
          <w:rFonts w:ascii="Times New Roman" w:hAnsi="Times New Roman"/>
          <w:sz w:val="28"/>
          <w:szCs w:val="28"/>
        </w:rPr>
        <w:t>о</w:t>
      </w:r>
      <w:r w:rsidRPr="00D26651">
        <w:rPr>
          <w:rFonts w:ascii="Times New Roman" w:hAnsi="Times New Roman"/>
          <w:sz w:val="28"/>
          <w:szCs w:val="28"/>
        </w:rPr>
        <w:t xml:space="preserve"> занимающиеся вопросами методологии DRG, предоставляют экспертную и техническую поддержку, что немаловажно при импорте системы.</w:t>
      </w:r>
    </w:p>
    <w:p w:rsidR="00171048"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 xml:space="preserve">Вторым важнейшим блоком в процессе внедрения системы DRG, наряду с выбором подходящей спецификации подхода, является сбор </w:t>
      </w:r>
      <w:r w:rsidR="005A5376">
        <w:rPr>
          <w:rFonts w:ascii="Times New Roman" w:hAnsi="Times New Roman"/>
          <w:sz w:val="28"/>
          <w:szCs w:val="28"/>
        </w:rPr>
        <w:t>статистических</w:t>
      </w:r>
      <w:r w:rsidRPr="00D26651">
        <w:rPr>
          <w:rFonts w:ascii="Times New Roman" w:hAnsi="Times New Roman"/>
          <w:sz w:val="28"/>
          <w:szCs w:val="28"/>
        </w:rPr>
        <w:t xml:space="preserve"> данных (см. </w:t>
      </w:r>
      <w:r w:rsidR="007A6CD9">
        <w:rPr>
          <w:rFonts w:ascii="Times New Roman" w:hAnsi="Times New Roman"/>
          <w:sz w:val="28"/>
          <w:szCs w:val="28"/>
        </w:rPr>
        <w:t>Рисунок 2</w:t>
      </w:r>
      <w:r w:rsidRPr="00D26651">
        <w:rPr>
          <w:rFonts w:ascii="Times New Roman" w:hAnsi="Times New Roman"/>
          <w:sz w:val="28"/>
          <w:szCs w:val="28"/>
        </w:rPr>
        <w:t xml:space="preserve">). Если с демографическими данными проблем, как правило, не возникает (даже при несовершенном процессе сбора демографических данных основные показатели половозрастной структуры населения искажаются незначительно), то к клиническим данным и особенно данным о затратах часто бывают серьезные вопросы. В конечном счете, именно сокращение стимулов к предоставлению медицинскими организациями искаженных данных </w:t>
      </w:r>
      <w:r w:rsidRPr="00D26651">
        <w:rPr>
          <w:rFonts w:ascii="Times New Roman" w:hAnsi="Times New Roman"/>
          <w:sz w:val="28"/>
          <w:szCs w:val="28"/>
        </w:rPr>
        <w:lastRenderedPageBreak/>
        <w:t>(прозрачность деятельности, особенно в части стационаров) было одной из основных целей, которую пре</w:t>
      </w:r>
      <w:r w:rsidR="00171048">
        <w:rPr>
          <w:rFonts w:ascii="Times New Roman" w:hAnsi="Times New Roman"/>
          <w:sz w:val="28"/>
          <w:szCs w:val="28"/>
        </w:rPr>
        <w:t>следовали создатели системы DRG.</w:t>
      </w:r>
      <w:r w:rsidRPr="00D26651">
        <w:rPr>
          <w:rFonts w:ascii="Times New Roman" w:hAnsi="Times New Roman"/>
          <w:sz w:val="28"/>
          <w:szCs w:val="28"/>
        </w:rPr>
        <w:t xml:space="preserve"> </w:t>
      </w:r>
    </w:p>
    <w:p w:rsidR="001A5E3C" w:rsidRPr="003D4E16" w:rsidRDefault="001A5E3C" w:rsidP="000A639E">
      <w:pPr>
        <w:spacing w:line="360" w:lineRule="auto"/>
        <w:ind w:firstLine="624"/>
        <w:jc w:val="both"/>
        <w:rPr>
          <w:rFonts w:ascii="Times New Roman" w:hAnsi="Times New Roman"/>
          <w:sz w:val="28"/>
          <w:szCs w:val="28"/>
        </w:rPr>
      </w:pPr>
      <w:r w:rsidRPr="00D26651">
        <w:rPr>
          <w:rFonts w:ascii="Times New Roman" w:hAnsi="Times New Roman"/>
          <w:sz w:val="28"/>
          <w:szCs w:val="28"/>
        </w:rPr>
        <w:t>Тем не менее, любое государство при разработке или интеграции системы клинико-статистических групп сталкивается с проблемой неудовлетворительного качества и/или количества входящих данных. При отсутствии необходим</w:t>
      </w:r>
      <w:r>
        <w:rPr>
          <w:rFonts w:ascii="Times New Roman" w:hAnsi="Times New Roman"/>
          <w:sz w:val="28"/>
          <w:szCs w:val="28"/>
        </w:rPr>
        <w:t>ой информации об отдельных забо</w:t>
      </w:r>
      <w:r w:rsidRPr="00D26651">
        <w:rPr>
          <w:rFonts w:ascii="Times New Roman" w:hAnsi="Times New Roman"/>
          <w:sz w:val="28"/>
          <w:szCs w:val="28"/>
        </w:rPr>
        <w:t>леваниях данные могут быть смоделированы (оценены) с помощью зарубежной статистики (как это было сделано в ряде случаев в Эстонии). В дальнейшем, показатели могут быть уточнены в результате налаживания коммуникации между участниками отношений и улучшением прозрачности деятельности медицинских организаций.</w:t>
      </w:r>
    </w:p>
    <w:p w:rsidR="001A5E3C" w:rsidRPr="003D4E16" w:rsidRDefault="001A5E3C" w:rsidP="000A639E">
      <w:pPr>
        <w:spacing w:line="360" w:lineRule="auto"/>
        <w:ind w:firstLine="624"/>
        <w:jc w:val="both"/>
        <w:rPr>
          <w:rFonts w:ascii="Times New Roman" w:hAnsi="Times New Roman"/>
          <w:sz w:val="28"/>
          <w:szCs w:val="28"/>
        </w:rPr>
      </w:pPr>
      <w:r>
        <w:rPr>
          <w:rFonts w:ascii="Times New Roman" w:hAnsi="Times New Roman" w:cs="Times New Roman"/>
          <w:sz w:val="28"/>
          <w:szCs w:val="28"/>
        </w:rPr>
        <w:t xml:space="preserve">Третьим фундаментальным блоком в построении национальной системы клинико-статистических групп является ценообразование – формирование подходов к оплате медицинской помощи (в частности, стационарной) на основе </w:t>
      </w:r>
      <w:r>
        <w:rPr>
          <w:rFonts w:ascii="Times New Roman" w:hAnsi="Times New Roman" w:cs="Times New Roman"/>
          <w:sz w:val="28"/>
          <w:szCs w:val="28"/>
          <w:lang w:val="en-US"/>
        </w:rPr>
        <w:t>DRG</w:t>
      </w:r>
      <w:r>
        <w:rPr>
          <w:rFonts w:ascii="Times New Roman" w:hAnsi="Times New Roman" w:cs="Times New Roman"/>
          <w:sz w:val="28"/>
          <w:szCs w:val="28"/>
        </w:rPr>
        <w:t xml:space="preserve"> </w:t>
      </w:r>
      <w:r w:rsidRPr="007A6CD9">
        <w:rPr>
          <w:rFonts w:ascii="Times New Roman" w:hAnsi="Times New Roman" w:cs="Times New Roman"/>
          <w:sz w:val="28"/>
          <w:szCs w:val="28"/>
        </w:rPr>
        <w:t>(</w:t>
      </w:r>
      <w:r w:rsidR="007A6CD9" w:rsidRPr="007A6CD9">
        <w:rPr>
          <w:rFonts w:ascii="Times New Roman" w:hAnsi="Times New Roman" w:cs="Times New Roman"/>
          <w:sz w:val="28"/>
          <w:szCs w:val="28"/>
        </w:rPr>
        <w:t>см. Рисунок 2</w:t>
      </w:r>
      <w:r w:rsidRPr="007A6CD9">
        <w:rPr>
          <w:rFonts w:ascii="Times New Roman" w:hAnsi="Times New Roman" w:cs="Times New Roman"/>
          <w:sz w:val="28"/>
          <w:szCs w:val="28"/>
        </w:rPr>
        <w:t xml:space="preserve">). </w:t>
      </w:r>
      <w:r w:rsidR="004B64A2" w:rsidRPr="007A6CD9">
        <w:rPr>
          <w:rFonts w:ascii="Times New Roman" w:hAnsi="Times New Roman"/>
          <w:sz w:val="28"/>
          <w:szCs w:val="28"/>
        </w:rPr>
        <w:t>Как от</w:t>
      </w:r>
      <w:r w:rsidR="004B64A2">
        <w:rPr>
          <w:rFonts w:ascii="Times New Roman" w:hAnsi="Times New Roman"/>
          <w:sz w:val="28"/>
          <w:szCs w:val="28"/>
        </w:rPr>
        <w:t>мечается [</w:t>
      </w:r>
      <w:r w:rsidR="000E1641">
        <w:rPr>
          <w:rFonts w:ascii="Times New Roman" w:hAnsi="Times New Roman"/>
          <w:sz w:val="28"/>
          <w:szCs w:val="28"/>
        </w:rPr>
        <w:t>24</w:t>
      </w:r>
      <w:r w:rsidRPr="00BA7429">
        <w:rPr>
          <w:rFonts w:ascii="Times New Roman" w:hAnsi="Times New Roman"/>
          <w:sz w:val="28"/>
          <w:szCs w:val="28"/>
        </w:rPr>
        <w:t>], механизмы оплаты представляют собой один из фундаментальных блоков любой системы здравоохранения, они создают мощные стимулы для участников процесса, а также серьезные сложности с точки зрения технического дизайна.</w:t>
      </w:r>
    </w:p>
    <w:p w:rsidR="001A5E3C" w:rsidRDefault="001A5E3C" w:rsidP="000A639E">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Как было упомянуто ранее, оплата по КСГ производится не во всех странах, использующих данный подход для оценки эффективности и прозрачности деятельности медицинских организаций. Также во многих странах внедрение системы </w:t>
      </w:r>
      <w:r>
        <w:rPr>
          <w:rFonts w:ascii="Times New Roman" w:hAnsi="Times New Roman" w:cs="Times New Roman"/>
          <w:sz w:val="28"/>
          <w:szCs w:val="28"/>
          <w:lang w:val="en-US"/>
        </w:rPr>
        <w:t>DRG</w:t>
      </w:r>
      <w:r>
        <w:rPr>
          <w:rFonts w:ascii="Times New Roman" w:hAnsi="Times New Roman" w:cs="Times New Roman"/>
          <w:sz w:val="28"/>
          <w:szCs w:val="28"/>
        </w:rPr>
        <w:t xml:space="preserve"> и оплаты на ее основе были разделены достаточно длительным периодом времени.</w:t>
      </w:r>
    </w:p>
    <w:p w:rsidR="001A5E3C" w:rsidRDefault="001A5E3C" w:rsidP="000A639E">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Суть оплаты по КСГ в большинстве стран составляют коэффициенты затратоемкости каждой клинико-статистической группы по отношению к глобальной средней стоимости случая. Данный коэффициент применяется ко всем заболеваниям, включенным в группу. Для корректировки оплаты в </w:t>
      </w:r>
      <w:r>
        <w:rPr>
          <w:rFonts w:ascii="Times New Roman" w:hAnsi="Times New Roman" w:cs="Times New Roman"/>
          <w:sz w:val="28"/>
          <w:szCs w:val="28"/>
        </w:rPr>
        <w:lastRenderedPageBreak/>
        <w:t>соответствии с региональными или половозрастными различиями в стоимости услуг могут также вводиться дополнительные коэффициенты. Таким образом, стоимость каждого отдельного пролеченного случая формируется умножением базовой ставки на все применимые к данному случаю коэффициенты.</w:t>
      </w:r>
    </w:p>
    <w:p w:rsidR="001A5E3C" w:rsidRPr="004300E2" w:rsidRDefault="001A5E3C" w:rsidP="000A639E">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В небольших странах (Великобритания, Нидерланды) производится прямая, а не косвенная (с применением коэффициентов) оплата стоимости случая. Такой подход оказывается более простым и, вероятно, лучшим образом очищенным от некоторой субъективности и возможных ошибок в неоправданном распределении ресурсов. Плюсом прямого способа оплаты можно также назвать б</w:t>
      </w:r>
      <w:r w:rsidRPr="004300E2">
        <w:rPr>
          <w:rFonts w:ascii="Times New Roman" w:hAnsi="Times New Roman" w:cs="Times New Roman"/>
          <w:i/>
          <w:sz w:val="28"/>
          <w:szCs w:val="28"/>
        </w:rPr>
        <w:t>о</w:t>
      </w:r>
      <w:r>
        <w:rPr>
          <w:rFonts w:ascii="Times New Roman" w:hAnsi="Times New Roman" w:cs="Times New Roman"/>
          <w:sz w:val="28"/>
          <w:szCs w:val="28"/>
        </w:rPr>
        <w:t xml:space="preserve">льшую предсказуемость и отсутствие эффекта под названием </w:t>
      </w:r>
      <w:r w:rsidR="009C4C2F">
        <w:rPr>
          <w:rFonts w:ascii="Times New Roman" w:hAnsi="Times New Roman" w:cs="Times New Roman"/>
          <w:sz w:val="28"/>
          <w:szCs w:val="28"/>
        </w:rPr>
        <w:t>«</w:t>
      </w:r>
      <w:r>
        <w:rPr>
          <w:rFonts w:ascii="Times New Roman" w:hAnsi="Times New Roman" w:cs="Times New Roman"/>
          <w:sz w:val="28"/>
          <w:szCs w:val="28"/>
          <w:lang w:val="en-US"/>
        </w:rPr>
        <w:t>creaming</w:t>
      </w:r>
      <w:r w:rsidR="009C4C2F">
        <w:rPr>
          <w:rFonts w:ascii="Times New Roman" w:hAnsi="Times New Roman" w:cs="Times New Roman"/>
          <w:sz w:val="28"/>
          <w:szCs w:val="28"/>
        </w:rPr>
        <w:t>»</w:t>
      </w:r>
      <w:r>
        <w:rPr>
          <w:rFonts w:ascii="Times New Roman" w:hAnsi="Times New Roman" w:cs="Times New Roman"/>
          <w:sz w:val="28"/>
          <w:szCs w:val="28"/>
        </w:rPr>
        <w:t xml:space="preserve">, то есть отбор медицинской организацией только наиболее выгодных для нее пациентов. </w:t>
      </w:r>
    </w:p>
    <w:p w:rsidR="00171048" w:rsidRDefault="001A5E3C" w:rsidP="000A639E">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Оплата на основе клинико-статистических групп позволяет не только создать нужные правительству стимулы у поставщиков медицинских услуг, но и в целом получить отклик от системы здравоохранения по поводу внедрения КСГ. Оплата по КСГ провоцирует появление заинтересованности у медицинских организаций в изучении данного подхода, таким образом, помимо образовательного эффекта правительство может также получить обратную связь – информацию о потенциальных проблемах и недостатках разработанной системы КСГ. В целях тестирования система может быть внедрена в пилотных регионах страны или в отдельных больницах. </w:t>
      </w:r>
    </w:p>
    <w:p w:rsidR="001A5E3C" w:rsidRDefault="001A5E3C" w:rsidP="000A639E">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Возможна также другая ситуация. Например, эстонское правительство не сразу ввело полную оплату по клинико-статистическим группам, вначале оплата по КСГ имела лишь небольшой вес в общей стоимости услуг (оставшаяся часть стоимости оплачивалась привычным для медицинского учреждения образом), в дальнейшем этот вес </w:t>
      </w:r>
      <w:r>
        <w:rPr>
          <w:rFonts w:ascii="Times New Roman" w:hAnsi="Times New Roman" w:cs="Times New Roman"/>
          <w:sz w:val="28"/>
          <w:szCs w:val="28"/>
        </w:rPr>
        <w:lastRenderedPageBreak/>
        <w:t xml:space="preserve">повышался, до тех пор, пока в 2009 году на основные услуги стационара он не составил 70%. </w:t>
      </w:r>
    </w:p>
    <w:p w:rsidR="00171048" w:rsidRDefault="001A5E3C" w:rsidP="000A639E">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базовой ставки Эстония использовала исторически собранную информацию по оплате за отдельные услуги </w:t>
      </w:r>
      <w:r w:rsidRPr="006D4A7B">
        <w:rPr>
          <w:rFonts w:ascii="Times New Roman" w:hAnsi="Times New Roman" w:cs="Times New Roman"/>
          <w:sz w:val="28"/>
          <w:szCs w:val="28"/>
        </w:rPr>
        <w:t>(</w:t>
      </w:r>
      <w:r>
        <w:rPr>
          <w:rFonts w:ascii="Times New Roman" w:hAnsi="Times New Roman" w:cs="Times New Roman"/>
          <w:sz w:val="28"/>
          <w:szCs w:val="28"/>
          <w:lang w:val="en-US"/>
        </w:rPr>
        <w:t>FFS</w:t>
      </w:r>
      <w:r w:rsidRPr="006D4A7B">
        <w:rPr>
          <w:rFonts w:ascii="Times New Roman" w:hAnsi="Times New Roman" w:cs="Times New Roman"/>
          <w:sz w:val="28"/>
          <w:szCs w:val="28"/>
        </w:rPr>
        <w:t>)</w:t>
      </w:r>
      <w:r>
        <w:rPr>
          <w:rFonts w:ascii="Times New Roman" w:hAnsi="Times New Roman" w:cs="Times New Roman"/>
          <w:sz w:val="28"/>
          <w:szCs w:val="28"/>
        </w:rPr>
        <w:t xml:space="preserve">. Основной проблемой такого подхода было то, что цены имели административные, а не реальный рыночный характер. </w:t>
      </w:r>
    </w:p>
    <w:p w:rsidR="001A5E3C" w:rsidRPr="006D4A7B" w:rsidRDefault="001A5E3C" w:rsidP="000A639E">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Также опыт Эстонии интересен тем, что в результате дискоммуникации между участниками процесса в оплату были введены ставки, не очищенные предварительно от обособленных случаев (слишком дорогих и слишком дешевых случаев лечения). В результате, введенная в практику оплаты услуг стационаров ставка имела некоторое смещение, что вызвало протесты, а в дальнейшем, также негативные ожидания от системы КСГ в целом, со стороны медицинского сообщества. Позже ситуация была исправлена, и в настоящее время подобные исключительные случаи оплачиваются в Эстонии 100% на основе </w:t>
      </w:r>
      <w:r>
        <w:rPr>
          <w:rFonts w:ascii="Times New Roman" w:hAnsi="Times New Roman" w:cs="Times New Roman"/>
          <w:sz w:val="28"/>
          <w:szCs w:val="28"/>
          <w:lang w:val="en-US"/>
        </w:rPr>
        <w:t>FFS</w:t>
      </w:r>
      <w:r>
        <w:rPr>
          <w:rFonts w:ascii="Times New Roman" w:hAnsi="Times New Roman" w:cs="Times New Roman"/>
          <w:sz w:val="28"/>
          <w:szCs w:val="28"/>
        </w:rPr>
        <w:t>. Такой же подход применяется для оплаты повторных госпитализаций в больницах низкого уровня (цель подхода – стремление не переплачивать при перенаправлении сложных повторных случаев в организации более высокого уровня).</w:t>
      </w:r>
    </w:p>
    <w:p w:rsidR="001A5E3C" w:rsidRPr="00127805" w:rsidRDefault="001A5E3C" w:rsidP="00127805">
      <w:pPr>
        <w:pStyle w:val="2"/>
        <w:numPr>
          <w:ilvl w:val="0"/>
          <w:numId w:val="19"/>
        </w:numPr>
        <w:spacing w:before="360" w:after="240" w:line="360" w:lineRule="auto"/>
        <w:ind w:left="425" w:hanging="357"/>
        <w:rPr>
          <w:rFonts w:ascii="Times New Roman" w:hAnsi="Times New Roman"/>
          <w:color w:val="auto"/>
          <w:sz w:val="32"/>
          <w:szCs w:val="32"/>
        </w:rPr>
      </w:pPr>
      <w:bookmarkStart w:id="9" w:name="_Toc357415390"/>
      <w:r w:rsidRPr="00127805">
        <w:rPr>
          <w:rFonts w:ascii="Times New Roman" w:hAnsi="Times New Roman"/>
          <w:color w:val="auto"/>
          <w:sz w:val="32"/>
          <w:szCs w:val="32"/>
        </w:rPr>
        <w:t>Стимулы, создаваемые подходом КСГ</w:t>
      </w:r>
      <w:bookmarkEnd w:id="9"/>
    </w:p>
    <w:p w:rsidR="001A5E3C" w:rsidRPr="00C602F0" w:rsidRDefault="001A5E3C" w:rsidP="0055020B">
      <w:pPr>
        <w:spacing w:line="360" w:lineRule="auto"/>
        <w:jc w:val="both"/>
        <w:rPr>
          <w:rFonts w:ascii="Times New Roman" w:hAnsi="Times New Roman"/>
          <w:sz w:val="28"/>
          <w:szCs w:val="28"/>
        </w:rPr>
      </w:pPr>
      <w:r w:rsidRPr="00C602F0">
        <w:rPr>
          <w:rFonts w:ascii="Times New Roman" w:hAnsi="Times New Roman"/>
          <w:sz w:val="28"/>
          <w:szCs w:val="28"/>
        </w:rPr>
        <w:t>С течением времени возможно изменение и уточнение целей, которые изначально ставило перед собой правительство, внедряя систему DRG.</w:t>
      </w:r>
    </w:p>
    <w:p w:rsidR="001A5E3C" w:rsidRPr="00C602F0" w:rsidRDefault="001A5E3C" w:rsidP="000A639E">
      <w:pPr>
        <w:spacing w:line="360" w:lineRule="auto"/>
        <w:ind w:firstLine="624"/>
        <w:jc w:val="both"/>
        <w:rPr>
          <w:rFonts w:ascii="Times New Roman" w:hAnsi="Times New Roman"/>
          <w:sz w:val="28"/>
          <w:szCs w:val="28"/>
        </w:rPr>
      </w:pPr>
      <w:r w:rsidRPr="00C602F0">
        <w:rPr>
          <w:rFonts w:ascii="Times New Roman" w:hAnsi="Times New Roman"/>
          <w:sz w:val="28"/>
          <w:szCs w:val="28"/>
        </w:rPr>
        <w:t>До введения оплаты по DRG европейские государства использовали системы FFS и глобального бюджета, которые способствовали возникновению стимулов, отличных от порождаемых системой DRG. Нужно отметить, что</w:t>
      </w:r>
      <w:r>
        <w:rPr>
          <w:rFonts w:ascii="Times New Roman" w:hAnsi="Times New Roman"/>
          <w:sz w:val="28"/>
          <w:szCs w:val="28"/>
        </w:rPr>
        <w:t>,</w:t>
      </w:r>
      <w:r w:rsidRPr="00C602F0">
        <w:rPr>
          <w:rFonts w:ascii="Times New Roman" w:hAnsi="Times New Roman"/>
          <w:sz w:val="28"/>
          <w:szCs w:val="28"/>
        </w:rPr>
        <w:t xml:space="preserve"> несмотря на растущую популярность системы оплаты по клинико-статистическим группам, она не является идеальной. </w:t>
      </w:r>
    </w:p>
    <w:p w:rsidR="001A5E3C" w:rsidRPr="00C602F0" w:rsidRDefault="001A5E3C" w:rsidP="000A639E">
      <w:pPr>
        <w:spacing w:line="360" w:lineRule="auto"/>
        <w:ind w:firstLine="624"/>
        <w:jc w:val="both"/>
        <w:rPr>
          <w:rFonts w:ascii="Times New Roman" w:hAnsi="Times New Roman"/>
          <w:sz w:val="28"/>
          <w:szCs w:val="28"/>
        </w:rPr>
      </w:pPr>
      <w:r w:rsidRPr="00C602F0">
        <w:rPr>
          <w:rFonts w:ascii="Times New Roman" w:hAnsi="Times New Roman"/>
          <w:sz w:val="28"/>
          <w:szCs w:val="28"/>
        </w:rPr>
        <w:lastRenderedPageBreak/>
        <w:t xml:space="preserve">Основными стимулами, теоретически возникающими в результате применения оплаты по клинико-статистическим группам, называют увеличение количества пролеченных больных и сокращение объема предоставляемых пациентам услуг, поскольку при фиксированном платеже медицинские организации будут стремиться сократить собственные расходы. При этом возможен отбор </w:t>
      </w:r>
      <w:r w:rsidR="009C4C2F">
        <w:rPr>
          <w:rFonts w:ascii="Times New Roman" w:hAnsi="Times New Roman"/>
          <w:sz w:val="28"/>
          <w:szCs w:val="28"/>
        </w:rPr>
        <w:t>«</w:t>
      </w:r>
      <w:r w:rsidRPr="00C602F0">
        <w:rPr>
          <w:rFonts w:ascii="Times New Roman" w:hAnsi="Times New Roman"/>
          <w:sz w:val="28"/>
          <w:szCs w:val="28"/>
        </w:rPr>
        <w:t>легких</w:t>
      </w:r>
      <w:r w:rsidR="009C4C2F">
        <w:rPr>
          <w:rFonts w:ascii="Times New Roman" w:hAnsi="Times New Roman"/>
          <w:sz w:val="28"/>
          <w:szCs w:val="28"/>
        </w:rPr>
        <w:t>»</w:t>
      </w:r>
      <w:r w:rsidRPr="00C602F0">
        <w:rPr>
          <w:rFonts w:ascii="Times New Roman" w:hAnsi="Times New Roman"/>
          <w:sz w:val="28"/>
          <w:szCs w:val="28"/>
        </w:rPr>
        <w:t xml:space="preserve"> пациентов и недостаточное количество оказываемой медицинской помощи. Способы борьбы с подобными явлениями будут рассмотрены ниже.</w:t>
      </w:r>
    </w:p>
    <w:p w:rsidR="001A5E3C" w:rsidRPr="00C602F0" w:rsidRDefault="001A5E3C" w:rsidP="000A639E">
      <w:pPr>
        <w:spacing w:line="360" w:lineRule="auto"/>
        <w:ind w:firstLine="624"/>
        <w:jc w:val="both"/>
        <w:rPr>
          <w:rFonts w:ascii="Times New Roman" w:hAnsi="Times New Roman"/>
          <w:sz w:val="28"/>
          <w:szCs w:val="28"/>
        </w:rPr>
      </w:pPr>
      <w:r w:rsidRPr="00C602F0">
        <w:rPr>
          <w:rFonts w:ascii="Times New Roman" w:hAnsi="Times New Roman"/>
          <w:sz w:val="28"/>
          <w:szCs w:val="28"/>
        </w:rPr>
        <w:t>Если сравнивать систему DRG с системой FFS, то первая создает стимулы для сокращения объема предоставляемой медицинской помощи до необходимого минимума, в то время как вторая, наоборот, предполагает наращивание медицинской организацией количества предоставляемых услуг с целью максимизации доходов.</w:t>
      </w:r>
    </w:p>
    <w:p w:rsidR="001A5E3C" w:rsidRDefault="001A5E3C" w:rsidP="000A639E">
      <w:pPr>
        <w:spacing w:before="120" w:after="0" w:line="360" w:lineRule="auto"/>
        <w:ind w:firstLine="624"/>
        <w:jc w:val="both"/>
        <w:rPr>
          <w:rFonts w:ascii="Times New Roman" w:hAnsi="Times New Roman"/>
          <w:sz w:val="28"/>
          <w:szCs w:val="28"/>
        </w:rPr>
      </w:pPr>
      <w:r w:rsidRPr="00C602F0">
        <w:rPr>
          <w:rFonts w:ascii="Times New Roman" w:hAnsi="Times New Roman"/>
          <w:sz w:val="28"/>
          <w:szCs w:val="28"/>
        </w:rPr>
        <w:t>В отличие от метода глобального бюджета система DRG поощряет поставщика медицинских услуг пролечивать большее количество пациентов, потому что в условиях применения метода глобального бюджета медицинская организация может стремиться максимально сократить любые расходы, в том числе и за счет сокращения законченных случаев лечения, тогда как при оплате по клинико-статистическим группам она будет иметь противоположные намерения.</w:t>
      </w:r>
    </w:p>
    <w:p w:rsidR="001A5E3C" w:rsidRDefault="001A5E3C" w:rsidP="000A639E">
      <w:pPr>
        <w:spacing w:before="120" w:after="0" w:line="360" w:lineRule="auto"/>
        <w:ind w:firstLine="624"/>
        <w:jc w:val="both"/>
        <w:rPr>
          <w:rFonts w:ascii="Times New Roman" w:hAnsi="Times New Roman"/>
          <w:sz w:val="28"/>
          <w:szCs w:val="28"/>
        </w:rPr>
      </w:pPr>
      <w:r>
        <w:rPr>
          <w:rFonts w:ascii="Times New Roman" w:hAnsi="Times New Roman"/>
          <w:sz w:val="28"/>
          <w:szCs w:val="28"/>
        </w:rPr>
        <w:t>Рассмотрим мотивацию, создаваемой оплатой на базе клинико-статистических групп, более подробно.</w:t>
      </w:r>
    </w:p>
    <w:p w:rsidR="001A5E3C" w:rsidRDefault="001A5E3C" w:rsidP="000A639E">
      <w:pPr>
        <w:spacing w:before="120" w:after="0" w:line="360" w:lineRule="auto"/>
        <w:ind w:firstLine="624"/>
        <w:jc w:val="both"/>
        <w:rPr>
          <w:rFonts w:ascii="Times New Roman" w:hAnsi="Times New Roman"/>
          <w:sz w:val="28"/>
          <w:szCs w:val="28"/>
        </w:rPr>
      </w:pPr>
      <w:r>
        <w:rPr>
          <w:rFonts w:ascii="Times New Roman" w:hAnsi="Times New Roman"/>
          <w:sz w:val="28"/>
          <w:szCs w:val="28"/>
        </w:rPr>
        <w:t xml:space="preserve">При оплате за конечный случай (в том числе, по классификации КСГ) основной стратегией больниц становится сокращение затрат на пациента при фиксированном доходе за случай лечения. Данная цель может быть достигнута разными способами, </w:t>
      </w:r>
      <w:r w:rsidRPr="007A6CD9">
        <w:rPr>
          <w:rFonts w:ascii="Times New Roman" w:hAnsi="Times New Roman"/>
          <w:sz w:val="28"/>
          <w:szCs w:val="28"/>
        </w:rPr>
        <w:t>через</w:t>
      </w:r>
      <w:r w:rsidR="004B64A2" w:rsidRPr="007A6CD9">
        <w:rPr>
          <w:rFonts w:ascii="Times New Roman" w:hAnsi="Times New Roman"/>
          <w:sz w:val="28"/>
          <w:szCs w:val="28"/>
          <w:lang w:val="en-US"/>
        </w:rPr>
        <w:t xml:space="preserve"> </w:t>
      </w:r>
      <w:r w:rsidR="007A6CD9" w:rsidRPr="007A6CD9">
        <w:rPr>
          <w:rFonts w:ascii="Times New Roman" w:hAnsi="Times New Roman"/>
          <w:sz w:val="28"/>
          <w:szCs w:val="28"/>
          <w:lang w:val="en-US"/>
        </w:rPr>
        <w:t>[</w:t>
      </w:r>
      <w:r w:rsidR="007A6CD9" w:rsidRPr="007A6CD9">
        <w:rPr>
          <w:rFonts w:ascii="Times New Roman" w:hAnsi="Times New Roman"/>
          <w:sz w:val="28"/>
          <w:szCs w:val="28"/>
        </w:rPr>
        <w:t>22</w:t>
      </w:r>
      <w:r w:rsidR="004B64A2" w:rsidRPr="007A6CD9">
        <w:rPr>
          <w:rFonts w:ascii="Times New Roman" w:hAnsi="Times New Roman"/>
          <w:sz w:val="28"/>
          <w:szCs w:val="28"/>
          <w:lang w:val="en-US"/>
        </w:rPr>
        <w:t>]</w:t>
      </w:r>
      <w:r w:rsidRPr="007A6CD9">
        <w:rPr>
          <w:rFonts w:ascii="Times New Roman" w:hAnsi="Times New Roman"/>
          <w:sz w:val="28"/>
          <w:szCs w:val="28"/>
        </w:rPr>
        <w:t>:</w:t>
      </w:r>
    </w:p>
    <w:p w:rsidR="001A5E3C" w:rsidRDefault="001A5E3C" w:rsidP="000A639E">
      <w:pPr>
        <w:pStyle w:val="a3"/>
        <w:numPr>
          <w:ilvl w:val="0"/>
          <w:numId w:val="11"/>
        </w:numPr>
        <w:spacing w:before="120" w:after="0" w:line="360" w:lineRule="auto"/>
        <w:ind w:left="0" w:firstLine="624"/>
        <w:jc w:val="both"/>
        <w:rPr>
          <w:rFonts w:ascii="Times New Roman" w:hAnsi="Times New Roman"/>
          <w:sz w:val="28"/>
          <w:szCs w:val="28"/>
        </w:rPr>
      </w:pPr>
      <w:r>
        <w:rPr>
          <w:rFonts w:ascii="Times New Roman" w:hAnsi="Times New Roman"/>
          <w:sz w:val="28"/>
          <w:szCs w:val="28"/>
        </w:rPr>
        <w:t xml:space="preserve">Сокращение длительности лечения пациента в стационаре. При этом уменьшение срока пребывания в стационаре может быть </w:t>
      </w:r>
      <w:r>
        <w:rPr>
          <w:rFonts w:ascii="Times New Roman" w:hAnsi="Times New Roman"/>
          <w:sz w:val="28"/>
          <w:szCs w:val="28"/>
        </w:rPr>
        <w:lastRenderedPageBreak/>
        <w:t>осуществлено через оптимизацию процесса оказания услуг, но также может быть не обосновано медицинскими показаниями, что будет оказывать определенный негативный эффект на здоровье населения.</w:t>
      </w:r>
    </w:p>
    <w:p w:rsidR="001A5E3C" w:rsidRDefault="001A5E3C" w:rsidP="000A639E">
      <w:pPr>
        <w:pStyle w:val="a3"/>
        <w:numPr>
          <w:ilvl w:val="0"/>
          <w:numId w:val="11"/>
        </w:numPr>
        <w:spacing w:before="120" w:after="0" w:line="360" w:lineRule="auto"/>
        <w:ind w:left="0" w:firstLine="624"/>
        <w:jc w:val="both"/>
        <w:rPr>
          <w:rFonts w:ascii="Times New Roman" w:hAnsi="Times New Roman"/>
          <w:sz w:val="28"/>
          <w:szCs w:val="28"/>
        </w:rPr>
      </w:pPr>
      <w:r>
        <w:rPr>
          <w:rFonts w:ascii="Times New Roman" w:hAnsi="Times New Roman"/>
          <w:sz w:val="28"/>
          <w:szCs w:val="28"/>
        </w:rPr>
        <w:t xml:space="preserve">Снижение интенсивности лечения. При этом система оплаты на основе КСГ нивелирует стимулы, создаваемые оплатой по отдельным услугам </w:t>
      </w:r>
      <w:r w:rsidRPr="00D106CE">
        <w:rPr>
          <w:rFonts w:ascii="Times New Roman" w:hAnsi="Times New Roman"/>
          <w:sz w:val="28"/>
          <w:szCs w:val="28"/>
        </w:rPr>
        <w:t>(</w:t>
      </w:r>
      <w:r>
        <w:rPr>
          <w:rFonts w:ascii="Times New Roman" w:hAnsi="Times New Roman"/>
          <w:sz w:val="28"/>
          <w:szCs w:val="28"/>
          <w:lang w:val="en-US"/>
        </w:rPr>
        <w:t>FFS</w:t>
      </w:r>
      <w:r w:rsidRPr="00D106CE">
        <w:rPr>
          <w:rFonts w:ascii="Times New Roman" w:hAnsi="Times New Roman"/>
          <w:sz w:val="28"/>
          <w:szCs w:val="28"/>
        </w:rPr>
        <w:t>)</w:t>
      </w:r>
      <w:r>
        <w:rPr>
          <w:rFonts w:ascii="Times New Roman" w:hAnsi="Times New Roman"/>
          <w:sz w:val="28"/>
          <w:szCs w:val="28"/>
        </w:rPr>
        <w:t xml:space="preserve"> и не допускает оказания излишних медицинских услуг, что может иметь и негативный эффект – недостаточное оказание медицинской помощи.</w:t>
      </w:r>
    </w:p>
    <w:p w:rsidR="001A5E3C" w:rsidRDefault="001A5E3C" w:rsidP="000A639E">
      <w:pPr>
        <w:pStyle w:val="a3"/>
        <w:numPr>
          <w:ilvl w:val="0"/>
          <w:numId w:val="11"/>
        </w:numPr>
        <w:spacing w:before="120" w:after="0" w:line="360" w:lineRule="auto"/>
        <w:ind w:left="0" w:firstLine="624"/>
        <w:jc w:val="both"/>
        <w:rPr>
          <w:rFonts w:ascii="Times New Roman" w:hAnsi="Times New Roman"/>
          <w:sz w:val="28"/>
          <w:szCs w:val="28"/>
        </w:rPr>
      </w:pPr>
      <w:r>
        <w:rPr>
          <w:rFonts w:ascii="Times New Roman" w:hAnsi="Times New Roman"/>
          <w:sz w:val="28"/>
          <w:szCs w:val="28"/>
        </w:rPr>
        <w:t xml:space="preserve">Отбор пациентов. Положительный эффект будет состоять в усилении специализации больниц и их концентрации на оказании услуг, для которых есть все необходимые ресурсы, включая оптимизированные процессы. Отрицательная сторона данного процесса заключается в </w:t>
      </w:r>
      <w:r w:rsidR="009C4C2F">
        <w:rPr>
          <w:rFonts w:ascii="Times New Roman" w:hAnsi="Times New Roman"/>
          <w:sz w:val="28"/>
          <w:szCs w:val="28"/>
        </w:rPr>
        <w:t>«</w:t>
      </w:r>
      <w:r>
        <w:rPr>
          <w:rFonts w:ascii="Times New Roman" w:hAnsi="Times New Roman"/>
          <w:sz w:val="28"/>
          <w:szCs w:val="28"/>
        </w:rPr>
        <w:t>снятии сливок/</w:t>
      </w:r>
      <w:r>
        <w:rPr>
          <w:rFonts w:ascii="Times New Roman" w:hAnsi="Times New Roman"/>
          <w:sz w:val="28"/>
          <w:szCs w:val="28"/>
          <w:lang w:val="en-US"/>
        </w:rPr>
        <w:t>creaming</w:t>
      </w:r>
      <w:r w:rsidR="009C4C2F">
        <w:rPr>
          <w:rFonts w:ascii="Times New Roman" w:hAnsi="Times New Roman"/>
          <w:sz w:val="28"/>
          <w:szCs w:val="28"/>
        </w:rPr>
        <w:t>»</w:t>
      </w:r>
      <w:r>
        <w:rPr>
          <w:rFonts w:ascii="Times New Roman" w:hAnsi="Times New Roman"/>
          <w:sz w:val="28"/>
          <w:szCs w:val="28"/>
        </w:rPr>
        <w:t xml:space="preserve"> – отборе </w:t>
      </w:r>
      <w:r w:rsidR="009C4C2F">
        <w:rPr>
          <w:rFonts w:ascii="Times New Roman" w:hAnsi="Times New Roman"/>
          <w:sz w:val="28"/>
          <w:szCs w:val="28"/>
        </w:rPr>
        <w:t>«</w:t>
      </w:r>
      <w:r>
        <w:rPr>
          <w:rFonts w:ascii="Times New Roman" w:hAnsi="Times New Roman"/>
          <w:sz w:val="28"/>
          <w:szCs w:val="28"/>
        </w:rPr>
        <w:t>легких</w:t>
      </w:r>
      <w:r w:rsidR="009C4C2F">
        <w:rPr>
          <w:rFonts w:ascii="Times New Roman" w:hAnsi="Times New Roman"/>
          <w:sz w:val="28"/>
          <w:szCs w:val="28"/>
        </w:rPr>
        <w:t>»</w:t>
      </w:r>
      <w:r>
        <w:rPr>
          <w:rFonts w:ascii="Times New Roman" w:hAnsi="Times New Roman"/>
          <w:sz w:val="28"/>
          <w:szCs w:val="28"/>
        </w:rPr>
        <w:t xml:space="preserve"> и малозатратных пациентов</w:t>
      </w:r>
      <w:r w:rsidR="009C4C2F">
        <w:rPr>
          <w:rFonts w:ascii="Times New Roman" w:hAnsi="Times New Roman"/>
          <w:sz w:val="28"/>
          <w:szCs w:val="28"/>
        </w:rPr>
        <w:t>»</w:t>
      </w:r>
      <w:r>
        <w:rPr>
          <w:rFonts w:ascii="Times New Roman" w:hAnsi="Times New Roman"/>
          <w:sz w:val="28"/>
          <w:szCs w:val="28"/>
        </w:rPr>
        <w:t>.</w:t>
      </w:r>
    </w:p>
    <w:p w:rsidR="001A5E3C" w:rsidRDefault="001A5E3C" w:rsidP="000A639E">
      <w:pPr>
        <w:spacing w:before="120" w:after="0" w:line="360" w:lineRule="auto"/>
        <w:ind w:firstLine="624"/>
        <w:jc w:val="both"/>
        <w:rPr>
          <w:rFonts w:ascii="Times New Roman" w:hAnsi="Times New Roman"/>
          <w:sz w:val="28"/>
          <w:szCs w:val="28"/>
        </w:rPr>
      </w:pPr>
      <w:r>
        <w:rPr>
          <w:rFonts w:ascii="Times New Roman" w:hAnsi="Times New Roman"/>
          <w:sz w:val="28"/>
          <w:szCs w:val="28"/>
        </w:rPr>
        <w:t>Второй стратегией больницы (помимо сокращения издержек) при оплате по КСГ может стать попытка повышения доходов, получаемых с пациентов:</w:t>
      </w:r>
    </w:p>
    <w:p w:rsidR="001A5E3C" w:rsidRDefault="001A5E3C" w:rsidP="000A639E">
      <w:pPr>
        <w:pStyle w:val="a3"/>
        <w:numPr>
          <w:ilvl w:val="0"/>
          <w:numId w:val="12"/>
        </w:numPr>
        <w:spacing w:before="120" w:after="0" w:line="360" w:lineRule="auto"/>
        <w:ind w:left="0" w:firstLine="624"/>
        <w:jc w:val="both"/>
        <w:rPr>
          <w:rFonts w:ascii="Times New Roman" w:hAnsi="Times New Roman"/>
          <w:sz w:val="28"/>
          <w:szCs w:val="28"/>
        </w:rPr>
      </w:pPr>
      <w:r>
        <w:rPr>
          <w:rFonts w:ascii="Times New Roman" w:hAnsi="Times New Roman"/>
          <w:sz w:val="28"/>
          <w:szCs w:val="28"/>
        </w:rPr>
        <w:t>Изменения практики кодирования (совершенствование процедур или мошенничество в процессе кодирования, приписки).</w:t>
      </w:r>
    </w:p>
    <w:p w:rsidR="001A5E3C" w:rsidRDefault="001A5E3C" w:rsidP="000A639E">
      <w:pPr>
        <w:pStyle w:val="a3"/>
        <w:numPr>
          <w:ilvl w:val="0"/>
          <w:numId w:val="12"/>
        </w:numPr>
        <w:spacing w:before="120" w:after="0" w:line="360" w:lineRule="auto"/>
        <w:ind w:left="0" w:firstLine="624"/>
        <w:jc w:val="both"/>
        <w:rPr>
          <w:rFonts w:ascii="Times New Roman" w:hAnsi="Times New Roman"/>
          <w:sz w:val="28"/>
          <w:szCs w:val="28"/>
        </w:rPr>
      </w:pPr>
      <w:r>
        <w:rPr>
          <w:rFonts w:ascii="Times New Roman" w:hAnsi="Times New Roman"/>
          <w:sz w:val="28"/>
          <w:szCs w:val="28"/>
        </w:rPr>
        <w:t>Изменение способа (модели) лечения – определение пациента в другую клинико-статистическую группу с более высокой стоимостью.</w:t>
      </w:r>
    </w:p>
    <w:p w:rsidR="001A5E3C" w:rsidRDefault="001A5E3C" w:rsidP="000A639E">
      <w:pPr>
        <w:spacing w:before="120" w:after="0" w:line="360" w:lineRule="auto"/>
        <w:ind w:firstLine="624"/>
        <w:jc w:val="both"/>
        <w:rPr>
          <w:rFonts w:ascii="Times New Roman" w:hAnsi="Times New Roman"/>
          <w:sz w:val="28"/>
          <w:szCs w:val="28"/>
        </w:rPr>
      </w:pPr>
      <w:r>
        <w:rPr>
          <w:rFonts w:ascii="Times New Roman" w:hAnsi="Times New Roman"/>
          <w:sz w:val="28"/>
          <w:szCs w:val="28"/>
        </w:rPr>
        <w:t>Третьей стратегией больницы может стать увеличение количества пациентов, с помощью:</w:t>
      </w:r>
    </w:p>
    <w:p w:rsidR="001A5E3C" w:rsidRDefault="001A5E3C" w:rsidP="000A639E">
      <w:pPr>
        <w:pStyle w:val="a3"/>
        <w:numPr>
          <w:ilvl w:val="0"/>
          <w:numId w:val="13"/>
        </w:numPr>
        <w:spacing w:before="120" w:after="0" w:line="360" w:lineRule="auto"/>
        <w:ind w:left="0" w:firstLine="624"/>
        <w:jc w:val="both"/>
        <w:rPr>
          <w:rFonts w:ascii="Times New Roman" w:hAnsi="Times New Roman"/>
          <w:sz w:val="28"/>
          <w:szCs w:val="28"/>
        </w:rPr>
      </w:pPr>
      <w:r>
        <w:rPr>
          <w:rFonts w:ascii="Times New Roman" w:hAnsi="Times New Roman"/>
          <w:sz w:val="28"/>
          <w:szCs w:val="28"/>
        </w:rPr>
        <w:t>Увеличения количества госпитализаций. При этом госпитализация может быть оправданной, что вызовет сокращение листов ожидания, и неоправданной, при этом будет оказано необоснованно большое или излишнее количество услуг.</w:t>
      </w:r>
    </w:p>
    <w:p w:rsidR="001A5E3C" w:rsidRPr="00821D2F" w:rsidRDefault="001A5E3C" w:rsidP="000A639E">
      <w:pPr>
        <w:pStyle w:val="a3"/>
        <w:numPr>
          <w:ilvl w:val="0"/>
          <w:numId w:val="13"/>
        </w:numPr>
        <w:spacing w:before="120" w:after="0" w:line="360" w:lineRule="auto"/>
        <w:ind w:left="0" w:firstLine="624"/>
        <w:jc w:val="both"/>
        <w:rPr>
          <w:rFonts w:ascii="Times New Roman" w:hAnsi="Times New Roman"/>
          <w:sz w:val="28"/>
          <w:szCs w:val="28"/>
        </w:rPr>
      </w:pPr>
      <w:r>
        <w:rPr>
          <w:rFonts w:ascii="Times New Roman" w:hAnsi="Times New Roman"/>
          <w:sz w:val="28"/>
          <w:szCs w:val="28"/>
        </w:rPr>
        <w:t xml:space="preserve">Улучшение имиджа больницы для привлечения больных (через повышение качества оказываемых услуг, при этом возможен негативный эффект концентрации на оцениваемых количественных показателях, </w:t>
      </w:r>
      <w:r>
        <w:rPr>
          <w:rFonts w:ascii="Times New Roman" w:hAnsi="Times New Roman"/>
          <w:sz w:val="28"/>
          <w:szCs w:val="28"/>
        </w:rPr>
        <w:lastRenderedPageBreak/>
        <w:t>особенно при совмещении системы оплаты по КСГ и по результатам деятельницы больницы).</w:t>
      </w:r>
    </w:p>
    <w:p w:rsidR="00CF2412" w:rsidRPr="00CF2412" w:rsidRDefault="001A5E3C" w:rsidP="000A639E">
      <w:pPr>
        <w:spacing w:line="360" w:lineRule="auto"/>
        <w:ind w:firstLine="624"/>
        <w:jc w:val="both"/>
        <w:rPr>
          <w:rFonts w:ascii="Times New Roman" w:hAnsi="Times New Roman"/>
          <w:sz w:val="28"/>
          <w:szCs w:val="28"/>
        </w:rPr>
      </w:pPr>
      <w:r>
        <w:rPr>
          <w:rFonts w:ascii="Times New Roman" w:hAnsi="Times New Roman"/>
          <w:sz w:val="28"/>
          <w:szCs w:val="28"/>
        </w:rPr>
        <w:t xml:space="preserve">Зная стимулы, порождаемые системой оплаты по клинико-статистическим группам, властные структуры могут попробовать справиться с возникающими проблемами. </w:t>
      </w:r>
      <w:r w:rsidR="00CF2412">
        <w:rPr>
          <w:rFonts w:ascii="Times New Roman" w:hAnsi="Times New Roman"/>
          <w:sz w:val="28"/>
          <w:szCs w:val="28"/>
        </w:rPr>
        <w:t xml:space="preserve">В </w:t>
      </w:r>
      <w:r w:rsidR="00CF2412" w:rsidRPr="00622A03">
        <w:rPr>
          <w:rFonts w:ascii="Times New Roman" w:hAnsi="Times New Roman"/>
          <w:sz w:val="28"/>
          <w:szCs w:val="28"/>
        </w:rPr>
        <w:t xml:space="preserve">Таблице </w:t>
      </w:r>
      <w:r w:rsidR="00622A03" w:rsidRPr="00622A03">
        <w:rPr>
          <w:rFonts w:ascii="Times New Roman" w:hAnsi="Times New Roman"/>
          <w:sz w:val="28"/>
          <w:szCs w:val="28"/>
        </w:rPr>
        <w:t>3</w:t>
      </w:r>
      <w:r>
        <w:rPr>
          <w:rFonts w:ascii="Times New Roman" w:hAnsi="Times New Roman"/>
          <w:sz w:val="28"/>
          <w:szCs w:val="28"/>
        </w:rPr>
        <w:t xml:space="preserve"> представлены основные </w:t>
      </w:r>
      <w:r w:rsidR="00CF2412">
        <w:rPr>
          <w:rFonts w:ascii="Times New Roman" w:hAnsi="Times New Roman"/>
          <w:sz w:val="28"/>
          <w:szCs w:val="28"/>
        </w:rPr>
        <w:t>механизмы, предполагающие введение корректирующих коэффициентов (элементы подхода оплаты по результатам деятельности медицинской организации)</w:t>
      </w:r>
      <w:r>
        <w:rPr>
          <w:rFonts w:ascii="Times New Roman" w:hAnsi="Times New Roman"/>
          <w:sz w:val="28"/>
          <w:szCs w:val="28"/>
        </w:rPr>
        <w:t>:</w:t>
      </w:r>
    </w:p>
    <w:p w:rsidR="001A5E3C" w:rsidRDefault="00CF2412" w:rsidP="00CF2412">
      <w:pPr>
        <w:spacing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754370" cy="3500120"/>
            <wp:effectExtent l="19050" t="0" r="0" b="0"/>
            <wp:docPr id="7" name="Рисунок 3" descr="C:\Users\esemakov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emakova\Desktop\1.jpg"/>
                    <pic:cNvPicPr>
                      <a:picLocks noChangeAspect="1" noChangeArrowheads="1"/>
                    </pic:cNvPicPr>
                  </pic:nvPicPr>
                  <pic:blipFill>
                    <a:blip r:embed="rId8">
                      <a:lum contrast="18000"/>
                    </a:blip>
                    <a:srcRect/>
                    <a:stretch>
                      <a:fillRect/>
                    </a:stretch>
                  </pic:blipFill>
                  <pic:spPr bwMode="auto">
                    <a:xfrm>
                      <a:off x="0" y="0"/>
                      <a:ext cx="5754370" cy="3500120"/>
                    </a:xfrm>
                    <a:prstGeom prst="rect">
                      <a:avLst/>
                    </a:prstGeom>
                    <a:noFill/>
                    <a:ln w="9525">
                      <a:noFill/>
                      <a:miter lim="800000"/>
                      <a:headEnd/>
                      <a:tailEnd/>
                    </a:ln>
                  </pic:spPr>
                </pic:pic>
              </a:graphicData>
            </a:graphic>
          </wp:inline>
        </w:drawing>
      </w:r>
    </w:p>
    <w:p w:rsidR="00CF2412" w:rsidRPr="00CF2412" w:rsidRDefault="00CF2412" w:rsidP="00CF2412">
      <w:pPr>
        <w:autoSpaceDE w:val="0"/>
        <w:autoSpaceDN w:val="0"/>
        <w:adjustRightInd w:val="0"/>
        <w:spacing w:before="120" w:after="0" w:line="360" w:lineRule="auto"/>
        <w:ind w:left="567"/>
        <w:jc w:val="both"/>
        <w:rPr>
          <w:rFonts w:ascii="Times New Roman" w:hAnsi="Times New Roman"/>
          <w:b/>
        </w:rPr>
      </w:pPr>
      <w:r w:rsidRPr="00CF2412">
        <w:rPr>
          <w:rFonts w:ascii="Times New Roman" w:hAnsi="Times New Roman"/>
          <w:b/>
        </w:rPr>
        <w:t>Таблица</w:t>
      </w:r>
      <w:r w:rsidR="00622A03">
        <w:rPr>
          <w:rFonts w:ascii="Times New Roman" w:hAnsi="Times New Roman"/>
          <w:b/>
        </w:rPr>
        <w:t xml:space="preserve"> 3</w:t>
      </w:r>
      <w:r w:rsidRPr="00CF2412">
        <w:rPr>
          <w:rFonts w:ascii="Times New Roman" w:hAnsi="Times New Roman"/>
          <w:b/>
        </w:rPr>
        <w:t>. Введение элементов подхода оплаты по результатам для нивелирования недостатков подхода КСГ.</w:t>
      </w:r>
    </w:p>
    <w:p w:rsidR="001A5E3C" w:rsidRDefault="001A5E3C" w:rsidP="000A639E">
      <w:pPr>
        <w:autoSpaceDE w:val="0"/>
        <w:autoSpaceDN w:val="0"/>
        <w:adjustRightInd w:val="0"/>
        <w:spacing w:before="120" w:after="0" w:line="360" w:lineRule="auto"/>
        <w:ind w:firstLine="624"/>
        <w:jc w:val="both"/>
        <w:rPr>
          <w:rFonts w:ascii="Times New Roman" w:hAnsi="Times New Roman"/>
          <w:sz w:val="28"/>
          <w:szCs w:val="28"/>
        </w:rPr>
      </w:pPr>
      <w:r>
        <w:rPr>
          <w:rFonts w:ascii="Times New Roman" w:hAnsi="Times New Roman"/>
          <w:sz w:val="28"/>
          <w:szCs w:val="28"/>
        </w:rPr>
        <w:t>Таким образом, можно видеть, что правительства развитых стран стремятся компенсировать недостатки системы оплаты на основе клинико-статистических групп с помощью установления некоторых целевых показателей, то есть</w:t>
      </w:r>
      <w:r w:rsidRPr="00D708C4">
        <w:rPr>
          <w:rFonts w:ascii="Times New Roman" w:hAnsi="Times New Roman"/>
          <w:sz w:val="28"/>
          <w:szCs w:val="28"/>
        </w:rPr>
        <w:t>,</w:t>
      </w:r>
      <w:r>
        <w:rPr>
          <w:rFonts w:ascii="Times New Roman" w:hAnsi="Times New Roman"/>
          <w:sz w:val="28"/>
          <w:szCs w:val="28"/>
        </w:rPr>
        <w:t xml:space="preserve"> разрабатывая более совершенные системы </w:t>
      </w:r>
      <w:r w:rsidR="009C4C2F">
        <w:rPr>
          <w:rFonts w:ascii="Times New Roman" w:hAnsi="Times New Roman"/>
          <w:sz w:val="28"/>
          <w:szCs w:val="28"/>
        </w:rPr>
        <w:t>«</w:t>
      </w:r>
      <w:r>
        <w:rPr>
          <w:rFonts w:ascii="Times New Roman" w:hAnsi="Times New Roman"/>
          <w:sz w:val="28"/>
          <w:szCs w:val="28"/>
        </w:rPr>
        <w:t>полностью интегрированных услуг</w:t>
      </w:r>
      <w:r w:rsidR="009C4C2F">
        <w:rPr>
          <w:rFonts w:ascii="Times New Roman" w:hAnsi="Times New Roman"/>
          <w:sz w:val="28"/>
          <w:szCs w:val="28"/>
        </w:rPr>
        <w:t>»</w:t>
      </w:r>
      <w:r>
        <w:rPr>
          <w:rFonts w:ascii="Times New Roman" w:hAnsi="Times New Roman"/>
          <w:sz w:val="28"/>
          <w:szCs w:val="28"/>
        </w:rPr>
        <w:t xml:space="preserve"> по классификации, приводимой в работе ранее.</w:t>
      </w:r>
    </w:p>
    <w:p w:rsidR="001A5E3C" w:rsidRPr="00127805" w:rsidRDefault="001A5E3C" w:rsidP="00997B2E">
      <w:pPr>
        <w:pStyle w:val="2"/>
        <w:numPr>
          <w:ilvl w:val="0"/>
          <w:numId w:val="19"/>
        </w:numPr>
        <w:spacing w:before="360" w:after="240" w:line="360" w:lineRule="auto"/>
        <w:ind w:left="283" w:hanging="357"/>
        <w:rPr>
          <w:rFonts w:ascii="Times New Roman" w:hAnsi="Times New Roman"/>
          <w:color w:val="auto"/>
          <w:sz w:val="32"/>
          <w:szCs w:val="32"/>
        </w:rPr>
      </w:pPr>
      <w:bookmarkStart w:id="10" w:name="_Toc357415391"/>
      <w:r w:rsidRPr="00127805">
        <w:rPr>
          <w:rFonts w:ascii="Times New Roman" w:hAnsi="Times New Roman"/>
          <w:color w:val="auto"/>
          <w:sz w:val="32"/>
          <w:szCs w:val="32"/>
        </w:rPr>
        <w:lastRenderedPageBreak/>
        <w:t>Основные выводы</w:t>
      </w:r>
      <w:bookmarkEnd w:id="10"/>
      <w:r w:rsidRPr="00127805">
        <w:rPr>
          <w:rFonts w:ascii="Times New Roman" w:hAnsi="Times New Roman"/>
          <w:color w:val="auto"/>
          <w:sz w:val="32"/>
          <w:szCs w:val="32"/>
        </w:rPr>
        <w:t xml:space="preserve"> </w:t>
      </w:r>
    </w:p>
    <w:p w:rsidR="001A5E3C" w:rsidRPr="00C602F0" w:rsidRDefault="001A5E3C" w:rsidP="00726140">
      <w:pPr>
        <w:autoSpaceDE w:val="0"/>
        <w:autoSpaceDN w:val="0"/>
        <w:adjustRightInd w:val="0"/>
        <w:spacing w:before="120" w:after="0" w:line="360" w:lineRule="auto"/>
        <w:jc w:val="both"/>
        <w:rPr>
          <w:rFonts w:ascii="Times New Roman" w:hAnsi="Times New Roman"/>
          <w:sz w:val="28"/>
          <w:szCs w:val="28"/>
        </w:rPr>
      </w:pPr>
      <w:r w:rsidRPr="00C602F0">
        <w:rPr>
          <w:rFonts w:ascii="Times New Roman" w:hAnsi="Times New Roman"/>
          <w:sz w:val="28"/>
          <w:szCs w:val="28"/>
        </w:rPr>
        <w:t xml:space="preserve">Оплата стационарной помощи на базе </w:t>
      </w:r>
      <w:r>
        <w:rPr>
          <w:rFonts w:ascii="Times New Roman" w:hAnsi="Times New Roman"/>
          <w:sz w:val="28"/>
          <w:szCs w:val="28"/>
        </w:rPr>
        <w:t>КСГ</w:t>
      </w:r>
      <w:r w:rsidRPr="00C602F0">
        <w:rPr>
          <w:rFonts w:ascii="Times New Roman" w:hAnsi="Times New Roman"/>
          <w:sz w:val="28"/>
          <w:szCs w:val="28"/>
        </w:rPr>
        <w:t xml:space="preserve"> является основным методом оплаты в Европе, однако конкретные детали примен</w:t>
      </w:r>
      <w:r>
        <w:rPr>
          <w:rFonts w:ascii="Times New Roman" w:hAnsi="Times New Roman"/>
          <w:sz w:val="28"/>
          <w:szCs w:val="28"/>
        </w:rPr>
        <w:t>яемой системы зависят от страны (различные классификации кодирования, традиционные подходы к оплате, различное территориальное устройство и политика вводимых коэффициентов, др.)</w:t>
      </w:r>
    </w:p>
    <w:p w:rsidR="001A5E3C" w:rsidRPr="00C602F0" w:rsidRDefault="001A5E3C" w:rsidP="000A639E">
      <w:pPr>
        <w:autoSpaceDE w:val="0"/>
        <w:autoSpaceDN w:val="0"/>
        <w:adjustRightInd w:val="0"/>
        <w:spacing w:before="120" w:after="0" w:line="360" w:lineRule="auto"/>
        <w:ind w:firstLine="624"/>
        <w:jc w:val="both"/>
        <w:rPr>
          <w:rFonts w:ascii="Times New Roman" w:hAnsi="Times New Roman"/>
          <w:sz w:val="28"/>
          <w:szCs w:val="28"/>
        </w:rPr>
      </w:pPr>
      <w:r w:rsidRPr="00C602F0">
        <w:rPr>
          <w:rFonts w:ascii="Times New Roman" w:hAnsi="Times New Roman"/>
          <w:sz w:val="28"/>
          <w:szCs w:val="28"/>
        </w:rPr>
        <w:t>Для преодоления потенциальных неожиданных последствий страны:</w:t>
      </w:r>
    </w:p>
    <w:p w:rsidR="001A5E3C" w:rsidRPr="00091470" w:rsidRDefault="001A5E3C" w:rsidP="000A639E">
      <w:pPr>
        <w:pStyle w:val="a3"/>
        <w:numPr>
          <w:ilvl w:val="0"/>
          <w:numId w:val="14"/>
        </w:numPr>
        <w:autoSpaceDE w:val="0"/>
        <w:autoSpaceDN w:val="0"/>
        <w:adjustRightInd w:val="0"/>
        <w:spacing w:before="120" w:after="0" w:line="360" w:lineRule="auto"/>
        <w:ind w:left="0" w:firstLine="624"/>
        <w:jc w:val="both"/>
        <w:rPr>
          <w:rFonts w:ascii="Times New Roman" w:hAnsi="Times New Roman"/>
          <w:sz w:val="28"/>
          <w:szCs w:val="28"/>
        </w:rPr>
      </w:pPr>
      <w:r>
        <w:rPr>
          <w:rFonts w:ascii="Times New Roman" w:hAnsi="Times New Roman"/>
          <w:sz w:val="28"/>
          <w:szCs w:val="28"/>
        </w:rPr>
        <w:t>В</w:t>
      </w:r>
      <w:r w:rsidRPr="00091470">
        <w:rPr>
          <w:rFonts w:ascii="Times New Roman" w:hAnsi="Times New Roman"/>
          <w:sz w:val="28"/>
          <w:szCs w:val="28"/>
        </w:rPr>
        <w:t>недря</w:t>
      </w:r>
      <w:r>
        <w:rPr>
          <w:rFonts w:ascii="Times New Roman" w:hAnsi="Times New Roman"/>
          <w:sz w:val="28"/>
          <w:szCs w:val="28"/>
        </w:rPr>
        <w:t>ют</w:t>
      </w:r>
      <w:r w:rsidRPr="00091470">
        <w:rPr>
          <w:rFonts w:ascii="Times New Roman" w:hAnsi="Times New Roman"/>
          <w:sz w:val="28"/>
          <w:szCs w:val="28"/>
        </w:rPr>
        <w:t xml:space="preserve"> системы </w:t>
      </w:r>
      <w:r>
        <w:rPr>
          <w:rFonts w:ascii="Times New Roman" w:hAnsi="Times New Roman"/>
          <w:sz w:val="28"/>
          <w:szCs w:val="28"/>
        </w:rPr>
        <w:t>КСГ</w:t>
      </w:r>
      <w:r w:rsidRPr="00091470">
        <w:rPr>
          <w:rFonts w:ascii="Times New Roman" w:hAnsi="Times New Roman"/>
          <w:sz w:val="28"/>
          <w:szCs w:val="28"/>
        </w:rPr>
        <w:t xml:space="preserve"> поэтапно</w:t>
      </w:r>
      <w:r>
        <w:rPr>
          <w:rFonts w:ascii="Times New Roman" w:hAnsi="Times New Roman"/>
          <w:sz w:val="28"/>
          <w:szCs w:val="28"/>
        </w:rPr>
        <w:t>;</w:t>
      </w:r>
    </w:p>
    <w:p w:rsidR="001A5E3C" w:rsidRPr="00091470" w:rsidRDefault="001A5E3C" w:rsidP="000A639E">
      <w:pPr>
        <w:pStyle w:val="a3"/>
        <w:numPr>
          <w:ilvl w:val="0"/>
          <w:numId w:val="14"/>
        </w:numPr>
        <w:autoSpaceDE w:val="0"/>
        <w:autoSpaceDN w:val="0"/>
        <w:adjustRightInd w:val="0"/>
        <w:spacing w:before="120" w:after="0" w:line="360" w:lineRule="auto"/>
        <w:ind w:left="0" w:firstLine="624"/>
        <w:jc w:val="both"/>
        <w:rPr>
          <w:rFonts w:ascii="Times New Roman" w:hAnsi="Times New Roman"/>
          <w:sz w:val="28"/>
          <w:szCs w:val="28"/>
        </w:rPr>
      </w:pPr>
      <w:r>
        <w:rPr>
          <w:rFonts w:ascii="Times New Roman" w:hAnsi="Times New Roman"/>
          <w:sz w:val="28"/>
          <w:szCs w:val="28"/>
        </w:rPr>
        <w:t>Применяют</w:t>
      </w:r>
      <w:r w:rsidRPr="00091470">
        <w:rPr>
          <w:rFonts w:ascii="Times New Roman" w:hAnsi="Times New Roman"/>
          <w:sz w:val="28"/>
          <w:szCs w:val="28"/>
        </w:rPr>
        <w:t xml:space="preserve"> оплату на базе DRG вместе с другими механизмами оплаты</w:t>
      </w:r>
      <w:r>
        <w:rPr>
          <w:rFonts w:ascii="Times New Roman" w:hAnsi="Times New Roman"/>
          <w:sz w:val="28"/>
          <w:szCs w:val="28"/>
        </w:rPr>
        <w:t>;</w:t>
      </w:r>
    </w:p>
    <w:p w:rsidR="001A5E3C" w:rsidRPr="00091470" w:rsidRDefault="001A5E3C" w:rsidP="000A639E">
      <w:pPr>
        <w:pStyle w:val="a3"/>
        <w:numPr>
          <w:ilvl w:val="0"/>
          <w:numId w:val="14"/>
        </w:numPr>
        <w:autoSpaceDE w:val="0"/>
        <w:autoSpaceDN w:val="0"/>
        <w:adjustRightInd w:val="0"/>
        <w:spacing w:before="120" w:after="0" w:line="360" w:lineRule="auto"/>
        <w:ind w:left="0" w:firstLine="624"/>
        <w:jc w:val="both"/>
        <w:rPr>
          <w:rFonts w:ascii="Times New Roman" w:hAnsi="Times New Roman"/>
          <w:sz w:val="28"/>
          <w:szCs w:val="28"/>
        </w:rPr>
      </w:pPr>
      <w:r>
        <w:rPr>
          <w:rFonts w:ascii="Times New Roman" w:hAnsi="Times New Roman"/>
          <w:sz w:val="28"/>
          <w:szCs w:val="28"/>
        </w:rPr>
        <w:t>Постоянно</w:t>
      </w:r>
      <w:r w:rsidRPr="00091470">
        <w:rPr>
          <w:rFonts w:ascii="Times New Roman" w:hAnsi="Times New Roman"/>
          <w:sz w:val="28"/>
          <w:szCs w:val="28"/>
        </w:rPr>
        <w:t xml:space="preserve"> дорабатывают системы классификации пациентов (увеличивают количество групп)</w:t>
      </w:r>
      <w:r>
        <w:rPr>
          <w:rFonts w:ascii="Times New Roman" w:hAnsi="Times New Roman"/>
          <w:sz w:val="28"/>
          <w:szCs w:val="28"/>
        </w:rPr>
        <w:t>;</w:t>
      </w:r>
    </w:p>
    <w:p w:rsidR="001A5E3C" w:rsidRPr="00091470" w:rsidRDefault="001A5E3C" w:rsidP="000A639E">
      <w:pPr>
        <w:pStyle w:val="a3"/>
        <w:numPr>
          <w:ilvl w:val="0"/>
          <w:numId w:val="14"/>
        </w:numPr>
        <w:autoSpaceDE w:val="0"/>
        <w:autoSpaceDN w:val="0"/>
        <w:adjustRightInd w:val="0"/>
        <w:spacing w:before="120" w:after="0" w:line="360" w:lineRule="auto"/>
        <w:ind w:left="0" w:firstLine="624"/>
        <w:jc w:val="both"/>
        <w:rPr>
          <w:rFonts w:ascii="Times New Roman" w:hAnsi="Times New Roman"/>
          <w:sz w:val="28"/>
          <w:szCs w:val="28"/>
        </w:rPr>
      </w:pPr>
      <w:r>
        <w:rPr>
          <w:rFonts w:ascii="Times New Roman" w:hAnsi="Times New Roman"/>
          <w:sz w:val="28"/>
          <w:szCs w:val="28"/>
        </w:rPr>
        <w:t>Совмещают оплату по КСГ и оплатой по результатам деятельности медицинской организации;</w:t>
      </w:r>
    </w:p>
    <w:p w:rsidR="001A5E3C" w:rsidRPr="00091470" w:rsidRDefault="001A5E3C" w:rsidP="000A639E">
      <w:pPr>
        <w:pStyle w:val="a3"/>
        <w:numPr>
          <w:ilvl w:val="0"/>
          <w:numId w:val="14"/>
        </w:numPr>
        <w:autoSpaceDE w:val="0"/>
        <w:autoSpaceDN w:val="0"/>
        <w:adjustRightInd w:val="0"/>
        <w:spacing w:before="120" w:after="0" w:line="360" w:lineRule="auto"/>
        <w:ind w:left="0" w:firstLine="624"/>
        <w:jc w:val="both"/>
        <w:rPr>
          <w:rFonts w:ascii="Times New Roman" w:hAnsi="Times New Roman"/>
          <w:sz w:val="28"/>
          <w:szCs w:val="28"/>
        </w:rPr>
      </w:pPr>
      <w:r>
        <w:rPr>
          <w:rFonts w:ascii="Times New Roman" w:hAnsi="Times New Roman"/>
          <w:sz w:val="28"/>
          <w:szCs w:val="28"/>
        </w:rPr>
        <w:t>О</w:t>
      </w:r>
      <w:r w:rsidRPr="00091470">
        <w:rPr>
          <w:rFonts w:ascii="Times New Roman" w:hAnsi="Times New Roman"/>
          <w:sz w:val="28"/>
          <w:szCs w:val="28"/>
        </w:rPr>
        <w:t>тдельно возмещают затраты при резких отклонениях (выбросах) и оказании высокозатратных услуг</w:t>
      </w:r>
      <w:r>
        <w:rPr>
          <w:rFonts w:ascii="Times New Roman" w:hAnsi="Times New Roman"/>
          <w:sz w:val="28"/>
          <w:szCs w:val="28"/>
        </w:rPr>
        <w:t>.</w:t>
      </w:r>
    </w:p>
    <w:p w:rsidR="001A5E3C" w:rsidRPr="00C602F0" w:rsidRDefault="001A5E3C" w:rsidP="000A639E">
      <w:pPr>
        <w:spacing w:before="120" w:after="0" w:line="360" w:lineRule="auto"/>
        <w:ind w:firstLine="624"/>
        <w:jc w:val="both"/>
        <w:rPr>
          <w:rFonts w:ascii="Times New Roman" w:hAnsi="Times New Roman"/>
          <w:sz w:val="28"/>
          <w:szCs w:val="28"/>
        </w:rPr>
      </w:pPr>
      <w:r w:rsidRPr="00C602F0">
        <w:rPr>
          <w:rFonts w:ascii="Times New Roman" w:hAnsi="Times New Roman"/>
          <w:sz w:val="28"/>
          <w:szCs w:val="28"/>
        </w:rPr>
        <w:t>Несмотря на широкое распространение систем DRG в мире, до последнего времени понимание общего теоретического подхода к оценке метода было осложнено отсутствием исследований по подведению всего многообразия вариаций DRG-систем под один базис. Европейская обсерватория ВОЗ поставила перед собой задачу исправить э</w:t>
      </w:r>
      <w:r w:rsidR="004B64A2">
        <w:rPr>
          <w:rFonts w:ascii="Times New Roman" w:hAnsi="Times New Roman"/>
          <w:sz w:val="28"/>
          <w:szCs w:val="28"/>
        </w:rPr>
        <w:t>ту ситуацию и выпустила обзор [</w:t>
      </w:r>
      <w:r w:rsidR="000E1641">
        <w:rPr>
          <w:rFonts w:ascii="Times New Roman" w:hAnsi="Times New Roman"/>
          <w:sz w:val="28"/>
          <w:szCs w:val="28"/>
        </w:rPr>
        <w:t>22</w:t>
      </w:r>
      <w:r w:rsidRPr="00C602F0">
        <w:rPr>
          <w:rFonts w:ascii="Times New Roman" w:hAnsi="Times New Roman"/>
          <w:sz w:val="28"/>
          <w:szCs w:val="28"/>
        </w:rPr>
        <w:t xml:space="preserve">]. Данное исследование позволяет проводить межстрановые сравнения и, что очень важно для политики Европейского Союза, </w:t>
      </w:r>
      <w:r>
        <w:rPr>
          <w:rFonts w:ascii="Times New Roman" w:hAnsi="Times New Roman"/>
          <w:sz w:val="28"/>
          <w:szCs w:val="28"/>
        </w:rPr>
        <w:t>предоставляет</w:t>
      </w:r>
      <w:r w:rsidRPr="00C602F0">
        <w:rPr>
          <w:rFonts w:ascii="Times New Roman" w:hAnsi="Times New Roman"/>
          <w:sz w:val="28"/>
          <w:szCs w:val="28"/>
        </w:rPr>
        <w:t xml:space="preserve"> потенциальную возможность гармонизации всех европейских DRG-систем. </w:t>
      </w:r>
    </w:p>
    <w:p w:rsidR="001A5E3C" w:rsidRDefault="001A5E3C" w:rsidP="000A639E">
      <w:pPr>
        <w:spacing w:before="120" w:after="0" w:line="360" w:lineRule="auto"/>
        <w:ind w:firstLine="624"/>
        <w:jc w:val="both"/>
        <w:rPr>
          <w:rFonts w:ascii="Times New Roman" w:hAnsi="Times New Roman"/>
          <w:sz w:val="28"/>
          <w:szCs w:val="28"/>
        </w:rPr>
      </w:pPr>
      <w:r w:rsidRPr="00C602F0">
        <w:rPr>
          <w:rFonts w:ascii="Times New Roman" w:hAnsi="Times New Roman"/>
          <w:sz w:val="28"/>
          <w:szCs w:val="28"/>
        </w:rPr>
        <w:t xml:space="preserve">Для Российской Федерации подобный опыт может быть очень полезен. Имея, как и Европейский Союз, дробное территориальное устройство, когда регионы обладают правом проводить собственную </w:t>
      </w:r>
      <w:r w:rsidRPr="00C602F0">
        <w:rPr>
          <w:rFonts w:ascii="Times New Roman" w:hAnsi="Times New Roman"/>
          <w:sz w:val="28"/>
          <w:szCs w:val="28"/>
        </w:rPr>
        <w:lastRenderedPageBreak/>
        <w:t>политику в сфере здравоохранения, Россия рано или поздно столкнется с проблемой того, что слишком разные способы оплаты медицинской помощи на территории страны могут препятствовать эффективному внедрению управленческих инициатив. В рамках усилившейся в последнее вр</w:t>
      </w:r>
      <w:r w:rsidR="004B64A2">
        <w:rPr>
          <w:rFonts w:ascii="Times New Roman" w:hAnsi="Times New Roman"/>
          <w:sz w:val="28"/>
          <w:szCs w:val="28"/>
        </w:rPr>
        <w:t>емя тенденции к централизации [</w:t>
      </w:r>
      <w:r w:rsidR="004B64A2" w:rsidRPr="004B64A2">
        <w:rPr>
          <w:rFonts w:ascii="Times New Roman" w:hAnsi="Times New Roman"/>
          <w:sz w:val="28"/>
          <w:szCs w:val="28"/>
        </w:rPr>
        <w:t>4</w:t>
      </w:r>
      <w:r w:rsidRPr="00C602F0">
        <w:rPr>
          <w:rFonts w:ascii="Times New Roman" w:hAnsi="Times New Roman"/>
          <w:sz w:val="28"/>
          <w:szCs w:val="28"/>
        </w:rPr>
        <w:t>] вопрос о введении унифицированной системы оплаты медицинской помощи как основного элемента системы здравоохранения встает достаточно остро.</w:t>
      </w:r>
    </w:p>
    <w:p w:rsidR="001A5E3C" w:rsidRPr="00C602F0" w:rsidRDefault="001A5E3C" w:rsidP="000A639E">
      <w:pPr>
        <w:autoSpaceDE w:val="0"/>
        <w:autoSpaceDN w:val="0"/>
        <w:adjustRightInd w:val="0"/>
        <w:spacing w:before="120" w:after="0" w:line="360" w:lineRule="auto"/>
        <w:ind w:firstLine="624"/>
        <w:jc w:val="both"/>
        <w:rPr>
          <w:rFonts w:ascii="Times New Roman" w:hAnsi="Times New Roman"/>
          <w:sz w:val="28"/>
          <w:szCs w:val="28"/>
        </w:rPr>
      </w:pPr>
      <w:r>
        <w:rPr>
          <w:rFonts w:ascii="Times New Roman" w:hAnsi="Times New Roman"/>
          <w:sz w:val="28"/>
          <w:szCs w:val="28"/>
        </w:rPr>
        <w:t xml:space="preserve">Экспертами </w:t>
      </w:r>
      <w:r w:rsidRPr="002664D9">
        <w:rPr>
          <w:rFonts w:ascii="Times New Roman" w:hAnsi="Times New Roman"/>
          <w:sz w:val="28"/>
          <w:szCs w:val="28"/>
        </w:rPr>
        <w:t xml:space="preserve">отмечается </w:t>
      </w:r>
      <w:r w:rsidR="002664D9" w:rsidRPr="002664D9">
        <w:rPr>
          <w:rFonts w:ascii="Times New Roman" w:hAnsi="Times New Roman"/>
          <w:sz w:val="28"/>
          <w:szCs w:val="28"/>
        </w:rPr>
        <w:t>[16</w:t>
      </w:r>
      <w:r w:rsidRPr="002664D9">
        <w:rPr>
          <w:rFonts w:ascii="Times New Roman" w:hAnsi="Times New Roman"/>
          <w:sz w:val="28"/>
          <w:szCs w:val="28"/>
        </w:rPr>
        <w:t>], что</w:t>
      </w:r>
      <w:r>
        <w:rPr>
          <w:rFonts w:ascii="Times New Roman" w:hAnsi="Times New Roman"/>
          <w:sz w:val="28"/>
          <w:szCs w:val="28"/>
        </w:rPr>
        <w:t xml:space="preserve"> п</w:t>
      </w:r>
      <w:r w:rsidRPr="00C602F0">
        <w:rPr>
          <w:rFonts w:ascii="Times New Roman" w:hAnsi="Times New Roman"/>
          <w:sz w:val="28"/>
          <w:szCs w:val="28"/>
        </w:rPr>
        <w:t xml:space="preserve">ри условии правильного внедрения  системы оплаты на базе </w:t>
      </w:r>
      <w:r>
        <w:rPr>
          <w:rFonts w:ascii="Times New Roman" w:hAnsi="Times New Roman"/>
          <w:sz w:val="28"/>
          <w:szCs w:val="28"/>
        </w:rPr>
        <w:t xml:space="preserve">клинико-статистических </w:t>
      </w:r>
      <w:r w:rsidRPr="00C602F0">
        <w:rPr>
          <w:rFonts w:ascii="Times New Roman" w:hAnsi="Times New Roman"/>
          <w:sz w:val="28"/>
          <w:szCs w:val="28"/>
        </w:rPr>
        <w:t xml:space="preserve">(что сделать </w:t>
      </w:r>
      <w:r>
        <w:rPr>
          <w:rFonts w:ascii="Times New Roman" w:hAnsi="Times New Roman"/>
          <w:sz w:val="28"/>
          <w:szCs w:val="28"/>
        </w:rPr>
        <w:t xml:space="preserve">достаточно </w:t>
      </w:r>
      <w:r w:rsidRPr="00C602F0">
        <w:rPr>
          <w:rFonts w:ascii="Times New Roman" w:hAnsi="Times New Roman"/>
          <w:sz w:val="28"/>
          <w:szCs w:val="28"/>
        </w:rPr>
        <w:t>сложно)</w:t>
      </w:r>
      <w:r>
        <w:rPr>
          <w:rFonts w:ascii="Times New Roman" w:hAnsi="Times New Roman"/>
          <w:sz w:val="28"/>
          <w:szCs w:val="28"/>
        </w:rPr>
        <w:t>, данный подход может</w:t>
      </w:r>
      <w:r w:rsidRPr="00C602F0">
        <w:rPr>
          <w:rFonts w:ascii="Times New Roman" w:hAnsi="Times New Roman"/>
          <w:sz w:val="28"/>
          <w:szCs w:val="28"/>
        </w:rPr>
        <w:t xml:space="preserve"> способствовать повышению прозрачности и эффекти</w:t>
      </w:r>
      <w:r>
        <w:rPr>
          <w:rFonts w:ascii="Times New Roman" w:hAnsi="Times New Roman"/>
          <w:sz w:val="28"/>
          <w:szCs w:val="28"/>
        </w:rPr>
        <w:t>вности – а возможно, и качества предоставляемых медицинских услуг.</w:t>
      </w:r>
    </w:p>
    <w:p w:rsidR="00CE0C28" w:rsidRDefault="00CE0C28">
      <w:pPr>
        <w:rPr>
          <w:rFonts w:ascii="Times New Roman" w:hAnsi="Times New Roman"/>
          <w:sz w:val="28"/>
          <w:szCs w:val="28"/>
        </w:rPr>
      </w:pPr>
      <w:r>
        <w:rPr>
          <w:rFonts w:ascii="Times New Roman" w:hAnsi="Times New Roman"/>
          <w:sz w:val="28"/>
          <w:szCs w:val="28"/>
        </w:rPr>
        <w:br w:type="page"/>
      </w:r>
    </w:p>
    <w:p w:rsidR="00577E83" w:rsidRPr="00726140" w:rsidRDefault="00CE0C28" w:rsidP="00997B2E">
      <w:pPr>
        <w:pStyle w:val="1"/>
        <w:spacing w:before="360" w:after="360" w:line="360" w:lineRule="auto"/>
        <w:jc w:val="both"/>
        <w:rPr>
          <w:rFonts w:ascii="Times New Roman" w:hAnsi="Times New Roman"/>
          <w:color w:val="auto"/>
          <w:sz w:val="36"/>
          <w:szCs w:val="36"/>
        </w:rPr>
      </w:pPr>
      <w:bookmarkStart w:id="11" w:name="_Toc357415392"/>
      <w:r w:rsidRPr="00CE0C28">
        <w:rPr>
          <w:rFonts w:ascii="Times New Roman" w:hAnsi="Times New Roman"/>
          <w:color w:val="auto"/>
          <w:sz w:val="36"/>
          <w:szCs w:val="36"/>
        </w:rPr>
        <w:lastRenderedPageBreak/>
        <w:t xml:space="preserve">Глава 3. </w:t>
      </w:r>
      <w:r w:rsidR="00726140">
        <w:rPr>
          <w:rFonts w:ascii="Times New Roman" w:hAnsi="Times New Roman"/>
          <w:color w:val="auto"/>
          <w:sz w:val="36"/>
          <w:szCs w:val="36"/>
        </w:rPr>
        <w:t>Применение инновационных подходов к оплате</w:t>
      </w:r>
      <w:r w:rsidRPr="00CE0C28">
        <w:rPr>
          <w:rFonts w:ascii="Times New Roman" w:hAnsi="Times New Roman"/>
          <w:color w:val="auto"/>
          <w:sz w:val="36"/>
          <w:szCs w:val="36"/>
        </w:rPr>
        <w:t xml:space="preserve"> стационарной медицинской помощи в </w:t>
      </w:r>
      <w:r w:rsidR="00997B2E">
        <w:rPr>
          <w:rFonts w:ascii="Times New Roman" w:hAnsi="Times New Roman"/>
          <w:color w:val="auto"/>
          <w:sz w:val="36"/>
          <w:szCs w:val="36"/>
        </w:rPr>
        <w:t xml:space="preserve">системе обязательного медицинского страхования </w:t>
      </w:r>
      <w:r w:rsidRPr="00CE0C28">
        <w:rPr>
          <w:rFonts w:ascii="Times New Roman" w:hAnsi="Times New Roman"/>
          <w:color w:val="auto"/>
          <w:sz w:val="36"/>
          <w:szCs w:val="36"/>
        </w:rPr>
        <w:t>Росси</w:t>
      </w:r>
      <w:r>
        <w:rPr>
          <w:rFonts w:ascii="Times New Roman" w:hAnsi="Times New Roman"/>
          <w:color w:val="auto"/>
          <w:sz w:val="36"/>
          <w:szCs w:val="36"/>
        </w:rPr>
        <w:t>йской Федерации</w:t>
      </w:r>
      <w:bookmarkEnd w:id="11"/>
    </w:p>
    <w:p w:rsidR="00726140" w:rsidRPr="00127805" w:rsidRDefault="00726140" w:rsidP="00997B2E">
      <w:pPr>
        <w:pStyle w:val="2"/>
        <w:numPr>
          <w:ilvl w:val="1"/>
          <w:numId w:val="11"/>
        </w:numPr>
        <w:spacing w:before="360" w:after="240" w:line="360" w:lineRule="auto"/>
        <w:ind w:left="709"/>
        <w:jc w:val="both"/>
        <w:rPr>
          <w:rFonts w:ascii="Times New Roman" w:hAnsi="Times New Roman"/>
          <w:color w:val="auto"/>
          <w:sz w:val="32"/>
          <w:szCs w:val="32"/>
        </w:rPr>
      </w:pPr>
      <w:bookmarkStart w:id="12" w:name="_Toc357415393"/>
      <w:r w:rsidRPr="00726140">
        <w:rPr>
          <w:rFonts w:ascii="Times New Roman" w:hAnsi="Times New Roman"/>
          <w:color w:val="auto"/>
          <w:sz w:val="32"/>
          <w:szCs w:val="32"/>
        </w:rPr>
        <w:t xml:space="preserve">Оплата стационарной медицинской помощи в </w:t>
      </w:r>
      <w:r>
        <w:rPr>
          <w:rFonts w:ascii="Times New Roman" w:hAnsi="Times New Roman"/>
          <w:color w:val="auto"/>
          <w:sz w:val="32"/>
          <w:szCs w:val="32"/>
        </w:rPr>
        <w:t>России</w:t>
      </w:r>
      <w:bookmarkEnd w:id="12"/>
    </w:p>
    <w:p w:rsidR="00726140" w:rsidRPr="000B74CD" w:rsidRDefault="00726140" w:rsidP="00726140">
      <w:pPr>
        <w:autoSpaceDE w:val="0"/>
        <w:autoSpaceDN w:val="0"/>
        <w:adjustRightInd w:val="0"/>
        <w:spacing w:before="120" w:after="0" w:line="360" w:lineRule="auto"/>
        <w:jc w:val="both"/>
        <w:rPr>
          <w:rFonts w:ascii="Times New Roman" w:eastAsia="Calibri" w:hAnsi="Times New Roman" w:cs="Times New Roman"/>
          <w:sz w:val="28"/>
          <w:szCs w:val="28"/>
        </w:rPr>
      </w:pPr>
      <w:r w:rsidRPr="000B74CD">
        <w:rPr>
          <w:rFonts w:ascii="Times New Roman" w:eastAsia="Calibri" w:hAnsi="Times New Roman" w:cs="Times New Roman"/>
          <w:sz w:val="28"/>
          <w:szCs w:val="28"/>
        </w:rPr>
        <w:t>Законода</w:t>
      </w:r>
      <w:r w:rsidR="004B64A2">
        <w:rPr>
          <w:rFonts w:ascii="Times New Roman" w:eastAsia="Calibri" w:hAnsi="Times New Roman" w:cs="Times New Roman"/>
          <w:sz w:val="28"/>
          <w:szCs w:val="28"/>
        </w:rPr>
        <w:t>тельство Российской Федерации [</w:t>
      </w:r>
      <w:r w:rsidR="004B64A2" w:rsidRPr="004B64A2">
        <w:rPr>
          <w:rFonts w:ascii="Times New Roman" w:eastAsia="Calibri" w:hAnsi="Times New Roman" w:cs="Times New Roman"/>
          <w:sz w:val="28"/>
          <w:szCs w:val="28"/>
        </w:rPr>
        <w:t>10</w:t>
      </w:r>
      <w:r w:rsidRPr="000B74CD">
        <w:rPr>
          <w:rFonts w:ascii="Times New Roman" w:eastAsia="Calibri" w:hAnsi="Times New Roman" w:cs="Times New Roman"/>
          <w:sz w:val="28"/>
          <w:szCs w:val="28"/>
        </w:rPr>
        <w:t>] предусматривает двухканальное финансирование Программы государственных гарантий бесплатного оказания гражданам медицинской помощи, через систему обязательного медицинского страхования и напрямую из средств бюджета (бюджета РФ и бюджетов субъектов РФ). Помимо базовой программы, в рамкой которой граждане могут получить необходимый минимум медицинской помощи, предусматривается территориальная программа, обеспечивающая предоставление гражданам помощь сверх базовой программы (территориальная программа самостоятельно принимается субъектами РФ).</w:t>
      </w:r>
    </w:p>
    <w:p w:rsidR="00726140" w:rsidRDefault="00726140" w:rsidP="00726140">
      <w:pPr>
        <w:autoSpaceDE w:val="0"/>
        <w:autoSpaceDN w:val="0"/>
        <w:adjustRightInd w:val="0"/>
        <w:spacing w:before="120" w:after="0" w:line="360" w:lineRule="auto"/>
        <w:ind w:firstLine="624"/>
        <w:jc w:val="both"/>
        <w:rPr>
          <w:rFonts w:ascii="Times New Roman" w:eastAsia="Calibri" w:hAnsi="Times New Roman" w:cs="Times New Roman"/>
          <w:sz w:val="28"/>
          <w:szCs w:val="28"/>
        </w:rPr>
      </w:pPr>
      <w:r w:rsidRPr="000B74CD">
        <w:rPr>
          <w:rFonts w:ascii="Times New Roman" w:eastAsia="Calibri" w:hAnsi="Times New Roman" w:cs="Times New Roman"/>
          <w:sz w:val="28"/>
          <w:szCs w:val="28"/>
        </w:rPr>
        <w:t xml:space="preserve">На </w:t>
      </w:r>
      <w:r w:rsidR="007A6CD9">
        <w:rPr>
          <w:rFonts w:ascii="Times New Roman" w:eastAsia="Calibri" w:hAnsi="Times New Roman" w:cs="Times New Roman"/>
          <w:sz w:val="28"/>
          <w:szCs w:val="28"/>
        </w:rPr>
        <w:t xml:space="preserve">Рисунке </w:t>
      </w:r>
      <w:r w:rsidR="00622A03">
        <w:rPr>
          <w:rFonts w:ascii="Times New Roman" w:eastAsia="Calibri" w:hAnsi="Times New Roman" w:cs="Times New Roman"/>
          <w:sz w:val="28"/>
          <w:szCs w:val="28"/>
        </w:rPr>
        <w:t>4</w:t>
      </w:r>
      <w:r w:rsidRPr="000B74CD">
        <w:rPr>
          <w:rFonts w:ascii="Times New Roman" w:eastAsia="Calibri" w:hAnsi="Times New Roman" w:cs="Times New Roman"/>
          <w:sz w:val="28"/>
          <w:szCs w:val="28"/>
        </w:rPr>
        <w:t xml:space="preserve"> показана динамика финансирования Программы государственных гарантий</w:t>
      </w:r>
      <w:r w:rsidRPr="002177F0">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целом и по отдельным составляющим, источник</w:t>
      </w:r>
      <w:r w:rsidR="007A6CD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177F0">
        <w:rPr>
          <w:rFonts w:ascii="Times New Roman" w:eastAsia="Calibri" w:hAnsi="Times New Roman" w:cs="Times New Roman"/>
          <w:sz w:val="28"/>
          <w:szCs w:val="28"/>
        </w:rPr>
        <w:t>[</w:t>
      </w:r>
      <w:r w:rsidR="004B64A2" w:rsidRPr="004B64A2">
        <w:rPr>
          <w:rFonts w:ascii="Times New Roman" w:eastAsia="Calibri" w:hAnsi="Times New Roman" w:cs="Times New Roman"/>
          <w:sz w:val="28"/>
          <w:szCs w:val="28"/>
        </w:rPr>
        <w:t>3</w:t>
      </w:r>
      <w:r w:rsidRPr="002177F0">
        <w:rPr>
          <w:rFonts w:ascii="Times New Roman" w:eastAsia="Calibri" w:hAnsi="Times New Roman" w:cs="Times New Roman"/>
          <w:sz w:val="28"/>
          <w:szCs w:val="28"/>
        </w:rPr>
        <w:t>]</w:t>
      </w:r>
      <w:r>
        <w:rPr>
          <w:rFonts w:ascii="Times New Roman" w:eastAsia="Calibri" w:hAnsi="Times New Roman" w:cs="Times New Roman"/>
          <w:sz w:val="28"/>
          <w:szCs w:val="28"/>
        </w:rPr>
        <w:t>)</w:t>
      </w:r>
      <w:r w:rsidR="00997B2E">
        <w:rPr>
          <w:rFonts w:ascii="Times New Roman" w:eastAsia="Calibri" w:hAnsi="Times New Roman" w:cs="Times New Roman"/>
          <w:sz w:val="28"/>
          <w:szCs w:val="28"/>
        </w:rPr>
        <w:t>.</w:t>
      </w:r>
    </w:p>
    <w:p w:rsidR="00997B2E" w:rsidRPr="00D97AC3" w:rsidRDefault="00997B2E" w:rsidP="00997B2E">
      <w:pPr>
        <w:autoSpaceDE w:val="0"/>
        <w:autoSpaceDN w:val="0"/>
        <w:adjustRightInd w:val="0"/>
        <w:spacing w:before="120" w:after="0" w:line="360" w:lineRule="auto"/>
        <w:ind w:firstLine="624"/>
        <w:jc w:val="both"/>
        <w:rPr>
          <w:rFonts w:ascii="Times New Roman" w:eastAsia="Calibri" w:hAnsi="Times New Roman" w:cs="Times New Roman"/>
          <w:sz w:val="28"/>
          <w:szCs w:val="28"/>
        </w:rPr>
      </w:pPr>
      <w:r w:rsidRPr="000B74CD">
        <w:rPr>
          <w:rFonts w:ascii="Times New Roman" w:eastAsia="Calibri" w:hAnsi="Times New Roman" w:cs="Times New Roman"/>
          <w:sz w:val="28"/>
          <w:szCs w:val="28"/>
        </w:rPr>
        <w:t>Отметим, что в последние годы наметилась четкая тенденция государственной политики в сфере здравоохранения, направленная на централизацию всей системы и обеспечение ее финансирования через систему обязательн</w:t>
      </w:r>
      <w:r w:rsidR="004B64A2">
        <w:rPr>
          <w:rFonts w:ascii="Times New Roman" w:eastAsia="Calibri" w:hAnsi="Times New Roman" w:cs="Times New Roman"/>
          <w:sz w:val="28"/>
          <w:szCs w:val="28"/>
        </w:rPr>
        <w:t>ого медицинского страхования [</w:t>
      </w:r>
      <w:r w:rsidR="004B64A2" w:rsidRPr="004B64A2">
        <w:rPr>
          <w:rFonts w:ascii="Times New Roman" w:eastAsia="Calibri" w:hAnsi="Times New Roman" w:cs="Times New Roman"/>
          <w:sz w:val="28"/>
          <w:szCs w:val="28"/>
        </w:rPr>
        <w:t>4</w:t>
      </w:r>
      <w:r w:rsidRPr="000B74CD">
        <w:rPr>
          <w:rFonts w:ascii="Times New Roman" w:eastAsia="Calibri" w:hAnsi="Times New Roman" w:cs="Times New Roman"/>
          <w:sz w:val="28"/>
          <w:szCs w:val="28"/>
        </w:rPr>
        <w:t>].</w:t>
      </w:r>
      <w:r w:rsidR="00D97AC3">
        <w:rPr>
          <w:rFonts w:ascii="Times New Roman" w:eastAsia="Calibri" w:hAnsi="Times New Roman" w:cs="Times New Roman"/>
          <w:sz w:val="28"/>
          <w:szCs w:val="28"/>
        </w:rPr>
        <w:t xml:space="preserve"> На </w:t>
      </w:r>
      <w:r w:rsidR="007A6CD9" w:rsidRPr="00622A03">
        <w:rPr>
          <w:rFonts w:ascii="Times New Roman" w:eastAsia="Calibri" w:hAnsi="Times New Roman" w:cs="Times New Roman"/>
          <w:sz w:val="28"/>
          <w:szCs w:val="28"/>
        </w:rPr>
        <w:t xml:space="preserve">Рисунке </w:t>
      </w:r>
      <w:r w:rsidR="00622A03">
        <w:rPr>
          <w:rFonts w:ascii="Times New Roman" w:eastAsia="Calibri" w:hAnsi="Times New Roman" w:cs="Times New Roman"/>
          <w:sz w:val="28"/>
          <w:szCs w:val="28"/>
        </w:rPr>
        <w:t>5</w:t>
      </w:r>
      <w:r w:rsidR="00D97AC3">
        <w:rPr>
          <w:rFonts w:ascii="Times New Roman" w:eastAsia="Calibri" w:hAnsi="Times New Roman" w:cs="Times New Roman"/>
          <w:sz w:val="28"/>
          <w:szCs w:val="28"/>
        </w:rPr>
        <w:t xml:space="preserve"> представлена динамика изменения доли расходов системы обязательного медицинского страхования в </w:t>
      </w:r>
      <w:r w:rsidR="00D97AC3" w:rsidRPr="002664D9">
        <w:rPr>
          <w:rFonts w:ascii="Times New Roman" w:eastAsia="Calibri" w:hAnsi="Times New Roman" w:cs="Times New Roman"/>
          <w:sz w:val="28"/>
          <w:szCs w:val="28"/>
        </w:rPr>
        <w:t xml:space="preserve">общих расходах на медицинское обслуживание в рамках ПГГ(источник </w:t>
      </w:r>
      <w:r w:rsidR="002664D9" w:rsidRPr="002664D9">
        <w:rPr>
          <w:rFonts w:ascii="Times New Roman" w:eastAsia="Calibri" w:hAnsi="Times New Roman" w:cs="Times New Roman"/>
          <w:sz w:val="28"/>
          <w:szCs w:val="28"/>
        </w:rPr>
        <w:t>– [20</w:t>
      </w:r>
      <w:r w:rsidR="00D97AC3" w:rsidRPr="002664D9">
        <w:rPr>
          <w:rFonts w:ascii="Times New Roman" w:eastAsia="Calibri" w:hAnsi="Times New Roman" w:cs="Times New Roman"/>
          <w:sz w:val="28"/>
          <w:szCs w:val="28"/>
        </w:rPr>
        <w:t>]).</w:t>
      </w:r>
    </w:p>
    <w:p w:rsidR="002D179F" w:rsidRPr="002D179F" w:rsidRDefault="002D179F" w:rsidP="00997B2E">
      <w:pPr>
        <w:autoSpaceDE w:val="0"/>
        <w:autoSpaceDN w:val="0"/>
        <w:adjustRightInd w:val="0"/>
        <w:spacing w:before="120" w:after="0" w:line="360" w:lineRule="auto"/>
        <w:ind w:firstLine="624"/>
        <w:jc w:val="both"/>
        <w:rPr>
          <w:rFonts w:ascii="Times New Roman" w:eastAsia="Calibri" w:hAnsi="Times New Roman" w:cs="Times New Roman"/>
          <w:sz w:val="28"/>
          <w:szCs w:val="28"/>
        </w:rPr>
      </w:pPr>
    </w:p>
    <w:p w:rsidR="00622A03" w:rsidRDefault="00622A03" w:rsidP="00622A03">
      <w:pPr>
        <w:autoSpaceDE w:val="0"/>
        <w:autoSpaceDN w:val="0"/>
        <w:adjustRightInd w:val="0"/>
        <w:spacing w:before="120" w:after="0" w:line="360" w:lineRule="auto"/>
        <w:jc w:val="both"/>
        <w:rPr>
          <w:rFonts w:ascii="Times New Roman" w:eastAsia="Calibri" w:hAnsi="Times New Roman" w:cs="Times New Roman"/>
          <w:sz w:val="28"/>
          <w:szCs w:val="28"/>
        </w:rPr>
      </w:pPr>
      <w:r w:rsidRPr="002177F0">
        <w:rPr>
          <w:rFonts w:ascii="Times New Roman" w:eastAsia="Calibri" w:hAnsi="Times New Roman" w:cs="Times New Roman"/>
          <w:noProof/>
          <w:sz w:val="28"/>
          <w:szCs w:val="28"/>
          <w:lang w:eastAsia="ru-RU"/>
        </w:rPr>
        <w:lastRenderedPageBreak/>
        <w:drawing>
          <wp:inline distT="0" distB="0" distL="0" distR="0">
            <wp:extent cx="5759450" cy="3808881"/>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0FDE" w:rsidRDefault="00290FDE" w:rsidP="00622A03">
      <w:pPr>
        <w:autoSpaceDE w:val="0"/>
        <w:autoSpaceDN w:val="0"/>
        <w:adjustRightInd w:val="0"/>
        <w:spacing w:before="120" w:after="0" w:line="360" w:lineRule="auto"/>
        <w:ind w:left="567" w:right="281"/>
        <w:jc w:val="both"/>
        <w:rPr>
          <w:rFonts w:ascii="Times New Roman" w:eastAsia="Calibri" w:hAnsi="Times New Roman" w:cs="Times New Roman"/>
          <w:b/>
        </w:rPr>
      </w:pPr>
    </w:p>
    <w:p w:rsidR="00622A03" w:rsidRPr="00622A03" w:rsidRDefault="00622A03" w:rsidP="00622A03">
      <w:pPr>
        <w:autoSpaceDE w:val="0"/>
        <w:autoSpaceDN w:val="0"/>
        <w:adjustRightInd w:val="0"/>
        <w:spacing w:before="120" w:after="0" w:line="360" w:lineRule="auto"/>
        <w:ind w:left="567" w:right="281"/>
        <w:jc w:val="both"/>
        <w:rPr>
          <w:rFonts w:ascii="Times New Roman" w:eastAsia="Calibri" w:hAnsi="Times New Roman" w:cs="Times New Roman"/>
          <w:b/>
        </w:rPr>
      </w:pPr>
      <w:r w:rsidRPr="00622A03">
        <w:rPr>
          <w:rFonts w:ascii="Times New Roman" w:eastAsia="Calibri" w:hAnsi="Times New Roman" w:cs="Times New Roman"/>
          <w:b/>
          <w:noProof/>
          <w:lang w:eastAsia="ru-RU"/>
        </w:rPr>
        <w:drawing>
          <wp:anchor distT="0" distB="0" distL="114300" distR="114300" simplePos="0" relativeHeight="251660288" behindDoc="0" locked="0" layoutInCell="1" allowOverlap="1">
            <wp:simplePos x="0" y="0"/>
            <wp:positionH relativeFrom="column">
              <wp:posOffset>-305435</wp:posOffset>
            </wp:positionH>
            <wp:positionV relativeFrom="paragraph">
              <wp:posOffset>142875</wp:posOffset>
            </wp:positionV>
            <wp:extent cx="6141085" cy="2865755"/>
            <wp:effectExtent l="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141085" cy="2865755"/>
                    </a:xfrm>
                    <a:prstGeom prst="rect">
                      <a:avLst/>
                    </a:prstGeom>
                    <a:noFill/>
                    <a:ln w="9525">
                      <a:noFill/>
                      <a:miter lim="800000"/>
                      <a:headEnd/>
                      <a:tailEnd/>
                    </a:ln>
                  </pic:spPr>
                </pic:pic>
              </a:graphicData>
            </a:graphic>
          </wp:anchor>
        </w:drawing>
      </w:r>
      <w:r w:rsidRPr="00622A03">
        <w:rPr>
          <w:rFonts w:ascii="Times New Roman" w:eastAsia="Calibri" w:hAnsi="Times New Roman" w:cs="Times New Roman"/>
          <w:b/>
        </w:rPr>
        <w:t>Рисунок 5. динамика изменения доли расходов системы обязательного медицинского страхования в общих расходах на медицинское обслуживание в рамках ПГГ(</w:t>
      </w:r>
      <w:r w:rsidRPr="002664D9">
        <w:rPr>
          <w:rFonts w:ascii="Times New Roman" w:eastAsia="Calibri" w:hAnsi="Times New Roman" w:cs="Times New Roman"/>
          <w:b/>
        </w:rPr>
        <w:t xml:space="preserve">источник </w:t>
      </w:r>
      <w:r w:rsidR="002664D9" w:rsidRPr="002664D9">
        <w:rPr>
          <w:rFonts w:ascii="Times New Roman" w:eastAsia="Calibri" w:hAnsi="Times New Roman" w:cs="Times New Roman"/>
          <w:b/>
        </w:rPr>
        <w:t>– [20</w:t>
      </w:r>
      <w:r w:rsidRPr="002664D9">
        <w:rPr>
          <w:rFonts w:ascii="Times New Roman" w:eastAsia="Calibri" w:hAnsi="Times New Roman" w:cs="Times New Roman"/>
          <w:b/>
        </w:rPr>
        <w:t>]).</w:t>
      </w:r>
    </w:p>
    <w:p w:rsidR="00622A03" w:rsidRDefault="00622A03" w:rsidP="00622A03">
      <w:pPr>
        <w:autoSpaceDE w:val="0"/>
        <w:autoSpaceDN w:val="0"/>
        <w:adjustRightInd w:val="0"/>
        <w:spacing w:before="120" w:after="0" w:line="360" w:lineRule="auto"/>
        <w:jc w:val="both"/>
        <w:rPr>
          <w:rFonts w:ascii="Times New Roman" w:eastAsia="Calibri" w:hAnsi="Times New Roman" w:cs="Times New Roman"/>
          <w:sz w:val="28"/>
          <w:szCs w:val="28"/>
        </w:rPr>
      </w:pPr>
    </w:p>
    <w:p w:rsidR="00290FDE" w:rsidRDefault="00290FDE" w:rsidP="00622A03">
      <w:pPr>
        <w:autoSpaceDE w:val="0"/>
        <w:autoSpaceDN w:val="0"/>
        <w:adjustRightInd w:val="0"/>
        <w:spacing w:before="120" w:after="0" w:line="360" w:lineRule="auto"/>
        <w:jc w:val="both"/>
        <w:rPr>
          <w:rFonts w:ascii="Times New Roman" w:eastAsia="Calibri" w:hAnsi="Times New Roman" w:cs="Times New Roman"/>
          <w:sz w:val="28"/>
          <w:szCs w:val="28"/>
        </w:rPr>
      </w:pPr>
    </w:p>
    <w:p w:rsidR="00726140" w:rsidRPr="000B74CD" w:rsidRDefault="00997B2E" w:rsidP="00622A03">
      <w:pPr>
        <w:autoSpaceDE w:val="0"/>
        <w:autoSpaceDN w:val="0"/>
        <w:adjustRightInd w:val="0"/>
        <w:spacing w:before="120" w:after="0" w:line="360" w:lineRule="auto"/>
        <w:jc w:val="both"/>
        <w:rPr>
          <w:rFonts w:ascii="Times New Roman" w:eastAsia="Calibri" w:hAnsi="Times New Roman" w:cs="Times New Roman"/>
          <w:sz w:val="28"/>
          <w:szCs w:val="28"/>
        </w:rPr>
      </w:pPr>
      <w:r w:rsidRPr="000B74CD">
        <w:rPr>
          <w:rFonts w:ascii="Times New Roman" w:eastAsia="Calibri" w:hAnsi="Times New Roman" w:cs="Times New Roman"/>
          <w:sz w:val="28"/>
          <w:szCs w:val="28"/>
        </w:rPr>
        <w:lastRenderedPageBreak/>
        <w:t>Как было упомянуто ранее, в структуре затрат на финансовое обеспечение ПГГ оплата стационарной медицинской помощи представлена значительной долей</w:t>
      </w:r>
      <w:r>
        <w:rPr>
          <w:rFonts w:ascii="Times New Roman" w:eastAsia="Calibri" w:hAnsi="Times New Roman" w:cs="Times New Roman"/>
          <w:sz w:val="28"/>
          <w:szCs w:val="28"/>
        </w:rPr>
        <w:t xml:space="preserve">, динамика роста расходов на оплату стационарной медицинской помощи представлена на </w:t>
      </w:r>
      <w:r w:rsidR="00760B5C" w:rsidRPr="00760B5C">
        <w:rPr>
          <w:rFonts w:ascii="Times New Roman" w:eastAsia="Calibri" w:hAnsi="Times New Roman" w:cs="Times New Roman"/>
          <w:sz w:val="28"/>
          <w:szCs w:val="28"/>
        </w:rPr>
        <w:t xml:space="preserve">Рисунке </w:t>
      </w:r>
      <w:r w:rsidR="00622A03">
        <w:rPr>
          <w:rFonts w:ascii="Times New Roman" w:eastAsia="Calibri" w:hAnsi="Times New Roman" w:cs="Times New Roman"/>
          <w:sz w:val="28"/>
          <w:szCs w:val="28"/>
        </w:rPr>
        <w:t>6</w:t>
      </w:r>
      <w:r w:rsidRPr="00760B5C">
        <w:rPr>
          <w:rFonts w:ascii="Times New Roman" w:eastAsia="Calibri" w:hAnsi="Times New Roman" w:cs="Times New Roman"/>
          <w:sz w:val="28"/>
          <w:szCs w:val="28"/>
        </w:rPr>
        <w:t xml:space="preserve"> (источник</w:t>
      </w:r>
      <w:r w:rsidR="004B64A2" w:rsidRPr="00760B5C">
        <w:rPr>
          <w:rFonts w:ascii="Times New Roman" w:eastAsia="Calibri" w:hAnsi="Times New Roman" w:cs="Times New Roman"/>
          <w:sz w:val="28"/>
          <w:szCs w:val="28"/>
        </w:rPr>
        <w:t xml:space="preserve"> </w:t>
      </w:r>
      <w:r w:rsidR="00760B5C" w:rsidRPr="00760B5C">
        <w:rPr>
          <w:rFonts w:ascii="Times New Roman" w:eastAsia="Calibri" w:hAnsi="Times New Roman" w:cs="Times New Roman"/>
          <w:sz w:val="28"/>
          <w:szCs w:val="28"/>
        </w:rPr>
        <w:t xml:space="preserve">– </w:t>
      </w:r>
      <w:r w:rsidR="004B64A2" w:rsidRPr="00760B5C">
        <w:rPr>
          <w:rFonts w:ascii="Times New Roman" w:eastAsia="Calibri" w:hAnsi="Times New Roman" w:cs="Times New Roman"/>
          <w:sz w:val="28"/>
          <w:szCs w:val="28"/>
        </w:rPr>
        <w:t>[3</w:t>
      </w:r>
      <w:r w:rsidRPr="00760B5C">
        <w:rPr>
          <w:rFonts w:ascii="Times New Roman" w:eastAsia="Calibri" w:hAnsi="Times New Roman" w:cs="Times New Roman"/>
          <w:sz w:val="28"/>
          <w:szCs w:val="28"/>
        </w:rPr>
        <w:t>]):</w:t>
      </w:r>
    </w:p>
    <w:p w:rsidR="00726140" w:rsidRPr="000B74CD" w:rsidRDefault="00726140" w:rsidP="00726140">
      <w:pPr>
        <w:autoSpaceDE w:val="0"/>
        <w:autoSpaceDN w:val="0"/>
        <w:adjustRightInd w:val="0"/>
        <w:spacing w:before="120" w:after="0" w:line="360" w:lineRule="auto"/>
        <w:ind w:left="-142"/>
        <w:jc w:val="both"/>
        <w:rPr>
          <w:rFonts w:ascii="Times New Roman" w:eastAsia="Calibri" w:hAnsi="Times New Roman" w:cs="Times New Roman"/>
          <w:sz w:val="28"/>
          <w:szCs w:val="28"/>
        </w:rPr>
      </w:pPr>
      <w:r w:rsidRPr="00776253">
        <w:rPr>
          <w:rFonts w:ascii="Times New Roman" w:eastAsia="Calibri" w:hAnsi="Times New Roman" w:cs="Times New Roman"/>
          <w:noProof/>
          <w:sz w:val="28"/>
          <w:szCs w:val="28"/>
          <w:lang w:eastAsia="ru-RU"/>
        </w:rPr>
        <w:drawing>
          <wp:inline distT="0" distB="0" distL="0" distR="0">
            <wp:extent cx="5943600" cy="3878318"/>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6140" w:rsidRPr="000B74CD" w:rsidRDefault="00726140" w:rsidP="00726140">
      <w:pPr>
        <w:autoSpaceDE w:val="0"/>
        <w:autoSpaceDN w:val="0"/>
        <w:adjustRightInd w:val="0"/>
        <w:spacing w:before="120" w:after="0" w:line="360" w:lineRule="auto"/>
        <w:ind w:firstLine="624"/>
        <w:jc w:val="both"/>
        <w:rPr>
          <w:rFonts w:ascii="Times New Roman" w:eastAsia="Calibri" w:hAnsi="Times New Roman" w:cs="Times New Roman"/>
          <w:sz w:val="28"/>
          <w:szCs w:val="28"/>
        </w:rPr>
      </w:pPr>
      <w:r w:rsidRPr="000B74CD">
        <w:rPr>
          <w:rFonts w:ascii="Times New Roman" w:eastAsia="Calibri" w:hAnsi="Times New Roman" w:cs="Times New Roman"/>
          <w:sz w:val="28"/>
          <w:szCs w:val="28"/>
        </w:rPr>
        <w:t>Таким образом,</w:t>
      </w:r>
      <w:r w:rsidR="00997B2E">
        <w:rPr>
          <w:rFonts w:ascii="Times New Roman" w:eastAsia="Calibri" w:hAnsi="Times New Roman" w:cs="Times New Roman"/>
          <w:sz w:val="28"/>
          <w:szCs w:val="28"/>
        </w:rPr>
        <w:t xml:space="preserve"> исходя из вышесказанного,</w:t>
      </w:r>
      <w:r w:rsidRPr="000B74CD">
        <w:rPr>
          <w:rFonts w:ascii="Times New Roman" w:eastAsia="Calibri" w:hAnsi="Times New Roman" w:cs="Times New Roman"/>
          <w:sz w:val="28"/>
          <w:szCs w:val="28"/>
        </w:rPr>
        <w:t xml:space="preserve"> вопрос о функционировании системы здравоохранения в части</w:t>
      </w:r>
      <w:r w:rsidR="00997B2E">
        <w:rPr>
          <w:rFonts w:ascii="Times New Roman" w:eastAsia="Calibri" w:hAnsi="Times New Roman" w:cs="Times New Roman"/>
          <w:sz w:val="28"/>
          <w:szCs w:val="28"/>
        </w:rPr>
        <w:t xml:space="preserve"> оплаты</w:t>
      </w:r>
      <w:r w:rsidRPr="000B74CD">
        <w:rPr>
          <w:rFonts w:ascii="Times New Roman" w:eastAsia="Calibri" w:hAnsi="Times New Roman" w:cs="Times New Roman"/>
          <w:sz w:val="28"/>
          <w:szCs w:val="28"/>
        </w:rPr>
        <w:t xml:space="preserve"> стационарной медицинской помощи</w:t>
      </w:r>
      <w:r w:rsidR="00997B2E">
        <w:rPr>
          <w:rFonts w:ascii="Times New Roman" w:eastAsia="Calibri" w:hAnsi="Times New Roman" w:cs="Times New Roman"/>
          <w:sz w:val="28"/>
          <w:szCs w:val="28"/>
        </w:rPr>
        <w:t xml:space="preserve"> в рамках системы обязательного медицинского страхования</w:t>
      </w:r>
      <w:r w:rsidRPr="000B74CD">
        <w:rPr>
          <w:rFonts w:ascii="Times New Roman" w:eastAsia="Calibri" w:hAnsi="Times New Roman" w:cs="Times New Roman"/>
          <w:sz w:val="28"/>
          <w:szCs w:val="28"/>
        </w:rPr>
        <w:t xml:space="preserve"> должен быть дополнительно </w:t>
      </w:r>
      <w:r w:rsidR="00997B2E">
        <w:rPr>
          <w:rFonts w:ascii="Times New Roman" w:eastAsia="Calibri" w:hAnsi="Times New Roman" w:cs="Times New Roman"/>
          <w:sz w:val="28"/>
          <w:szCs w:val="28"/>
        </w:rPr>
        <w:t>исследован</w:t>
      </w:r>
      <w:r w:rsidRPr="000B74CD">
        <w:rPr>
          <w:rFonts w:ascii="Times New Roman" w:eastAsia="Calibri" w:hAnsi="Times New Roman" w:cs="Times New Roman"/>
          <w:sz w:val="28"/>
          <w:szCs w:val="28"/>
        </w:rPr>
        <w:t xml:space="preserve"> на предмет эффективности.</w:t>
      </w:r>
    </w:p>
    <w:p w:rsidR="00997B2E" w:rsidRDefault="007A7653" w:rsidP="00997B2E">
      <w:pPr>
        <w:spacing w:line="360" w:lineRule="auto"/>
        <w:ind w:firstLine="624"/>
        <w:jc w:val="both"/>
        <w:rPr>
          <w:rFonts w:ascii="Times New Roman" w:hAnsi="Times New Roman" w:cs="Times New Roman"/>
          <w:sz w:val="28"/>
          <w:szCs w:val="28"/>
        </w:rPr>
      </w:pPr>
      <w:r w:rsidRPr="007A7653">
        <w:rPr>
          <w:rFonts w:ascii="Times New Roman" w:hAnsi="Times New Roman" w:cs="Times New Roman"/>
          <w:sz w:val="28"/>
          <w:szCs w:val="28"/>
        </w:rPr>
        <w:t xml:space="preserve">На схеме </w:t>
      </w:r>
      <w:r w:rsidRPr="007139D6">
        <w:rPr>
          <w:rFonts w:ascii="Times New Roman" w:hAnsi="Times New Roman" w:cs="Times New Roman"/>
          <w:sz w:val="28"/>
          <w:szCs w:val="28"/>
        </w:rPr>
        <w:t>в</w:t>
      </w:r>
      <w:r w:rsidR="00997B2E" w:rsidRPr="007139D6">
        <w:rPr>
          <w:rFonts w:ascii="Times New Roman" w:hAnsi="Times New Roman" w:cs="Times New Roman"/>
          <w:sz w:val="28"/>
          <w:szCs w:val="28"/>
        </w:rPr>
        <w:t xml:space="preserve"> </w:t>
      </w:r>
      <w:r w:rsidR="00760B5C" w:rsidRPr="007139D6">
        <w:rPr>
          <w:rFonts w:ascii="Times New Roman" w:hAnsi="Times New Roman" w:cs="Times New Roman"/>
          <w:sz w:val="28"/>
          <w:szCs w:val="28"/>
        </w:rPr>
        <w:t>Приложении 2 (источник</w:t>
      </w:r>
      <w:r w:rsidR="00760B5C">
        <w:rPr>
          <w:rFonts w:ascii="Times New Roman" w:hAnsi="Times New Roman" w:cs="Times New Roman"/>
          <w:sz w:val="28"/>
          <w:szCs w:val="28"/>
        </w:rPr>
        <w:t xml:space="preserve"> –</w:t>
      </w:r>
      <w:r w:rsidR="00997B2E" w:rsidRPr="007A7653">
        <w:rPr>
          <w:rFonts w:ascii="Times New Roman" w:hAnsi="Times New Roman" w:cs="Times New Roman"/>
          <w:sz w:val="28"/>
          <w:szCs w:val="28"/>
        </w:rPr>
        <w:t xml:space="preserve"> [</w:t>
      </w:r>
      <w:r w:rsidR="004B64A2">
        <w:rPr>
          <w:rFonts w:ascii="Times New Roman" w:hAnsi="Times New Roman" w:cs="Times New Roman"/>
          <w:sz w:val="28"/>
          <w:szCs w:val="28"/>
        </w:rPr>
        <w:t>3</w:t>
      </w:r>
      <w:r w:rsidR="00997B2E" w:rsidRPr="007A7653">
        <w:rPr>
          <w:rFonts w:ascii="Times New Roman" w:hAnsi="Times New Roman" w:cs="Times New Roman"/>
          <w:sz w:val="28"/>
          <w:szCs w:val="28"/>
        </w:rPr>
        <w:t>]</w:t>
      </w:r>
      <w:r w:rsidR="00760B5C">
        <w:rPr>
          <w:rFonts w:ascii="Times New Roman" w:hAnsi="Times New Roman" w:cs="Times New Roman"/>
          <w:sz w:val="28"/>
          <w:szCs w:val="28"/>
        </w:rPr>
        <w:t>)</w:t>
      </w:r>
      <w:r w:rsidR="00997B2E" w:rsidRPr="007A7653">
        <w:rPr>
          <w:rFonts w:ascii="Times New Roman" w:hAnsi="Times New Roman" w:cs="Times New Roman"/>
          <w:sz w:val="28"/>
          <w:szCs w:val="28"/>
        </w:rPr>
        <w:t xml:space="preserve"> представлены основные типы оплаты медицинской помощи по результатам, применя</w:t>
      </w:r>
      <w:r w:rsidRPr="007A7653">
        <w:rPr>
          <w:rFonts w:ascii="Times New Roman" w:hAnsi="Times New Roman" w:cs="Times New Roman"/>
          <w:sz w:val="28"/>
          <w:szCs w:val="28"/>
        </w:rPr>
        <w:t>вшиеся</w:t>
      </w:r>
      <w:r w:rsidR="00997B2E" w:rsidRPr="007A7653">
        <w:rPr>
          <w:rFonts w:ascii="Times New Roman" w:hAnsi="Times New Roman" w:cs="Times New Roman"/>
          <w:sz w:val="28"/>
          <w:szCs w:val="28"/>
        </w:rPr>
        <w:t xml:space="preserve"> в рамках </w:t>
      </w:r>
      <w:r w:rsidR="00284B56" w:rsidRPr="007A7653">
        <w:rPr>
          <w:rFonts w:ascii="Times New Roman" w:hAnsi="Times New Roman" w:cs="Times New Roman"/>
          <w:sz w:val="28"/>
          <w:szCs w:val="28"/>
        </w:rPr>
        <w:t>ПГГ</w:t>
      </w:r>
      <w:r w:rsidRPr="007A7653">
        <w:rPr>
          <w:rFonts w:ascii="Times New Roman" w:hAnsi="Times New Roman" w:cs="Times New Roman"/>
          <w:sz w:val="28"/>
          <w:szCs w:val="28"/>
        </w:rPr>
        <w:t xml:space="preserve"> </w:t>
      </w:r>
      <w:r w:rsidR="004B64A2">
        <w:rPr>
          <w:rFonts w:ascii="Times New Roman" w:hAnsi="Times New Roman" w:cs="Times New Roman"/>
          <w:sz w:val="28"/>
          <w:szCs w:val="28"/>
        </w:rPr>
        <w:t xml:space="preserve">по состоянию </w:t>
      </w:r>
      <w:r w:rsidRPr="007A7653">
        <w:rPr>
          <w:rFonts w:ascii="Times New Roman" w:hAnsi="Times New Roman" w:cs="Times New Roman"/>
          <w:sz w:val="28"/>
          <w:szCs w:val="28"/>
        </w:rPr>
        <w:t>на 2011 год</w:t>
      </w:r>
      <w:r w:rsidR="00997B2E" w:rsidRPr="007A7653">
        <w:rPr>
          <w:rFonts w:ascii="Times New Roman" w:hAnsi="Times New Roman" w:cs="Times New Roman"/>
          <w:sz w:val="28"/>
          <w:szCs w:val="28"/>
        </w:rPr>
        <w:t>. При этом отмечается, что «наиболее распространенным в практике здравоохранения в настоящее время</w:t>
      </w:r>
      <w:r w:rsidR="00284B56" w:rsidRPr="007A7653">
        <w:rPr>
          <w:rFonts w:ascii="Times New Roman" w:hAnsi="Times New Roman" w:cs="Times New Roman"/>
          <w:sz w:val="28"/>
          <w:szCs w:val="28"/>
        </w:rPr>
        <w:t xml:space="preserve"> (на 2011 год – </w:t>
      </w:r>
      <w:r w:rsidR="00284B56" w:rsidRPr="007A7653">
        <w:rPr>
          <w:rFonts w:ascii="Times New Roman" w:hAnsi="Times New Roman" w:cs="Times New Roman"/>
          <w:i/>
          <w:sz w:val="28"/>
          <w:szCs w:val="28"/>
        </w:rPr>
        <w:t>примечание автора</w:t>
      </w:r>
      <w:r w:rsidR="00284B56" w:rsidRPr="007A7653">
        <w:rPr>
          <w:rFonts w:ascii="Times New Roman" w:hAnsi="Times New Roman" w:cs="Times New Roman"/>
          <w:sz w:val="28"/>
          <w:szCs w:val="28"/>
        </w:rPr>
        <w:t>)</w:t>
      </w:r>
      <w:r w:rsidR="00997B2E" w:rsidRPr="007A7653">
        <w:rPr>
          <w:rFonts w:ascii="Times New Roman" w:hAnsi="Times New Roman" w:cs="Times New Roman"/>
          <w:sz w:val="28"/>
          <w:szCs w:val="28"/>
        </w:rPr>
        <w:t xml:space="preserve"> является оплата по тарифам на укрупненные единицы объема медицинской помощи, дифференцированные по различным профилям отделени</w:t>
      </w:r>
      <w:r w:rsidR="004B64A2">
        <w:rPr>
          <w:rFonts w:ascii="Times New Roman" w:hAnsi="Times New Roman" w:cs="Times New Roman"/>
          <w:sz w:val="28"/>
          <w:szCs w:val="28"/>
        </w:rPr>
        <w:t xml:space="preserve">й и </w:t>
      </w:r>
      <w:r w:rsidR="004B64A2">
        <w:rPr>
          <w:rFonts w:ascii="Times New Roman" w:hAnsi="Times New Roman" w:cs="Times New Roman"/>
          <w:sz w:val="28"/>
          <w:szCs w:val="28"/>
        </w:rPr>
        <w:lastRenderedPageBreak/>
        <w:t>специальностей» [3</w:t>
      </w:r>
      <w:r w:rsidR="00997B2E" w:rsidRPr="007A7653">
        <w:rPr>
          <w:rFonts w:ascii="Times New Roman" w:hAnsi="Times New Roman" w:cs="Times New Roman"/>
          <w:sz w:val="28"/>
          <w:szCs w:val="28"/>
        </w:rPr>
        <w:t>]. Для стационаров (дневных и круглосуточных) такими укрупненными единицами являются профильные отделения и отделения общего профиля.</w:t>
      </w:r>
    </w:p>
    <w:p w:rsidR="00726140" w:rsidRPr="000B74CD" w:rsidRDefault="00726140" w:rsidP="00997B2E">
      <w:pPr>
        <w:spacing w:line="360" w:lineRule="auto"/>
        <w:ind w:firstLine="624"/>
        <w:jc w:val="both"/>
        <w:rPr>
          <w:rFonts w:ascii="Times New Roman" w:eastAsia="Calibri" w:hAnsi="Times New Roman" w:cs="Times New Roman"/>
          <w:sz w:val="28"/>
          <w:szCs w:val="28"/>
        </w:rPr>
      </w:pPr>
      <w:r w:rsidRPr="000B74CD">
        <w:rPr>
          <w:rFonts w:ascii="Times New Roman" w:eastAsia="Calibri" w:hAnsi="Times New Roman" w:cs="Times New Roman"/>
          <w:sz w:val="28"/>
          <w:szCs w:val="28"/>
        </w:rPr>
        <w:t>В</w:t>
      </w:r>
      <w:r w:rsidR="007A7653">
        <w:rPr>
          <w:rFonts w:ascii="Times New Roman" w:eastAsia="Calibri" w:hAnsi="Times New Roman" w:cs="Times New Roman"/>
          <w:sz w:val="28"/>
          <w:szCs w:val="28"/>
        </w:rPr>
        <w:t xml:space="preserve"> целом, в</w:t>
      </w:r>
      <w:r w:rsidRPr="000B74CD">
        <w:rPr>
          <w:rFonts w:ascii="Times New Roman" w:eastAsia="Calibri" w:hAnsi="Times New Roman" w:cs="Times New Roman"/>
          <w:sz w:val="28"/>
          <w:szCs w:val="28"/>
        </w:rPr>
        <w:t xml:space="preserve"> российской практике финансирования медицинской помощи в условиях стационара используют следующие подходы к оплате [</w:t>
      </w:r>
      <w:r w:rsidR="004B64A2">
        <w:rPr>
          <w:rFonts w:ascii="Times New Roman" w:eastAsia="Calibri" w:hAnsi="Times New Roman" w:cs="Times New Roman"/>
          <w:sz w:val="28"/>
          <w:szCs w:val="28"/>
        </w:rPr>
        <w:t>3</w:t>
      </w:r>
      <w:r w:rsidRPr="000B74CD">
        <w:rPr>
          <w:rFonts w:ascii="Times New Roman" w:eastAsia="Calibri" w:hAnsi="Times New Roman" w:cs="Times New Roman"/>
          <w:sz w:val="28"/>
          <w:szCs w:val="28"/>
        </w:rPr>
        <w:t>]:</w:t>
      </w:r>
    </w:p>
    <w:p w:rsidR="00726140" w:rsidRPr="00DE709B" w:rsidRDefault="00726140" w:rsidP="00997B2E">
      <w:pPr>
        <w:pStyle w:val="a3"/>
        <w:numPr>
          <w:ilvl w:val="0"/>
          <w:numId w:val="8"/>
        </w:numPr>
        <w:tabs>
          <w:tab w:val="left" w:pos="142"/>
        </w:tabs>
        <w:spacing w:line="360" w:lineRule="auto"/>
        <w:ind w:left="0" w:firstLine="624"/>
        <w:jc w:val="both"/>
        <w:rPr>
          <w:rFonts w:ascii="Times New Roman" w:hAnsi="Times New Roman" w:cs="Times New Roman"/>
          <w:sz w:val="28"/>
          <w:szCs w:val="28"/>
        </w:rPr>
      </w:pPr>
      <w:r w:rsidRPr="00DE709B">
        <w:rPr>
          <w:rFonts w:ascii="Times New Roman" w:hAnsi="Times New Roman" w:cs="Times New Roman"/>
          <w:sz w:val="28"/>
          <w:szCs w:val="28"/>
        </w:rPr>
        <w:t>Оплата фактических расходов на основе детальной калькуляции по отдельным простым услугам;</w:t>
      </w:r>
    </w:p>
    <w:p w:rsidR="00726140" w:rsidRPr="00DE709B" w:rsidRDefault="00726140" w:rsidP="00997B2E">
      <w:pPr>
        <w:pStyle w:val="a3"/>
        <w:numPr>
          <w:ilvl w:val="0"/>
          <w:numId w:val="8"/>
        </w:numPr>
        <w:tabs>
          <w:tab w:val="left" w:pos="142"/>
        </w:tabs>
        <w:spacing w:line="360" w:lineRule="auto"/>
        <w:ind w:left="0" w:firstLine="624"/>
        <w:jc w:val="both"/>
        <w:rPr>
          <w:rFonts w:ascii="Times New Roman" w:hAnsi="Times New Roman" w:cs="Times New Roman"/>
          <w:sz w:val="28"/>
          <w:szCs w:val="28"/>
        </w:rPr>
      </w:pPr>
      <w:r w:rsidRPr="00DE709B">
        <w:rPr>
          <w:rFonts w:ascii="Times New Roman" w:hAnsi="Times New Roman" w:cs="Times New Roman"/>
          <w:sz w:val="28"/>
          <w:szCs w:val="28"/>
        </w:rPr>
        <w:t>Оплата по количеству проведенных пациентом в профильном стационаре койко-дней;</w:t>
      </w:r>
    </w:p>
    <w:p w:rsidR="00726140" w:rsidRPr="00DE709B" w:rsidRDefault="00726140" w:rsidP="00997B2E">
      <w:pPr>
        <w:pStyle w:val="a3"/>
        <w:numPr>
          <w:ilvl w:val="0"/>
          <w:numId w:val="8"/>
        </w:numPr>
        <w:tabs>
          <w:tab w:val="left" w:pos="142"/>
        </w:tabs>
        <w:spacing w:line="360" w:lineRule="auto"/>
        <w:ind w:left="0" w:firstLine="624"/>
        <w:jc w:val="both"/>
        <w:rPr>
          <w:rFonts w:ascii="Times New Roman" w:hAnsi="Times New Roman" w:cs="Times New Roman"/>
          <w:sz w:val="28"/>
          <w:szCs w:val="28"/>
        </w:rPr>
      </w:pPr>
      <w:r w:rsidRPr="00DE709B">
        <w:rPr>
          <w:rFonts w:ascii="Times New Roman" w:hAnsi="Times New Roman" w:cs="Times New Roman"/>
          <w:sz w:val="28"/>
          <w:szCs w:val="28"/>
        </w:rPr>
        <w:t>Оплата по средней стоимости лечения пациента в профильном отделении;</w:t>
      </w:r>
    </w:p>
    <w:p w:rsidR="00726140" w:rsidRPr="00DE709B" w:rsidRDefault="00726140" w:rsidP="00997B2E">
      <w:pPr>
        <w:pStyle w:val="a3"/>
        <w:numPr>
          <w:ilvl w:val="0"/>
          <w:numId w:val="8"/>
        </w:numPr>
        <w:tabs>
          <w:tab w:val="left" w:pos="142"/>
        </w:tabs>
        <w:spacing w:line="360" w:lineRule="auto"/>
        <w:ind w:left="0" w:firstLine="624"/>
        <w:jc w:val="both"/>
        <w:rPr>
          <w:rFonts w:ascii="Times New Roman" w:hAnsi="Times New Roman" w:cs="Times New Roman"/>
          <w:sz w:val="28"/>
          <w:szCs w:val="28"/>
        </w:rPr>
      </w:pPr>
      <w:r w:rsidRPr="00DE709B">
        <w:rPr>
          <w:rFonts w:ascii="Times New Roman" w:hAnsi="Times New Roman" w:cs="Times New Roman"/>
          <w:sz w:val="28"/>
          <w:szCs w:val="28"/>
        </w:rPr>
        <w:t>Оплата по клинико-статистической группе заболеваний.</w:t>
      </w:r>
    </w:p>
    <w:p w:rsidR="00726140" w:rsidRPr="00DE709B" w:rsidRDefault="00726140" w:rsidP="00997B2E">
      <w:pPr>
        <w:spacing w:line="360" w:lineRule="auto"/>
        <w:ind w:firstLine="624"/>
        <w:jc w:val="both"/>
        <w:rPr>
          <w:rFonts w:ascii="Times New Roman" w:hAnsi="Times New Roman" w:cs="Times New Roman"/>
          <w:sz w:val="28"/>
          <w:szCs w:val="28"/>
        </w:rPr>
      </w:pPr>
      <w:r w:rsidRPr="007139D6">
        <w:rPr>
          <w:rFonts w:ascii="Times New Roman" w:hAnsi="Times New Roman" w:cs="Times New Roman"/>
          <w:sz w:val="28"/>
          <w:szCs w:val="28"/>
        </w:rPr>
        <w:t xml:space="preserve">В </w:t>
      </w:r>
      <w:r w:rsidR="00760B5C" w:rsidRPr="007139D6">
        <w:rPr>
          <w:rFonts w:ascii="Times New Roman" w:hAnsi="Times New Roman" w:cs="Times New Roman"/>
          <w:sz w:val="28"/>
          <w:szCs w:val="28"/>
        </w:rPr>
        <w:t>Приложении 3</w:t>
      </w:r>
      <w:r w:rsidR="00760B5C">
        <w:rPr>
          <w:rFonts w:ascii="Times New Roman" w:hAnsi="Times New Roman" w:cs="Times New Roman"/>
          <w:sz w:val="28"/>
          <w:szCs w:val="28"/>
        </w:rPr>
        <w:t xml:space="preserve"> (источник – </w:t>
      </w:r>
      <w:r w:rsidR="00760B5C" w:rsidRPr="00760B5C">
        <w:rPr>
          <w:rFonts w:ascii="Times New Roman" w:hAnsi="Times New Roman" w:cs="Times New Roman"/>
          <w:sz w:val="28"/>
          <w:szCs w:val="28"/>
        </w:rPr>
        <w:t>[3])</w:t>
      </w:r>
      <w:r w:rsidRPr="00DE709B">
        <w:rPr>
          <w:rFonts w:ascii="Times New Roman" w:hAnsi="Times New Roman" w:cs="Times New Roman"/>
          <w:sz w:val="28"/>
          <w:szCs w:val="28"/>
        </w:rPr>
        <w:t xml:space="preserve"> приведены преимущества и недостатки каждого конкретного подхода к оплате с</w:t>
      </w:r>
      <w:r w:rsidR="00760B5C">
        <w:rPr>
          <w:rFonts w:ascii="Times New Roman" w:hAnsi="Times New Roman" w:cs="Times New Roman"/>
          <w:sz w:val="28"/>
          <w:szCs w:val="28"/>
        </w:rPr>
        <w:t>тационарной медицинской помощи</w:t>
      </w:r>
      <w:r w:rsidRPr="00DE709B">
        <w:rPr>
          <w:rFonts w:ascii="Times New Roman" w:hAnsi="Times New Roman" w:cs="Times New Roman"/>
          <w:sz w:val="28"/>
          <w:szCs w:val="28"/>
        </w:rPr>
        <w:t>.</w:t>
      </w:r>
    </w:p>
    <w:p w:rsidR="00726140" w:rsidRDefault="00726140" w:rsidP="00726140">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Согласно Программе государственных гарантий при реализации территориальной программы ОМС</w:t>
      </w:r>
      <w:r w:rsidR="004B64A2">
        <w:rPr>
          <w:rFonts w:ascii="Times New Roman" w:hAnsi="Times New Roman" w:cs="Times New Roman"/>
          <w:sz w:val="28"/>
          <w:szCs w:val="28"/>
        </w:rPr>
        <w:t xml:space="preserve"> </w:t>
      </w:r>
      <w:r w:rsidR="004B64A2" w:rsidRPr="004B64A2">
        <w:rPr>
          <w:rFonts w:ascii="Times New Roman" w:hAnsi="Times New Roman" w:cs="Times New Roman"/>
          <w:sz w:val="28"/>
          <w:szCs w:val="28"/>
        </w:rPr>
        <w:t>[8]</w:t>
      </w:r>
      <w:r>
        <w:rPr>
          <w:rFonts w:ascii="Times New Roman" w:hAnsi="Times New Roman" w:cs="Times New Roman"/>
          <w:sz w:val="28"/>
          <w:szCs w:val="28"/>
        </w:rPr>
        <w:t xml:space="preserve"> используются следующие подходы к оплате стационарной медицинской помощи:</w:t>
      </w:r>
    </w:p>
    <w:p w:rsidR="00726140" w:rsidRDefault="00726140" w:rsidP="00726140">
      <w:pPr>
        <w:pStyle w:val="a3"/>
        <w:numPr>
          <w:ilvl w:val="0"/>
          <w:numId w:val="22"/>
        </w:numPr>
        <w:tabs>
          <w:tab w:val="left" w:pos="142"/>
        </w:tabs>
        <w:spacing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За законченный случай заболевания;</w:t>
      </w:r>
    </w:p>
    <w:p w:rsidR="00726140" w:rsidRDefault="00726140" w:rsidP="00FD6CDB">
      <w:pPr>
        <w:pStyle w:val="a3"/>
        <w:numPr>
          <w:ilvl w:val="0"/>
          <w:numId w:val="22"/>
        </w:numPr>
        <w:tabs>
          <w:tab w:val="left" w:pos="142"/>
        </w:tabs>
        <w:spacing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За законченный случай заболевания, включенного в соответствующую группу заболеваний (в том числе клинико-статистические группы заболеваний).</w:t>
      </w:r>
    </w:p>
    <w:p w:rsidR="00D97AC3" w:rsidRPr="00FD6CDB" w:rsidRDefault="00D97AC3" w:rsidP="00FD6CDB">
      <w:pPr>
        <w:pStyle w:val="a3"/>
        <w:tabs>
          <w:tab w:val="left" w:pos="142"/>
        </w:tabs>
        <w:spacing w:line="360" w:lineRule="auto"/>
        <w:ind w:left="0" w:firstLine="624"/>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опроса среди главных врачей наиболее </w:t>
      </w:r>
      <w:r w:rsidR="007139D6">
        <w:rPr>
          <w:rFonts w:ascii="Times New Roman" w:hAnsi="Times New Roman" w:cs="Times New Roman"/>
          <w:sz w:val="28"/>
          <w:szCs w:val="28"/>
        </w:rPr>
        <w:t>предпочтительным</w:t>
      </w:r>
      <w:r>
        <w:rPr>
          <w:rFonts w:ascii="Times New Roman" w:hAnsi="Times New Roman" w:cs="Times New Roman"/>
          <w:sz w:val="28"/>
          <w:szCs w:val="28"/>
        </w:rPr>
        <w:t xml:space="preserve"> способ</w:t>
      </w:r>
      <w:r w:rsidR="007139D6">
        <w:rPr>
          <w:rFonts w:ascii="Times New Roman" w:hAnsi="Times New Roman" w:cs="Times New Roman"/>
          <w:sz w:val="28"/>
          <w:szCs w:val="28"/>
        </w:rPr>
        <w:t>ом</w:t>
      </w:r>
      <w:r>
        <w:rPr>
          <w:rFonts w:ascii="Times New Roman" w:hAnsi="Times New Roman" w:cs="Times New Roman"/>
          <w:sz w:val="28"/>
          <w:szCs w:val="28"/>
        </w:rPr>
        <w:t xml:space="preserve"> оплаты стационарной медицинской помощи был признан метод оплаты за законченный случай (по детальным </w:t>
      </w:r>
      <w:r w:rsidRPr="002664D9">
        <w:rPr>
          <w:rFonts w:ascii="Times New Roman" w:hAnsi="Times New Roman" w:cs="Times New Roman"/>
          <w:sz w:val="28"/>
          <w:szCs w:val="28"/>
        </w:rPr>
        <w:t>заболеваниям или в разрезе клинико-статистических групп</w:t>
      </w:r>
      <w:r w:rsidR="00FD6CDB" w:rsidRPr="002664D9">
        <w:rPr>
          <w:rFonts w:ascii="Times New Roman" w:hAnsi="Times New Roman" w:cs="Times New Roman"/>
          <w:sz w:val="28"/>
          <w:szCs w:val="28"/>
        </w:rPr>
        <w:t xml:space="preserve">), см. </w:t>
      </w:r>
      <w:r w:rsidR="00760B5C" w:rsidRPr="002664D9">
        <w:rPr>
          <w:rFonts w:ascii="Times New Roman" w:hAnsi="Times New Roman" w:cs="Times New Roman"/>
          <w:sz w:val="28"/>
          <w:szCs w:val="28"/>
        </w:rPr>
        <w:t xml:space="preserve">Рисунок </w:t>
      </w:r>
      <w:r w:rsidR="00290FDE" w:rsidRPr="002664D9">
        <w:rPr>
          <w:rFonts w:ascii="Times New Roman" w:hAnsi="Times New Roman" w:cs="Times New Roman"/>
          <w:sz w:val="28"/>
          <w:szCs w:val="28"/>
        </w:rPr>
        <w:t>7</w:t>
      </w:r>
      <w:r w:rsidR="00FD6CDB" w:rsidRPr="002664D9">
        <w:rPr>
          <w:rFonts w:ascii="Times New Roman" w:hAnsi="Times New Roman" w:cs="Times New Roman"/>
          <w:sz w:val="28"/>
          <w:szCs w:val="28"/>
        </w:rPr>
        <w:t xml:space="preserve"> (источник – [</w:t>
      </w:r>
      <w:r w:rsidR="002664D9" w:rsidRPr="002664D9">
        <w:rPr>
          <w:rFonts w:ascii="Times New Roman" w:hAnsi="Times New Roman" w:cs="Times New Roman"/>
          <w:sz w:val="28"/>
          <w:szCs w:val="28"/>
        </w:rPr>
        <w:t>20</w:t>
      </w:r>
      <w:r w:rsidR="00FD6CDB" w:rsidRPr="002664D9">
        <w:rPr>
          <w:rFonts w:ascii="Times New Roman" w:hAnsi="Times New Roman" w:cs="Times New Roman"/>
          <w:sz w:val="28"/>
          <w:szCs w:val="28"/>
        </w:rPr>
        <w:t>]).</w:t>
      </w:r>
    </w:p>
    <w:p w:rsidR="002D179F" w:rsidRPr="007139D6" w:rsidRDefault="00D97AC3" w:rsidP="002D179F">
      <w:pPr>
        <w:pStyle w:val="a3"/>
        <w:tabs>
          <w:tab w:val="left" w:pos="142"/>
        </w:tabs>
        <w:spacing w:line="360" w:lineRule="auto"/>
        <w:ind w:left="624"/>
        <w:jc w:val="both"/>
        <w:rPr>
          <w:rFonts w:ascii="Times New Roman" w:hAnsi="Times New Roman" w:cs="Times New Roman"/>
          <w:b/>
        </w:rPr>
      </w:pPr>
      <w:r w:rsidRPr="007139D6">
        <w:rPr>
          <w:rFonts w:ascii="Times New Roman" w:hAnsi="Times New Roman" w:cs="Times New Roman"/>
          <w:b/>
          <w:noProof/>
          <w:lang w:eastAsia="ru-RU"/>
        </w:rPr>
        <w:lastRenderedPageBreak/>
        <w:drawing>
          <wp:anchor distT="0" distB="0" distL="114300" distR="114300" simplePos="0" relativeHeight="251662336" behindDoc="0" locked="0" layoutInCell="1" allowOverlap="1">
            <wp:simplePos x="0" y="0"/>
            <wp:positionH relativeFrom="column">
              <wp:posOffset>-46355</wp:posOffset>
            </wp:positionH>
            <wp:positionV relativeFrom="paragraph">
              <wp:posOffset>-190500</wp:posOffset>
            </wp:positionV>
            <wp:extent cx="6031865" cy="353441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031865" cy="3534410"/>
                    </a:xfrm>
                    <a:prstGeom prst="rect">
                      <a:avLst/>
                    </a:prstGeom>
                    <a:noFill/>
                    <a:ln w="9525">
                      <a:noFill/>
                      <a:miter lim="800000"/>
                      <a:headEnd/>
                      <a:tailEnd/>
                    </a:ln>
                  </pic:spPr>
                </pic:pic>
              </a:graphicData>
            </a:graphic>
          </wp:anchor>
        </w:drawing>
      </w:r>
      <w:r w:rsidR="00290FDE">
        <w:rPr>
          <w:rFonts w:ascii="Times New Roman" w:hAnsi="Times New Roman" w:cs="Times New Roman"/>
          <w:b/>
        </w:rPr>
        <w:t>Рисунок 7</w:t>
      </w:r>
      <w:r w:rsidR="00760B5C" w:rsidRPr="007139D6">
        <w:rPr>
          <w:rFonts w:ascii="Times New Roman" w:hAnsi="Times New Roman" w:cs="Times New Roman"/>
          <w:b/>
        </w:rPr>
        <w:t>.</w:t>
      </w:r>
      <w:r w:rsidR="007139D6" w:rsidRPr="007139D6">
        <w:rPr>
          <w:rFonts w:ascii="Times New Roman" w:hAnsi="Times New Roman" w:cs="Times New Roman"/>
          <w:b/>
        </w:rPr>
        <w:t xml:space="preserve"> Предпочтительные способом оплаты стационарной медицинской помощи</w:t>
      </w:r>
      <w:r w:rsidR="00760B5C" w:rsidRPr="007139D6">
        <w:rPr>
          <w:rFonts w:ascii="Times New Roman" w:hAnsi="Times New Roman" w:cs="Times New Roman"/>
          <w:b/>
        </w:rPr>
        <w:t xml:space="preserve"> </w:t>
      </w:r>
      <w:r w:rsidR="007139D6" w:rsidRPr="007139D6">
        <w:rPr>
          <w:rFonts w:ascii="Times New Roman" w:hAnsi="Times New Roman" w:cs="Times New Roman"/>
          <w:b/>
        </w:rPr>
        <w:t xml:space="preserve">по результату опроса </w:t>
      </w:r>
      <w:r w:rsidR="007139D6" w:rsidRPr="002664D9">
        <w:rPr>
          <w:rFonts w:ascii="Times New Roman" w:hAnsi="Times New Roman" w:cs="Times New Roman"/>
          <w:b/>
        </w:rPr>
        <w:t xml:space="preserve">(источник – </w:t>
      </w:r>
      <w:r w:rsidR="002664D9" w:rsidRPr="002664D9">
        <w:rPr>
          <w:rFonts w:ascii="Times New Roman" w:hAnsi="Times New Roman" w:cs="Times New Roman"/>
          <w:b/>
        </w:rPr>
        <w:t>[20</w:t>
      </w:r>
      <w:r w:rsidR="007139D6" w:rsidRPr="002664D9">
        <w:rPr>
          <w:rFonts w:ascii="Times New Roman" w:hAnsi="Times New Roman" w:cs="Times New Roman"/>
          <w:b/>
        </w:rPr>
        <w:t>]).</w:t>
      </w:r>
    </w:p>
    <w:p w:rsidR="00726140" w:rsidRDefault="00726140" w:rsidP="007139D6">
      <w:pPr>
        <w:spacing w:line="360" w:lineRule="auto"/>
        <w:ind w:firstLine="624"/>
        <w:jc w:val="both"/>
        <w:rPr>
          <w:rFonts w:ascii="Times New Roman" w:hAnsi="Times New Roman" w:cs="Times New Roman"/>
          <w:sz w:val="28"/>
          <w:szCs w:val="28"/>
        </w:rPr>
      </w:pPr>
      <w:r>
        <w:rPr>
          <w:rFonts w:ascii="Times New Roman" w:hAnsi="Times New Roman" w:cs="Times New Roman"/>
          <w:sz w:val="28"/>
          <w:szCs w:val="28"/>
        </w:rPr>
        <w:t>Таким образом, финансирование стационарной медицинской помощи в Российской Федерации предусматривает оплату за законченный случай, в том числе, по клинико-статистическим группам заболеваний, что, как было показано в работе ранее, является наиболее распространенным инновационным способом оплаты стационарной помощи в мире. Тем не менее, некоторую сложность может вызвать согласование существующего на данный момент законодательства и инновационных нововведений, проводимых в сфере финансирования Министерством здравоохранения Российской Федерации и Федеральным фондом обязательного медицинского страхования.</w:t>
      </w:r>
    </w:p>
    <w:p w:rsidR="00726140" w:rsidRPr="00127805" w:rsidRDefault="00726140" w:rsidP="00997B2E">
      <w:pPr>
        <w:pStyle w:val="2"/>
        <w:numPr>
          <w:ilvl w:val="1"/>
          <w:numId w:val="11"/>
        </w:numPr>
        <w:spacing w:before="360" w:after="240" w:line="360" w:lineRule="auto"/>
        <w:ind w:left="0" w:firstLine="0"/>
        <w:jc w:val="both"/>
        <w:rPr>
          <w:rFonts w:ascii="Times New Roman" w:hAnsi="Times New Roman"/>
          <w:color w:val="auto"/>
          <w:sz w:val="32"/>
          <w:szCs w:val="32"/>
        </w:rPr>
      </w:pPr>
      <w:bookmarkStart w:id="13" w:name="_Toc357415394"/>
      <w:r>
        <w:rPr>
          <w:rFonts w:ascii="Times New Roman" w:hAnsi="Times New Roman"/>
          <w:color w:val="auto"/>
          <w:sz w:val="32"/>
          <w:szCs w:val="32"/>
        </w:rPr>
        <w:t>Предложения по развитию подхода КСГ и обязательных к применению стандартов медицинской помощи</w:t>
      </w:r>
      <w:bookmarkEnd w:id="13"/>
    </w:p>
    <w:p w:rsidR="00726140" w:rsidRPr="00280A7F" w:rsidRDefault="00726140" w:rsidP="00726140">
      <w:pPr>
        <w:tabs>
          <w:tab w:val="right" w:pos="9360"/>
        </w:tabs>
        <w:spacing w:line="360" w:lineRule="auto"/>
        <w:jc w:val="both"/>
        <w:rPr>
          <w:rFonts w:ascii="Times New Roman" w:eastAsia="Calibri" w:hAnsi="Times New Roman" w:cs="Times New Roman"/>
          <w:sz w:val="28"/>
          <w:szCs w:val="28"/>
        </w:rPr>
      </w:pPr>
      <w:r w:rsidRPr="00280A7F">
        <w:rPr>
          <w:rFonts w:ascii="Times New Roman" w:eastAsia="Calibri" w:hAnsi="Times New Roman" w:cs="Times New Roman"/>
          <w:sz w:val="28"/>
          <w:szCs w:val="28"/>
        </w:rPr>
        <w:t xml:space="preserve">Рекомендациями «Способы оплаты медицинской помощи в рамках программы государственных гарантий на основе групп заболеваний, в том числе клинико-статистических групп болезней (КСГ)», разработанными </w:t>
      </w:r>
      <w:r w:rsidRPr="00280A7F">
        <w:rPr>
          <w:rFonts w:ascii="Times New Roman" w:eastAsia="Calibri" w:hAnsi="Times New Roman" w:cs="Times New Roman"/>
          <w:sz w:val="28"/>
          <w:szCs w:val="28"/>
        </w:rPr>
        <w:lastRenderedPageBreak/>
        <w:t xml:space="preserve">Министерством здравоохранения Российской Федерации совместно с Федеральным фондом обязательного медицинского страхования </w:t>
      </w:r>
      <w:r w:rsidR="004B64A2">
        <w:rPr>
          <w:rFonts w:ascii="Times New Roman" w:hAnsi="Times New Roman" w:cs="Times New Roman"/>
          <w:sz w:val="28"/>
          <w:szCs w:val="28"/>
        </w:rPr>
        <w:t>[</w:t>
      </w:r>
      <w:r w:rsidR="004B64A2" w:rsidRPr="004B64A2">
        <w:rPr>
          <w:rFonts w:ascii="Times New Roman" w:hAnsi="Times New Roman" w:cs="Times New Roman"/>
          <w:sz w:val="28"/>
          <w:szCs w:val="28"/>
        </w:rPr>
        <w:t>7</w:t>
      </w:r>
      <w:r w:rsidRPr="00280A7F">
        <w:rPr>
          <w:rFonts w:ascii="Times New Roman" w:hAnsi="Times New Roman" w:cs="Times New Roman"/>
          <w:sz w:val="28"/>
          <w:szCs w:val="28"/>
        </w:rPr>
        <w:t xml:space="preserve">] </w:t>
      </w:r>
      <w:r w:rsidRPr="00280A7F">
        <w:rPr>
          <w:rFonts w:ascii="Times New Roman" w:eastAsia="Calibri" w:hAnsi="Times New Roman" w:cs="Times New Roman"/>
          <w:sz w:val="28"/>
          <w:szCs w:val="28"/>
        </w:rPr>
        <w:t xml:space="preserve">предложена модель финансового обеспечения стационарной медицинской помощи, основанная на объединении стандартов медицинской помощи в  группы заболеваний  (КСГ и КПГ).  </w:t>
      </w:r>
    </w:p>
    <w:p w:rsidR="00726140" w:rsidRPr="00280A7F" w:rsidRDefault="00726140" w:rsidP="00726140">
      <w:pPr>
        <w:widowControl w:val="0"/>
        <w:autoSpaceDE w:val="0"/>
        <w:autoSpaceDN w:val="0"/>
        <w:adjustRightInd w:val="0"/>
        <w:spacing w:line="360" w:lineRule="auto"/>
        <w:ind w:firstLine="624"/>
        <w:jc w:val="both"/>
        <w:rPr>
          <w:rFonts w:ascii="Times New Roman" w:eastAsia="Calibri" w:hAnsi="Times New Roman" w:cs="Times New Roman"/>
          <w:sz w:val="28"/>
          <w:szCs w:val="28"/>
        </w:rPr>
      </w:pPr>
      <w:r w:rsidRPr="00280A7F">
        <w:rPr>
          <w:rFonts w:ascii="Times New Roman" w:eastAsia="Calibri" w:hAnsi="Times New Roman" w:cs="Times New Roman"/>
          <w:sz w:val="28"/>
          <w:szCs w:val="28"/>
        </w:rPr>
        <w:t>Согласно предлагаемой модели  на первом этапе медицинские услуги объединяются в стандарт медицинской помощи (набор медицинских услуг), а цены на каждую из них позволяют просчитать стоимость стандарта по лечению конкретного заболевания. Разрабатываемые и устанавливаемые Министерством здравоохранения Российской Федерации стандарты медицинской помощи охватывают около 85% всех заболеваний. Поэтому всегда необходимо учитывать, что будут заболевания, пусть и не часто встречающиеся, на которые стандарты не разрабатываются, а при объединении заболеваний в группы их надо учитывать.</w:t>
      </w:r>
    </w:p>
    <w:p w:rsidR="00726140" w:rsidRPr="00280A7F" w:rsidRDefault="00726140" w:rsidP="00726140">
      <w:pPr>
        <w:widowControl w:val="0"/>
        <w:autoSpaceDE w:val="0"/>
        <w:autoSpaceDN w:val="0"/>
        <w:adjustRightInd w:val="0"/>
        <w:spacing w:line="360" w:lineRule="auto"/>
        <w:ind w:firstLine="624"/>
        <w:jc w:val="both"/>
        <w:rPr>
          <w:rFonts w:ascii="Times New Roman" w:eastAsia="Calibri" w:hAnsi="Times New Roman" w:cs="Times New Roman"/>
          <w:sz w:val="28"/>
          <w:szCs w:val="28"/>
        </w:rPr>
      </w:pPr>
      <w:r w:rsidRPr="00280A7F">
        <w:rPr>
          <w:rFonts w:ascii="Times New Roman" w:eastAsia="Calibri" w:hAnsi="Times New Roman" w:cs="Times New Roman"/>
          <w:sz w:val="28"/>
          <w:szCs w:val="28"/>
        </w:rPr>
        <w:t xml:space="preserve">На втором этапе заболевания объединяются в КСГ и рассчитываются поправочные коэффициенты стоимости КСГ. В дальнейшем КСГ объединены в КПГ на основе профилей стационарной медицинской помощи и к ним установлены поправочные коэффициенты, как средневзвешенные показатели КСГ. За базовую ставку финансирования при этом принят норматив стоимости единицы стационарной медицинской помощи. По отношению к базовой ставке финансирования рассчитаны поправочные коэффициенты КСГ и КПГ. Субъект Российской Федерации для определения размера базовой ставки финансирования использует установленный ТПГГ территориальный норматив стоимости единицы объема и подушевой норматив финансового обеспечения стационарной медицинской помощи. Финансовое обеспечение стационарной медицинской помощи в субъекте Российской Федерации осуществляется исходя из количества пролеченных в стационарах пациентов преимущественно на основе КСГ, при этом оплата на основе КПГ может </w:t>
      </w:r>
      <w:r w:rsidRPr="00280A7F">
        <w:rPr>
          <w:rFonts w:ascii="Times New Roman" w:eastAsia="Calibri" w:hAnsi="Times New Roman" w:cs="Times New Roman"/>
          <w:sz w:val="28"/>
          <w:szCs w:val="28"/>
        </w:rPr>
        <w:lastRenderedPageBreak/>
        <w:t>производиться в случае лечения заболевания, не входящего в КСГ.</w:t>
      </w:r>
    </w:p>
    <w:p w:rsidR="00726140" w:rsidRPr="009B111E" w:rsidRDefault="00726140" w:rsidP="00726140">
      <w:pPr>
        <w:pStyle w:val="a4"/>
        <w:spacing w:before="0" w:beforeAutospacing="0" w:after="240" w:afterAutospacing="0" w:line="360" w:lineRule="auto"/>
        <w:ind w:firstLine="624"/>
        <w:jc w:val="both"/>
        <w:rPr>
          <w:rFonts w:eastAsia="Calibri"/>
          <w:sz w:val="28"/>
          <w:szCs w:val="28"/>
          <w:lang w:eastAsia="en-US"/>
        </w:rPr>
      </w:pPr>
      <w:r w:rsidRPr="009B111E">
        <w:rPr>
          <w:rFonts w:eastAsia="Calibri"/>
          <w:sz w:val="28"/>
          <w:szCs w:val="28"/>
          <w:lang w:eastAsia="en-US"/>
        </w:rPr>
        <w:t>Министерство здравоохранения Российской Федерации утвердило и разместило на официальном сайте 797 стандартов медицинской помощи. Регистрация этих документов в Министерстве юстиции Российской Федерации закончена в апреле 2013 года. Разработанные стандарты охватывают все классы заболеваний, покрывают заболевания, составляющие более 80 процентов заболеваемости населения.</w:t>
      </w:r>
    </w:p>
    <w:p w:rsidR="00726140" w:rsidRPr="009B111E" w:rsidRDefault="00726140" w:rsidP="00726140">
      <w:pPr>
        <w:spacing w:line="360" w:lineRule="auto"/>
        <w:ind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t>Рекомендации</w:t>
      </w:r>
      <w:r w:rsidRPr="009B111E">
        <w:rPr>
          <w:rFonts w:ascii="Times New Roman" w:eastAsia="Calibri" w:hAnsi="Times New Roman" w:cs="Times New Roman"/>
          <w:sz w:val="28"/>
          <w:szCs w:val="28"/>
        </w:rPr>
        <w:t xml:space="preserve"> «Способы оплаты медицинской помощи в рамках программы государственных гарантий на основе групп заболеваний, в том числе клинико-статистических групп болезней (КСГ)»,</w:t>
      </w:r>
      <w:r>
        <w:rPr>
          <w:rFonts w:ascii="Times New Roman" w:eastAsia="Calibri" w:hAnsi="Times New Roman" w:cs="Times New Roman"/>
          <w:sz w:val="28"/>
          <w:szCs w:val="28"/>
        </w:rPr>
        <w:t xml:space="preserve"> представляющие первую отечественную</w:t>
      </w:r>
      <w:r w:rsidRPr="009B111E">
        <w:rPr>
          <w:rFonts w:ascii="Times New Roman" w:eastAsia="Calibri" w:hAnsi="Times New Roman" w:cs="Times New Roman"/>
          <w:sz w:val="28"/>
          <w:szCs w:val="28"/>
        </w:rPr>
        <w:t xml:space="preserve"> модель</w:t>
      </w:r>
      <w:r>
        <w:rPr>
          <w:rFonts w:ascii="Times New Roman" w:eastAsia="Calibri" w:hAnsi="Times New Roman" w:cs="Times New Roman"/>
          <w:sz w:val="28"/>
          <w:szCs w:val="28"/>
        </w:rPr>
        <w:t xml:space="preserve"> клинико-статистических групп, содержат</w:t>
      </w:r>
      <w:r w:rsidRPr="009B111E">
        <w:rPr>
          <w:rFonts w:ascii="Times New Roman" w:eastAsia="Calibri" w:hAnsi="Times New Roman" w:cs="Times New Roman"/>
          <w:sz w:val="28"/>
          <w:szCs w:val="28"/>
        </w:rPr>
        <w:t xml:space="preserve"> 187 клинико-статистических групп</w:t>
      </w:r>
      <w:r w:rsidR="00760B5C">
        <w:rPr>
          <w:rFonts w:ascii="Times New Roman" w:eastAsia="Calibri" w:hAnsi="Times New Roman" w:cs="Times New Roman"/>
          <w:sz w:val="28"/>
          <w:szCs w:val="28"/>
        </w:rPr>
        <w:t xml:space="preserve">, </w:t>
      </w:r>
      <w:r w:rsidR="00760B5C" w:rsidRPr="007139D6">
        <w:rPr>
          <w:rFonts w:ascii="Times New Roman" w:eastAsia="Calibri" w:hAnsi="Times New Roman" w:cs="Times New Roman"/>
          <w:sz w:val="28"/>
          <w:szCs w:val="28"/>
        </w:rPr>
        <w:t>см.</w:t>
      </w:r>
      <w:r w:rsidRPr="007139D6">
        <w:rPr>
          <w:rFonts w:ascii="Times New Roman" w:eastAsia="Calibri" w:hAnsi="Times New Roman" w:cs="Times New Roman"/>
          <w:sz w:val="28"/>
          <w:szCs w:val="28"/>
        </w:rPr>
        <w:t xml:space="preserve"> </w:t>
      </w:r>
      <w:r w:rsidR="00760B5C" w:rsidRPr="007139D6">
        <w:rPr>
          <w:rFonts w:ascii="Times New Roman" w:eastAsia="Calibri" w:hAnsi="Times New Roman" w:cs="Times New Roman"/>
          <w:sz w:val="28"/>
          <w:szCs w:val="28"/>
        </w:rPr>
        <w:t>Приложение 4</w:t>
      </w:r>
      <w:r w:rsidR="007139D6" w:rsidRPr="007139D6">
        <w:rPr>
          <w:rFonts w:ascii="Times New Roman" w:eastAsia="Calibri" w:hAnsi="Times New Roman" w:cs="Times New Roman"/>
          <w:sz w:val="28"/>
          <w:szCs w:val="28"/>
        </w:rPr>
        <w:t xml:space="preserve"> [7</w:t>
      </w:r>
      <w:r w:rsidRPr="007139D6">
        <w:rPr>
          <w:rFonts w:ascii="Times New Roman" w:eastAsia="Calibri" w:hAnsi="Times New Roman" w:cs="Times New Roman"/>
          <w:sz w:val="28"/>
          <w:szCs w:val="28"/>
        </w:rPr>
        <w:t>].</w:t>
      </w:r>
    </w:p>
    <w:p w:rsidR="00726140"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На протяжении последних двух лет руководство Министерства здравоохранения Российской Федерации неоднократно заявляло о полном переходе на оплату стационарной медицинской помощи по клинико-статистическим группам на всей территории Российской Федерации</w:t>
      </w:r>
      <w:r>
        <w:rPr>
          <w:rFonts w:ascii="Times New Roman" w:eastAsia="Calibri" w:hAnsi="Times New Roman" w:cs="Times New Roman"/>
          <w:sz w:val="28"/>
          <w:szCs w:val="28"/>
        </w:rPr>
        <w:t>. Т</w:t>
      </w:r>
      <w:r w:rsidRPr="009B111E">
        <w:rPr>
          <w:rFonts w:ascii="Times New Roman" w:eastAsia="Calibri" w:hAnsi="Times New Roman" w:cs="Times New Roman"/>
          <w:sz w:val="28"/>
          <w:szCs w:val="28"/>
        </w:rPr>
        <w:t>ак</w:t>
      </w:r>
      <w:r>
        <w:rPr>
          <w:rFonts w:ascii="Times New Roman" w:eastAsia="Calibri" w:hAnsi="Times New Roman" w:cs="Times New Roman"/>
          <w:sz w:val="28"/>
          <w:szCs w:val="28"/>
        </w:rPr>
        <w:t>,</w:t>
      </w:r>
      <w:r w:rsidRPr="009B111E">
        <w:rPr>
          <w:rFonts w:ascii="Times New Roman" w:eastAsia="Calibri" w:hAnsi="Times New Roman" w:cs="Times New Roman"/>
          <w:sz w:val="28"/>
          <w:szCs w:val="28"/>
        </w:rPr>
        <w:t xml:space="preserve"> Министр здравоохранения Российской Федерации на совещании 7 мая 2013 года «О ходе исполнения указов Президента Российской Федерации от 7 мая 2012 года»</w:t>
      </w:r>
      <w:r>
        <w:rPr>
          <w:rFonts w:ascii="Times New Roman" w:eastAsia="Calibri" w:hAnsi="Times New Roman" w:cs="Times New Roman"/>
          <w:sz w:val="28"/>
          <w:szCs w:val="28"/>
        </w:rPr>
        <w:t xml:space="preserve"> </w:t>
      </w:r>
      <w:r w:rsidR="00F96020" w:rsidRPr="00F96020">
        <w:rPr>
          <w:rFonts w:ascii="Times New Roman" w:eastAsia="Calibri" w:hAnsi="Times New Roman" w:cs="Times New Roman"/>
          <w:sz w:val="28"/>
          <w:szCs w:val="28"/>
        </w:rPr>
        <w:t>[15</w:t>
      </w:r>
      <w:r w:rsidRPr="00F96020">
        <w:rPr>
          <w:rFonts w:ascii="Times New Roman" w:eastAsia="Calibri" w:hAnsi="Times New Roman" w:cs="Times New Roman"/>
          <w:sz w:val="28"/>
          <w:szCs w:val="28"/>
        </w:rPr>
        <w:t>]</w:t>
      </w:r>
      <w:r w:rsidRPr="009B111E">
        <w:rPr>
          <w:rFonts w:ascii="Times New Roman" w:eastAsia="Calibri" w:hAnsi="Times New Roman" w:cs="Times New Roman"/>
          <w:sz w:val="28"/>
          <w:szCs w:val="28"/>
        </w:rPr>
        <w:t xml:space="preserve"> заявила, что «лишь через четыре–шесть лет нам удастся полностью перейти на систему финансового планирования и оплату медицинской помощи по единой системе клинико-статистических групп и, таким образом, отказаться от стандартов медицинской помощи, что потребует внесения соответствующих изменений в законодательство Российской Федерации». Однако Министр уточнила, что «разработанные стандарты распространяются на все виды медицинской помощи. Являясь усреднёнными расчётными документами для определения стоимости оказываемой медицинской помощи, которая гарантируется государством, стандарты необходимы для перехода на наиболее эффективный способ </w:t>
      </w:r>
      <w:r w:rsidRPr="009B111E">
        <w:rPr>
          <w:rFonts w:ascii="Times New Roman" w:eastAsia="Calibri" w:hAnsi="Times New Roman" w:cs="Times New Roman"/>
          <w:sz w:val="28"/>
          <w:szCs w:val="28"/>
        </w:rPr>
        <w:lastRenderedPageBreak/>
        <w:t xml:space="preserve">оплаты и формирования тарифа, применяемый сегодня в мире на основе клинико-статистических групп». </w:t>
      </w:r>
    </w:p>
    <w:p w:rsidR="00726140" w:rsidRPr="009B111E"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Таким образом, в ближайшие годы применени</w:t>
      </w:r>
      <w:r>
        <w:rPr>
          <w:rFonts w:ascii="Times New Roman" w:eastAsia="Calibri" w:hAnsi="Times New Roman" w:cs="Times New Roman"/>
          <w:sz w:val="28"/>
          <w:szCs w:val="28"/>
        </w:rPr>
        <w:t>я стандартов медицинской помощи</w:t>
      </w:r>
      <w:r w:rsidRPr="009B111E">
        <w:rPr>
          <w:rFonts w:ascii="Times New Roman" w:eastAsia="Calibri" w:hAnsi="Times New Roman" w:cs="Times New Roman"/>
          <w:sz w:val="28"/>
          <w:szCs w:val="28"/>
        </w:rPr>
        <w:t xml:space="preserve"> властным структурам, в частности Министерству здравоохранения Российской Федерации, Федеральному фонду обязательного медицинского страхования необходимо провести поэтапный переход к полной оплате стационарной медицинской помощи по клинико-статистическим группам. С другой стороны, было бы крайне неэффективно, имея статистическую информацию по стандартам медицинской помощи, не провести анализ собранной информации применительно к подходу оплаты стационарной медицинской помощи на основании клинико-статистических групп.</w:t>
      </w:r>
    </w:p>
    <w:p w:rsidR="00726140" w:rsidRPr="009B111E" w:rsidRDefault="00726140" w:rsidP="00726140">
      <w:pPr>
        <w:spacing w:line="360" w:lineRule="auto"/>
        <w:ind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настоящей работе</w:t>
      </w:r>
      <w:r w:rsidRPr="009B111E">
        <w:rPr>
          <w:rFonts w:ascii="Times New Roman" w:eastAsia="Calibri" w:hAnsi="Times New Roman" w:cs="Times New Roman"/>
          <w:sz w:val="28"/>
          <w:szCs w:val="28"/>
        </w:rPr>
        <w:t xml:space="preserve"> автором в качестве основы по переходу предлагается проведение</w:t>
      </w:r>
      <w:r>
        <w:rPr>
          <w:rFonts w:ascii="Times New Roman" w:eastAsia="Calibri" w:hAnsi="Times New Roman" w:cs="Times New Roman"/>
          <w:sz w:val="28"/>
          <w:szCs w:val="28"/>
        </w:rPr>
        <w:t xml:space="preserve"> </w:t>
      </w:r>
      <w:r w:rsidRPr="009B111E">
        <w:rPr>
          <w:rFonts w:ascii="Times New Roman" w:eastAsia="Calibri" w:hAnsi="Times New Roman" w:cs="Times New Roman"/>
          <w:sz w:val="28"/>
          <w:szCs w:val="28"/>
        </w:rPr>
        <w:t>экономико-статистического анализа стандартов медицинской помощи с полным включением утвержденных стандартов медицинской помощи в клинико-статистические группы. Таким образом, возможно приведение уже сформированных клинико-статистических групп к финансовым реалиям, фактически сложившимся на территории субъектов Российской Федерации,</w:t>
      </w:r>
      <w:r>
        <w:rPr>
          <w:rFonts w:ascii="Times New Roman" w:eastAsia="Calibri" w:hAnsi="Times New Roman" w:cs="Times New Roman"/>
          <w:sz w:val="28"/>
          <w:szCs w:val="28"/>
        </w:rPr>
        <w:t xml:space="preserve"> </w:t>
      </w:r>
      <w:r w:rsidRPr="009B111E">
        <w:rPr>
          <w:rFonts w:ascii="Times New Roman" w:eastAsia="Calibri" w:hAnsi="Times New Roman" w:cs="Times New Roman"/>
          <w:sz w:val="28"/>
          <w:szCs w:val="28"/>
        </w:rPr>
        <w:t>с учетом корректировки стоимости стандартов медицинской помощи и частоты их применения.</w:t>
      </w:r>
    </w:p>
    <w:p w:rsidR="00726140" w:rsidRPr="009B111E"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 xml:space="preserve">В </w:t>
      </w:r>
      <w:r>
        <w:rPr>
          <w:rFonts w:ascii="Times New Roman" w:eastAsia="Calibri" w:hAnsi="Times New Roman" w:cs="Times New Roman"/>
          <w:sz w:val="28"/>
          <w:szCs w:val="28"/>
        </w:rPr>
        <w:t>данной работе не ставится целью</w:t>
      </w:r>
      <w:r w:rsidRPr="009B111E">
        <w:rPr>
          <w:rFonts w:ascii="Times New Roman" w:eastAsia="Calibri" w:hAnsi="Times New Roman" w:cs="Times New Roman"/>
          <w:sz w:val="28"/>
          <w:szCs w:val="28"/>
        </w:rPr>
        <w:t xml:space="preserve"> создание стратегии перехода к оплате стационарной медицинской помощи по клинико-статистическим группам</w:t>
      </w:r>
      <w:r>
        <w:rPr>
          <w:rFonts w:ascii="Times New Roman" w:eastAsia="Calibri" w:hAnsi="Times New Roman" w:cs="Times New Roman"/>
          <w:sz w:val="28"/>
          <w:szCs w:val="28"/>
        </w:rPr>
        <w:t>. Основная</w:t>
      </w:r>
      <w:r w:rsidRPr="009B111E">
        <w:rPr>
          <w:rFonts w:ascii="Times New Roman" w:eastAsia="Calibri" w:hAnsi="Times New Roman" w:cs="Times New Roman"/>
          <w:sz w:val="28"/>
          <w:szCs w:val="28"/>
        </w:rPr>
        <w:t xml:space="preserve"> цель </w:t>
      </w:r>
      <w:r>
        <w:rPr>
          <w:rFonts w:ascii="Times New Roman" w:eastAsia="Calibri" w:hAnsi="Times New Roman" w:cs="Times New Roman"/>
          <w:sz w:val="28"/>
          <w:szCs w:val="28"/>
        </w:rPr>
        <w:t xml:space="preserve">состоит </w:t>
      </w:r>
      <w:r w:rsidRPr="009B111E">
        <w:rPr>
          <w:rFonts w:ascii="Times New Roman" w:eastAsia="Calibri" w:hAnsi="Times New Roman" w:cs="Times New Roman"/>
          <w:sz w:val="28"/>
          <w:szCs w:val="28"/>
        </w:rPr>
        <w:t xml:space="preserve">в непосредственном моделировании уже утвержденных клинико-статистических групп с помощью экономического инструментария, представленного в виде фактической стоимости законченного случая лечения в соответствии со стандартами медицинской помощи при заданных условиях функционирования всей отрасли в целом. </w:t>
      </w:r>
    </w:p>
    <w:p w:rsidR="00726140" w:rsidRPr="009B111E"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lastRenderedPageBreak/>
        <w:t xml:space="preserve">Основной авторской идеей данного научного исследования является компиляция двух, в большей </w:t>
      </w:r>
      <w:r>
        <w:rPr>
          <w:rFonts w:ascii="Times New Roman" w:eastAsia="Calibri" w:hAnsi="Times New Roman" w:cs="Times New Roman"/>
          <w:sz w:val="28"/>
          <w:szCs w:val="28"/>
        </w:rPr>
        <w:t>степени не</w:t>
      </w:r>
      <w:r w:rsidRPr="009B111E">
        <w:rPr>
          <w:rFonts w:ascii="Times New Roman" w:eastAsia="Calibri" w:hAnsi="Times New Roman" w:cs="Times New Roman"/>
          <w:sz w:val="28"/>
          <w:szCs w:val="28"/>
        </w:rPr>
        <w:t>однородных</w:t>
      </w:r>
      <w:r>
        <w:rPr>
          <w:rFonts w:ascii="Times New Roman" w:eastAsia="Calibri" w:hAnsi="Times New Roman" w:cs="Times New Roman"/>
          <w:sz w:val="28"/>
          <w:szCs w:val="28"/>
        </w:rPr>
        <w:t>,</w:t>
      </w:r>
      <w:r w:rsidRPr="009B111E">
        <w:rPr>
          <w:rFonts w:ascii="Times New Roman" w:eastAsia="Calibri" w:hAnsi="Times New Roman" w:cs="Times New Roman"/>
          <w:sz w:val="28"/>
          <w:szCs w:val="28"/>
        </w:rPr>
        <w:t xml:space="preserve"> элементов: стандартов медицинской помощи и клинико-статистических групп. Работа позволит актуализировать уже утвержденную отечественную модель клинико-статистических групп, с учетом фактически сложившейся ситуации на территории субъектов Российской Федерации. Также следует учесть, что данное исследование поможет выявить слабые стороны как в уже принятых стандартах медицинской помощи, так и в клинико-статистических группах.</w:t>
      </w:r>
    </w:p>
    <w:p w:rsidR="00726140" w:rsidRPr="009B111E"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 xml:space="preserve">В качестве основной статистической базы были взяты 254 утвержденных стандарта медицинской помощи для стационарной медицинской помощи и 187 клинико-статистических групп. </w:t>
      </w:r>
    </w:p>
    <w:p w:rsidR="00726140" w:rsidRDefault="00726140" w:rsidP="007139D6">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 xml:space="preserve">Структура разработанной модели и общая логика предполагаемых расчетов представлена </w:t>
      </w:r>
      <w:r w:rsidRPr="007139D6">
        <w:rPr>
          <w:rFonts w:ascii="Times New Roman" w:eastAsia="Calibri" w:hAnsi="Times New Roman" w:cs="Times New Roman"/>
          <w:sz w:val="28"/>
          <w:szCs w:val="28"/>
        </w:rPr>
        <w:t xml:space="preserve">на </w:t>
      </w:r>
      <w:r w:rsidR="00760B5C" w:rsidRPr="007139D6">
        <w:rPr>
          <w:rFonts w:ascii="Times New Roman" w:eastAsia="Calibri" w:hAnsi="Times New Roman" w:cs="Times New Roman"/>
          <w:sz w:val="28"/>
          <w:szCs w:val="28"/>
        </w:rPr>
        <w:t xml:space="preserve">Рисунке </w:t>
      </w:r>
      <w:r w:rsidR="007139D6" w:rsidRPr="007139D6">
        <w:rPr>
          <w:rFonts w:ascii="Times New Roman" w:eastAsia="Calibri" w:hAnsi="Times New Roman" w:cs="Times New Roman"/>
          <w:sz w:val="28"/>
          <w:szCs w:val="28"/>
        </w:rPr>
        <w:t>8</w:t>
      </w:r>
      <w:r w:rsidR="007139D6">
        <w:rPr>
          <w:rFonts w:ascii="Times New Roman" w:eastAsia="Calibri" w:hAnsi="Times New Roman" w:cs="Times New Roman"/>
          <w:sz w:val="28"/>
          <w:szCs w:val="28"/>
        </w:rPr>
        <w:t>.</w:t>
      </w:r>
    </w:p>
    <w:p w:rsidR="007139D6" w:rsidRDefault="007139D6" w:rsidP="007139D6">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Автором была проведена</w:t>
      </w:r>
      <w:r>
        <w:rPr>
          <w:rFonts w:ascii="Times New Roman" w:eastAsia="Calibri" w:hAnsi="Times New Roman" w:cs="Times New Roman"/>
          <w:sz w:val="28"/>
          <w:szCs w:val="28"/>
        </w:rPr>
        <w:t xml:space="preserve"> </w:t>
      </w:r>
      <w:r w:rsidRPr="009B111E">
        <w:rPr>
          <w:rFonts w:ascii="Times New Roman" w:eastAsia="Calibri" w:hAnsi="Times New Roman" w:cs="Times New Roman"/>
          <w:sz w:val="28"/>
          <w:szCs w:val="28"/>
        </w:rPr>
        <w:t>подготовка отбора стандартов медицинской помощи, отвечающим следующим условия</w:t>
      </w:r>
      <w:r>
        <w:rPr>
          <w:rFonts w:ascii="Times New Roman" w:eastAsia="Calibri" w:hAnsi="Times New Roman" w:cs="Times New Roman"/>
          <w:sz w:val="28"/>
          <w:szCs w:val="28"/>
        </w:rPr>
        <w:t xml:space="preserve"> (Таблица </w:t>
      </w:r>
      <w:r w:rsidR="00290FDE">
        <w:rPr>
          <w:rFonts w:ascii="Times New Roman" w:eastAsia="Calibri" w:hAnsi="Times New Roman" w:cs="Times New Roman"/>
          <w:sz w:val="28"/>
          <w:szCs w:val="28"/>
        </w:rPr>
        <w:t>9</w:t>
      </w:r>
      <w:r>
        <w:rPr>
          <w:rFonts w:ascii="Times New Roman" w:eastAsia="Calibri" w:hAnsi="Times New Roman" w:cs="Times New Roman"/>
          <w:sz w:val="28"/>
          <w:szCs w:val="28"/>
        </w:rPr>
        <w:t>)</w:t>
      </w:r>
      <w:r w:rsidRPr="009B111E">
        <w:rPr>
          <w:rFonts w:ascii="Times New Roman" w:eastAsia="Calibri" w:hAnsi="Times New Roman" w:cs="Times New Roman"/>
          <w:sz w:val="28"/>
          <w:szCs w:val="28"/>
        </w:rPr>
        <w:t xml:space="preserve">: </w:t>
      </w:r>
    </w:p>
    <w:p w:rsidR="007139D6" w:rsidRPr="000B74CD" w:rsidRDefault="007139D6" w:rsidP="007139D6">
      <w:pPr>
        <w:pStyle w:val="a3"/>
        <w:numPr>
          <w:ilvl w:val="0"/>
          <w:numId w:val="23"/>
        </w:numPr>
        <w:tabs>
          <w:tab w:val="left" w:pos="142"/>
        </w:tabs>
        <w:spacing w:line="360" w:lineRule="auto"/>
        <w:ind w:left="0" w:firstLine="624"/>
        <w:jc w:val="both"/>
        <w:rPr>
          <w:rFonts w:ascii="Times New Roman" w:hAnsi="Times New Roman" w:cs="Times New Roman"/>
          <w:sz w:val="28"/>
          <w:szCs w:val="28"/>
        </w:rPr>
      </w:pPr>
      <w:r w:rsidRPr="000B74CD">
        <w:rPr>
          <w:rFonts w:ascii="Times New Roman" w:hAnsi="Times New Roman" w:cs="Times New Roman"/>
          <w:sz w:val="28"/>
          <w:szCs w:val="28"/>
        </w:rPr>
        <w:t>Стандарты оказываются в стационарных условиях;</w:t>
      </w:r>
    </w:p>
    <w:p w:rsidR="007139D6" w:rsidRPr="000B74CD" w:rsidRDefault="007139D6" w:rsidP="007139D6">
      <w:pPr>
        <w:pStyle w:val="a3"/>
        <w:numPr>
          <w:ilvl w:val="0"/>
          <w:numId w:val="23"/>
        </w:numPr>
        <w:tabs>
          <w:tab w:val="left" w:pos="142"/>
        </w:tabs>
        <w:spacing w:line="360" w:lineRule="auto"/>
        <w:ind w:left="0" w:firstLine="624"/>
        <w:jc w:val="both"/>
        <w:rPr>
          <w:rFonts w:ascii="Times New Roman" w:hAnsi="Times New Roman" w:cs="Times New Roman"/>
          <w:sz w:val="28"/>
          <w:szCs w:val="28"/>
        </w:rPr>
      </w:pPr>
      <w:r w:rsidRPr="000B74CD">
        <w:rPr>
          <w:rFonts w:ascii="Times New Roman" w:hAnsi="Times New Roman" w:cs="Times New Roman"/>
          <w:sz w:val="28"/>
          <w:szCs w:val="28"/>
        </w:rPr>
        <w:t>Стандарты не относятся ко второму классу Международной классификации болезней десятого пересмотра (в связи отсутствием в утвержденных клинико-статистических группах онкологических групп).</w:t>
      </w:r>
    </w:p>
    <w:p w:rsidR="007139D6" w:rsidRPr="009B111E" w:rsidRDefault="007139D6" w:rsidP="007139D6">
      <w:pPr>
        <w:spacing w:line="360" w:lineRule="auto"/>
        <w:ind w:firstLine="624"/>
        <w:jc w:val="both"/>
        <w:rPr>
          <w:rFonts w:ascii="Times New Roman" w:eastAsia="Calibri" w:hAnsi="Times New Roman" w:cs="Times New Roman"/>
          <w:sz w:val="28"/>
          <w:szCs w:val="28"/>
        </w:rPr>
        <w:sectPr w:rsidR="007139D6" w:rsidRPr="009B111E" w:rsidSect="00DB7B76">
          <w:headerReference w:type="default" r:id="rId13"/>
          <w:pgSz w:w="11906" w:h="16838"/>
          <w:pgMar w:top="1134" w:right="851" w:bottom="1134" w:left="1985" w:header="708" w:footer="708" w:gutter="0"/>
          <w:cols w:space="708"/>
          <w:titlePg/>
          <w:docGrid w:linePitch="360"/>
        </w:sectPr>
      </w:pPr>
    </w:p>
    <w:p w:rsidR="00726140" w:rsidRPr="00760B5C" w:rsidRDefault="00A43CAF" w:rsidP="008140AA">
      <w:pPr>
        <w:ind w:left="851"/>
        <w:rPr>
          <w:rFonts w:ascii="Times New Roman" w:eastAsia="Calibri" w:hAnsi="Times New Roman" w:cs="Times New Roman"/>
          <w:b/>
          <w:sz w:val="28"/>
          <w:szCs w:val="28"/>
        </w:rPr>
        <w:sectPr w:rsidR="00726140" w:rsidRPr="00760B5C" w:rsidSect="00760B5C">
          <w:pgSz w:w="16838" w:h="11906" w:orient="landscape"/>
          <w:pgMar w:top="1134" w:right="851" w:bottom="1134" w:left="1134" w:header="708" w:footer="708" w:gutter="0"/>
          <w:cols w:space="708"/>
          <w:docGrid w:linePitch="360"/>
        </w:sectPr>
      </w:pPr>
      <w:r w:rsidRPr="00A43CAF">
        <w:rPr>
          <w:rFonts w:ascii="Times New Roman" w:eastAsia="Calibri"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_x0000_s1031" type="#_x0000_t202" style="position:absolute;left:0;text-align:left;margin-left:62.5pt;margin-top:459.1pt;width:592.1pt;height:50.9pt;z-index:251663360" filled="f" stroked="f">
            <v:textbox style="mso-next-textbox:#_x0000_s1031">
              <w:txbxContent>
                <w:p w:rsidR="00A36E47" w:rsidRPr="00244F89" w:rsidRDefault="00A36E47" w:rsidP="008140AA">
                  <w:pPr>
                    <w:jc w:val="center"/>
                  </w:pPr>
                  <w:r w:rsidRPr="00244F89">
                    <w:rPr>
                      <w:rFonts w:ascii="Times New Roman" w:eastAsia="Calibri" w:hAnsi="Times New Roman" w:cs="Times New Roman"/>
                      <w:b/>
                    </w:rPr>
                    <w:t xml:space="preserve">Рисунок </w:t>
                  </w:r>
                  <w:r>
                    <w:rPr>
                      <w:rFonts w:ascii="Times New Roman" w:eastAsia="Calibri" w:hAnsi="Times New Roman" w:cs="Times New Roman"/>
                      <w:b/>
                    </w:rPr>
                    <w:t>8</w:t>
                  </w:r>
                  <w:r w:rsidRPr="00244F89">
                    <w:rPr>
                      <w:rFonts w:ascii="Times New Roman" w:eastAsia="Calibri" w:hAnsi="Times New Roman" w:cs="Times New Roman"/>
                      <w:b/>
                    </w:rPr>
                    <w:t>. Структура модели и общая логика предполагаемых расчетов при совмещении систем КСГ и стандартов медицинской помощи.</w:t>
                  </w:r>
                </w:p>
              </w:txbxContent>
            </v:textbox>
          </v:shape>
        </w:pict>
      </w:r>
      <w:r w:rsidR="00760B5C">
        <w:rPr>
          <w:rFonts w:ascii="Times New Roman" w:eastAsia="Calibri" w:hAnsi="Times New Roman" w:cs="Times New Roman"/>
          <w:sz w:val="28"/>
          <w:szCs w:val="28"/>
        </w:rPr>
        <w:br/>
      </w:r>
      <w:r w:rsidR="008140AA" w:rsidRPr="009B111E">
        <w:rPr>
          <w:rFonts w:ascii="Times New Roman" w:eastAsia="Calibri" w:hAnsi="Times New Roman" w:cs="Times New Roman"/>
          <w:sz w:val="28"/>
          <w:szCs w:val="28"/>
        </w:rPr>
        <w:object w:dxaOrig="13576" w:dyaOrig="10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0.55pt;height:435.7pt" o:ole="">
            <v:imagedata r:id="rId14" o:title=""/>
          </v:shape>
          <o:OLEObject Type="Embed" ProgID="Visio.Drawing.11" ShapeID="_x0000_i1025" DrawAspect="Content" ObjectID="_1431159207" r:id="rId15"/>
        </w:object>
      </w:r>
    </w:p>
    <w:p w:rsidR="00726140"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lastRenderedPageBreak/>
        <w:t xml:space="preserve">Международный классификатор болезней десятого пересмотра  (МКБ 10) стал базой по приведению двух массивов к единообразию. На следующей таблице </w:t>
      </w:r>
      <w:r>
        <w:rPr>
          <w:rFonts w:ascii="Times New Roman" w:eastAsia="Calibri" w:hAnsi="Times New Roman" w:cs="Times New Roman"/>
          <w:sz w:val="28"/>
          <w:szCs w:val="28"/>
        </w:rPr>
        <w:t>можно видеть</w:t>
      </w:r>
      <w:r w:rsidRPr="009B111E">
        <w:rPr>
          <w:rFonts w:ascii="Times New Roman" w:eastAsia="Calibri" w:hAnsi="Times New Roman" w:cs="Times New Roman"/>
          <w:sz w:val="28"/>
          <w:szCs w:val="28"/>
        </w:rPr>
        <w:t>, что каждому классу МКБ 10 соответствует определенное количество стандартов медицинской помощи и клинико-статистических групп. Следует отметить, что непосредственно в стандарте медицинской помощи указаны коды МКБ 10, таким образом, отнесение стандартов медицинской помощи к определенным классам МКБ 10 не вызывает трудностей. Проведение корректного отнесения клинико-статистических групп к классам МКБ 10 также стало возможным в связи с четким выделением клинико-статистических групп при первоначальной</w:t>
      </w:r>
      <w:r>
        <w:rPr>
          <w:rFonts w:ascii="Times New Roman" w:eastAsia="Calibri" w:hAnsi="Times New Roman" w:cs="Times New Roman"/>
          <w:sz w:val="28"/>
          <w:szCs w:val="28"/>
        </w:rPr>
        <w:t xml:space="preserve"> их</w:t>
      </w:r>
      <w:r w:rsidRPr="009B111E">
        <w:rPr>
          <w:rFonts w:ascii="Times New Roman" w:eastAsia="Calibri" w:hAnsi="Times New Roman" w:cs="Times New Roman"/>
          <w:sz w:val="28"/>
          <w:szCs w:val="28"/>
        </w:rPr>
        <w:t xml:space="preserve"> разработке.</w:t>
      </w:r>
    </w:p>
    <w:p w:rsidR="001348B1"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Имея представление о фактическом наполнение классов МКБ 10 стандартами медицинской помощи и клинико-статистическими группами</w:t>
      </w:r>
      <w:r>
        <w:rPr>
          <w:rFonts w:ascii="Times New Roman" w:eastAsia="Calibri" w:hAnsi="Times New Roman" w:cs="Times New Roman"/>
          <w:sz w:val="28"/>
          <w:szCs w:val="28"/>
        </w:rPr>
        <w:t xml:space="preserve">, </w:t>
      </w:r>
      <w:r w:rsidRPr="009B111E">
        <w:rPr>
          <w:rFonts w:ascii="Times New Roman" w:eastAsia="Calibri" w:hAnsi="Times New Roman" w:cs="Times New Roman"/>
          <w:sz w:val="28"/>
          <w:szCs w:val="28"/>
        </w:rPr>
        <w:t>можно произвести следующий этап актуализации стандартов медицинской помощи и клинико-статистических групп. Следует акцентировать внимание</w:t>
      </w:r>
      <w:r>
        <w:rPr>
          <w:rFonts w:ascii="Times New Roman" w:eastAsia="Calibri" w:hAnsi="Times New Roman" w:cs="Times New Roman"/>
          <w:sz w:val="28"/>
          <w:szCs w:val="28"/>
        </w:rPr>
        <w:t xml:space="preserve"> на том</w:t>
      </w:r>
      <w:r w:rsidRPr="009B111E">
        <w:rPr>
          <w:rFonts w:ascii="Times New Roman" w:eastAsia="Calibri" w:hAnsi="Times New Roman" w:cs="Times New Roman"/>
          <w:sz w:val="28"/>
          <w:szCs w:val="28"/>
        </w:rPr>
        <w:t>, что данные  манипуляции проводились не медиком, и являются в меньшей степени практической работой, нежели теор</w:t>
      </w:r>
      <w:r>
        <w:rPr>
          <w:rFonts w:ascii="Times New Roman" w:eastAsia="Calibri" w:hAnsi="Times New Roman" w:cs="Times New Roman"/>
          <w:sz w:val="28"/>
          <w:szCs w:val="28"/>
        </w:rPr>
        <w:t>е</w:t>
      </w:r>
      <w:r w:rsidRPr="009B111E">
        <w:rPr>
          <w:rFonts w:ascii="Times New Roman" w:eastAsia="Calibri" w:hAnsi="Times New Roman" w:cs="Times New Roman"/>
          <w:sz w:val="28"/>
          <w:szCs w:val="28"/>
        </w:rPr>
        <w:t>тическим исследованием, позволяющим проводить сценарии развития отечественной модели клинико-статистических групп. Так</w:t>
      </w:r>
      <w:r>
        <w:rPr>
          <w:rFonts w:ascii="Times New Roman" w:eastAsia="Calibri" w:hAnsi="Times New Roman" w:cs="Times New Roman"/>
          <w:sz w:val="28"/>
          <w:szCs w:val="28"/>
        </w:rPr>
        <w:t>,</w:t>
      </w:r>
      <w:r w:rsidRPr="009B111E">
        <w:rPr>
          <w:rFonts w:ascii="Times New Roman" w:eastAsia="Calibri" w:hAnsi="Times New Roman" w:cs="Times New Roman"/>
          <w:sz w:val="28"/>
          <w:szCs w:val="28"/>
        </w:rPr>
        <w:t xml:space="preserve"> при работе по наполнению клинико-статистических групп дипломированными медиками ожидается более эффективная оценка с точки зрения медицинской наполненности. </w:t>
      </w:r>
    </w:p>
    <w:p w:rsidR="001348B1" w:rsidRDefault="001348B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5"/>
        <w:gridCol w:w="1843"/>
        <w:gridCol w:w="1843"/>
      </w:tblGrid>
      <w:tr w:rsidR="00726140" w:rsidRPr="009B111E" w:rsidTr="00997B2E">
        <w:trPr>
          <w:trHeight w:val="1875"/>
        </w:trPr>
        <w:tc>
          <w:tcPr>
            <w:tcW w:w="5685" w:type="dxa"/>
            <w:shd w:val="clear" w:color="auto" w:fill="auto"/>
            <w:vAlign w:val="center"/>
            <w:hideMark/>
          </w:tcPr>
          <w:p w:rsidR="00726140" w:rsidRPr="009B111E" w:rsidRDefault="00726140" w:rsidP="00997B2E">
            <w:pPr>
              <w:spacing w:after="0"/>
              <w:jc w:val="center"/>
              <w:rPr>
                <w:rFonts w:ascii="Times New Roman" w:eastAsia="Calibri" w:hAnsi="Times New Roman" w:cs="Times New Roman"/>
                <w:sz w:val="28"/>
                <w:szCs w:val="28"/>
              </w:rPr>
            </w:pPr>
            <w:bookmarkStart w:id="14" w:name="RANGE!A1:C19"/>
            <w:r w:rsidRPr="009B111E">
              <w:rPr>
                <w:rFonts w:ascii="Times New Roman" w:eastAsia="Calibri" w:hAnsi="Times New Roman" w:cs="Times New Roman"/>
                <w:sz w:val="28"/>
                <w:szCs w:val="28"/>
              </w:rPr>
              <w:lastRenderedPageBreak/>
              <w:t xml:space="preserve">Класс </w:t>
            </w:r>
            <w:r w:rsidR="000B098E">
              <w:rPr>
                <w:rFonts w:ascii="Times New Roman" w:eastAsia="Calibri" w:hAnsi="Times New Roman" w:cs="Times New Roman"/>
                <w:sz w:val="28"/>
                <w:szCs w:val="28"/>
              </w:rPr>
              <w:t>МКБ 10</w:t>
            </w:r>
            <w:bookmarkEnd w:id="14"/>
          </w:p>
        </w:tc>
        <w:tc>
          <w:tcPr>
            <w:tcW w:w="1843" w:type="dxa"/>
            <w:shd w:val="clear" w:color="auto" w:fill="auto"/>
            <w:vAlign w:val="center"/>
            <w:hideMark/>
          </w:tcPr>
          <w:p w:rsidR="00726140" w:rsidRPr="000B098E" w:rsidRDefault="00726140" w:rsidP="00997B2E">
            <w:pPr>
              <w:spacing w:after="0"/>
              <w:jc w:val="center"/>
              <w:rPr>
                <w:rFonts w:ascii="Times New Roman" w:eastAsia="Calibri" w:hAnsi="Times New Roman" w:cs="Times New Roman"/>
                <w:sz w:val="28"/>
                <w:szCs w:val="28"/>
              </w:rPr>
            </w:pPr>
            <w:r w:rsidRPr="000B098E">
              <w:rPr>
                <w:rFonts w:ascii="Times New Roman" w:eastAsia="Calibri" w:hAnsi="Times New Roman" w:cs="Times New Roman"/>
                <w:sz w:val="28"/>
                <w:szCs w:val="28"/>
              </w:rPr>
              <w:t xml:space="preserve">Количество КСГ в классе </w:t>
            </w:r>
            <w:r w:rsidR="000B098E" w:rsidRPr="000B098E">
              <w:rPr>
                <w:rFonts w:ascii="Times New Roman" w:eastAsia="Calibri" w:hAnsi="Times New Roman" w:cs="Times New Roman"/>
                <w:sz w:val="28"/>
                <w:szCs w:val="28"/>
              </w:rPr>
              <w:t>МКБ 10</w:t>
            </w:r>
          </w:p>
        </w:tc>
        <w:tc>
          <w:tcPr>
            <w:tcW w:w="1843" w:type="dxa"/>
            <w:shd w:val="clear" w:color="auto" w:fill="auto"/>
            <w:vAlign w:val="center"/>
            <w:hideMark/>
          </w:tcPr>
          <w:p w:rsidR="00726140" w:rsidRPr="000B098E" w:rsidRDefault="00726140" w:rsidP="00997B2E">
            <w:pPr>
              <w:spacing w:after="0"/>
              <w:jc w:val="center"/>
              <w:rPr>
                <w:rFonts w:ascii="Times New Roman" w:eastAsia="Calibri" w:hAnsi="Times New Roman" w:cs="Times New Roman"/>
                <w:sz w:val="28"/>
                <w:szCs w:val="28"/>
              </w:rPr>
            </w:pPr>
            <w:r w:rsidRPr="000B098E">
              <w:rPr>
                <w:rFonts w:ascii="Times New Roman" w:eastAsia="Calibri" w:hAnsi="Times New Roman" w:cs="Times New Roman"/>
                <w:sz w:val="28"/>
                <w:szCs w:val="28"/>
              </w:rPr>
              <w:t xml:space="preserve">Количество стандартов медицинской помощи в классе </w:t>
            </w:r>
            <w:r w:rsidR="000B098E" w:rsidRPr="000B098E">
              <w:rPr>
                <w:rFonts w:ascii="Times New Roman" w:eastAsia="Calibri" w:hAnsi="Times New Roman" w:cs="Times New Roman"/>
                <w:sz w:val="28"/>
                <w:szCs w:val="28"/>
              </w:rPr>
              <w:t>МКБ 10</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I - Некоторые инфекционные и паразитарные болезни</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4</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82</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II - Новообразования</w:t>
            </w:r>
          </w:p>
        </w:tc>
        <w:tc>
          <w:tcPr>
            <w:tcW w:w="1843" w:type="dxa"/>
            <w:shd w:val="clear" w:color="auto" w:fill="auto"/>
            <w:noWrap/>
            <w:vAlign w:val="bottom"/>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 0</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0</w:t>
            </w:r>
          </w:p>
        </w:tc>
      </w:tr>
      <w:tr w:rsidR="00726140" w:rsidRPr="009B111E" w:rsidTr="00997B2E">
        <w:trPr>
          <w:trHeight w:val="750"/>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III - Болезни крови, кроветворных органов и отдельные нарушения, вовлекающие иммунный механизм</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8</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2</w:t>
            </w:r>
          </w:p>
        </w:tc>
      </w:tr>
      <w:tr w:rsidR="00726140" w:rsidRPr="009B111E" w:rsidTr="00997B2E">
        <w:trPr>
          <w:trHeight w:val="750"/>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IV - Болезни эндокринной системы, расстройства питания и нарушения обмена веществ</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7</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39</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VI - Болезни нервной системы</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13</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23</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VII - Болезни глаза и его придаточного аппарата</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6</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5</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VIII - Болезни уха и сосцевидного отростка</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8</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IX - Болезни системы кровообращения</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20</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10</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X - Болезни органов дыхания</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13</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14</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XI - Болезни органов пищеварения</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35</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10</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XII - Болезни кожи и подкожной клетчатки</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9</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8</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XIII - Болезни костно-мышечной системы и соединительной ткани</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14</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8</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XIV - Болезни мочеполовой системы</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30</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17</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XV - Беременность, роды и послеродовой период</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6</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11</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XVI - Отдельные состояния, возникающие в перинатальном периоде</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4</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w:t>
            </w:r>
          </w:p>
        </w:tc>
      </w:tr>
      <w:tr w:rsidR="00726140" w:rsidRPr="009B111E" w:rsidTr="00997B2E">
        <w:trPr>
          <w:trHeight w:val="750"/>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Класс XIX - Травмы, отравления и некоторые другие последствия воздействия внешних причин</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19</w:t>
            </w:r>
          </w:p>
        </w:tc>
        <w:tc>
          <w:tcPr>
            <w:tcW w:w="1843" w:type="dxa"/>
            <w:shd w:val="clear" w:color="auto" w:fill="auto"/>
            <w:noWrap/>
            <w:vAlign w:val="center"/>
            <w:hideMark/>
          </w:tcPr>
          <w:p w:rsidR="00726140" w:rsidRPr="009B111E" w:rsidRDefault="00726140" w:rsidP="00997B2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14</w:t>
            </w:r>
          </w:p>
        </w:tc>
      </w:tr>
      <w:tr w:rsidR="00726140" w:rsidRPr="009B111E" w:rsidTr="00997B2E">
        <w:trPr>
          <w:trHeight w:val="375"/>
        </w:trPr>
        <w:tc>
          <w:tcPr>
            <w:tcW w:w="5685" w:type="dxa"/>
            <w:shd w:val="clear" w:color="auto" w:fill="auto"/>
            <w:vAlign w:val="center"/>
            <w:hideMark/>
          </w:tcPr>
          <w:p w:rsidR="00726140" w:rsidRPr="009B111E" w:rsidRDefault="00726140" w:rsidP="00997B2E">
            <w:pPr>
              <w:spacing w:after="0"/>
              <w:rPr>
                <w:rFonts w:ascii="Times New Roman" w:eastAsia="Calibri" w:hAnsi="Times New Roman" w:cs="Times New Roman"/>
                <w:sz w:val="28"/>
                <w:szCs w:val="28"/>
              </w:rPr>
            </w:pPr>
            <w:r w:rsidRPr="009B111E">
              <w:rPr>
                <w:rFonts w:ascii="Times New Roman" w:eastAsia="Calibri" w:hAnsi="Times New Roman" w:cs="Times New Roman"/>
                <w:sz w:val="28"/>
                <w:szCs w:val="28"/>
              </w:rPr>
              <w:t>Прочие заболевания (классы V, XVII, XVIII, XX, XXI)</w:t>
            </w:r>
          </w:p>
        </w:tc>
        <w:tc>
          <w:tcPr>
            <w:tcW w:w="1843" w:type="dxa"/>
            <w:shd w:val="clear" w:color="auto" w:fill="auto"/>
            <w:noWrap/>
            <w:vAlign w:val="center"/>
            <w:hideMark/>
          </w:tcPr>
          <w:p w:rsidR="00726140" w:rsidRPr="009B111E" w:rsidRDefault="00726140" w:rsidP="00997B2E">
            <w:pPr>
              <w:spacing w:after="0" w:line="36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2</w:t>
            </w:r>
          </w:p>
        </w:tc>
        <w:tc>
          <w:tcPr>
            <w:tcW w:w="1843" w:type="dxa"/>
            <w:shd w:val="clear" w:color="auto" w:fill="auto"/>
            <w:noWrap/>
            <w:vAlign w:val="center"/>
            <w:hideMark/>
          </w:tcPr>
          <w:p w:rsidR="00726140" w:rsidRPr="009B111E" w:rsidRDefault="00726140" w:rsidP="00997B2E">
            <w:pPr>
              <w:spacing w:after="0" w:line="36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9</w:t>
            </w:r>
          </w:p>
        </w:tc>
      </w:tr>
    </w:tbl>
    <w:p w:rsidR="00726140" w:rsidRPr="000B098E" w:rsidRDefault="000B098E" w:rsidP="000B098E">
      <w:pPr>
        <w:spacing w:before="240" w:after="240" w:line="360" w:lineRule="auto"/>
        <w:ind w:left="425"/>
        <w:jc w:val="both"/>
        <w:rPr>
          <w:rFonts w:ascii="Times New Roman" w:eastAsia="Calibri" w:hAnsi="Times New Roman" w:cs="Times New Roman"/>
          <w:b/>
        </w:rPr>
      </w:pPr>
      <w:r w:rsidRPr="000B098E">
        <w:rPr>
          <w:rFonts w:ascii="Times New Roman" w:eastAsia="Calibri" w:hAnsi="Times New Roman" w:cs="Times New Roman"/>
          <w:b/>
        </w:rPr>
        <w:t xml:space="preserve">Таблица </w:t>
      </w:r>
      <w:r w:rsidR="007139D6">
        <w:rPr>
          <w:rFonts w:ascii="Times New Roman" w:eastAsia="Calibri" w:hAnsi="Times New Roman" w:cs="Times New Roman"/>
          <w:b/>
        </w:rPr>
        <w:t>9</w:t>
      </w:r>
      <w:r w:rsidRPr="000B098E">
        <w:rPr>
          <w:rFonts w:ascii="Times New Roman" w:eastAsia="Calibri" w:hAnsi="Times New Roman" w:cs="Times New Roman"/>
          <w:b/>
        </w:rPr>
        <w:t>. Разбивка КСГ и стандартов медицинской помощи по классам МКБ 10.</w:t>
      </w:r>
    </w:p>
    <w:p w:rsidR="00726140" w:rsidRPr="009B111E" w:rsidRDefault="00726140" w:rsidP="00726140">
      <w:pPr>
        <w:spacing w:line="360" w:lineRule="auto"/>
        <w:ind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Таким образом</w:t>
      </w:r>
      <w:r w:rsidRPr="009B111E">
        <w:rPr>
          <w:rFonts w:ascii="Times New Roman" w:eastAsia="Calibri" w:hAnsi="Times New Roman" w:cs="Times New Roman"/>
          <w:sz w:val="28"/>
          <w:szCs w:val="28"/>
        </w:rPr>
        <w:t>,</w:t>
      </w:r>
      <w:r>
        <w:rPr>
          <w:rFonts w:ascii="Times New Roman" w:eastAsia="Calibri" w:hAnsi="Times New Roman" w:cs="Times New Roman"/>
          <w:sz w:val="28"/>
          <w:szCs w:val="28"/>
        </w:rPr>
        <w:t xml:space="preserve"> автором работы</w:t>
      </w:r>
      <w:r w:rsidRPr="009B111E">
        <w:rPr>
          <w:rFonts w:ascii="Times New Roman" w:eastAsia="Calibri" w:hAnsi="Times New Roman" w:cs="Times New Roman"/>
          <w:sz w:val="28"/>
          <w:szCs w:val="28"/>
        </w:rPr>
        <w:t xml:space="preserve"> был проведен анализ возможности погружения большей части утвержденных стандартов медицинской помощи для стационарной медицинской помощи (за исключением стандартов по </w:t>
      </w:r>
      <w:r>
        <w:rPr>
          <w:rFonts w:ascii="Times New Roman" w:eastAsia="Calibri" w:hAnsi="Times New Roman" w:cs="Times New Roman"/>
          <w:sz w:val="28"/>
          <w:szCs w:val="28"/>
        </w:rPr>
        <w:t>онкологическим заболевания</w:t>
      </w:r>
      <w:r w:rsidRPr="009B111E">
        <w:rPr>
          <w:rFonts w:ascii="Times New Roman" w:eastAsia="Calibri" w:hAnsi="Times New Roman" w:cs="Times New Roman"/>
          <w:sz w:val="28"/>
          <w:szCs w:val="28"/>
        </w:rPr>
        <w:t xml:space="preserve"> в связи с отсутствием указанных заболеваний в утвержденных клинико-статистических группах) в отечественную модель клинико-статистических групп, следствием чего стало принятие возможности полного погружения стандартов медицинской помощи в клинико-статистические группы.</w:t>
      </w:r>
      <w:r>
        <w:rPr>
          <w:rFonts w:ascii="Times New Roman" w:eastAsia="Calibri" w:hAnsi="Times New Roman" w:cs="Times New Roman"/>
          <w:sz w:val="28"/>
          <w:szCs w:val="28"/>
        </w:rPr>
        <w:t xml:space="preserve"> </w:t>
      </w:r>
      <w:r w:rsidRPr="009B111E">
        <w:rPr>
          <w:rFonts w:ascii="Times New Roman" w:eastAsia="Calibri" w:hAnsi="Times New Roman" w:cs="Times New Roman"/>
          <w:sz w:val="28"/>
          <w:szCs w:val="28"/>
        </w:rPr>
        <w:t>Итогом данного этапа работы стала разбивка стандартов медицинской помощи по клинико-статистическим группам</w:t>
      </w:r>
      <w:r>
        <w:rPr>
          <w:rFonts w:ascii="Times New Roman" w:eastAsia="Calibri" w:hAnsi="Times New Roman" w:cs="Times New Roman"/>
          <w:sz w:val="28"/>
          <w:szCs w:val="28"/>
        </w:rPr>
        <w:t xml:space="preserve">, представленная </w:t>
      </w:r>
      <w:r w:rsidRPr="00A36E47">
        <w:rPr>
          <w:rFonts w:ascii="Times New Roman" w:eastAsia="Calibri" w:hAnsi="Times New Roman" w:cs="Times New Roman"/>
          <w:sz w:val="28"/>
          <w:szCs w:val="28"/>
        </w:rPr>
        <w:t xml:space="preserve">в </w:t>
      </w:r>
      <w:r w:rsidR="000B098E" w:rsidRPr="00A36E47">
        <w:rPr>
          <w:rFonts w:ascii="Times New Roman" w:eastAsia="Calibri" w:hAnsi="Times New Roman" w:cs="Times New Roman"/>
          <w:sz w:val="28"/>
          <w:szCs w:val="28"/>
        </w:rPr>
        <w:t>Приложении 5</w:t>
      </w:r>
      <w:r w:rsidRPr="00A36E47">
        <w:rPr>
          <w:rFonts w:ascii="Times New Roman" w:eastAsia="Calibri" w:hAnsi="Times New Roman" w:cs="Times New Roman"/>
          <w:sz w:val="28"/>
          <w:szCs w:val="28"/>
        </w:rPr>
        <w:t>.</w:t>
      </w:r>
    </w:p>
    <w:p w:rsidR="00726140" w:rsidRPr="009B111E"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На следующем этапе работы предполагается</w:t>
      </w:r>
      <w:r>
        <w:rPr>
          <w:rFonts w:ascii="Times New Roman" w:eastAsia="Calibri" w:hAnsi="Times New Roman" w:cs="Times New Roman"/>
          <w:sz w:val="28"/>
          <w:szCs w:val="28"/>
        </w:rPr>
        <w:t xml:space="preserve"> </w:t>
      </w:r>
      <w:r w:rsidRPr="009B111E">
        <w:rPr>
          <w:rFonts w:ascii="Times New Roman" w:eastAsia="Calibri" w:hAnsi="Times New Roman" w:cs="Times New Roman"/>
          <w:sz w:val="28"/>
          <w:szCs w:val="28"/>
        </w:rPr>
        <w:t xml:space="preserve">проведение запроса </w:t>
      </w:r>
      <w:r>
        <w:rPr>
          <w:rFonts w:ascii="Times New Roman" w:eastAsia="Calibri" w:hAnsi="Times New Roman" w:cs="Times New Roman"/>
          <w:sz w:val="28"/>
          <w:szCs w:val="28"/>
        </w:rPr>
        <w:t xml:space="preserve">в субъекты Российской Федерации по форме, </w:t>
      </w:r>
      <w:r w:rsidRPr="000B098E">
        <w:rPr>
          <w:rFonts w:ascii="Times New Roman" w:eastAsia="Calibri" w:hAnsi="Times New Roman" w:cs="Times New Roman"/>
          <w:sz w:val="28"/>
          <w:szCs w:val="28"/>
        </w:rPr>
        <w:t xml:space="preserve">приведенной ниже </w:t>
      </w:r>
      <w:r w:rsidR="000B098E">
        <w:rPr>
          <w:rFonts w:ascii="Times New Roman" w:eastAsia="Calibri" w:hAnsi="Times New Roman" w:cs="Times New Roman"/>
          <w:sz w:val="28"/>
          <w:szCs w:val="28"/>
        </w:rPr>
        <w:br/>
        <w:t>(</w:t>
      </w:r>
      <w:r w:rsidR="000B098E" w:rsidRPr="000B098E">
        <w:rPr>
          <w:rFonts w:ascii="Times New Roman" w:eastAsia="Calibri" w:hAnsi="Times New Roman" w:cs="Times New Roman"/>
          <w:sz w:val="28"/>
          <w:szCs w:val="28"/>
        </w:rPr>
        <w:t xml:space="preserve">Таблица </w:t>
      </w:r>
      <w:r w:rsidR="00290FDE">
        <w:rPr>
          <w:rFonts w:ascii="Times New Roman" w:eastAsia="Calibri" w:hAnsi="Times New Roman" w:cs="Times New Roman"/>
          <w:sz w:val="28"/>
          <w:szCs w:val="28"/>
        </w:rPr>
        <w:t>10</w:t>
      </w:r>
      <w:r w:rsidR="000B098E">
        <w:rPr>
          <w:rFonts w:ascii="Times New Roman" w:eastAsia="Calibri" w:hAnsi="Times New Roman" w:cs="Times New Roman"/>
          <w:sz w:val="28"/>
          <w:szCs w:val="28"/>
        </w:rPr>
        <w:t>)</w:t>
      </w:r>
      <w:r w:rsidRPr="000B098E">
        <w:rPr>
          <w:rFonts w:ascii="Times New Roman" w:eastAsia="Calibri" w:hAnsi="Times New Roman" w:cs="Times New Roman"/>
          <w:sz w:val="28"/>
          <w:szCs w:val="28"/>
        </w:rPr>
        <w:t>:</w:t>
      </w:r>
    </w:p>
    <w:tbl>
      <w:tblPr>
        <w:tblW w:w="9371" w:type="dxa"/>
        <w:tblInd w:w="93" w:type="dxa"/>
        <w:tblLayout w:type="fixed"/>
        <w:tblLook w:val="04A0"/>
      </w:tblPr>
      <w:tblGrid>
        <w:gridCol w:w="3123"/>
        <w:gridCol w:w="3124"/>
        <w:gridCol w:w="3124"/>
      </w:tblGrid>
      <w:tr w:rsidR="00726140" w:rsidRPr="009B111E" w:rsidTr="00997B2E">
        <w:trPr>
          <w:trHeight w:val="600"/>
        </w:trPr>
        <w:tc>
          <w:tcPr>
            <w:tcW w:w="9371" w:type="dxa"/>
            <w:gridSpan w:val="3"/>
            <w:tcBorders>
              <w:top w:val="nil"/>
              <w:left w:val="nil"/>
              <w:bottom w:val="nil"/>
              <w:right w:val="nil"/>
            </w:tcBorders>
            <w:shd w:val="clear" w:color="auto" w:fill="auto"/>
            <w:vAlign w:val="center"/>
            <w:hideMark/>
          </w:tcPr>
          <w:p w:rsidR="00726140" w:rsidRPr="009B111E" w:rsidRDefault="00726140" w:rsidP="000B098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Наименование субъекта Российской Федерации</w:t>
            </w:r>
          </w:p>
        </w:tc>
      </w:tr>
      <w:tr w:rsidR="00726140" w:rsidRPr="009B111E" w:rsidTr="00997B2E">
        <w:trPr>
          <w:trHeight w:val="217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140" w:rsidRPr="009B111E" w:rsidRDefault="00726140" w:rsidP="000B098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Стандарты медицинской помощи</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rsidR="00726140" w:rsidRPr="009B111E" w:rsidRDefault="00726140" w:rsidP="000B098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Количество законченных случаев лечения в соответствии со стандартом медицинской помощи</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rsidR="00726140" w:rsidRPr="009B111E" w:rsidRDefault="00726140" w:rsidP="000B098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 xml:space="preserve">Средняя стоимость законченного случая лечения в соответствии со стандартом </w:t>
            </w:r>
            <w:r>
              <w:rPr>
                <w:rFonts w:ascii="Times New Roman" w:eastAsia="Calibri" w:hAnsi="Times New Roman" w:cs="Times New Roman"/>
                <w:sz w:val="28"/>
                <w:szCs w:val="28"/>
              </w:rPr>
              <w:t>медицинской помощи</w:t>
            </w:r>
          </w:p>
        </w:tc>
      </w:tr>
      <w:tr w:rsidR="00726140" w:rsidRPr="009B111E" w:rsidTr="00997B2E">
        <w:trPr>
          <w:trHeight w:val="55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0B098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Стандарт 1</w:t>
            </w:r>
          </w:p>
        </w:tc>
        <w:tc>
          <w:tcPr>
            <w:tcW w:w="3124" w:type="dxa"/>
            <w:tcBorders>
              <w:top w:val="nil"/>
              <w:left w:val="nil"/>
              <w:bottom w:val="single" w:sz="4" w:space="0" w:color="auto"/>
              <w:right w:val="single" w:sz="4" w:space="0" w:color="auto"/>
            </w:tcBorders>
            <w:shd w:val="clear" w:color="auto" w:fill="auto"/>
            <w:noWrap/>
            <w:vAlign w:val="bottom"/>
            <w:hideMark/>
          </w:tcPr>
          <w:p w:rsidR="00726140" w:rsidRPr="009B111E" w:rsidRDefault="00726140" w:rsidP="000B098E">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c>
          <w:tcPr>
            <w:tcW w:w="3124" w:type="dxa"/>
            <w:tcBorders>
              <w:top w:val="nil"/>
              <w:left w:val="nil"/>
              <w:bottom w:val="single" w:sz="4" w:space="0" w:color="auto"/>
              <w:right w:val="single" w:sz="4" w:space="0" w:color="auto"/>
            </w:tcBorders>
            <w:shd w:val="clear" w:color="auto" w:fill="auto"/>
            <w:noWrap/>
            <w:vAlign w:val="bottom"/>
            <w:hideMark/>
          </w:tcPr>
          <w:p w:rsidR="00726140" w:rsidRPr="009B111E" w:rsidRDefault="00726140" w:rsidP="000B098E">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r>
      <w:tr w:rsidR="00726140" w:rsidRPr="009B111E" w:rsidTr="00997B2E">
        <w:trPr>
          <w:trHeight w:val="55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0B098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Стандарт 2</w:t>
            </w:r>
          </w:p>
        </w:tc>
        <w:tc>
          <w:tcPr>
            <w:tcW w:w="3124" w:type="dxa"/>
            <w:tcBorders>
              <w:top w:val="nil"/>
              <w:left w:val="nil"/>
              <w:bottom w:val="single" w:sz="4" w:space="0" w:color="auto"/>
              <w:right w:val="single" w:sz="4" w:space="0" w:color="auto"/>
            </w:tcBorders>
            <w:shd w:val="clear" w:color="auto" w:fill="auto"/>
            <w:noWrap/>
            <w:vAlign w:val="bottom"/>
            <w:hideMark/>
          </w:tcPr>
          <w:p w:rsidR="00726140" w:rsidRPr="009B111E" w:rsidRDefault="00726140" w:rsidP="000B098E">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c>
          <w:tcPr>
            <w:tcW w:w="3124" w:type="dxa"/>
            <w:tcBorders>
              <w:top w:val="nil"/>
              <w:left w:val="nil"/>
              <w:bottom w:val="single" w:sz="4" w:space="0" w:color="auto"/>
              <w:right w:val="single" w:sz="4" w:space="0" w:color="auto"/>
            </w:tcBorders>
            <w:shd w:val="clear" w:color="auto" w:fill="auto"/>
            <w:noWrap/>
            <w:vAlign w:val="bottom"/>
            <w:hideMark/>
          </w:tcPr>
          <w:p w:rsidR="00726140" w:rsidRPr="009B111E" w:rsidRDefault="00726140" w:rsidP="000B098E">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r>
      <w:tr w:rsidR="00726140" w:rsidRPr="009B111E" w:rsidTr="00997B2E">
        <w:trPr>
          <w:trHeight w:val="55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0B098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Стандарт 3</w:t>
            </w:r>
          </w:p>
        </w:tc>
        <w:tc>
          <w:tcPr>
            <w:tcW w:w="3124" w:type="dxa"/>
            <w:tcBorders>
              <w:top w:val="nil"/>
              <w:left w:val="nil"/>
              <w:bottom w:val="single" w:sz="4" w:space="0" w:color="auto"/>
              <w:right w:val="single" w:sz="4" w:space="0" w:color="auto"/>
            </w:tcBorders>
            <w:shd w:val="clear" w:color="auto" w:fill="auto"/>
            <w:noWrap/>
            <w:vAlign w:val="bottom"/>
            <w:hideMark/>
          </w:tcPr>
          <w:p w:rsidR="00726140" w:rsidRPr="009B111E" w:rsidRDefault="00726140" w:rsidP="000B098E">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c>
          <w:tcPr>
            <w:tcW w:w="3124" w:type="dxa"/>
            <w:tcBorders>
              <w:top w:val="nil"/>
              <w:left w:val="nil"/>
              <w:bottom w:val="single" w:sz="4" w:space="0" w:color="auto"/>
              <w:right w:val="single" w:sz="4" w:space="0" w:color="auto"/>
            </w:tcBorders>
            <w:shd w:val="clear" w:color="auto" w:fill="auto"/>
            <w:noWrap/>
            <w:vAlign w:val="bottom"/>
            <w:hideMark/>
          </w:tcPr>
          <w:p w:rsidR="00726140" w:rsidRPr="009B111E" w:rsidRDefault="00726140" w:rsidP="000B098E">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r>
      <w:tr w:rsidR="00726140" w:rsidRPr="009B111E" w:rsidTr="00997B2E">
        <w:trPr>
          <w:trHeight w:val="55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0B098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 . .</w:t>
            </w:r>
          </w:p>
        </w:tc>
        <w:tc>
          <w:tcPr>
            <w:tcW w:w="3124" w:type="dxa"/>
            <w:tcBorders>
              <w:top w:val="nil"/>
              <w:left w:val="nil"/>
              <w:bottom w:val="single" w:sz="4" w:space="0" w:color="auto"/>
              <w:right w:val="single" w:sz="4" w:space="0" w:color="auto"/>
            </w:tcBorders>
            <w:shd w:val="clear" w:color="auto" w:fill="auto"/>
            <w:noWrap/>
            <w:vAlign w:val="bottom"/>
            <w:hideMark/>
          </w:tcPr>
          <w:p w:rsidR="00726140" w:rsidRPr="009B111E" w:rsidRDefault="00726140" w:rsidP="000B098E">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c>
          <w:tcPr>
            <w:tcW w:w="3124" w:type="dxa"/>
            <w:tcBorders>
              <w:top w:val="nil"/>
              <w:left w:val="nil"/>
              <w:bottom w:val="single" w:sz="4" w:space="0" w:color="auto"/>
              <w:right w:val="single" w:sz="4" w:space="0" w:color="auto"/>
            </w:tcBorders>
            <w:shd w:val="clear" w:color="auto" w:fill="auto"/>
            <w:noWrap/>
            <w:vAlign w:val="bottom"/>
            <w:hideMark/>
          </w:tcPr>
          <w:p w:rsidR="00726140" w:rsidRPr="009B111E" w:rsidRDefault="00726140" w:rsidP="000B098E">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r>
      <w:tr w:rsidR="00726140" w:rsidRPr="009B111E" w:rsidTr="00997B2E">
        <w:trPr>
          <w:trHeight w:val="55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0B098E">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Стандарт N</w:t>
            </w:r>
          </w:p>
        </w:tc>
        <w:tc>
          <w:tcPr>
            <w:tcW w:w="3124" w:type="dxa"/>
            <w:tcBorders>
              <w:top w:val="nil"/>
              <w:left w:val="nil"/>
              <w:bottom w:val="single" w:sz="4" w:space="0" w:color="auto"/>
              <w:right w:val="single" w:sz="4" w:space="0" w:color="auto"/>
            </w:tcBorders>
            <w:shd w:val="clear" w:color="auto" w:fill="auto"/>
            <w:noWrap/>
            <w:vAlign w:val="bottom"/>
            <w:hideMark/>
          </w:tcPr>
          <w:p w:rsidR="00726140" w:rsidRPr="009B111E" w:rsidRDefault="00726140" w:rsidP="000B098E">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c>
          <w:tcPr>
            <w:tcW w:w="3124" w:type="dxa"/>
            <w:tcBorders>
              <w:top w:val="nil"/>
              <w:left w:val="nil"/>
              <w:bottom w:val="single" w:sz="4" w:space="0" w:color="auto"/>
              <w:right w:val="single" w:sz="4" w:space="0" w:color="auto"/>
            </w:tcBorders>
            <w:shd w:val="clear" w:color="auto" w:fill="auto"/>
            <w:noWrap/>
            <w:vAlign w:val="bottom"/>
            <w:hideMark/>
          </w:tcPr>
          <w:p w:rsidR="00726140" w:rsidRPr="009B111E" w:rsidRDefault="00726140" w:rsidP="000B098E">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r>
    </w:tbl>
    <w:p w:rsidR="00726140" w:rsidRPr="000B098E" w:rsidRDefault="00290FDE" w:rsidP="000B098E">
      <w:pPr>
        <w:spacing w:before="240" w:after="240" w:line="360" w:lineRule="auto"/>
        <w:ind w:firstLine="624"/>
        <w:jc w:val="both"/>
        <w:rPr>
          <w:rFonts w:ascii="Times New Roman" w:eastAsia="Calibri" w:hAnsi="Times New Roman" w:cs="Times New Roman"/>
          <w:b/>
        </w:rPr>
      </w:pPr>
      <w:r>
        <w:rPr>
          <w:rFonts w:ascii="Times New Roman" w:eastAsia="Calibri" w:hAnsi="Times New Roman" w:cs="Times New Roman"/>
          <w:b/>
        </w:rPr>
        <w:t>Таблица 10</w:t>
      </w:r>
      <w:r w:rsidR="000B098E" w:rsidRPr="000B098E">
        <w:rPr>
          <w:rFonts w:ascii="Times New Roman" w:eastAsia="Calibri" w:hAnsi="Times New Roman" w:cs="Times New Roman"/>
          <w:b/>
        </w:rPr>
        <w:t>. Форма для запроса информации в субъектах РФ.</w:t>
      </w:r>
    </w:p>
    <w:p w:rsidR="00726140"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 xml:space="preserve">Результатом запроса станет сводная таблица, которая имеет </w:t>
      </w:r>
      <w:r>
        <w:rPr>
          <w:rFonts w:ascii="Times New Roman" w:eastAsia="Calibri" w:hAnsi="Times New Roman" w:cs="Times New Roman"/>
          <w:sz w:val="28"/>
          <w:szCs w:val="28"/>
        </w:rPr>
        <w:t xml:space="preserve">следующий </w:t>
      </w:r>
      <w:r w:rsidRPr="000B098E">
        <w:rPr>
          <w:rFonts w:ascii="Times New Roman" w:eastAsia="Calibri" w:hAnsi="Times New Roman" w:cs="Times New Roman"/>
          <w:sz w:val="28"/>
          <w:szCs w:val="28"/>
        </w:rPr>
        <w:t xml:space="preserve">вид </w:t>
      </w:r>
      <w:r w:rsidR="00290FDE">
        <w:rPr>
          <w:rFonts w:ascii="Times New Roman" w:eastAsia="Calibri" w:hAnsi="Times New Roman" w:cs="Times New Roman"/>
          <w:sz w:val="28"/>
          <w:szCs w:val="28"/>
        </w:rPr>
        <w:t>(Таблица 11</w:t>
      </w:r>
      <w:r w:rsidR="000B098E" w:rsidRPr="000B098E">
        <w:rPr>
          <w:rFonts w:ascii="Times New Roman" w:eastAsia="Calibri" w:hAnsi="Times New Roman" w:cs="Times New Roman"/>
          <w:sz w:val="28"/>
          <w:szCs w:val="28"/>
        </w:rPr>
        <w:t>)</w:t>
      </w:r>
      <w:r w:rsidRPr="000B098E">
        <w:rPr>
          <w:rFonts w:ascii="Times New Roman" w:eastAsia="Calibri" w:hAnsi="Times New Roman" w:cs="Times New Roman"/>
          <w:sz w:val="28"/>
          <w:szCs w:val="28"/>
        </w:rPr>
        <w:t xml:space="preserve"> (стоимость</w:t>
      </w:r>
      <w:r>
        <w:rPr>
          <w:rFonts w:ascii="Times New Roman" w:eastAsia="Calibri" w:hAnsi="Times New Roman" w:cs="Times New Roman"/>
          <w:sz w:val="28"/>
          <w:szCs w:val="28"/>
        </w:rPr>
        <w:t xml:space="preserve"> медицинской помощи является оценочной и приведена в таблице в качестве примера):</w:t>
      </w:r>
    </w:p>
    <w:p w:rsidR="00726140" w:rsidRPr="00F639B2" w:rsidRDefault="00726140" w:rsidP="00726140">
      <w:pPr>
        <w:spacing w:line="360" w:lineRule="auto"/>
        <w:ind w:firstLine="624"/>
        <w:jc w:val="both"/>
        <w:rPr>
          <w:rFonts w:ascii="Times New Roman" w:eastAsia="Calibri" w:hAnsi="Times New Roman" w:cs="Times New Roman"/>
          <w:sz w:val="28"/>
          <w:szCs w:val="28"/>
        </w:rPr>
        <w:sectPr w:rsidR="00726140" w:rsidRPr="00F639B2" w:rsidSect="00997B2E">
          <w:type w:val="continuous"/>
          <w:pgSz w:w="11906" w:h="16838"/>
          <w:pgMar w:top="1134" w:right="851" w:bottom="1134" w:left="1985" w:header="708" w:footer="708" w:gutter="0"/>
          <w:cols w:space="708"/>
          <w:docGrid w:linePitch="360"/>
        </w:sectPr>
      </w:pPr>
    </w:p>
    <w:tbl>
      <w:tblPr>
        <w:tblpPr w:leftFromText="180" w:rightFromText="180" w:vertAnchor="page" w:horzAnchor="margin" w:tblpX="-318" w:tblpY="2038"/>
        <w:tblW w:w="13892" w:type="dxa"/>
        <w:tblLayout w:type="fixed"/>
        <w:tblLook w:val="04A0"/>
      </w:tblPr>
      <w:tblGrid>
        <w:gridCol w:w="1772"/>
        <w:gridCol w:w="1325"/>
        <w:gridCol w:w="1325"/>
        <w:gridCol w:w="1325"/>
        <w:gridCol w:w="760"/>
        <w:gridCol w:w="1325"/>
        <w:gridCol w:w="1666"/>
        <w:gridCol w:w="984"/>
        <w:gridCol w:w="1325"/>
        <w:gridCol w:w="760"/>
        <w:gridCol w:w="1325"/>
      </w:tblGrid>
      <w:tr w:rsidR="00726140" w:rsidRPr="009B111E" w:rsidTr="008140AA">
        <w:trPr>
          <w:trHeight w:val="933"/>
        </w:trPr>
        <w:tc>
          <w:tcPr>
            <w:tcW w:w="13892" w:type="dxa"/>
            <w:gridSpan w:val="11"/>
            <w:tcBorders>
              <w:top w:val="nil"/>
              <w:left w:val="nil"/>
              <w:bottom w:val="nil"/>
              <w:right w:val="nil"/>
            </w:tcBorders>
            <w:shd w:val="clear" w:color="auto" w:fill="auto"/>
            <w:vAlign w:val="center"/>
            <w:hideMark/>
          </w:tcPr>
          <w:p w:rsidR="00726140" w:rsidRPr="008140AA" w:rsidRDefault="00290FDE" w:rsidP="008140A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Таблица 11</w:t>
            </w:r>
            <w:r w:rsidR="008140AA" w:rsidRPr="008140AA">
              <w:rPr>
                <w:rFonts w:ascii="Times New Roman" w:eastAsia="Calibri" w:hAnsi="Times New Roman" w:cs="Times New Roman"/>
                <w:b/>
              </w:rPr>
              <w:t xml:space="preserve">. </w:t>
            </w:r>
            <w:r w:rsidR="00726140" w:rsidRPr="008140AA">
              <w:rPr>
                <w:rFonts w:ascii="Times New Roman" w:eastAsia="Calibri" w:hAnsi="Times New Roman" w:cs="Times New Roman"/>
                <w:b/>
              </w:rPr>
              <w:t>Количество законченных случаев лечения и средняя стоимость законченного случая лечения в соответствии со стандартами медицинской помощи в разрезе субъектов Российской Федерации (стоимость очищена от районного коэффициента)</w:t>
            </w:r>
          </w:p>
        </w:tc>
      </w:tr>
      <w:tr w:rsidR="008140AA" w:rsidRPr="009B111E" w:rsidTr="008140AA">
        <w:trPr>
          <w:trHeight w:val="897"/>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 xml:space="preserve">Субъекты </w:t>
            </w:r>
            <w:r w:rsidR="000B098E" w:rsidRPr="008140AA">
              <w:rPr>
                <w:rFonts w:ascii="Times New Roman" w:eastAsia="Calibri" w:hAnsi="Times New Roman" w:cs="Times New Roman"/>
              </w:rPr>
              <w:t>РФ</w:t>
            </w:r>
          </w:p>
        </w:tc>
        <w:tc>
          <w:tcPr>
            <w:tcW w:w="6060" w:type="dxa"/>
            <w:gridSpan w:val="5"/>
            <w:tcBorders>
              <w:top w:val="single" w:sz="4" w:space="0" w:color="auto"/>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Количество законченных случаев лечения в соответствии со стандартом медицинской помощи</w:t>
            </w:r>
          </w:p>
        </w:tc>
        <w:tc>
          <w:tcPr>
            <w:tcW w:w="6060" w:type="dxa"/>
            <w:gridSpan w:val="5"/>
            <w:tcBorders>
              <w:top w:val="single" w:sz="4" w:space="0" w:color="auto"/>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Средняя стоимость законченного случая лечения в соответствии со стандартом медицинской помощи</w:t>
            </w:r>
          </w:p>
        </w:tc>
      </w:tr>
      <w:tr w:rsidR="008140AA" w:rsidRPr="009B111E" w:rsidTr="008140AA">
        <w:trPr>
          <w:trHeight w:val="506"/>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c>
          <w:tcPr>
            <w:tcW w:w="1325" w:type="dxa"/>
            <w:tcBorders>
              <w:top w:val="nil"/>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Стандарт 1</w:t>
            </w:r>
          </w:p>
        </w:tc>
        <w:tc>
          <w:tcPr>
            <w:tcW w:w="1325" w:type="dxa"/>
            <w:tcBorders>
              <w:top w:val="nil"/>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Стандарт 2</w:t>
            </w:r>
          </w:p>
        </w:tc>
        <w:tc>
          <w:tcPr>
            <w:tcW w:w="1325" w:type="dxa"/>
            <w:tcBorders>
              <w:top w:val="nil"/>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Стандарт 3</w:t>
            </w:r>
          </w:p>
        </w:tc>
        <w:tc>
          <w:tcPr>
            <w:tcW w:w="760" w:type="dxa"/>
            <w:tcBorders>
              <w:top w:val="nil"/>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 . .</w:t>
            </w:r>
          </w:p>
        </w:tc>
        <w:tc>
          <w:tcPr>
            <w:tcW w:w="1325" w:type="dxa"/>
            <w:tcBorders>
              <w:top w:val="nil"/>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Стандарт N</w:t>
            </w:r>
          </w:p>
        </w:tc>
        <w:tc>
          <w:tcPr>
            <w:tcW w:w="1666" w:type="dxa"/>
            <w:tcBorders>
              <w:top w:val="nil"/>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Стандарт 1</w:t>
            </w:r>
          </w:p>
        </w:tc>
        <w:tc>
          <w:tcPr>
            <w:tcW w:w="984" w:type="dxa"/>
            <w:tcBorders>
              <w:top w:val="nil"/>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Стандарт 2</w:t>
            </w:r>
          </w:p>
        </w:tc>
        <w:tc>
          <w:tcPr>
            <w:tcW w:w="1325" w:type="dxa"/>
            <w:tcBorders>
              <w:top w:val="nil"/>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Стандарт 3</w:t>
            </w:r>
          </w:p>
        </w:tc>
        <w:tc>
          <w:tcPr>
            <w:tcW w:w="760" w:type="dxa"/>
            <w:tcBorders>
              <w:top w:val="nil"/>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 . .</w:t>
            </w:r>
          </w:p>
        </w:tc>
        <w:tc>
          <w:tcPr>
            <w:tcW w:w="1325" w:type="dxa"/>
            <w:tcBorders>
              <w:top w:val="nil"/>
              <w:left w:val="nil"/>
              <w:bottom w:val="single" w:sz="4" w:space="0" w:color="auto"/>
              <w:right w:val="single" w:sz="4" w:space="0" w:color="auto"/>
            </w:tcBorders>
            <w:shd w:val="clear" w:color="auto" w:fill="auto"/>
            <w:vAlign w:val="center"/>
            <w:hideMark/>
          </w:tcPr>
          <w:p w:rsidR="00726140" w:rsidRPr="008140AA" w:rsidRDefault="00726140" w:rsidP="008140AA">
            <w:pPr>
              <w:spacing w:after="0" w:line="240" w:lineRule="auto"/>
              <w:jc w:val="center"/>
              <w:rPr>
                <w:rFonts w:ascii="Times New Roman" w:eastAsia="Calibri" w:hAnsi="Times New Roman" w:cs="Times New Roman"/>
              </w:rPr>
            </w:pPr>
            <w:r w:rsidRPr="008140AA">
              <w:rPr>
                <w:rFonts w:ascii="Times New Roman" w:eastAsia="Calibri" w:hAnsi="Times New Roman" w:cs="Times New Roman"/>
              </w:rPr>
              <w:t>Стандарт N</w:t>
            </w:r>
          </w:p>
        </w:tc>
      </w:tr>
      <w:tr w:rsidR="008140AA" w:rsidRPr="009B111E" w:rsidTr="008140AA">
        <w:trPr>
          <w:trHeight w:val="269"/>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0B098E" w:rsidP="008140A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РФ</w:t>
            </w:r>
          </w:p>
        </w:tc>
        <w:tc>
          <w:tcPr>
            <w:tcW w:w="1325"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88 986</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666"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26 287,00</w:t>
            </w:r>
          </w:p>
        </w:tc>
        <w:tc>
          <w:tcPr>
            <w:tcW w:w="984"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r>
      <w:tr w:rsidR="008140AA" w:rsidRPr="009B111E" w:rsidTr="008140AA">
        <w:trPr>
          <w:trHeight w:val="485"/>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г. Москва</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897</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666"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25 582,50</w:t>
            </w:r>
          </w:p>
        </w:tc>
        <w:tc>
          <w:tcPr>
            <w:tcW w:w="984"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r>
      <w:tr w:rsidR="008140AA" w:rsidRPr="009B111E" w:rsidTr="008140AA">
        <w:trPr>
          <w:trHeight w:val="269"/>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г. Санкт-Петербург</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2 918</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666"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25 918,20</w:t>
            </w:r>
          </w:p>
        </w:tc>
        <w:tc>
          <w:tcPr>
            <w:tcW w:w="984"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r>
      <w:tr w:rsidR="008140AA" w:rsidRPr="009B111E" w:rsidTr="008140AA">
        <w:trPr>
          <w:trHeight w:val="269"/>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Алтайский край</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1 561</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666"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35 760,80</w:t>
            </w:r>
          </w:p>
        </w:tc>
        <w:tc>
          <w:tcPr>
            <w:tcW w:w="984"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r>
      <w:tr w:rsidR="008140AA" w:rsidRPr="009B111E" w:rsidTr="008140AA">
        <w:trPr>
          <w:trHeight w:val="269"/>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Амурская область</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15 763</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666"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67 640,50</w:t>
            </w:r>
          </w:p>
        </w:tc>
        <w:tc>
          <w:tcPr>
            <w:tcW w:w="984"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r>
      <w:tr w:rsidR="008140AA" w:rsidRPr="009B111E" w:rsidTr="008140AA">
        <w:trPr>
          <w:trHeight w:val="904"/>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r w:rsidRPr="009B111E">
              <w:rPr>
                <w:rFonts w:ascii="Times New Roman" w:eastAsia="Calibri" w:hAnsi="Times New Roman" w:cs="Times New Roman"/>
                <w:sz w:val="28"/>
                <w:szCs w:val="28"/>
              </w:rPr>
              <w:br/>
              <w:t>.</w:t>
            </w:r>
            <w:r w:rsidRPr="009B111E">
              <w:rPr>
                <w:rFonts w:ascii="Times New Roman" w:eastAsia="Calibri" w:hAnsi="Times New Roman" w:cs="Times New Roman"/>
                <w:sz w:val="28"/>
                <w:szCs w:val="28"/>
              </w:rPr>
              <w:br/>
              <w:t>.</w:t>
            </w:r>
          </w:p>
        </w:tc>
        <w:tc>
          <w:tcPr>
            <w:tcW w:w="1325"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r w:rsidRPr="009B111E">
              <w:rPr>
                <w:rFonts w:ascii="Times New Roman" w:eastAsia="Calibri" w:hAnsi="Times New Roman" w:cs="Times New Roman"/>
                <w:sz w:val="28"/>
                <w:szCs w:val="28"/>
              </w:rPr>
              <w:br/>
              <w:t>.</w:t>
            </w:r>
            <w:r w:rsidRPr="009B111E">
              <w:rPr>
                <w:rFonts w:ascii="Times New Roman" w:eastAsia="Calibri" w:hAnsi="Times New Roman" w:cs="Times New Roman"/>
                <w:sz w:val="28"/>
                <w:szCs w:val="28"/>
              </w:rPr>
              <w:br/>
              <w:t>.</w:t>
            </w:r>
          </w:p>
        </w:tc>
        <w:tc>
          <w:tcPr>
            <w:tcW w:w="1325"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r w:rsidRPr="009B111E">
              <w:rPr>
                <w:rFonts w:ascii="Times New Roman" w:eastAsia="Calibri" w:hAnsi="Times New Roman" w:cs="Times New Roman"/>
                <w:sz w:val="28"/>
                <w:szCs w:val="28"/>
              </w:rPr>
              <w:br/>
              <w:t>.</w:t>
            </w:r>
            <w:r w:rsidRPr="009B111E">
              <w:rPr>
                <w:rFonts w:ascii="Times New Roman" w:eastAsia="Calibri" w:hAnsi="Times New Roman" w:cs="Times New Roman"/>
                <w:sz w:val="28"/>
                <w:szCs w:val="28"/>
              </w:rPr>
              <w:br/>
              <w:t>.</w:t>
            </w:r>
          </w:p>
        </w:tc>
        <w:tc>
          <w:tcPr>
            <w:tcW w:w="1325"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r w:rsidRPr="009B111E">
              <w:rPr>
                <w:rFonts w:ascii="Times New Roman" w:eastAsia="Calibri" w:hAnsi="Times New Roman" w:cs="Times New Roman"/>
                <w:sz w:val="28"/>
                <w:szCs w:val="28"/>
              </w:rPr>
              <w:br/>
              <w:t>.</w:t>
            </w:r>
            <w:r w:rsidRPr="009B111E">
              <w:rPr>
                <w:rFonts w:ascii="Times New Roman" w:eastAsia="Calibri" w:hAnsi="Times New Roman" w:cs="Times New Roman"/>
                <w:sz w:val="28"/>
                <w:szCs w:val="28"/>
              </w:rPr>
              <w:br/>
              <w:t>.</w:t>
            </w:r>
          </w:p>
        </w:tc>
        <w:tc>
          <w:tcPr>
            <w:tcW w:w="760"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r w:rsidRPr="009B111E">
              <w:rPr>
                <w:rFonts w:ascii="Times New Roman" w:eastAsia="Calibri" w:hAnsi="Times New Roman" w:cs="Times New Roman"/>
                <w:sz w:val="28"/>
                <w:szCs w:val="28"/>
              </w:rPr>
              <w:br/>
              <w:t>.</w:t>
            </w:r>
            <w:r w:rsidRPr="009B111E">
              <w:rPr>
                <w:rFonts w:ascii="Times New Roman" w:eastAsia="Calibri" w:hAnsi="Times New Roman" w:cs="Times New Roman"/>
                <w:sz w:val="28"/>
                <w:szCs w:val="28"/>
              </w:rPr>
              <w:br/>
              <w:t>.</w:t>
            </w:r>
          </w:p>
        </w:tc>
        <w:tc>
          <w:tcPr>
            <w:tcW w:w="1325"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r w:rsidRPr="009B111E">
              <w:rPr>
                <w:rFonts w:ascii="Times New Roman" w:eastAsia="Calibri" w:hAnsi="Times New Roman" w:cs="Times New Roman"/>
                <w:sz w:val="28"/>
                <w:szCs w:val="28"/>
              </w:rPr>
              <w:br/>
              <w:t>.</w:t>
            </w:r>
            <w:r w:rsidRPr="009B111E">
              <w:rPr>
                <w:rFonts w:ascii="Times New Roman" w:eastAsia="Calibri" w:hAnsi="Times New Roman" w:cs="Times New Roman"/>
                <w:sz w:val="28"/>
                <w:szCs w:val="28"/>
              </w:rPr>
              <w:br/>
              <w:t>.</w:t>
            </w:r>
          </w:p>
        </w:tc>
        <w:tc>
          <w:tcPr>
            <w:tcW w:w="1666"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r w:rsidRPr="009B111E">
              <w:rPr>
                <w:rFonts w:ascii="Times New Roman" w:eastAsia="Calibri" w:hAnsi="Times New Roman" w:cs="Times New Roman"/>
                <w:sz w:val="28"/>
                <w:szCs w:val="28"/>
              </w:rPr>
              <w:br/>
              <w:t>.</w:t>
            </w:r>
            <w:r w:rsidRPr="009B111E">
              <w:rPr>
                <w:rFonts w:ascii="Times New Roman" w:eastAsia="Calibri" w:hAnsi="Times New Roman" w:cs="Times New Roman"/>
                <w:sz w:val="28"/>
                <w:szCs w:val="28"/>
              </w:rPr>
              <w:br/>
              <w:t>.</w:t>
            </w:r>
          </w:p>
        </w:tc>
        <w:tc>
          <w:tcPr>
            <w:tcW w:w="984"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r w:rsidRPr="009B111E">
              <w:rPr>
                <w:rFonts w:ascii="Times New Roman" w:eastAsia="Calibri" w:hAnsi="Times New Roman" w:cs="Times New Roman"/>
                <w:sz w:val="28"/>
                <w:szCs w:val="28"/>
              </w:rPr>
              <w:br/>
              <w:t>.</w:t>
            </w:r>
            <w:r w:rsidRPr="009B111E">
              <w:rPr>
                <w:rFonts w:ascii="Times New Roman" w:eastAsia="Calibri" w:hAnsi="Times New Roman" w:cs="Times New Roman"/>
                <w:sz w:val="28"/>
                <w:szCs w:val="28"/>
              </w:rPr>
              <w:br/>
              <w:t>.</w:t>
            </w:r>
          </w:p>
        </w:tc>
        <w:tc>
          <w:tcPr>
            <w:tcW w:w="1325"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r w:rsidRPr="009B111E">
              <w:rPr>
                <w:rFonts w:ascii="Times New Roman" w:eastAsia="Calibri" w:hAnsi="Times New Roman" w:cs="Times New Roman"/>
                <w:sz w:val="28"/>
                <w:szCs w:val="28"/>
              </w:rPr>
              <w:br/>
              <w:t>.</w:t>
            </w:r>
            <w:r w:rsidRPr="009B111E">
              <w:rPr>
                <w:rFonts w:ascii="Times New Roman" w:eastAsia="Calibri" w:hAnsi="Times New Roman" w:cs="Times New Roman"/>
                <w:sz w:val="28"/>
                <w:szCs w:val="28"/>
              </w:rPr>
              <w:br/>
              <w:t>.</w:t>
            </w:r>
          </w:p>
        </w:tc>
        <w:tc>
          <w:tcPr>
            <w:tcW w:w="760"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r w:rsidRPr="009B111E">
              <w:rPr>
                <w:rFonts w:ascii="Times New Roman" w:eastAsia="Calibri" w:hAnsi="Times New Roman" w:cs="Times New Roman"/>
                <w:sz w:val="28"/>
                <w:szCs w:val="28"/>
              </w:rPr>
              <w:br/>
              <w:t>.</w:t>
            </w:r>
            <w:r w:rsidRPr="009B111E">
              <w:rPr>
                <w:rFonts w:ascii="Times New Roman" w:eastAsia="Calibri" w:hAnsi="Times New Roman" w:cs="Times New Roman"/>
                <w:sz w:val="28"/>
                <w:szCs w:val="28"/>
              </w:rPr>
              <w:br/>
              <w:t>.</w:t>
            </w:r>
          </w:p>
        </w:tc>
        <w:tc>
          <w:tcPr>
            <w:tcW w:w="1325" w:type="dxa"/>
            <w:tcBorders>
              <w:top w:val="nil"/>
              <w:left w:val="nil"/>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r w:rsidRPr="009B111E">
              <w:rPr>
                <w:rFonts w:ascii="Times New Roman" w:eastAsia="Calibri" w:hAnsi="Times New Roman" w:cs="Times New Roman"/>
                <w:sz w:val="28"/>
                <w:szCs w:val="28"/>
              </w:rPr>
              <w:br/>
              <w:t>.</w:t>
            </w:r>
            <w:r w:rsidRPr="009B111E">
              <w:rPr>
                <w:rFonts w:ascii="Times New Roman" w:eastAsia="Calibri" w:hAnsi="Times New Roman" w:cs="Times New Roman"/>
                <w:sz w:val="28"/>
                <w:szCs w:val="28"/>
              </w:rPr>
              <w:br/>
              <w:t>.</w:t>
            </w:r>
          </w:p>
        </w:tc>
      </w:tr>
      <w:tr w:rsidR="008140AA" w:rsidRPr="009B111E" w:rsidTr="008140AA">
        <w:trPr>
          <w:trHeight w:val="269"/>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Чукотский АО</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1 324</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666"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984"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r>
      <w:tr w:rsidR="008140AA" w:rsidRPr="009B111E" w:rsidTr="008140AA">
        <w:trPr>
          <w:trHeight w:val="269"/>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Ямало-Ненецкий АО</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2 053</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666"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984"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r>
      <w:tr w:rsidR="008140AA" w:rsidRPr="009B111E" w:rsidTr="008140AA">
        <w:trPr>
          <w:trHeight w:val="369"/>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726140" w:rsidRPr="009B111E" w:rsidRDefault="00726140" w:rsidP="008140AA">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Ярославская область</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15 763</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666"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jc w:val="right"/>
              <w:rPr>
                <w:rFonts w:ascii="Times New Roman" w:eastAsia="Calibri" w:hAnsi="Times New Roman" w:cs="Times New Roman"/>
                <w:sz w:val="28"/>
                <w:szCs w:val="28"/>
              </w:rPr>
            </w:pPr>
            <w:r w:rsidRPr="009B111E">
              <w:rPr>
                <w:rFonts w:ascii="Times New Roman" w:eastAsia="Calibri" w:hAnsi="Times New Roman" w:cs="Times New Roman"/>
                <w:sz w:val="28"/>
                <w:szCs w:val="28"/>
              </w:rPr>
              <w:t>23 924,25</w:t>
            </w:r>
          </w:p>
        </w:tc>
        <w:tc>
          <w:tcPr>
            <w:tcW w:w="984"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760"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c>
          <w:tcPr>
            <w:tcW w:w="1325" w:type="dxa"/>
            <w:tcBorders>
              <w:top w:val="nil"/>
              <w:left w:val="nil"/>
              <w:bottom w:val="single" w:sz="4" w:space="0" w:color="auto"/>
              <w:right w:val="single" w:sz="4" w:space="0" w:color="auto"/>
            </w:tcBorders>
            <w:shd w:val="clear" w:color="auto" w:fill="auto"/>
            <w:noWrap/>
            <w:vAlign w:val="center"/>
            <w:hideMark/>
          </w:tcPr>
          <w:p w:rsidR="00726140" w:rsidRPr="009B111E" w:rsidRDefault="00726140" w:rsidP="008140AA">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w:t>
            </w:r>
          </w:p>
        </w:tc>
      </w:tr>
    </w:tbl>
    <w:p w:rsidR="00726140" w:rsidRPr="009B111E" w:rsidRDefault="00726140" w:rsidP="000B098E">
      <w:pPr>
        <w:ind w:firstLine="624"/>
        <w:rPr>
          <w:rFonts w:ascii="Times New Roman" w:eastAsia="Calibri" w:hAnsi="Times New Roman" w:cs="Times New Roman"/>
          <w:sz w:val="28"/>
          <w:szCs w:val="28"/>
        </w:rPr>
        <w:sectPr w:rsidR="00726140" w:rsidRPr="009B111E" w:rsidSect="00997B2E">
          <w:type w:val="continuous"/>
          <w:pgSz w:w="16838" w:h="11906" w:orient="landscape"/>
          <w:pgMar w:top="1134" w:right="851" w:bottom="1134" w:left="1985" w:header="708" w:footer="708" w:gutter="0"/>
          <w:cols w:space="708"/>
          <w:docGrid w:linePitch="360"/>
        </w:sectPr>
      </w:pPr>
    </w:p>
    <w:p w:rsidR="00726140" w:rsidRPr="009B111E"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lastRenderedPageBreak/>
        <w:t>Анализируя данную таблиц</w:t>
      </w:r>
      <w:r>
        <w:rPr>
          <w:rFonts w:ascii="Times New Roman" w:eastAsia="Calibri" w:hAnsi="Times New Roman" w:cs="Times New Roman"/>
          <w:sz w:val="28"/>
          <w:szCs w:val="28"/>
        </w:rPr>
        <w:t>у</w:t>
      </w:r>
      <w:r w:rsidRPr="009B111E">
        <w:rPr>
          <w:rFonts w:ascii="Times New Roman" w:eastAsia="Calibri" w:hAnsi="Times New Roman" w:cs="Times New Roman"/>
          <w:sz w:val="28"/>
          <w:szCs w:val="28"/>
        </w:rPr>
        <w:t>, можно оценить информацию по всей стране в целом, по федеральным округам и по каждому субъекту Российской Федерации в частности. При наличии неадекватно завышенных и заниженных стоимостей необходимо проведение повторного запроса информации в субъект Российской Федерации с подробной калькуляцией представленных данных. В итоге по каждому стандарту медицинской помощи будет получена усредненная информация.</w:t>
      </w:r>
    </w:p>
    <w:p w:rsidR="00726140"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Использую раскладку по наполнению клинико-статистических групп утвержденными стандартами медицинской помощи, мы сможем для каждой клинико-статистической группы подготовить таблицу, содержащую</w:t>
      </w:r>
      <w:r>
        <w:rPr>
          <w:rFonts w:ascii="Times New Roman" w:eastAsia="Calibri" w:hAnsi="Times New Roman" w:cs="Times New Roman"/>
          <w:sz w:val="28"/>
          <w:szCs w:val="28"/>
        </w:rPr>
        <w:t xml:space="preserve"> следующие элементы:</w:t>
      </w:r>
    </w:p>
    <w:p w:rsidR="00726140" w:rsidRPr="000B74CD" w:rsidRDefault="00726140" w:rsidP="00726140">
      <w:pPr>
        <w:pStyle w:val="a3"/>
        <w:numPr>
          <w:ilvl w:val="0"/>
          <w:numId w:val="25"/>
        </w:numPr>
        <w:tabs>
          <w:tab w:val="left" w:pos="142"/>
        </w:tabs>
        <w:spacing w:line="360" w:lineRule="auto"/>
        <w:ind w:left="0" w:firstLine="624"/>
        <w:jc w:val="both"/>
        <w:rPr>
          <w:rFonts w:ascii="Times New Roman" w:hAnsi="Times New Roman" w:cs="Times New Roman"/>
          <w:sz w:val="28"/>
          <w:szCs w:val="28"/>
        </w:rPr>
      </w:pPr>
      <w:r w:rsidRPr="000B74CD">
        <w:rPr>
          <w:rFonts w:ascii="Times New Roman" w:hAnsi="Times New Roman" w:cs="Times New Roman"/>
          <w:sz w:val="28"/>
          <w:szCs w:val="28"/>
        </w:rPr>
        <w:t>Количество стандартов медицинской помощи, входящих в определенную клинико-статистическую группу;</w:t>
      </w:r>
    </w:p>
    <w:p w:rsidR="00726140" w:rsidRPr="000B74CD" w:rsidRDefault="00726140" w:rsidP="00726140">
      <w:pPr>
        <w:pStyle w:val="a3"/>
        <w:numPr>
          <w:ilvl w:val="0"/>
          <w:numId w:val="25"/>
        </w:numPr>
        <w:tabs>
          <w:tab w:val="left" w:pos="142"/>
        </w:tabs>
        <w:spacing w:line="360" w:lineRule="auto"/>
        <w:ind w:left="0" w:firstLine="624"/>
        <w:jc w:val="both"/>
        <w:rPr>
          <w:rFonts w:ascii="Times New Roman" w:hAnsi="Times New Roman" w:cs="Times New Roman"/>
          <w:sz w:val="28"/>
          <w:szCs w:val="28"/>
        </w:rPr>
      </w:pPr>
      <w:r w:rsidRPr="000B74CD">
        <w:rPr>
          <w:rFonts w:ascii="Times New Roman" w:hAnsi="Times New Roman" w:cs="Times New Roman"/>
          <w:sz w:val="28"/>
          <w:szCs w:val="28"/>
        </w:rPr>
        <w:t>Среднюю стоимость законченного случая лечения в соответствии со стандартом медицинской помощи;</w:t>
      </w:r>
    </w:p>
    <w:p w:rsidR="00726140" w:rsidRPr="000B74CD" w:rsidRDefault="00726140" w:rsidP="00726140">
      <w:pPr>
        <w:pStyle w:val="a3"/>
        <w:numPr>
          <w:ilvl w:val="0"/>
          <w:numId w:val="25"/>
        </w:numPr>
        <w:tabs>
          <w:tab w:val="left" w:pos="142"/>
        </w:tabs>
        <w:spacing w:line="360" w:lineRule="auto"/>
        <w:ind w:left="0" w:firstLine="624"/>
        <w:jc w:val="both"/>
        <w:rPr>
          <w:rFonts w:ascii="Times New Roman" w:hAnsi="Times New Roman" w:cs="Times New Roman"/>
          <w:sz w:val="28"/>
          <w:szCs w:val="28"/>
        </w:rPr>
      </w:pPr>
      <w:r w:rsidRPr="000B74CD">
        <w:rPr>
          <w:rFonts w:ascii="Times New Roman" w:hAnsi="Times New Roman" w:cs="Times New Roman"/>
          <w:sz w:val="28"/>
          <w:szCs w:val="28"/>
        </w:rPr>
        <w:t>Количество законченных случаев лечения в соответствии со стандартом медицинской помощи.</w:t>
      </w:r>
    </w:p>
    <w:p w:rsidR="00726140" w:rsidRDefault="00726140" w:rsidP="00726140">
      <w:pPr>
        <w:spacing w:line="360" w:lineRule="auto"/>
        <w:ind w:firstLine="624"/>
        <w:contextualSpacing/>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Рассмотрим в качестве примера 181-ую клинико-статистическую группу «</w:t>
      </w:r>
      <w:r w:rsidRPr="008140AA">
        <w:rPr>
          <w:rFonts w:ascii="Times New Roman" w:eastAsia="Calibri" w:hAnsi="Times New Roman" w:cs="Times New Roman"/>
          <w:sz w:val="28"/>
          <w:szCs w:val="28"/>
        </w:rPr>
        <w:t xml:space="preserve">Сахарный диабет» </w:t>
      </w:r>
      <w:r w:rsidR="00290FDE">
        <w:rPr>
          <w:rFonts w:ascii="Times New Roman" w:eastAsia="Calibri" w:hAnsi="Times New Roman" w:cs="Times New Roman"/>
          <w:sz w:val="28"/>
          <w:szCs w:val="28"/>
        </w:rPr>
        <w:t>(Таблица 12</w:t>
      </w:r>
      <w:r w:rsidR="008140AA" w:rsidRPr="008140AA">
        <w:rPr>
          <w:rFonts w:ascii="Times New Roman" w:eastAsia="Calibri" w:hAnsi="Times New Roman" w:cs="Times New Roman"/>
          <w:sz w:val="28"/>
          <w:szCs w:val="28"/>
        </w:rPr>
        <w:t>)</w:t>
      </w:r>
      <w:r w:rsidRPr="008140AA">
        <w:rPr>
          <w:rFonts w:ascii="Times New Roman" w:eastAsia="Calibri" w:hAnsi="Times New Roman" w:cs="Times New Roman"/>
          <w:sz w:val="28"/>
          <w:szCs w:val="28"/>
        </w:rPr>
        <w:t xml:space="preserve"> (стоимость оказания медицинской</w:t>
      </w:r>
      <w:r>
        <w:rPr>
          <w:rFonts w:ascii="Times New Roman" w:eastAsia="Calibri" w:hAnsi="Times New Roman" w:cs="Times New Roman"/>
          <w:sz w:val="28"/>
          <w:szCs w:val="28"/>
        </w:rPr>
        <w:t xml:space="preserve"> помощи приведена в качестве примера и не основана на реальной статистической информации)</w:t>
      </w:r>
      <w:r w:rsidRPr="009B111E">
        <w:rPr>
          <w:rFonts w:ascii="Times New Roman" w:eastAsia="Calibri" w:hAnsi="Times New Roman" w:cs="Times New Roman"/>
          <w:sz w:val="28"/>
          <w:szCs w:val="28"/>
        </w:rPr>
        <w:t>. В данную клинико-статистическую группу входит 5 стандартов медицинской помощи:</w:t>
      </w:r>
    </w:p>
    <w:p w:rsidR="00726140" w:rsidRDefault="00726140" w:rsidP="00726140">
      <w:pPr>
        <w:pStyle w:val="a3"/>
        <w:numPr>
          <w:ilvl w:val="0"/>
          <w:numId w:val="24"/>
        </w:numPr>
        <w:spacing w:line="360" w:lineRule="auto"/>
        <w:ind w:left="0"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F639B2">
        <w:rPr>
          <w:rFonts w:ascii="Times New Roman" w:eastAsia="Calibri" w:hAnsi="Times New Roman" w:cs="Times New Roman"/>
          <w:sz w:val="28"/>
          <w:szCs w:val="28"/>
        </w:rPr>
        <w:t>тандарт специализированной медицинской помощи детям при инсулинзависимом сахарном диабете</w:t>
      </w:r>
      <w:r>
        <w:rPr>
          <w:rFonts w:ascii="Times New Roman" w:eastAsia="Calibri" w:hAnsi="Times New Roman" w:cs="Times New Roman"/>
          <w:sz w:val="28"/>
          <w:szCs w:val="28"/>
        </w:rPr>
        <w:t>,</w:t>
      </w:r>
    </w:p>
    <w:p w:rsidR="00726140" w:rsidRDefault="00726140" w:rsidP="00726140">
      <w:pPr>
        <w:pStyle w:val="a3"/>
        <w:numPr>
          <w:ilvl w:val="0"/>
          <w:numId w:val="24"/>
        </w:numPr>
        <w:spacing w:line="360" w:lineRule="auto"/>
        <w:ind w:left="0"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F639B2">
        <w:rPr>
          <w:rFonts w:ascii="Times New Roman" w:eastAsia="Calibri" w:hAnsi="Times New Roman" w:cs="Times New Roman"/>
          <w:sz w:val="28"/>
          <w:szCs w:val="28"/>
        </w:rPr>
        <w:t>тандарт специализированной медицинской помощи больным сахарным диабетом с синдромом диабетической стопы (критическая ишемия),</w:t>
      </w:r>
    </w:p>
    <w:p w:rsidR="00726140" w:rsidRDefault="00726140" w:rsidP="00726140">
      <w:pPr>
        <w:pStyle w:val="a3"/>
        <w:numPr>
          <w:ilvl w:val="0"/>
          <w:numId w:val="24"/>
        </w:numPr>
        <w:spacing w:line="360" w:lineRule="auto"/>
        <w:ind w:left="0"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w:t>
      </w:r>
      <w:r w:rsidRPr="00F639B2">
        <w:rPr>
          <w:rFonts w:ascii="Times New Roman" w:eastAsia="Calibri" w:hAnsi="Times New Roman" w:cs="Times New Roman"/>
          <w:sz w:val="28"/>
          <w:szCs w:val="28"/>
        </w:rPr>
        <w:t>тандарт специализированной медицинской помощи больным инсулиннезависимым сахарным диабетом</w:t>
      </w:r>
      <w:r>
        <w:rPr>
          <w:rFonts w:ascii="Times New Roman" w:eastAsia="Calibri" w:hAnsi="Times New Roman" w:cs="Times New Roman"/>
          <w:sz w:val="28"/>
          <w:szCs w:val="28"/>
        </w:rPr>
        <w:t>;</w:t>
      </w:r>
    </w:p>
    <w:p w:rsidR="00726140" w:rsidRDefault="00726140" w:rsidP="00726140">
      <w:pPr>
        <w:pStyle w:val="a3"/>
        <w:numPr>
          <w:ilvl w:val="0"/>
          <w:numId w:val="24"/>
        </w:numPr>
        <w:spacing w:line="360" w:lineRule="auto"/>
        <w:ind w:left="0"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F639B2">
        <w:rPr>
          <w:rFonts w:ascii="Times New Roman" w:eastAsia="Calibri" w:hAnsi="Times New Roman" w:cs="Times New Roman"/>
          <w:sz w:val="28"/>
          <w:szCs w:val="28"/>
        </w:rPr>
        <w:t>тандарт специализированной медицинской помощи больным сахарным диабетом с синдромом диабетической стопы (без критической ишемии)</w:t>
      </w:r>
      <w:r>
        <w:rPr>
          <w:rFonts w:ascii="Times New Roman" w:eastAsia="Calibri" w:hAnsi="Times New Roman" w:cs="Times New Roman"/>
          <w:sz w:val="28"/>
          <w:szCs w:val="28"/>
        </w:rPr>
        <w:t>;</w:t>
      </w:r>
    </w:p>
    <w:p w:rsidR="00726140" w:rsidRDefault="00726140" w:rsidP="00726140">
      <w:pPr>
        <w:pStyle w:val="a3"/>
        <w:numPr>
          <w:ilvl w:val="0"/>
          <w:numId w:val="24"/>
        </w:numPr>
        <w:spacing w:line="360" w:lineRule="auto"/>
        <w:ind w:left="0"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F639B2">
        <w:rPr>
          <w:rFonts w:ascii="Times New Roman" w:eastAsia="Calibri" w:hAnsi="Times New Roman" w:cs="Times New Roman"/>
          <w:sz w:val="28"/>
          <w:szCs w:val="28"/>
        </w:rPr>
        <w:t>тандарт специализированной медицинской помощи при инсулинзависимом сахарном</w:t>
      </w:r>
      <w:r>
        <w:rPr>
          <w:rFonts w:ascii="Times New Roman" w:eastAsia="Calibri" w:hAnsi="Times New Roman" w:cs="Times New Roman"/>
          <w:sz w:val="28"/>
          <w:szCs w:val="28"/>
        </w:rPr>
        <w:t xml:space="preserve"> </w:t>
      </w:r>
      <w:r w:rsidRPr="00F639B2">
        <w:rPr>
          <w:rFonts w:ascii="Times New Roman" w:eastAsia="Calibri" w:hAnsi="Times New Roman" w:cs="Times New Roman"/>
          <w:sz w:val="28"/>
          <w:szCs w:val="28"/>
        </w:rPr>
        <w:t xml:space="preserve">диабете. </w:t>
      </w:r>
    </w:p>
    <w:tbl>
      <w:tblPr>
        <w:tblW w:w="9923" w:type="dxa"/>
        <w:tblInd w:w="-318" w:type="dxa"/>
        <w:tblLayout w:type="fixed"/>
        <w:tblLook w:val="04A0"/>
      </w:tblPr>
      <w:tblGrid>
        <w:gridCol w:w="992"/>
        <w:gridCol w:w="993"/>
        <w:gridCol w:w="5245"/>
        <w:gridCol w:w="1346"/>
        <w:gridCol w:w="1347"/>
      </w:tblGrid>
      <w:tr w:rsidR="00290FDE" w:rsidRPr="009B111E" w:rsidTr="00A36E47">
        <w:trPr>
          <w:cantSplit/>
          <w:trHeight w:val="2927"/>
        </w:trPr>
        <w:tc>
          <w:tcPr>
            <w:tcW w:w="992" w:type="dxa"/>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rsidR="00290FDE" w:rsidRPr="008E1F20" w:rsidRDefault="00290FDE" w:rsidP="00A36E47">
            <w:pPr>
              <w:spacing w:after="0" w:line="240" w:lineRule="auto"/>
              <w:ind w:left="113" w:right="113"/>
              <w:jc w:val="center"/>
              <w:rPr>
                <w:rFonts w:ascii="Times New Roman" w:eastAsia="Calibri" w:hAnsi="Times New Roman" w:cs="Times New Roman"/>
                <w:b/>
                <w:sz w:val="20"/>
                <w:szCs w:val="20"/>
              </w:rPr>
            </w:pPr>
            <w:bookmarkStart w:id="15" w:name="RANGE!A1:E7"/>
            <w:r w:rsidRPr="008E1F20">
              <w:rPr>
                <w:rFonts w:ascii="Times New Roman" w:eastAsia="Calibri" w:hAnsi="Times New Roman" w:cs="Times New Roman"/>
                <w:b/>
                <w:sz w:val="20"/>
                <w:szCs w:val="20"/>
              </w:rPr>
              <w:t>Номер приказа Минздрава РФ о принятии стандарта</w:t>
            </w:r>
            <w:bookmarkEnd w:id="15"/>
            <w:r w:rsidRPr="008E1F20">
              <w:rPr>
                <w:rFonts w:ascii="Times New Roman" w:eastAsia="Calibri" w:hAnsi="Times New Roman" w:cs="Times New Roman"/>
                <w:b/>
                <w:sz w:val="20"/>
                <w:szCs w:val="20"/>
              </w:rPr>
              <w:t xml:space="preserve"> м.п.</w:t>
            </w:r>
          </w:p>
        </w:tc>
        <w:tc>
          <w:tcPr>
            <w:tcW w:w="993" w:type="dxa"/>
            <w:tcBorders>
              <w:top w:val="single" w:sz="4" w:space="0" w:color="auto"/>
              <w:left w:val="nil"/>
              <w:bottom w:val="single" w:sz="4" w:space="0" w:color="auto"/>
              <w:right w:val="single" w:sz="4" w:space="0" w:color="auto"/>
            </w:tcBorders>
            <w:shd w:val="clear" w:color="000000" w:fill="auto"/>
            <w:textDirection w:val="btLr"/>
            <w:vAlign w:val="center"/>
            <w:hideMark/>
          </w:tcPr>
          <w:p w:rsidR="00290FDE" w:rsidRPr="008E1F20" w:rsidRDefault="00290FDE" w:rsidP="00A36E47">
            <w:pPr>
              <w:spacing w:after="0" w:line="240" w:lineRule="auto"/>
              <w:ind w:left="113" w:right="113"/>
              <w:jc w:val="center"/>
              <w:rPr>
                <w:rFonts w:ascii="Times New Roman" w:eastAsia="Calibri" w:hAnsi="Times New Roman" w:cs="Times New Roman"/>
                <w:b/>
                <w:sz w:val="20"/>
                <w:szCs w:val="20"/>
              </w:rPr>
            </w:pPr>
            <w:r w:rsidRPr="008E1F20">
              <w:rPr>
                <w:rFonts w:ascii="Times New Roman" w:eastAsia="Calibri" w:hAnsi="Times New Roman" w:cs="Times New Roman"/>
                <w:b/>
                <w:sz w:val="20"/>
                <w:szCs w:val="20"/>
              </w:rPr>
              <w:t>Дата приказа Минздрава РФ о принятии стандарта м.п.</w:t>
            </w:r>
          </w:p>
        </w:tc>
        <w:tc>
          <w:tcPr>
            <w:tcW w:w="5245" w:type="dxa"/>
            <w:tcBorders>
              <w:top w:val="single" w:sz="4" w:space="0" w:color="auto"/>
              <w:left w:val="nil"/>
              <w:bottom w:val="single" w:sz="4" w:space="0" w:color="auto"/>
              <w:right w:val="single" w:sz="4" w:space="0" w:color="auto"/>
            </w:tcBorders>
            <w:shd w:val="clear" w:color="000000" w:fill="auto"/>
            <w:vAlign w:val="center"/>
            <w:hideMark/>
          </w:tcPr>
          <w:p w:rsidR="00290FDE" w:rsidRPr="008E1F20" w:rsidRDefault="00290FDE" w:rsidP="00A36E47">
            <w:pPr>
              <w:spacing w:after="0" w:line="240" w:lineRule="auto"/>
              <w:jc w:val="center"/>
              <w:rPr>
                <w:rFonts w:ascii="Times New Roman" w:eastAsia="Calibri" w:hAnsi="Times New Roman" w:cs="Times New Roman"/>
                <w:b/>
                <w:sz w:val="20"/>
                <w:szCs w:val="20"/>
              </w:rPr>
            </w:pPr>
            <w:r w:rsidRPr="008E1F20">
              <w:rPr>
                <w:rFonts w:ascii="Times New Roman" w:eastAsia="Calibri" w:hAnsi="Times New Roman" w:cs="Times New Roman"/>
                <w:b/>
                <w:sz w:val="20"/>
                <w:szCs w:val="20"/>
              </w:rPr>
              <w:t>Класс IV - Болезни эндокринной системы, расстройства питания и нарушения обмена веществ</w:t>
            </w:r>
          </w:p>
        </w:tc>
        <w:tc>
          <w:tcPr>
            <w:tcW w:w="1346" w:type="dxa"/>
            <w:tcBorders>
              <w:top w:val="single" w:sz="4" w:space="0" w:color="auto"/>
              <w:left w:val="nil"/>
              <w:bottom w:val="single" w:sz="4" w:space="0" w:color="auto"/>
              <w:right w:val="single" w:sz="4" w:space="0" w:color="auto"/>
            </w:tcBorders>
            <w:shd w:val="clear" w:color="000000" w:fill="auto"/>
            <w:textDirection w:val="btLr"/>
            <w:vAlign w:val="center"/>
            <w:hideMark/>
          </w:tcPr>
          <w:p w:rsidR="00290FDE" w:rsidRPr="008E1F20" w:rsidRDefault="00290FDE" w:rsidP="00A36E47">
            <w:pPr>
              <w:spacing w:after="0" w:line="240" w:lineRule="auto"/>
              <w:ind w:left="113" w:right="113"/>
              <w:jc w:val="center"/>
              <w:rPr>
                <w:rFonts w:ascii="Times New Roman" w:eastAsia="Calibri" w:hAnsi="Times New Roman" w:cs="Times New Roman"/>
                <w:b/>
                <w:sz w:val="20"/>
                <w:szCs w:val="20"/>
              </w:rPr>
            </w:pPr>
            <w:r w:rsidRPr="008E1F20">
              <w:rPr>
                <w:rFonts w:ascii="Times New Roman" w:eastAsia="Calibri" w:hAnsi="Times New Roman" w:cs="Times New Roman"/>
                <w:b/>
                <w:sz w:val="20"/>
                <w:szCs w:val="20"/>
              </w:rPr>
              <w:t>Средняя стоимость законченного случая лечения в соответствии со стандартом м.п., руб.</w:t>
            </w:r>
          </w:p>
        </w:tc>
        <w:tc>
          <w:tcPr>
            <w:tcW w:w="1347" w:type="dxa"/>
            <w:tcBorders>
              <w:top w:val="single" w:sz="4" w:space="0" w:color="auto"/>
              <w:left w:val="nil"/>
              <w:bottom w:val="single" w:sz="4" w:space="0" w:color="auto"/>
              <w:right w:val="single" w:sz="4" w:space="0" w:color="auto"/>
            </w:tcBorders>
            <w:shd w:val="clear" w:color="000000" w:fill="auto"/>
            <w:textDirection w:val="btLr"/>
            <w:vAlign w:val="center"/>
            <w:hideMark/>
          </w:tcPr>
          <w:p w:rsidR="00290FDE" w:rsidRPr="008E1F20" w:rsidRDefault="00290FDE" w:rsidP="00A36E47">
            <w:pPr>
              <w:spacing w:after="0" w:line="240" w:lineRule="auto"/>
              <w:ind w:left="113" w:right="113"/>
              <w:jc w:val="center"/>
              <w:rPr>
                <w:rFonts w:ascii="Times New Roman" w:eastAsia="Calibri" w:hAnsi="Times New Roman" w:cs="Times New Roman"/>
                <w:b/>
                <w:sz w:val="20"/>
                <w:szCs w:val="20"/>
              </w:rPr>
            </w:pPr>
            <w:r w:rsidRPr="008E1F20">
              <w:rPr>
                <w:rFonts w:ascii="Times New Roman" w:eastAsia="Calibri" w:hAnsi="Times New Roman" w:cs="Times New Roman"/>
                <w:b/>
                <w:sz w:val="20"/>
                <w:szCs w:val="20"/>
              </w:rPr>
              <w:t>Количество законченных случаев лечения в соответствии со стандартом м.п.</w:t>
            </w:r>
          </w:p>
        </w:tc>
      </w:tr>
      <w:tr w:rsidR="00290FDE" w:rsidRPr="009B111E" w:rsidTr="00A36E47">
        <w:trPr>
          <w:trHeight w:val="37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290FDE" w:rsidRPr="008E1F20" w:rsidRDefault="00290FDE" w:rsidP="00A36E47">
            <w:pPr>
              <w:spacing w:after="0" w:line="240" w:lineRule="auto"/>
              <w:jc w:val="center"/>
              <w:rPr>
                <w:rFonts w:ascii="Times New Roman" w:eastAsia="Calibri" w:hAnsi="Times New Roman" w:cs="Times New Roman"/>
                <w:b/>
                <w:sz w:val="28"/>
                <w:szCs w:val="28"/>
              </w:rPr>
            </w:pPr>
            <w:r w:rsidRPr="008E1F20">
              <w:rPr>
                <w:rFonts w:ascii="Times New Roman" w:eastAsia="Calibri" w:hAnsi="Times New Roman" w:cs="Times New Roman"/>
                <w:b/>
                <w:sz w:val="28"/>
                <w:szCs w:val="28"/>
              </w:rPr>
              <w:t>Сахарный диабет (181)</w:t>
            </w:r>
          </w:p>
        </w:tc>
        <w:tc>
          <w:tcPr>
            <w:tcW w:w="1346" w:type="dxa"/>
            <w:tcBorders>
              <w:top w:val="nil"/>
              <w:left w:val="nil"/>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c>
          <w:tcPr>
            <w:tcW w:w="1347" w:type="dxa"/>
            <w:tcBorders>
              <w:top w:val="nil"/>
              <w:left w:val="nil"/>
              <w:bottom w:val="single" w:sz="4" w:space="0" w:color="auto"/>
              <w:right w:val="single" w:sz="4" w:space="0" w:color="auto"/>
            </w:tcBorders>
            <w:shd w:val="clear" w:color="auto" w:fill="auto"/>
            <w:noWrap/>
            <w:vAlign w:val="bottom"/>
            <w:hideMark/>
          </w:tcPr>
          <w:p w:rsidR="00290FDE" w:rsidRPr="009B111E" w:rsidRDefault="00290FDE" w:rsidP="00A36E47">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 </w:t>
            </w:r>
          </w:p>
        </w:tc>
      </w:tr>
      <w:tr w:rsidR="00290FDE" w:rsidRPr="009B111E" w:rsidTr="00A36E47">
        <w:trPr>
          <w:trHeight w:val="113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707н</w:t>
            </w:r>
          </w:p>
        </w:tc>
        <w:tc>
          <w:tcPr>
            <w:tcW w:w="993" w:type="dxa"/>
            <w:tcBorders>
              <w:top w:val="nil"/>
              <w:left w:val="nil"/>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09.11.2012</w:t>
            </w:r>
          </w:p>
        </w:tc>
        <w:tc>
          <w:tcPr>
            <w:tcW w:w="5245" w:type="dxa"/>
            <w:tcBorders>
              <w:top w:val="nil"/>
              <w:left w:val="nil"/>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Стандарт специализированной медицинской помощи детям при инсулинзависимом сахарном диабете</w:t>
            </w:r>
          </w:p>
        </w:tc>
        <w:tc>
          <w:tcPr>
            <w:tcW w:w="1346" w:type="dxa"/>
            <w:tcBorders>
              <w:top w:val="nil"/>
              <w:left w:val="nil"/>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80 236,9</w:t>
            </w:r>
          </w:p>
        </w:tc>
        <w:tc>
          <w:tcPr>
            <w:tcW w:w="1347" w:type="dxa"/>
            <w:tcBorders>
              <w:top w:val="nil"/>
              <w:left w:val="nil"/>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15 770</w:t>
            </w:r>
          </w:p>
        </w:tc>
      </w:tr>
      <w:tr w:rsidR="00290FDE" w:rsidRPr="009B111E" w:rsidTr="00A36E47">
        <w:trPr>
          <w:trHeight w:val="113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1620н</w:t>
            </w:r>
          </w:p>
        </w:tc>
        <w:tc>
          <w:tcPr>
            <w:tcW w:w="993" w:type="dxa"/>
            <w:tcBorders>
              <w:top w:val="nil"/>
              <w:left w:val="nil"/>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28.12.2012</w:t>
            </w:r>
          </w:p>
        </w:tc>
        <w:tc>
          <w:tcPr>
            <w:tcW w:w="5245" w:type="dxa"/>
            <w:tcBorders>
              <w:top w:val="nil"/>
              <w:left w:val="nil"/>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Стандарт специализированной медицинской помощи больным сахарным диабетом с синдромом диабетической стопы (критическая ишемия)</w:t>
            </w:r>
          </w:p>
        </w:tc>
        <w:tc>
          <w:tcPr>
            <w:tcW w:w="1346" w:type="dxa"/>
            <w:tcBorders>
              <w:top w:val="nil"/>
              <w:left w:val="nil"/>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45 469,1</w:t>
            </w:r>
          </w:p>
        </w:tc>
        <w:tc>
          <w:tcPr>
            <w:tcW w:w="1347" w:type="dxa"/>
            <w:tcBorders>
              <w:top w:val="nil"/>
              <w:left w:val="nil"/>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49 845</w:t>
            </w:r>
          </w:p>
        </w:tc>
      </w:tr>
      <w:tr w:rsidR="00290FDE" w:rsidRPr="009B111E" w:rsidTr="00A36E47">
        <w:trPr>
          <w:trHeight w:val="113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858н</w:t>
            </w:r>
          </w:p>
        </w:tc>
        <w:tc>
          <w:tcPr>
            <w:tcW w:w="993" w:type="dxa"/>
            <w:tcBorders>
              <w:top w:val="nil"/>
              <w:left w:val="nil"/>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09.11.2012</w:t>
            </w:r>
          </w:p>
        </w:tc>
        <w:tc>
          <w:tcPr>
            <w:tcW w:w="5245" w:type="dxa"/>
            <w:tcBorders>
              <w:top w:val="nil"/>
              <w:left w:val="nil"/>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Стандарт специализированной медицинской помощи больным инсулиннезависимым сахарным диабетом</w:t>
            </w:r>
          </w:p>
        </w:tc>
        <w:tc>
          <w:tcPr>
            <w:tcW w:w="1346" w:type="dxa"/>
            <w:tcBorders>
              <w:top w:val="nil"/>
              <w:left w:val="nil"/>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38 377,8</w:t>
            </w:r>
          </w:p>
        </w:tc>
        <w:tc>
          <w:tcPr>
            <w:tcW w:w="1347" w:type="dxa"/>
            <w:tcBorders>
              <w:top w:val="nil"/>
              <w:left w:val="nil"/>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2 490 332</w:t>
            </w:r>
          </w:p>
        </w:tc>
      </w:tr>
      <w:tr w:rsidR="00290FDE" w:rsidRPr="009B111E" w:rsidTr="00A36E47">
        <w:trPr>
          <w:trHeight w:val="113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1434н</w:t>
            </w:r>
          </w:p>
        </w:tc>
        <w:tc>
          <w:tcPr>
            <w:tcW w:w="993" w:type="dxa"/>
            <w:tcBorders>
              <w:top w:val="nil"/>
              <w:left w:val="nil"/>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24.12.2012</w:t>
            </w:r>
          </w:p>
        </w:tc>
        <w:tc>
          <w:tcPr>
            <w:tcW w:w="5245" w:type="dxa"/>
            <w:tcBorders>
              <w:top w:val="nil"/>
              <w:left w:val="nil"/>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Стандарт специализированной медицинской помощи больным сахарным диабетом с синдромом диабетической стопы (без критической ишемии)</w:t>
            </w:r>
          </w:p>
        </w:tc>
        <w:tc>
          <w:tcPr>
            <w:tcW w:w="1346" w:type="dxa"/>
            <w:tcBorders>
              <w:top w:val="nil"/>
              <w:left w:val="nil"/>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36 036,7</w:t>
            </w:r>
          </w:p>
        </w:tc>
        <w:tc>
          <w:tcPr>
            <w:tcW w:w="1347" w:type="dxa"/>
            <w:tcBorders>
              <w:top w:val="nil"/>
              <w:left w:val="nil"/>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124 536</w:t>
            </w:r>
          </w:p>
        </w:tc>
      </w:tr>
      <w:tr w:rsidR="00290FDE" w:rsidRPr="009B111E" w:rsidTr="00A36E47">
        <w:trPr>
          <w:trHeight w:val="113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1552н</w:t>
            </w:r>
          </w:p>
        </w:tc>
        <w:tc>
          <w:tcPr>
            <w:tcW w:w="993" w:type="dxa"/>
            <w:tcBorders>
              <w:top w:val="nil"/>
              <w:left w:val="nil"/>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24.12.2012</w:t>
            </w:r>
          </w:p>
        </w:tc>
        <w:tc>
          <w:tcPr>
            <w:tcW w:w="5245" w:type="dxa"/>
            <w:tcBorders>
              <w:top w:val="nil"/>
              <w:left w:val="nil"/>
              <w:bottom w:val="single" w:sz="4" w:space="0" w:color="auto"/>
              <w:right w:val="single" w:sz="4" w:space="0" w:color="auto"/>
            </w:tcBorders>
            <w:shd w:val="clear" w:color="auto" w:fill="auto"/>
            <w:vAlign w:val="center"/>
            <w:hideMark/>
          </w:tcPr>
          <w:p w:rsidR="00290FDE" w:rsidRPr="009B111E" w:rsidRDefault="00290FDE" w:rsidP="00A36E47">
            <w:pPr>
              <w:spacing w:after="0" w:line="240" w:lineRule="auto"/>
              <w:rPr>
                <w:rFonts w:ascii="Times New Roman" w:eastAsia="Calibri" w:hAnsi="Times New Roman" w:cs="Times New Roman"/>
                <w:sz w:val="28"/>
                <w:szCs w:val="28"/>
              </w:rPr>
            </w:pPr>
            <w:r w:rsidRPr="009B111E">
              <w:rPr>
                <w:rFonts w:ascii="Times New Roman" w:eastAsia="Calibri" w:hAnsi="Times New Roman" w:cs="Times New Roman"/>
                <w:sz w:val="28"/>
                <w:szCs w:val="28"/>
              </w:rPr>
              <w:t>Стандарт специализированной медицинской помощи при инсулинзависимом сахарном диабете</w:t>
            </w:r>
          </w:p>
        </w:tc>
        <w:tc>
          <w:tcPr>
            <w:tcW w:w="1346" w:type="dxa"/>
            <w:tcBorders>
              <w:top w:val="nil"/>
              <w:left w:val="nil"/>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71 856,4</w:t>
            </w:r>
          </w:p>
        </w:tc>
        <w:tc>
          <w:tcPr>
            <w:tcW w:w="1347" w:type="dxa"/>
            <w:tcBorders>
              <w:top w:val="nil"/>
              <w:left w:val="nil"/>
              <w:bottom w:val="single" w:sz="4" w:space="0" w:color="auto"/>
              <w:right w:val="single" w:sz="4" w:space="0" w:color="auto"/>
            </w:tcBorders>
            <w:shd w:val="clear" w:color="auto" w:fill="auto"/>
            <w:noWrap/>
            <w:vAlign w:val="center"/>
            <w:hideMark/>
          </w:tcPr>
          <w:p w:rsidR="00290FDE" w:rsidRPr="009B111E" w:rsidRDefault="00290FDE" w:rsidP="00A36E47">
            <w:pPr>
              <w:spacing w:after="0" w:line="240" w:lineRule="auto"/>
              <w:jc w:val="center"/>
              <w:rPr>
                <w:rFonts w:ascii="Times New Roman" w:eastAsia="Calibri" w:hAnsi="Times New Roman" w:cs="Times New Roman"/>
                <w:sz w:val="28"/>
                <w:szCs w:val="28"/>
              </w:rPr>
            </w:pPr>
            <w:r w:rsidRPr="009B111E">
              <w:rPr>
                <w:rFonts w:ascii="Times New Roman" w:eastAsia="Calibri" w:hAnsi="Times New Roman" w:cs="Times New Roman"/>
                <w:sz w:val="28"/>
                <w:szCs w:val="28"/>
              </w:rPr>
              <w:t>166 987</w:t>
            </w:r>
          </w:p>
        </w:tc>
      </w:tr>
    </w:tbl>
    <w:p w:rsidR="00290FDE" w:rsidRPr="00290FDE" w:rsidRDefault="00290FDE" w:rsidP="00290FDE">
      <w:pPr>
        <w:spacing w:before="240"/>
        <w:jc w:val="both"/>
        <w:rPr>
          <w:rFonts w:ascii="Times New Roman" w:eastAsia="Calibri" w:hAnsi="Times New Roman" w:cs="Times New Roman"/>
          <w:b/>
        </w:rPr>
      </w:pPr>
      <w:r w:rsidRPr="00290FDE">
        <w:rPr>
          <w:rFonts w:ascii="Times New Roman" w:eastAsia="Calibri" w:hAnsi="Times New Roman" w:cs="Times New Roman"/>
          <w:b/>
        </w:rPr>
        <w:t>Таблица 12. Средняя стоимость законченного случая лечения и количество законченных случаев в соответствии со стандартами медицинской помощи по КСГ № 181«Сахарный диабет» (стоимости и количества приведены в качестве примера и не основаны на реальных статистических данных).</w:t>
      </w:r>
    </w:p>
    <w:p w:rsidR="00726140" w:rsidRPr="009B111E"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lastRenderedPageBreak/>
        <w:t>Анализируя стоимость законченного случая лечения в соответствии со стандартом медицинской помощи по стандартам входящим в указанную группу можно выделить два ценовых диапазона</w:t>
      </w:r>
      <w:r>
        <w:rPr>
          <w:rFonts w:ascii="Times New Roman" w:eastAsia="Calibri" w:hAnsi="Times New Roman" w:cs="Times New Roman"/>
          <w:sz w:val="28"/>
          <w:szCs w:val="28"/>
        </w:rPr>
        <w:t>. Т</w:t>
      </w:r>
      <w:r w:rsidRPr="009B111E">
        <w:rPr>
          <w:rFonts w:ascii="Times New Roman" w:eastAsia="Calibri" w:hAnsi="Times New Roman" w:cs="Times New Roman"/>
          <w:sz w:val="28"/>
          <w:szCs w:val="28"/>
        </w:rPr>
        <w:t>ак</w:t>
      </w:r>
      <w:r>
        <w:rPr>
          <w:rFonts w:ascii="Times New Roman" w:eastAsia="Calibri" w:hAnsi="Times New Roman" w:cs="Times New Roman"/>
          <w:sz w:val="28"/>
          <w:szCs w:val="28"/>
        </w:rPr>
        <w:t xml:space="preserve">, </w:t>
      </w:r>
      <w:r w:rsidRPr="009B111E">
        <w:rPr>
          <w:rFonts w:ascii="Times New Roman" w:eastAsia="Calibri" w:hAnsi="Times New Roman" w:cs="Times New Roman"/>
          <w:sz w:val="28"/>
          <w:szCs w:val="28"/>
        </w:rPr>
        <w:t>стандарт специализированной медицинской помощи детям при инсулинзависимом сахарном диабете и стандарт специализированной медицинской помощи при инсулинзависимом сахарном диабете относятся к первому ценовому диапазону (70 000 – 80 000 рублей), а стандарт специализированной медицинской помощи больным сахарным диабетом с синдромом диабетической стопы (критическая ишемия), стандарт специализированной медицинской помощи больным инсулиннезависимым сахарным диабетом и стандарт специализированной медицинской помощи больным сахарным диабетом с синдромом диабетической стопы (без критической ишемии) относятся ко второму ценовому диапазону (35 000 – 45 000 рублей). Первый ценовой диапазон в 1,9 раза больше второго ценового диапазона. Исходя из проведенного анализа, целесообразно разбить данную клинико-статистическую группу на две группы. Так</w:t>
      </w:r>
      <w:r>
        <w:rPr>
          <w:rFonts w:ascii="Times New Roman" w:eastAsia="Calibri" w:hAnsi="Times New Roman" w:cs="Times New Roman"/>
          <w:sz w:val="28"/>
          <w:szCs w:val="28"/>
        </w:rPr>
        <w:t>,</w:t>
      </w:r>
      <w:r w:rsidRPr="009B111E">
        <w:rPr>
          <w:rFonts w:ascii="Times New Roman" w:eastAsia="Calibri" w:hAnsi="Times New Roman" w:cs="Times New Roman"/>
          <w:sz w:val="28"/>
          <w:szCs w:val="28"/>
        </w:rPr>
        <w:t xml:space="preserve"> в первую группу войдут стандарты первого ценового диапазона, во вторую группу – второго ценового диапазона.</w:t>
      </w:r>
    </w:p>
    <w:p w:rsidR="00726140" w:rsidRPr="009B111E"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 xml:space="preserve">Кроме того, помимо стоимостного анализа, необходимо применение клинического анализа. </w:t>
      </w:r>
      <w:r>
        <w:rPr>
          <w:rFonts w:ascii="Times New Roman" w:eastAsia="Calibri" w:hAnsi="Times New Roman" w:cs="Times New Roman"/>
          <w:sz w:val="28"/>
          <w:szCs w:val="28"/>
        </w:rPr>
        <w:t>Р</w:t>
      </w:r>
      <w:r w:rsidRPr="009B111E">
        <w:rPr>
          <w:rFonts w:ascii="Times New Roman" w:eastAsia="Calibri" w:hAnsi="Times New Roman" w:cs="Times New Roman"/>
          <w:sz w:val="28"/>
          <w:szCs w:val="28"/>
        </w:rPr>
        <w:t>азбивка</w:t>
      </w:r>
      <w:r>
        <w:rPr>
          <w:rFonts w:ascii="Times New Roman" w:eastAsia="Calibri" w:hAnsi="Times New Roman" w:cs="Times New Roman"/>
          <w:sz w:val="28"/>
          <w:szCs w:val="28"/>
        </w:rPr>
        <w:t xml:space="preserve"> на основе стоимостного анализа</w:t>
      </w:r>
      <w:r w:rsidRPr="009B111E">
        <w:rPr>
          <w:rFonts w:ascii="Times New Roman" w:eastAsia="Calibri" w:hAnsi="Times New Roman" w:cs="Times New Roman"/>
          <w:sz w:val="28"/>
          <w:szCs w:val="28"/>
        </w:rPr>
        <w:t xml:space="preserve"> должна также быть подтверждена клинической однородностью. В данном примере клиническая однородность подтверждена специалистами.</w:t>
      </w:r>
    </w:p>
    <w:p w:rsidR="00726140" w:rsidRPr="009B111E"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t>Информация о количестве законченных случаев лечения в соответствии со стандартами медицинской помощи необходима для оценки достоверности предоставляемой информации, а также при необходимости расчета средневзвешенной стоимости законченного лечения в соответствии со стандартом медицинской помощи. В данном примере количество законченных случаев лечения в соответствии со стандартом медицинской помощи не вызывает сомнений в достоверности.</w:t>
      </w:r>
    </w:p>
    <w:p w:rsidR="00E548C3" w:rsidRDefault="00726140" w:rsidP="00726140">
      <w:pPr>
        <w:spacing w:line="360" w:lineRule="auto"/>
        <w:ind w:firstLine="624"/>
        <w:jc w:val="both"/>
        <w:rPr>
          <w:rFonts w:ascii="Times New Roman" w:eastAsia="Calibri" w:hAnsi="Times New Roman" w:cs="Times New Roman"/>
          <w:sz w:val="28"/>
          <w:szCs w:val="28"/>
        </w:rPr>
      </w:pPr>
      <w:r w:rsidRPr="009B111E">
        <w:rPr>
          <w:rFonts w:ascii="Times New Roman" w:eastAsia="Calibri" w:hAnsi="Times New Roman" w:cs="Times New Roman"/>
          <w:sz w:val="28"/>
          <w:szCs w:val="28"/>
        </w:rPr>
        <w:lastRenderedPageBreak/>
        <w:t xml:space="preserve">Данные пример необходимо экстраполировать на каждую клинико-статистическую группу. </w:t>
      </w:r>
      <w:r>
        <w:rPr>
          <w:rFonts w:ascii="Times New Roman" w:eastAsia="Calibri" w:hAnsi="Times New Roman" w:cs="Times New Roman"/>
          <w:sz w:val="28"/>
          <w:szCs w:val="28"/>
        </w:rPr>
        <w:t>При проведении</w:t>
      </w:r>
      <w:r w:rsidRPr="009B111E">
        <w:rPr>
          <w:rFonts w:ascii="Times New Roman" w:eastAsia="Calibri" w:hAnsi="Times New Roman" w:cs="Times New Roman"/>
          <w:sz w:val="28"/>
          <w:szCs w:val="28"/>
        </w:rPr>
        <w:t xml:space="preserve"> анализ</w:t>
      </w:r>
      <w:r>
        <w:rPr>
          <w:rFonts w:ascii="Times New Roman" w:eastAsia="Calibri" w:hAnsi="Times New Roman" w:cs="Times New Roman"/>
          <w:sz w:val="28"/>
          <w:szCs w:val="28"/>
        </w:rPr>
        <w:t>а</w:t>
      </w:r>
      <w:r w:rsidRPr="009B111E">
        <w:rPr>
          <w:rFonts w:ascii="Times New Roman" w:eastAsia="Calibri" w:hAnsi="Times New Roman" w:cs="Times New Roman"/>
          <w:sz w:val="28"/>
          <w:szCs w:val="28"/>
        </w:rPr>
        <w:t xml:space="preserve"> всех клинико-статистических групп, предложенным алгоритмом </w:t>
      </w:r>
      <w:r>
        <w:rPr>
          <w:rFonts w:ascii="Times New Roman" w:eastAsia="Calibri" w:hAnsi="Times New Roman" w:cs="Times New Roman"/>
          <w:sz w:val="28"/>
          <w:szCs w:val="28"/>
        </w:rPr>
        <w:t>становится возможным</w:t>
      </w:r>
      <w:r w:rsidRPr="009B111E">
        <w:rPr>
          <w:rFonts w:ascii="Times New Roman" w:eastAsia="Calibri" w:hAnsi="Times New Roman" w:cs="Times New Roman"/>
          <w:sz w:val="28"/>
          <w:szCs w:val="28"/>
        </w:rPr>
        <w:t xml:space="preserve"> формирование скорректированных клинико-статистических групп, учитывающих фактически сложившиеся финансовые реалии субъектов Российской Федерации. После проведения необходимых корректиров</w:t>
      </w:r>
      <w:r>
        <w:rPr>
          <w:rFonts w:ascii="Times New Roman" w:eastAsia="Calibri" w:hAnsi="Times New Roman" w:cs="Times New Roman"/>
          <w:sz w:val="28"/>
          <w:szCs w:val="28"/>
        </w:rPr>
        <w:t>ок клинико-статистических групп</w:t>
      </w:r>
      <w:r w:rsidRPr="009B111E">
        <w:rPr>
          <w:rFonts w:ascii="Times New Roman" w:eastAsia="Calibri" w:hAnsi="Times New Roman" w:cs="Times New Roman"/>
          <w:sz w:val="28"/>
          <w:szCs w:val="28"/>
        </w:rPr>
        <w:t xml:space="preserve"> полученная отечественная модель клинико-статистических групп позволит медицинским организациям</w:t>
      </w:r>
      <w:bookmarkStart w:id="16" w:name="_GoBack"/>
      <w:bookmarkEnd w:id="16"/>
      <w:r w:rsidRPr="009B111E">
        <w:rPr>
          <w:rFonts w:ascii="Times New Roman" w:eastAsia="Calibri" w:hAnsi="Times New Roman" w:cs="Times New Roman"/>
          <w:sz w:val="28"/>
          <w:szCs w:val="28"/>
        </w:rPr>
        <w:t xml:space="preserve"> получать более справедливую оплату за оказанную медицинскую помощь в соответствии со стандартами медицинской помощи</w:t>
      </w:r>
      <w:r>
        <w:rPr>
          <w:rFonts w:ascii="Times New Roman" w:eastAsia="Calibri" w:hAnsi="Times New Roman" w:cs="Times New Roman"/>
          <w:sz w:val="28"/>
          <w:szCs w:val="28"/>
        </w:rPr>
        <w:t>.</w:t>
      </w:r>
    </w:p>
    <w:p w:rsidR="00E548C3" w:rsidRDefault="00E548C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26140" w:rsidRPr="008F61AF" w:rsidRDefault="00E548C3" w:rsidP="008F61AF">
      <w:pPr>
        <w:pStyle w:val="1"/>
        <w:spacing w:before="360" w:after="360" w:line="360" w:lineRule="auto"/>
        <w:rPr>
          <w:rFonts w:ascii="Times New Roman" w:hAnsi="Times New Roman"/>
          <w:color w:val="auto"/>
          <w:sz w:val="36"/>
          <w:szCs w:val="36"/>
        </w:rPr>
      </w:pPr>
      <w:bookmarkStart w:id="17" w:name="_Toc357415395"/>
      <w:r w:rsidRPr="008F61AF">
        <w:rPr>
          <w:rFonts w:ascii="Times New Roman" w:hAnsi="Times New Roman"/>
          <w:color w:val="auto"/>
          <w:sz w:val="36"/>
          <w:szCs w:val="36"/>
        </w:rPr>
        <w:lastRenderedPageBreak/>
        <w:t>Заключение</w:t>
      </w:r>
      <w:bookmarkEnd w:id="17"/>
    </w:p>
    <w:p w:rsidR="00726140" w:rsidRDefault="007F4450" w:rsidP="00906A2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настоящей работе был рассмотрен опыт зарубежных </w:t>
      </w:r>
      <w:r w:rsidR="00906A24">
        <w:rPr>
          <w:rFonts w:ascii="Times New Roman" w:hAnsi="Times New Roman" w:cs="Times New Roman"/>
          <w:sz w:val="28"/>
          <w:szCs w:val="28"/>
        </w:rPr>
        <w:t>государств</w:t>
      </w:r>
      <w:r>
        <w:rPr>
          <w:rFonts w:ascii="Times New Roman" w:hAnsi="Times New Roman" w:cs="Times New Roman"/>
          <w:sz w:val="28"/>
          <w:szCs w:val="28"/>
        </w:rPr>
        <w:t xml:space="preserve"> в области оплаты </w:t>
      </w:r>
      <w:r w:rsidR="008440EC">
        <w:rPr>
          <w:rFonts w:ascii="Times New Roman" w:hAnsi="Times New Roman" w:cs="Times New Roman"/>
          <w:sz w:val="28"/>
          <w:szCs w:val="28"/>
        </w:rPr>
        <w:t>стационарной медицинской помощи. При этом</w:t>
      </w:r>
      <w:r>
        <w:rPr>
          <w:rFonts w:ascii="Times New Roman" w:hAnsi="Times New Roman" w:cs="Times New Roman"/>
          <w:sz w:val="28"/>
          <w:szCs w:val="28"/>
        </w:rPr>
        <w:t xml:space="preserve"> наиболее широко распространенным</w:t>
      </w:r>
      <w:r w:rsidR="00906A24">
        <w:rPr>
          <w:rFonts w:ascii="Times New Roman" w:hAnsi="Times New Roman" w:cs="Times New Roman"/>
          <w:sz w:val="28"/>
          <w:szCs w:val="28"/>
        </w:rPr>
        <w:t xml:space="preserve"> в развитых странах</w:t>
      </w:r>
      <w:r>
        <w:rPr>
          <w:rFonts w:ascii="Times New Roman" w:hAnsi="Times New Roman" w:cs="Times New Roman"/>
          <w:sz w:val="28"/>
          <w:szCs w:val="28"/>
        </w:rPr>
        <w:t xml:space="preserve"> и имеющим наибольший потенциал в применении на территории Российской Федерации можно назвать метод оплаты по клинико-статистическим группам заболевании</w:t>
      </w:r>
      <w:r w:rsidR="00906A24">
        <w:rPr>
          <w:rFonts w:ascii="Times New Roman" w:hAnsi="Times New Roman" w:cs="Times New Roman"/>
          <w:sz w:val="28"/>
          <w:szCs w:val="28"/>
        </w:rPr>
        <w:t xml:space="preserve"> </w:t>
      </w:r>
      <w:r w:rsidR="008440EC">
        <w:rPr>
          <w:rFonts w:ascii="Times New Roman" w:hAnsi="Times New Roman" w:cs="Times New Roman"/>
          <w:sz w:val="28"/>
          <w:szCs w:val="28"/>
        </w:rPr>
        <w:t xml:space="preserve">с </w:t>
      </w:r>
      <w:r w:rsidR="00906A24">
        <w:rPr>
          <w:rFonts w:ascii="Times New Roman" w:hAnsi="Times New Roman" w:cs="Times New Roman"/>
          <w:sz w:val="28"/>
          <w:szCs w:val="28"/>
        </w:rPr>
        <w:t>использованием отдельных элементов подхода оплаты по результату.</w:t>
      </w:r>
    </w:p>
    <w:p w:rsidR="008440EC" w:rsidRDefault="00D942D9" w:rsidP="00906A24">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В конце 2012 года Министерство Здравоохранения совместно с Федеральным фондом обязательного медицинского страхования и Всемирным банком разработал</w:t>
      </w:r>
      <w:r w:rsidR="00003186">
        <w:rPr>
          <w:rFonts w:ascii="Times New Roman" w:hAnsi="Times New Roman" w:cs="Times New Roman"/>
          <w:sz w:val="28"/>
          <w:szCs w:val="28"/>
        </w:rPr>
        <w:t>о</w:t>
      </w:r>
      <w:r>
        <w:rPr>
          <w:rFonts w:ascii="Times New Roman" w:hAnsi="Times New Roman" w:cs="Times New Roman"/>
          <w:sz w:val="28"/>
          <w:szCs w:val="28"/>
        </w:rPr>
        <w:t xml:space="preserve"> и выпустил</w:t>
      </w:r>
      <w:r w:rsidR="00003186">
        <w:rPr>
          <w:rFonts w:ascii="Times New Roman" w:hAnsi="Times New Roman" w:cs="Times New Roman"/>
          <w:sz w:val="28"/>
          <w:szCs w:val="28"/>
        </w:rPr>
        <w:t>о</w:t>
      </w:r>
      <w:r>
        <w:rPr>
          <w:rFonts w:ascii="Times New Roman" w:hAnsi="Times New Roman" w:cs="Times New Roman"/>
          <w:sz w:val="28"/>
          <w:szCs w:val="28"/>
        </w:rPr>
        <w:t xml:space="preserve"> </w:t>
      </w:r>
      <w:r>
        <w:rPr>
          <w:rFonts w:ascii="Times New Roman" w:eastAsia="Calibri" w:hAnsi="Times New Roman" w:cs="Times New Roman"/>
          <w:sz w:val="28"/>
          <w:szCs w:val="28"/>
        </w:rPr>
        <w:t>рекомендаци</w:t>
      </w:r>
      <w:r w:rsidRPr="00280A7F">
        <w:rPr>
          <w:rFonts w:ascii="Times New Roman" w:eastAsia="Calibri" w:hAnsi="Times New Roman" w:cs="Times New Roman"/>
          <w:sz w:val="28"/>
          <w:szCs w:val="28"/>
        </w:rPr>
        <w:t>и «Способы оплаты медицинской помощи в рамках программы государственных гарантий на основе групп заболеваний, в том числе клинико-статистических групп болезней (КСГ)»</w:t>
      </w:r>
      <w:r>
        <w:rPr>
          <w:rFonts w:ascii="Times New Roman" w:eastAsia="Calibri" w:hAnsi="Times New Roman" w:cs="Times New Roman"/>
          <w:sz w:val="28"/>
          <w:szCs w:val="28"/>
        </w:rPr>
        <w:t xml:space="preserve"> </w:t>
      </w:r>
      <w:r w:rsidRPr="00D942D9">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6414E1">
        <w:rPr>
          <w:rFonts w:ascii="Times New Roman" w:eastAsia="Calibri" w:hAnsi="Times New Roman" w:cs="Times New Roman"/>
          <w:sz w:val="28"/>
          <w:szCs w:val="28"/>
        </w:rPr>
        <w:t>предлагающие</w:t>
      </w:r>
      <w:r>
        <w:rPr>
          <w:rFonts w:ascii="Times New Roman" w:eastAsia="Calibri" w:hAnsi="Times New Roman" w:cs="Times New Roman"/>
          <w:sz w:val="28"/>
          <w:szCs w:val="28"/>
        </w:rPr>
        <w:t xml:space="preserve"> первый подход к разработке клинико-статистических групп под нужды российской действительности.</w:t>
      </w:r>
    </w:p>
    <w:p w:rsidR="006414E1" w:rsidRDefault="006414E1" w:rsidP="00906A2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Факт выпуска данных рекомендаций можно назвать большим шагом вперед в процессе централизованного внедрения инновационного подхода к оплате стационарной медицинской помощи на основе клинико-статистических групп заболеваний.</w:t>
      </w:r>
      <w:r w:rsidR="003C4E39">
        <w:rPr>
          <w:rFonts w:ascii="Times New Roman" w:eastAsia="Calibri" w:hAnsi="Times New Roman" w:cs="Times New Roman"/>
          <w:sz w:val="28"/>
          <w:szCs w:val="28"/>
        </w:rPr>
        <w:t xml:space="preserve"> Т</w:t>
      </w:r>
      <w:r w:rsidR="00F237A3">
        <w:rPr>
          <w:rFonts w:ascii="Times New Roman" w:eastAsia="Calibri" w:hAnsi="Times New Roman" w:cs="Times New Roman"/>
          <w:sz w:val="28"/>
          <w:szCs w:val="28"/>
        </w:rPr>
        <w:t>ем не менее, необходимо согласовать разработанные клинико-статистические группы с обязательными к применению стандартам медицинской помощи.</w:t>
      </w:r>
    </w:p>
    <w:p w:rsidR="00906A24" w:rsidRDefault="00F237A3" w:rsidP="00524C6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в связи с актуальностью вопроса оплаты стационарной медицинской помощи на основе клинико-статистических групп в настоящей работе были разработаны предложения по согласованию систем отечественных КСГ и с</w:t>
      </w:r>
      <w:r w:rsidR="00290FDE">
        <w:rPr>
          <w:rFonts w:ascii="Times New Roman" w:eastAsia="Calibri" w:hAnsi="Times New Roman" w:cs="Times New Roman"/>
          <w:sz w:val="28"/>
          <w:szCs w:val="28"/>
        </w:rPr>
        <w:t>тандартов медицинской помощи по</w:t>
      </w:r>
      <w:r>
        <w:rPr>
          <w:rFonts w:ascii="Times New Roman" w:eastAsia="Calibri" w:hAnsi="Times New Roman" w:cs="Times New Roman"/>
          <w:sz w:val="28"/>
          <w:szCs w:val="28"/>
        </w:rPr>
        <w:t>средством классификации МКБ 10</w:t>
      </w:r>
      <w:r w:rsidR="00290FDE">
        <w:rPr>
          <w:rFonts w:ascii="Times New Roman" w:eastAsia="Calibri" w:hAnsi="Times New Roman" w:cs="Times New Roman"/>
          <w:sz w:val="28"/>
          <w:szCs w:val="28"/>
        </w:rPr>
        <w:t xml:space="preserve"> и средних стоимостей оказания стационарной медицинской помощи в соответствии со стандартами медицинской помощи</w:t>
      </w:r>
      <w:r>
        <w:rPr>
          <w:rFonts w:ascii="Times New Roman" w:eastAsia="Calibri" w:hAnsi="Times New Roman" w:cs="Times New Roman"/>
          <w:sz w:val="28"/>
          <w:szCs w:val="28"/>
        </w:rPr>
        <w:t xml:space="preserve">. </w:t>
      </w:r>
      <w:r w:rsidR="00003186">
        <w:rPr>
          <w:rFonts w:ascii="Times New Roman" w:eastAsia="Calibri" w:hAnsi="Times New Roman" w:cs="Times New Roman"/>
          <w:sz w:val="28"/>
          <w:szCs w:val="28"/>
        </w:rPr>
        <w:t>Приложение</w:t>
      </w:r>
      <w:r w:rsidR="00524C6A">
        <w:rPr>
          <w:rFonts w:ascii="Times New Roman" w:eastAsia="Calibri" w:hAnsi="Times New Roman" w:cs="Times New Roman"/>
          <w:sz w:val="28"/>
          <w:szCs w:val="28"/>
        </w:rPr>
        <w:t xml:space="preserve"> данного подхода к реальным данным, которые еще </w:t>
      </w:r>
      <w:r w:rsidR="00524C6A">
        <w:rPr>
          <w:rFonts w:ascii="Times New Roman" w:eastAsia="Calibri" w:hAnsi="Times New Roman" w:cs="Times New Roman"/>
          <w:sz w:val="28"/>
          <w:szCs w:val="28"/>
        </w:rPr>
        <w:lastRenderedPageBreak/>
        <w:t>только предстоит собрать в субъектах Российской Федерации, позволит выявить возможные недоработки в обеих системах и потенциальную необходимость изменения существующего законодательства.</w:t>
      </w:r>
    </w:p>
    <w:p w:rsidR="002664D9" w:rsidRDefault="002664D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664D9" w:rsidRPr="002664D9" w:rsidRDefault="002664D9" w:rsidP="002664D9">
      <w:pPr>
        <w:pStyle w:val="1"/>
        <w:spacing w:before="360" w:after="240" w:line="360" w:lineRule="auto"/>
        <w:rPr>
          <w:rFonts w:ascii="Times New Roman" w:hAnsi="Times New Roman" w:cs="Times New Roman"/>
          <w:color w:val="auto"/>
          <w:sz w:val="36"/>
          <w:szCs w:val="36"/>
        </w:rPr>
      </w:pPr>
      <w:bookmarkStart w:id="18" w:name="_Toc357415396"/>
      <w:r w:rsidRPr="002664D9">
        <w:rPr>
          <w:rFonts w:ascii="Times New Roman" w:hAnsi="Times New Roman" w:cs="Times New Roman"/>
          <w:color w:val="auto"/>
          <w:sz w:val="36"/>
          <w:szCs w:val="36"/>
        </w:rPr>
        <w:lastRenderedPageBreak/>
        <w:t>Литература</w:t>
      </w:r>
      <w:bookmarkEnd w:id="18"/>
    </w:p>
    <w:p w:rsidR="002664D9" w:rsidRPr="002664D9" w:rsidRDefault="002664D9" w:rsidP="006B6B5D">
      <w:pPr>
        <w:pStyle w:val="a3"/>
        <w:numPr>
          <w:ilvl w:val="0"/>
          <w:numId w:val="28"/>
        </w:numPr>
        <w:spacing w:line="360" w:lineRule="auto"/>
        <w:ind w:left="567" w:hanging="567"/>
        <w:jc w:val="both"/>
        <w:rPr>
          <w:rFonts w:ascii="Times New Roman" w:hAnsi="Times New Roman" w:cs="Times New Roman"/>
          <w:sz w:val="28"/>
          <w:szCs w:val="28"/>
        </w:rPr>
      </w:pPr>
      <w:r w:rsidRPr="002664D9">
        <w:rPr>
          <w:rFonts w:ascii="Times New Roman" w:hAnsi="Times New Roman" w:cs="Times New Roman"/>
          <w:sz w:val="28"/>
          <w:szCs w:val="28"/>
        </w:rPr>
        <w:t>Кадыров Ф.Н. Экономические методы оценки эффективности деятельности медицинских учреждений. – М.: ИД «Менеджер здравоохранения», 2011. – 496 стр.</w:t>
      </w:r>
    </w:p>
    <w:p w:rsidR="002664D9" w:rsidRPr="002664D9" w:rsidRDefault="002664D9" w:rsidP="006B6B5D">
      <w:pPr>
        <w:pStyle w:val="a3"/>
        <w:numPr>
          <w:ilvl w:val="0"/>
          <w:numId w:val="28"/>
        </w:numPr>
        <w:spacing w:line="360" w:lineRule="auto"/>
        <w:ind w:left="567" w:hanging="567"/>
        <w:jc w:val="both"/>
        <w:rPr>
          <w:rFonts w:ascii="Times New Roman" w:hAnsi="Times New Roman" w:cs="Times New Roman"/>
          <w:sz w:val="28"/>
          <w:szCs w:val="28"/>
        </w:rPr>
      </w:pPr>
      <w:r w:rsidRPr="002664D9">
        <w:rPr>
          <w:rFonts w:ascii="Times New Roman" w:hAnsi="Times New Roman"/>
          <w:sz w:val="28"/>
          <w:szCs w:val="28"/>
        </w:rPr>
        <w:t>Пирогов. М.В., Артемьева Г.Б. Стандартизация как основа</w:t>
      </w:r>
      <w:r w:rsidRPr="002664D9">
        <w:rPr>
          <w:rFonts w:ascii="Times New Roman" w:hAnsi="Times New Roman" w:cs="Times New Roman"/>
          <w:sz w:val="28"/>
          <w:szCs w:val="28"/>
        </w:rPr>
        <w:t xml:space="preserve"> совершенствования организационно-экономических аспектов регионального здравоохранения / Рязань, 2012. – 270 стр.</w:t>
      </w:r>
    </w:p>
    <w:p w:rsidR="002664D9" w:rsidRPr="002664D9" w:rsidRDefault="002664D9" w:rsidP="006B6B5D">
      <w:pPr>
        <w:pStyle w:val="a3"/>
        <w:numPr>
          <w:ilvl w:val="0"/>
          <w:numId w:val="28"/>
        </w:numPr>
        <w:spacing w:line="360" w:lineRule="auto"/>
        <w:ind w:left="567" w:hanging="567"/>
        <w:jc w:val="both"/>
        <w:rPr>
          <w:rFonts w:ascii="Times New Roman" w:hAnsi="Times New Roman" w:cs="Times New Roman"/>
          <w:sz w:val="28"/>
          <w:szCs w:val="28"/>
        </w:rPr>
      </w:pPr>
      <w:r w:rsidRPr="002664D9">
        <w:rPr>
          <w:rFonts w:ascii="Times New Roman" w:hAnsi="Times New Roman" w:cs="Times New Roman"/>
          <w:sz w:val="28"/>
          <w:szCs w:val="28"/>
        </w:rPr>
        <w:t>Флек В.О., Зинланд Д.А. Модернизация российского здравоохранения – основа обеспечения доступности и качества медицинской помощи населению. – СПб.: Изд-во Политехн. ун-та, 2011. – 440 стр.</w:t>
      </w:r>
    </w:p>
    <w:p w:rsidR="002664D9" w:rsidRPr="002664D9" w:rsidRDefault="002664D9" w:rsidP="006B6B5D">
      <w:pPr>
        <w:pStyle w:val="a3"/>
        <w:numPr>
          <w:ilvl w:val="0"/>
          <w:numId w:val="28"/>
        </w:numPr>
        <w:spacing w:line="360" w:lineRule="auto"/>
        <w:ind w:left="567" w:hanging="567"/>
        <w:jc w:val="both"/>
        <w:rPr>
          <w:rFonts w:ascii="Times New Roman" w:hAnsi="Times New Roman" w:cs="Times New Roman"/>
          <w:sz w:val="28"/>
          <w:szCs w:val="28"/>
        </w:rPr>
      </w:pPr>
      <w:r w:rsidRPr="002664D9">
        <w:rPr>
          <w:rFonts w:ascii="Times New Roman" w:hAnsi="Times New Roman" w:cs="Times New Roman"/>
          <w:sz w:val="28"/>
          <w:szCs w:val="28"/>
        </w:rPr>
        <w:t>Модернизация здравоохранения: новая ситуация и новые задачи / Попович Л.Д. и др. / под ред. Шеймана И.М., Шишкина С.В.  – М.: Изд-во «Дело» РАНХ, 2010. – 232 стр.</w:t>
      </w:r>
    </w:p>
    <w:p w:rsidR="002664D9" w:rsidRPr="002664D9" w:rsidRDefault="002664D9" w:rsidP="006B6B5D">
      <w:pPr>
        <w:pStyle w:val="a3"/>
        <w:numPr>
          <w:ilvl w:val="0"/>
          <w:numId w:val="28"/>
        </w:numPr>
        <w:spacing w:line="360" w:lineRule="auto"/>
        <w:ind w:left="567" w:hanging="567"/>
        <w:jc w:val="both"/>
        <w:rPr>
          <w:rFonts w:ascii="Times New Roman" w:hAnsi="Times New Roman" w:cs="Times New Roman"/>
          <w:sz w:val="28"/>
          <w:szCs w:val="28"/>
        </w:rPr>
      </w:pPr>
      <w:r w:rsidRPr="002664D9">
        <w:rPr>
          <w:rFonts w:ascii="Times New Roman" w:hAnsi="Times New Roman" w:cs="Times New Roman"/>
          <w:sz w:val="28"/>
          <w:szCs w:val="28"/>
        </w:rPr>
        <w:t>Оценка медицинских технологий и формирование политики здравоохранения в странах Европы. Современное состояние, проблемы и перспективы. / Velasco Garrido M., Kristensen F.B., Nielsen C.P., Busse R. – Европейская Обсерватория по системам и политике здравоохранения, 2010.</w:t>
      </w:r>
    </w:p>
    <w:p w:rsidR="002664D9" w:rsidRPr="002664D9" w:rsidRDefault="002664D9" w:rsidP="006B6B5D">
      <w:pPr>
        <w:pStyle w:val="a3"/>
        <w:numPr>
          <w:ilvl w:val="0"/>
          <w:numId w:val="28"/>
        </w:numPr>
        <w:autoSpaceDE w:val="0"/>
        <w:autoSpaceDN w:val="0"/>
        <w:adjustRightInd w:val="0"/>
        <w:spacing w:after="0" w:line="360" w:lineRule="auto"/>
        <w:ind w:left="567" w:hanging="567"/>
        <w:jc w:val="both"/>
        <w:rPr>
          <w:rFonts w:ascii="Times New Roman" w:hAnsi="Times New Roman" w:cs="Times New Roman"/>
          <w:sz w:val="28"/>
          <w:szCs w:val="28"/>
        </w:rPr>
      </w:pPr>
      <w:r w:rsidRPr="002664D9">
        <w:rPr>
          <w:rFonts w:ascii="Times New Roman" w:hAnsi="Times New Roman" w:cs="Times New Roman"/>
          <w:sz w:val="28"/>
          <w:szCs w:val="28"/>
        </w:rPr>
        <w:t xml:space="preserve">Российская Федерация. Обзор системы здравоохранения Системы здравоохранения: время перемен. Том 13 № 7, 2011. / Попович Л., Потапчик Е., Шишкин С., </w:t>
      </w:r>
      <w:r w:rsidRPr="002664D9">
        <w:rPr>
          <w:rFonts w:ascii="Times New Roman" w:hAnsi="Times New Roman" w:cs="Times New Roman"/>
          <w:sz w:val="28"/>
          <w:szCs w:val="28"/>
          <w:lang w:val="en-US"/>
        </w:rPr>
        <w:t>Richardson</w:t>
      </w:r>
      <w:r w:rsidRPr="002664D9">
        <w:rPr>
          <w:rFonts w:ascii="Times New Roman" w:hAnsi="Times New Roman" w:cs="Times New Roman"/>
          <w:sz w:val="28"/>
          <w:szCs w:val="28"/>
        </w:rPr>
        <w:t xml:space="preserve"> </w:t>
      </w:r>
      <w:r w:rsidRPr="002664D9">
        <w:rPr>
          <w:rFonts w:ascii="Times New Roman" w:hAnsi="Times New Roman" w:cs="Times New Roman"/>
          <w:sz w:val="28"/>
          <w:szCs w:val="28"/>
          <w:lang w:val="en-US"/>
        </w:rPr>
        <w:t>E</w:t>
      </w:r>
      <w:r w:rsidRPr="002664D9">
        <w:rPr>
          <w:rFonts w:ascii="Times New Roman" w:hAnsi="Times New Roman" w:cs="Times New Roman"/>
          <w:sz w:val="28"/>
          <w:szCs w:val="28"/>
        </w:rPr>
        <w:t>. – Европейская обсерватория по системам и политике здравоохранения.</w:t>
      </w:r>
    </w:p>
    <w:p w:rsidR="002664D9" w:rsidRPr="002664D9" w:rsidRDefault="002664D9" w:rsidP="006B6B5D">
      <w:pPr>
        <w:pStyle w:val="a3"/>
        <w:numPr>
          <w:ilvl w:val="0"/>
          <w:numId w:val="28"/>
        </w:numPr>
        <w:spacing w:after="0" w:line="360" w:lineRule="auto"/>
        <w:ind w:left="567" w:hanging="567"/>
        <w:jc w:val="both"/>
        <w:rPr>
          <w:rFonts w:ascii="Times New Roman" w:hAnsi="Times New Roman"/>
          <w:sz w:val="28"/>
          <w:szCs w:val="28"/>
        </w:rPr>
      </w:pPr>
      <w:r w:rsidRPr="002664D9">
        <w:rPr>
          <w:rFonts w:ascii="Times New Roman" w:hAnsi="Times New Roman"/>
          <w:sz w:val="28"/>
          <w:szCs w:val="28"/>
        </w:rPr>
        <w:t>Письмо Министерства здравоохранения Российской Федерации от 20 декабря 2012 г. N 14-6/10/2-5305 "Способы оплаты медицинской помощи в рамках программы государственных гарантий на основе групп заболеваний, в том числе клинико-статистических групп болезней (КСГ)".</w:t>
      </w:r>
    </w:p>
    <w:p w:rsidR="002664D9" w:rsidRPr="002664D9" w:rsidRDefault="002664D9" w:rsidP="006B6B5D">
      <w:pPr>
        <w:pStyle w:val="a3"/>
        <w:numPr>
          <w:ilvl w:val="0"/>
          <w:numId w:val="28"/>
        </w:numPr>
        <w:spacing w:after="0" w:line="360" w:lineRule="auto"/>
        <w:ind w:left="567" w:hanging="567"/>
        <w:jc w:val="both"/>
        <w:rPr>
          <w:rFonts w:ascii="Times New Roman" w:hAnsi="Times New Roman"/>
          <w:sz w:val="28"/>
          <w:szCs w:val="28"/>
        </w:rPr>
      </w:pPr>
      <w:r w:rsidRPr="002664D9">
        <w:rPr>
          <w:rFonts w:ascii="Times New Roman" w:hAnsi="Times New Roman"/>
          <w:sz w:val="28"/>
          <w:szCs w:val="28"/>
        </w:rPr>
        <w:t xml:space="preserve">Постановление Правительства Российской Федерации от 22 октября 2012 г. N 1074 г. "О программе государственных гарантий </w:t>
      </w:r>
      <w:r w:rsidRPr="002664D9">
        <w:rPr>
          <w:rFonts w:ascii="Times New Roman" w:hAnsi="Times New Roman"/>
          <w:sz w:val="28"/>
          <w:szCs w:val="28"/>
        </w:rPr>
        <w:lastRenderedPageBreak/>
        <w:t>бесплатного оказания гражданам медицинской помощи на 2013 год и на плановый период 2014 и 2015 годов".</w:t>
      </w:r>
    </w:p>
    <w:p w:rsidR="002664D9" w:rsidRPr="002664D9" w:rsidRDefault="002664D9" w:rsidP="006B6B5D">
      <w:pPr>
        <w:pStyle w:val="a3"/>
        <w:numPr>
          <w:ilvl w:val="0"/>
          <w:numId w:val="28"/>
        </w:numPr>
        <w:spacing w:after="94" w:line="360" w:lineRule="auto"/>
        <w:ind w:left="567" w:hanging="567"/>
        <w:jc w:val="both"/>
        <w:rPr>
          <w:rFonts w:ascii="Times New Roman" w:hAnsi="Times New Roman"/>
          <w:sz w:val="28"/>
          <w:szCs w:val="28"/>
        </w:rPr>
      </w:pPr>
      <w:r w:rsidRPr="002664D9">
        <w:rPr>
          <w:rFonts w:ascii="Times New Roman" w:hAnsi="Times New Roman"/>
          <w:sz w:val="28"/>
          <w:szCs w:val="28"/>
        </w:rPr>
        <w:t xml:space="preserve">Приказ Министерства здравоохранения и социального развития Российской </w:t>
      </w:r>
      <w:r w:rsidRPr="002664D9">
        <w:rPr>
          <w:sz w:val="28"/>
          <w:szCs w:val="28"/>
        </w:rPr>
        <w:t>Ф</w:t>
      </w:r>
      <w:r w:rsidRPr="002664D9">
        <w:rPr>
          <w:rFonts w:ascii="Times New Roman" w:hAnsi="Times New Roman"/>
          <w:sz w:val="28"/>
          <w:szCs w:val="28"/>
        </w:rPr>
        <w:t>едерации от 28 февраля 2011 г. N 158н «Об утверждении правил обязательного медицинского страхования».</w:t>
      </w:r>
    </w:p>
    <w:p w:rsidR="002664D9" w:rsidRPr="002664D9" w:rsidRDefault="002664D9" w:rsidP="006B6B5D">
      <w:pPr>
        <w:pStyle w:val="a3"/>
        <w:numPr>
          <w:ilvl w:val="0"/>
          <w:numId w:val="28"/>
        </w:numPr>
        <w:spacing w:after="94" w:line="360" w:lineRule="auto"/>
        <w:ind w:left="567" w:hanging="567"/>
        <w:rPr>
          <w:rFonts w:ascii="Times New Roman" w:hAnsi="Times New Roman" w:cs="Times New Roman"/>
          <w:sz w:val="28"/>
          <w:szCs w:val="28"/>
        </w:rPr>
      </w:pPr>
      <w:r w:rsidRPr="002664D9">
        <w:rPr>
          <w:rFonts w:ascii="Times New Roman" w:hAnsi="Times New Roman" w:cs="Times New Roman"/>
          <w:sz w:val="28"/>
          <w:szCs w:val="28"/>
        </w:rPr>
        <w:t>Федеральный закон Российской Федерации от 21 ноября 2011 г. N 323-ФЗ "Об основах охраны здоровья граждан в Российской Федерации".</w:t>
      </w:r>
    </w:p>
    <w:p w:rsidR="002664D9" w:rsidRPr="002664D9" w:rsidRDefault="002664D9" w:rsidP="006B6B5D">
      <w:pPr>
        <w:pStyle w:val="a3"/>
        <w:numPr>
          <w:ilvl w:val="0"/>
          <w:numId w:val="28"/>
        </w:numPr>
        <w:spacing w:after="94" w:line="360" w:lineRule="auto"/>
        <w:ind w:left="567" w:hanging="567"/>
        <w:jc w:val="both"/>
        <w:rPr>
          <w:rFonts w:ascii="Times New Roman" w:hAnsi="Times New Roman"/>
          <w:sz w:val="28"/>
          <w:szCs w:val="28"/>
        </w:rPr>
      </w:pPr>
      <w:r w:rsidRPr="002664D9">
        <w:rPr>
          <w:rFonts w:ascii="Times New Roman" w:hAnsi="Times New Roman"/>
          <w:sz w:val="28"/>
          <w:szCs w:val="28"/>
        </w:rPr>
        <w:t>Федеральный закон Российской Федерации от 29 ноября 2010 г. N 326-ФЗ "Об обязательном медицинском страховании в Российской Федерации".</w:t>
      </w:r>
    </w:p>
    <w:p w:rsidR="002664D9" w:rsidRPr="002664D9" w:rsidRDefault="002664D9" w:rsidP="006B6B5D">
      <w:pPr>
        <w:pStyle w:val="a3"/>
        <w:numPr>
          <w:ilvl w:val="0"/>
          <w:numId w:val="28"/>
        </w:numPr>
        <w:spacing w:line="360" w:lineRule="auto"/>
        <w:ind w:left="567" w:hanging="567"/>
        <w:rPr>
          <w:rFonts w:ascii="Times New Roman" w:eastAsia="Calibri" w:hAnsi="Times New Roman" w:cs="Times New Roman"/>
          <w:sz w:val="28"/>
          <w:szCs w:val="28"/>
        </w:rPr>
      </w:pPr>
      <w:r w:rsidRPr="002664D9">
        <w:rPr>
          <w:rFonts w:ascii="Times New Roman" w:eastAsia="Calibri" w:hAnsi="Times New Roman" w:cs="Times New Roman"/>
          <w:sz w:val="28"/>
          <w:szCs w:val="28"/>
        </w:rPr>
        <w:t xml:space="preserve">Всемирный банк </w:t>
      </w:r>
      <w:hyperlink r:id="rId16" w:history="1">
        <w:r w:rsidRPr="002664D9">
          <w:rPr>
            <w:rFonts w:ascii="Times New Roman" w:eastAsia="Calibri" w:hAnsi="Times New Roman" w:cs="Times New Roman"/>
            <w:sz w:val="28"/>
            <w:szCs w:val="28"/>
          </w:rPr>
          <w:t>www.worldbank.org</w:t>
        </w:r>
      </w:hyperlink>
      <w:r w:rsidRPr="002664D9">
        <w:rPr>
          <w:rFonts w:ascii="Times New Roman" w:eastAsia="Calibri" w:hAnsi="Times New Roman" w:cs="Times New Roman"/>
          <w:sz w:val="28"/>
          <w:szCs w:val="28"/>
        </w:rPr>
        <w:t xml:space="preserve"> </w:t>
      </w:r>
    </w:p>
    <w:p w:rsidR="002664D9" w:rsidRPr="002664D9" w:rsidRDefault="002664D9" w:rsidP="006B6B5D">
      <w:pPr>
        <w:pStyle w:val="a3"/>
        <w:numPr>
          <w:ilvl w:val="0"/>
          <w:numId w:val="28"/>
        </w:numPr>
        <w:spacing w:line="360" w:lineRule="auto"/>
        <w:ind w:left="567" w:hanging="567"/>
        <w:rPr>
          <w:rFonts w:ascii="Times New Roman" w:eastAsia="Calibri" w:hAnsi="Times New Roman" w:cs="Times New Roman"/>
          <w:sz w:val="28"/>
          <w:szCs w:val="28"/>
        </w:rPr>
      </w:pPr>
      <w:r w:rsidRPr="002664D9">
        <w:rPr>
          <w:rFonts w:ascii="Times New Roman" w:eastAsia="Calibri" w:hAnsi="Times New Roman" w:cs="Times New Roman"/>
          <w:sz w:val="28"/>
          <w:szCs w:val="28"/>
        </w:rPr>
        <w:t xml:space="preserve">Всемирная организация здравоохранения </w:t>
      </w:r>
      <w:hyperlink r:id="rId17" w:history="1">
        <w:r w:rsidRPr="002664D9">
          <w:rPr>
            <w:rFonts w:ascii="Times New Roman" w:eastAsia="Calibri" w:hAnsi="Times New Roman" w:cs="Times New Roman"/>
            <w:sz w:val="28"/>
            <w:szCs w:val="28"/>
          </w:rPr>
          <w:t>www.who.int</w:t>
        </w:r>
      </w:hyperlink>
      <w:r w:rsidRPr="002664D9">
        <w:rPr>
          <w:rFonts w:ascii="Times New Roman" w:eastAsia="Calibri" w:hAnsi="Times New Roman" w:cs="Times New Roman"/>
          <w:sz w:val="28"/>
          <w:szCs w:val="28"/>
        </w:rPr>
        <w:t xml:space="preserve"> </w:t>
      </w:r>
    </w:p>
    <w:p w:rsidR="002664D9" w:rsidRPr="002664D9" w:rsidRDefault="002664D9" w:rsidP="006B6B5D">
      <w:pPr>
        <w:pStyle w:val="a3"/>
        <w:numPr>
          <w:ilvl w:val="0"/>
          <w:numId w:val="28"/>
        </w:numPr>
        <w:spacing w:line="360" w:lineRule="auto"/>
        <w:ind w:left="567" w:hanging="567"/>
        <w:rPr>
          <w:rFonts w:ascii="Times New Roman" w:eastAsia="Calibri" w:hAnsi="Times New Roman" w:cs="Times New Roman"/>
          <w:sz w:val="28"/>
          <w:szCs w:val="28"/>
        </w:rPr>
      </w:pPr>
      <w:r w:rsidRPr="002664D9">
        <w:rPr>
          <w:rFonts w:ascii="Times New Roman" w:eastAsia="Calibri" w:hAnsi="Times New Roman" w:cs="Times New Roman"/>
          <w:sz w:val="28"/>
          <w:szCs w:val="28"/>
        </w:rPr>
        <w:t xml:space="preserve">Проект DRG в Европе </w:t>
      </w:r>
      <w:hyperlink r:id="rId18" w:history="1">
        <w:r w:rsidRPr="002664D9">
          <w:rPr>
            <w:rFonts w:ascii="Times New Roman" w:eastAsia="Calibri" w:hAnsi="Times New Roman" w:cs="Times New Roman"/>
            <w:sz w:val="28"/>
            <w:szCs w:val="28"/>
          </w:rPr>
          <w:t>www.eurodrg.eu</w:t>
        </w:r>
      </w:hyperlink>
      <w:r w:rsidRPr="002664D9">
        <w:rPr>
          <w:rFonts w:ascii="Times New Roman" w:eastAsia="Calibri" w:hAnsi="Times New Roman" w:cs="Times New Roman"/>
          <w:sz w:val="28"/>
          <w:szCs w:val="28"/>
        </w:rPr>
        <w:t xml:space="preserve"> </w:t>
      </w:r>
    </w:p>
    <w:p w:rsidR="002664D9" w:rsidRPr="002664D9" w:rsidRDefault="002664D9" w:rsidP="006B6B5D">
      <w:pPr>
        <w:pStyle w:val="a3"/>
        <w:numPr>
          <w:ilvl w:val="0"/>
          <w:numId w:val="28"/>
        </w:numPr>
        <w:spacing w:line="360" w:lineRule="auto"/>
        <w:ind w:left="567" w:hanging="567"/>
        <w:rPr>
          <w:rFonts w:ascii="Times New Roman" w:eastAsia="Calibri" w:hAnsi="Times New Roman" w:cs="Times New Roman"/>
          <w:sz w:val="28"/>
          <w:szCs w:val="28"/>
        </w:rPr>
      </w:pPr>
      <w:r w:rsidRPr="002664D9">
        <w:rPr>
          <w:rFonts w:ascii="Times New Roman" w:eastAsia="Calibri" w:hAnsi="Times New Roman" w:cs="Times New Roman"/>
          <w:sz w:val="28"/>
          <w:szCs w:val="28"/>
        </w:rPr>
        <w:t xml:space="preserve">Сайт президент.рф.  Протокол совещания о ходе исполнения указов Президента от 7 мая 2012 года. </w:t>
      </w:r>
      <w:hyperlink r:id="rId19" w:history="1">
        <w:r w:rsidRPr="002664D9">
          <w:rPr>
            <w:rStyle w:val="ad"/>
            <w:rFonts w:ascii="Times New Roman" w:eastAsia="Calibri" w:hAnsi="Times New Roman" w:cs="Times New Roman"/>
            <w:sz w:val="28"/>
            <w:szCs w:val="28"/>
          </w:rPr>
          <w:t>президент.рф/новости/18039</w:t>
        </w:r>
      </w:hyperlink>
    </w:p>
    <w:p w:rsidR="002664D9" w:rsidRPr="002664D9" w:rsidRDefault="002664D9" w:rsidP="006B6B5D">
      <w:pPr>
        <w:pStyle w:val="a3"/>
        <w:numPr>
          <w:ilvl w:val="0"/>
          <w:numId w:val="28"/>
        </w:numPr>
        <w:autoSpaceDE w:val="0"/>
        <w:autoSpaceDN w:val="0"/>
        <w:adjustRightInd w:val="0"/>
        <w:spacing w:after="0" w:line="360" w:lineRule="auto"/>
        <w:ind w:left="567" w:hanging="567"/>
        <w:jc w:val="both"/>
        <w:rPr>
          <w:rFonts w:ascii="Times New Roman" w:hAnsi="Times New Roman" w:cs="Times New Roman"/>
          <w:sz w:val="28"/>
          <w:szCs w:val="28"/>
        </w:rPr>
      </w:pPr>
      <w:r w:rsidRPr="002664D9">
        <w:rPr>
          <w:rFonts w:ascii="Times New Roman" w:hAnsi="Times New Roman" w:cs="Times New Roman"/>
          <w:sz w:val="28"/>
          <w:szCs w:val="28"/>
        </w:rPr>
        <w:t xml:space="preserve">Гейсслер А. Реализация реформы финансирования здравоохранения: Оплата стационарной помощи: система диагностически связанных групп в Германии. Доклад в рамках семинара Всемирного банка, Москва, 2011.  </w:t>
      </w:r>
      <w:hyperlink r:id="rId20" w:history="1">
        <w:r w:rsidRPr="002664D9">
          <w:rPr>
            <w:rStyle w:val="ad"/>
            <w:rFonts w:ascii="Times New Roman" w:hAnsi="Times New Roman" w:cs="Times New Roman"/>
            <w:sz w:val="28"/>
            <w:szCs w:val="28"/>
            <w:lang w:val="en-US"/>
          </w:rPr>
          <w:t>http</w:t>
        </w:r>
        <w:r w:rsidRPr="002664D9">
          <w:rPr>
            <w:rStyle w:val="ad"/>
            <w:rFonts w:ascii="Times New Roman" w:hAnsi="Times New Roman" w:cs="Times New Roman"/>
            <w:sz w:val="28"/>
            <w:szCs w:val="28"/>
          </w:rPr>
          <w:t>://</w:t>
        </w:r>
        <w:r w:rsidRPr="002664D9">
          <w:rPr>
            <w:rStyle w:val="ad"/>
            <w:rFonts w:ascii="Times New Roman" w:hAnsi="Times New Roman" w:cs="Times New Roman"/>
            <w:sz w:val="28"/>
            <w:szCs w:val="28"/>
            <w:lang w:val="en-US"/>
          </w:rPr>
          <w:t>www</w:t>
        </w:r>
        <w:r w:rsidRPr="002664D9">
          <w:rPr>
            <w:rStyle w:val="ad"/>
            <w:rFonts w:ascii="Times New Roman" w:hAnsi="Times New Roman" w:cs="Times New Roman"/>
            <w:sz w:val="28"/>
            <w:szCs w:val="28"/>
          </w:rPr>
          <w:t>.</w:t>
        </w:r>
        <w:r w:rsidRPr="002664D9">
          <w:rPr>
            <w:rStyle w:val="ad"/>
            <w:rFonts w:ascii="Times New Roman" w:hAnsi="Times New Roman" w:cs="Times New Roman"/>
            <w:sz w:val="28"/>
            <w:szCs w:val="28"/>
            <w:lang w:val="en-US"/>
          </w:rPr>
          <w:t>mig</w:t>
        </w:r>
        <w:r w:rsidRPr="002664D9">
          <w:rPr>
            <w:rStyle w:val="ad"/>
            <w:rFonts w:ascii="Times New Roman" w:hAnsi="Times New Roman" w:cs="Times New Roman"/>
            <w:sz w:val="28"/>
            <w:szCs w:val="28"/>
          </w:rPr>
          <w:t>.</w:t>
        </w:r>
        <w:r w:rsidRPr="002664D9">
          <w:rPr>
            <w:rStyle w:val="ad"/>
            <w:rFonts w:ascii="Times New Roman" w:hAnsi="Times New Roman" w:cs="Times New Roman"/>
            <w:sz w:val="28"/>
            <w:szCs w:val="28"/>
            <w:lang w:val="en-US"/>
          </w:rPr>
          <w:t>tu</w:t>
        </w:r>
        <w:r w:rsidRPr="002664D9">
          <w:rPr>
            <w:rStyle w:val="ad"/>
            <w:rFonts w:ascii="Times New Roman" w:hAnsi="Times New Roman" w:cs="Times New Roman"/>
            <w:sz w:val="28"/>
            <w:szCs w:val="28"/>
          </w:rPr>
          <w:t>-</w:t>
        </w:r>
        <w:r w:rsidRPr="002664D9">
          <w:rPr>
            <w:rStyle w:val="ad"/>
            <w:rFonts w:ascii="Times New Roman" w:hAnsi="Times New Roman" w:cs="Times New Roman"/>
            <w:sz w:val="28"/>
            <w:szCs w:val="28"/>
            <w:lang w:val="en-US"/>
          </w:rPr>
          <w:t>berlin</w:t>
        </w:r>
        <w:r w:rsidRPr="002664D9">
          <w:rPr>
            <w:rStyle w:val="ad"/>
            <w:rFonts w:ascii="Times New Roman" w:hAnsi="Times New Roman" w:cs="Times New Roman"/>
            <w:sz w:val="28"/>
            <w:szCs w:val="28"/>
          </w:rPr>
          <w:t>.</w:t>
        </w:r>
        <w:r w:rsidRPr="002664D9">
          <w:rPr>
            <w:rStyle w:val="ad"/>
            <w:rFonts w:ascii="Times New Roman" w:hAnsi="Times New Roman" w:cs="Times New Roman"/>
            <w:sz w:val="28"/>
            <w:szCs w:val="28"/>
            <w:lang w:val="en-US"/>
          </w:rPr>
          <w:t>de</w:t>
        </w:r>
      </w:hyperlink>
      <w:r w:rsidRPr="002664D9">
        <w:rPr>
          <w:rFonts w:ascii="Times New Roman" w:hAnsi="Times New Roman" w:cs="Times New Roman"/>
          <w:sz w:val="28"/>
          <w:szCs w:val="28"/>
        </w:rPr>
        <w:t>.</w:t>
      </w:r>
    </w:p>
    <w:p w:rsidR="002664D9" w:rsidRPr="002664D9" w:rsidRDefault="002664D9" w:rsidP="006B6B5D">
      <w:pPr>
        <w:pStyle w:val="a3"/>
        <w:numPr>
          <w:ilvl w:val="0"/>
          <w:numId w:val="28"/>
        </w:numPr>
        <w:autoSpaceDE w:val="0"/>
        <w:autoSpaceDN w:val="0"/>
        <w:adjustRightInd w:val="0"/>
        <w:spacing w:after="0" w:line="360" w:lineRule="auto"/>
        <w:ind w:left="567" w:hanging="567"/>
        <w:jc w:val="both"/>
        <w:rPr>
          <w:rFonts w:ascii="Times New Roman" w:hAnsi="Times New Roman" w:cs="Times New Roman"/>
          <w:sz w:val="28"/>
          <w:szCs w:val="28"/>
        </w:rPr>
      </w:pPr>
      <w:r w:rsidRPr="002664D9">
        <w:rPr>
          <w:rFonts w:ascii="Times New Roman" w:hAnsi="Times New Roman" w:cs="Times New Roman"/>
          <w:sz w:val="28"/>
          <w:szCs w:val="28"/>
        </w:rPr>
        <w:t>Джакоб М. Обзор систем оплаты медицинской помощи и реформы механизмов финансирования здравоохранения. Доклад в рамках семинара «Инновационные механизмы финансирования здравоохранения для повышения качества медпомощи: международный опыт, доказательная база и перспективы использования в Российской Федерации». Москва,  2011 г.</w:t>
      </w:r>
    </w:p>
    <w:p w:rsidR="002664D9" w:rsidRPr="002664D9" w:rsidRDefault="002664D9" w:rsidP="006B6B5D">
      <w:pPr>
        <w:pStyle w:val="a3"/>
        <w:numPr>
          <w:ilvl w:val="0"/>
          <w:numId w:val="28"/>
        </w:numPr>
        <w:autoSpaceDE w:val="0"/>
        <w:autoSpaceDN w:val="0"/>
        <w:adjustRightInd w:val="0"/>
        <w:spacing w:after="0" w:line="360" w:lineRule="auto"/>
        <w:ind w:left="567" w:hanging="567"/>
        <w:jc w:val="both"/>
        <w:rPr>
          <w:rFonts w:ascii="Times New Roman" w:eastAsia="Calibri" w:hAnsi="Times New Roman" w:cs="Times New Roman"/>
          <w:sz w:val="28"/>
          <w:szCs w:val="28"/>
        </w:rPr>
      </w:pPr>
      <w:r w:rsidRPr="002664D9">
        <w:rPr>
          <w:rFonts w:ascii="Times New Roman" w:eastAsia="Calibri" w:hAnsi="Times New Roman" w:cs="Times New Roman"/>
          <w:sz w:val="28"/>
          <w:szCs w:val="28"/>
        </w:rPr>
        <w:t>Обзор опыта Эстонии по системе клинико-статистических групп (КСГ)</w:t>
      </w:r>
      <w:r w:rsidRPr="002664D9">
        <w:rPr>
          <w:rFonts w:ascii="Times New Roman" w:hAnsi="Times New Roman" w:cs="Times New Roman"/>
          <w:sz w:val="28"/>
          <w:szCs w:val="28"/>
        </w:rPr>
        <w:t xml:space="preserve">. </w:t>
      </w:r>
      <w:r w:rsidRPr="002664D9">
        <w:rPr>
          <w:rFonts w:ascii="Times New Roman" w:eastAsia="Calibri" w:hAnsi="Times New Roman" w:cs="Times New Roman"/>
          <w:sz w:val="28"/>
          <w:szCs w:val="28"/>
        </w:rPr>
        <w:t>Департамент экономики здравоохранения</w:t>
      </w:r>
      <w:r w:rsidRPr="002664D9">
        <w:rPr>
          <w:rFonts w:ascii="Times New Roman" w:hAnsi="Times New Roman" w:cs="Times New Roman"/>
          <w:sz w:val="28"/>
          <w:szCs w:val="28"/>
        </w:rPr>
        <w:t xml:space="preserve">. </w:t>
      </w:r>
      <w:r w:rsidRPr="002664D9">
        <w:rPr>
          <w:rFonts w:ascii="Times New Roman" w:eastAsia="Calibri" w:hAnsi="Times New Roman" w:cs="Times New Roman"/>
          <w:sz w:val="28"/>
          <w:szCs w:val="28"/>
        </w:rPr>
        <w:t>Эстонский Фонд медицинского страхования, 2009.</w:t>
      </w:r>
    </w:p>
    <w:p w:rsidR="002664D9" w:rsidRPr="002664D9" w:rsidRDefault="002664D9" w:rsidP="006B6B5D">
      <w:pPr>
        <w:pStyle w:val="a3"/>
        <w:numPr>
          <w:ilvl w:val="0"/>
          <w:numId w:val="28"/>
        </w:numPr>
        <w:autoSpaceDE w:val="0"/>
        <w:autoSpaceDN w:val="0"/>
        <w:adjustRightInd w:val="0"/>
        <w:spacing w:line="360" w:lineRule="auto"/>
        <w:ind w:left="567" w:hanging="567"/>
        <w:jc w:val="both"/>
        <w:rPr>
          <w:rFonts w:ascii="Times New Roman" w:hAnsi="Times New Roman" w:cs="Times New Roman"/>
          <w:sz w:val="28"/>
          <w:szCs w:val="28"/>
        </w:rPr>
      </w:pPr>
      <w:r w:rsidRPr="002664D9">
        <w:rPr>
          <w:rFonts w:ascii="Times New Roman" w:hAnsi="Times New Roman" w:cs="Times New Roman"/>
          <w:sz w:val="28"/>
          <w:szCs w:val="28"/>
        </w:rPr>
        <w:lastRenderedPageBreak/>
        <w:t>Шейман И.М. Опыт реализации пилотных проектов внедрения новых методов оплаты медицинской помощи в регионах Российской Федерации. Доклад в рамках семинара «Инновационные механизмы финансирования здравоохранения для повышения качества медпомощи: международный опыт, доказательная база и перспективы использования в Российской Федерации». Москва,  2011 г.</w:t>
      </w:r>
    </w:p>
    <w:p w:rsidR="002664D9" w:rsidRPr="002664D9" w:rsidRDefault="002664D9" w:rsidP="006B6B5D">
      <w:pPr>
        <w:pStyle w:val="a3"/>
        <w:numPr>
          <w:ilvl w:val="0"/>
          <w:numId w:val="28"/>
        </w:numPr>
        <w:autoSpaceDE w:val="0"/>
        <w:autoSpaceDN w:val="0"/>
        <w:adjustRightInd w:val="0"/>
        <w:spacing w:line="360" w:lineRule="auto"/>
        <w:ind w:left="567" w:hanging="567"/>
        <w:jc w:val="both"/>
        <w:rPr>
          <w:rFonts w:ascii="Times New Roman" w:hAnsi="Times New Roman" w:cs="Times New Roman"/>
          <w:sz w:val="28"/>
          <w:szCs w:val="28"/>
        </w:rPr>
      </w:pPr>
      <w:r w:rsidRPr="002664D9">
        <w:rPr>
          <w:rFonts w:ascii="Times New Roman" w:hAnsi="Times New Roman" w:cs="Times New Roman"/>
          <w:sz w:val="28"/>
          <w:szCs w:val="28"/>
        </w:rPr>
        <w:t>Шишкин С.В. Уроки и перспективы реформы системы финансирования здравоохранения в России. Доклад в рамках семинара «Инновационные механизмы финансирования здравоохранения для повышения качества медпомощи: международный опыт, доказательная база и перспективы использования в Российской Федерации». Москва,  2011 г.</w:t>
      </w:r>
    </w:p>
    <w:p w:rsidR="002664D9" w:rsidRPr="002664D9" w:rsidRDefault="002664D9" w:rsidP="006B6B5D">
      <w:pPr>
        <w:pStyle w:val="a3"/>
        <w:numPr>
          <w:ilvl w:val="0"/>
          <w:numId w:val="2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2664D9">
        <w:rPr>
          <w:rFonts w:ascii="Times New Roman" w:hAnsi="Times New Roman" w:cs="Times New Roman"/>
          <w:sz w:val="28"/>
          <w:szCs w:val="28"/>
          <w:lang w:val="en-US"/>
        </w:rPr>
        <w:t>Codman E.A. Ernest Amory Codman Papers, 1849-1981: Finding Aid. Boston, MA: Boston Medical Library and Francis A. Countway Library of Medicine.</w:t>
      </w:r>
    </w:p>
    <w:p w:rsidR="002664D9" w:rsidRPr="002664D9" w:rsidRDefault="002664D9" w:rsidP="006B6B5D">
      <w:pPr>
        <w:pStyle w:val="a3"/>
        <w:numPr>
          <w:ilvl w:val="0"/>
          <w:numId w:val="2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2664D9">
        <w:rPr>
          <w:rFonts w:ascii="Times New Roman" w:hAnsi="Times New Roman" w:cs="Times New Roman"/>
          <w:sz w:val="28"/>
          <w:szCs w:val="28"/>
          <w:lang w:val="en-US"/>
        </w:rPr>
        <w:t>Busse R., Geissler A., Quentin W., Wiley M. Diagnosis-Related Groups in Europe. Moving towards transparency, efficiency and quality in hospitals. – European Observatory on Health Systems and Policies Series, 2011.</w:t>
      </w:r>
    </w:p>
    <w:p w:rsidR="002664D9" w:rsidRPr="002664D9" w:rsidRDefault="002664D9" w:rsidP="006B6B5D">
      <w:pPr>
        <w:pStyle w:val="a3"/>
        <w:numPr>
          <w:ilvl w:val="0"/>
          <w:numId w:val="28"/>
        </w:numPr>
        <w:spacing w:line="360" w:lineRule="auto"/>
        <w:ind w:left="567" w:hanging="567"/>
        <w:jc w:val="both"/>
        <w:rPr>
          <w:rFonts w:ascii="Times New Roman" w:hAnsi="Times New Roman" w:cs="Times New Roman"/>
          <w:sz w:val="28"/>
          <w:szCs w:val="28"/>
          <w:lang w:val="en-US"/>
        </w:rPr>
      </w:pPr>
      <w:r w:rsidRPr="002664D9">
        <w:rPr>
          <w:rFonts w:ascii="Times New Roman" w:hAnsi="Times New Roman" w:cs="Times New Roman"/>
          <w:sz w:val="28"/>
          <w:szCs w:val="28"/>
          <w:lang w:val="en-US"/>
        </w:rPr>
        <w:t>Kutzin J., Cashin C., Jakab M. Implementing Health Financing Reform. Lessons from countries in transition. – European Observatory on Health Systems and Policies, 2010.</w:t>
      </w:r>
    </w:p>
    <w:p w:rsidR="002664D9" w:rsidRPr="002664D9" w:rsidRDefault="002664D9" w:rsidP="006B6B5D">
      <w:pPr>
        <w:pStyle w:val="a3"/>
        <w:numPr>
          <w:ilvl w:val="0"/>
          <w:numId w:val="2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2664D9">
        <w:rPr>
          <w:rFonts w:ascii="Times New Roman" w:hAnsi="Times New Roman" w:cs="Times New Roman"/>
          <w:sz w:val="28"/>
          <w:szCs w:val="28"/>
          <w:lang w:val="en-US"/>
        </w:rPr>
        <w:t>Busse R. Do diagnosis-related groups explain variations in hospital costs and length of stay? – Analyses from the EuroDRG project for 10 episodes of care across 10 European countries. – Health Economics 21 (Suppl. 2): 1-5 (2012).</w:t>
      </w:r>
    </w:p>
    <w:p w:rsidR="002664D9" w:rsidRPr="002664D9" w:rsidRDefault="002664D9" w:rsidP="006B6B5D">
      <w:pPr>
        <w:pStyle w:val="a3"/>
        <w:numPr>
          <w:ilvl w:val="0"/>
          <w:numId w:val="2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2664D9">
        <w:rPr>
          <w:rFonts w:ascii="Times New Roman" w:hAnsi="Times New Roman" w:cs="Times New Roman"/>
          <w:sz w:val="28"/>
          <w:szCs w:val="28"/>
          <w:lang w:val="en-US"/>
        </w:rPr>
        <w:t>Paris V., Devaux M., Wei L. Health systems institutional characteristics: a survey of 29 OECD Countries. Paris: Organisation for economic co-operation and development (OECD Health Working Papers № 50).</w:t>
      </w:r>
    </w:p>
    <w:p w:rsidR="002664D9" w:rsidRPr="002664D9" w:rsidRDefault="002664D9" w:rsidP="006B6B5D">
      <w:pPr>
        <w:pStyle w:val="a3"/>
        <w:numPr>
          <w:ilvl w:val="0"/>
          <w:numId w:val="2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2664D9">
        <w:rPr>
          <w:rFonts w:ascii="Times New Roman" w:hAnsi="Times New Roman" w:cs="Times New Roman"/>
          <w:sz w:val="28"/>
          <w:szCs w:val="28"/>
          <w:lang w:val="en-US"/>
        </w:rPr>
        <w:t>Fetter R.B. DRGs: Their design and development. Ann Arbor, MI: Health Administration Press.</w:t>
      </w:r>
    </w:p>
    <w:p w:rsidR="002664D9" w:rsidRPr="002664D9" w:rsidRDefault="002664D9" w:rsidP="006B6B5D">
      <w:pPr>
        <w:pStyle w:val="a3"/>
        <w:numPr>
          <w:ilvl w:val="0"/>
          <w:numId w:val="2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2664D9">
        <w:rPr>
          <w:rFonts w:ascii="Times New Roman" w:hAnsi="Times New Roman" w:cs="Times New Roman"/>
          <w:sz w:val="28"/>
          <w:szCs w:val="28"/>
          <w:lang w:val="en-US"/>
        </w:rPr>
        <w:lastRenderedPageBreak/>
        <w:t>Schreyogg J., Stargardt T., Tiemann O. Costs and quality of hospitals in different health care systems: a multi-level approach with propensity score matching. Health Economics 20: 85–100 (2011).</w:t>
      </w:r>
    </w:p>
    <w:p w:rsidR="00357994" w:rsidRDefault="002664D9" w:rsidP="006B6B5D">
      <w:pPr>
        <w:pStyle w:val="a3"/>
        <w:numPr>
          <w:ilvl w:val="0"/>
          <w:numId w:val="2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2664D9">
        <w:rPr>
          <w:rFonts w:ascii="Times New Roman" w:hAnsi="Times New Roman" w:cs="Times New Roman"/>
          <w:sz w:val="28"/>
          <w:szCs w:val="28"/>
          <w:lang w:val="en-US"/>
        </w:rPr>
        <w:t xml:space="preserve">Timothy D. Martin. Relating Diagnosis-Related Groups: What Germany and the United States Can Learn From Each Other About Aute-Care Payment Systems. </w:t>
      </w:r>
      <w:hyperlink r:id="rId21" w:history="1">
        <w:r w:rsidRPr="002664D9">
          <w:rPr>
            <w:rStyle w:val="ad"/>
            <w:rFonts w:ascii="Times New Roman" w:hAnsi="Times New Roman" w:cs="Times New Roman"/>
            <w:sz w:val="28"/>
            <w:szCs w:val="28"/>
            <w:lang w:val="en-US"/>
          </w:rPr>
          <w:t>http://works.bepress.com/timothy_martin/5</w:t>
        </w:r>
      </w:hyperlink>
      <w:r w:rsidRPr="002664D9">
        <w:rPr>
          <w:rFonts w:ascii="Times New Roman" w:hAnsi="Times New Roman" w:cs="Times New Roman"/>
          <w:sz w:val="28"/>
          <w:szCs w:val="28"/>
          <w:lang w:val="en-US"/>
        </w:rPr>
        <w:t xml:space="preserve"> (2011).</w:t>
      </w:r>
    </w:p>
    <w:p w:rsidR="00357994" w:rsidRDefault="0035799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664D9" w:rsidRPr="009C2148" w:rsidRDefault="00357994" w:rsidP="00357994">
      <w:pPr>
        <w:pStyle w:val="1"/>
        <w:rPr>
          <w:rFonts w:ascii="Times New Roman" w:hAnsi="Times New Roman" w:cs="Times New Roman"/>
          <w:color w:val="FFFFFF" w:themeColor="background1"/>
        </w:rPr>
      </w:pPr>
      <w:bookmarkStart w:id="19" w:name="_Toc357415397"/>
      <w:r w:rsidRPr="009C2148">
        <w:rPr>
          <w:rFonts w:ascii="Times New Roman" w:hAnsi="Times New Roman" w:cs="Times New Roman"/>
          <w:color w:val="FFFFFF" w:themeColor="background1"/>
        </w:rPr>
        <w:lastRenderedPageBreak/>
        <w:t>Приложения</w:t>
      </w:r>
      <w:bookmarkEnd w:id="19"/>
    </w:p>
    <w:p w:rsidR="002664D9" w:rsidRPr="007F4450" w:rsidRDefault="002664D9" w:rsidP="00524C6A">
      <w:pPr>
        <w:spacing w:line="360" w:lineRule="auto"/>
        <w:jc w:val="both"/>
        <w:rPr>
          <w:rFonts w:ascii="Times New Roman" w:hAnsi="Times New Roman" w:cs="Times New Roman"/>
          <w:sz w:val="28"/>
          <w:szCs w:val="28"/>
        </w:rPr>
      </w:pPr>
    </w:p>
    <w:sectPr w:rsidR="002664D9" w:rsidRPr="007F4450" w:rsidSect="005F3362">
      <w:headerReference w:type="default" r:id="rId22"/>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EB1" w:rsidRDefault="002F4EB1" w:rsidP="005F3362">
      <w:pPr>
        <w:spacing w:after="0" w:line="240" w:lineRule="auto"/>
      </w:pPr>
      <w:r>
        <w:separator/>
      </w:r>
    </w:p>
  </w:endnote>
  <w:endnote w:type="continuationSeparator" w:id="1">
    <w:p w:rsidR="002F4EB1" w:rsidRDefault="002F4EB1" w:rsidP="005F3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EB1" w:rsidRDefault="002F4EB1" w:rsidP="005F3362">
      <w:pPr>
        <w:spacing w:after="0" w:line="240" w:lineRule="auto"/>
      </w:pPr>
      <w:r>
        <w:separator/>
      </w:r>
    </w:p>
  </w:footnote>
  <w:footnote w:type="continuationSeparator" w:id="1">
    <w:p w:rsidR="002F4EB1" w:rsidRDefault="002F4EB1" w:rsidP="005F3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9596"/>
      <w:docPartObj>
        <w:docPartGallery w:val="Page Numbers (Top of Page)"/>
        <w:docPartUnique/>
      </w:docPartObj>
    </w:sdtPr>
    <w:sdtContent>
      <w:p w:rsidR="00A36E47" w:rsidRDefault="00A43CAF">
        <w:pPr>
          <w:pStyle w:val="a8"/>
          <w:jc w:val="center"/>
        </w:pPr>
        <w:fldSimple w:instr=" PAGE   \* MERGEFORMAT ">
          <w:r w:rsidR="00636B90">
            <w:rPr>
              <w:noProof/>
            </w:rPr>
            <w:t>2</w:t>
          </w:r>
        </w:fldSimple>
      </w:p>
    </w:sdtContent>
  </w:sdt>
  <w:p w:rsidR="00A36E47" w:rsidRDefault="00A36E4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47" w:rsidRPr="005F3362" w:rsidRDefault="00A43CAF">
    <w:pPr>
      <w:pStyle w:val="a8"/>
      <w:jc w:val="center"/>
      <w:rPr>
        <w:rFonts w:ascii="Times New Roman" w:hAnsi="Times New Roman" w:cs="Times New Roman"/>
      </w:rPr>
    </w:pPr>
    <w:r w:rsidRPr="005F3362">
      <w:rPr>
        <w:rFonts w:ascii="Times New Roman" w:hAnsi="Times New Roman" w:cs="Times New Roman"/>
      </w:rPr>
      <w:fldChar w:fldCharType="begin"/>
    </w:r>
    <w:r w:rsidR="00A36E47" w:rsidRPr="005F3362">
      <w:rPr>
        <w:rFonts w:ascii="Times New Roman" w:hAnsi="Times New Roman" w:cs="Times New Roman"/>
      </w:rPr>
      <w:instrText xml:space="preserve"> PAGE   \* MERGEFORMAT </w:instrText>
    </w:r>
    <w:r w:rsidRPr="005F3362">
      <w:rPr>
        <w:rFonts w:ascii="Times New Roman" w:hAnsi="Times New Roman" w:cs="Times New Roman"/>
      </w:rPr>
      <w:fldChar w:fldCharType="separate"/>
    </w:r>
    <w:r w:rsidR="00636B90">
      <w:rPr>
        <w:rFonts w:ascii="Times New Roman" w:hAnsi="Times New Roman" w:cs="Times New Roman"/>
        <w:noProof/>
      </w:rPr>
      <w:t>61</w:t>
    </w:r>
    <w:r w:rsidRPr="005F3362">
      <w:rPr>
        <w:rFonts w:ascii="Times New Roman" w:hAnsi="Times New Roman" w:cs="Times New Roman"/>
      </w:rPr>
      <w:fldChar w:fldCharType="end"/>
    </w:r>
  </w:p>
  <w:p w:rsidR="00A36E47" w:rsidRDefault="00A36E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C9"/>
    <w:multiLevelType w:val="hybridMultilevel"/>
    <w:tmpl w:val="5D842432"/>
    <w:lvl w:ilvl="0" w:tplc="FC202072">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E6EFD"/>
    <w:multiLevelType w:val="hybridMultilevel"/>
    <w:tmpl w:val="4B102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F2D06"/>
    <w:multiLevelType w:val="hybridMultilevel"/>
    <w:tmpl w:val="D9A40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D4964"/>
    <w:multiLevelType w:val="hybridMultilevel"/>
    <w:tmpl w:val="F4621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77926"/>
    <w:multiLevelType w:val="hybridMultilevel"/>
    <w:tmpl w:val="73F4C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13DB0"/>
    <w:multiLevelType w:val="hybridMultilevel"/>
    <w:tmpl w:val="96C8F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13336"/>
    <w:multiLevelType w:val="hybridMultilevel"/>
    <w:tmpl w:val="83582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E64123"/>
    <w:multiLevelType w:val="hybridMultilevel"/>
    <w:tmpl w:val="D444B874"/>
    <w:lvl w:ilvl="0" w:tplc="7C34415C">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79626A"/>
    <w:multiLevelType w:val="hybridMultilevel"/>
    <w:tmpl w:val="7618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D4365"/>
    <w:multiLevelType w:val="hybridMultilevel"/>
    <w:tmpl w:val="5966166A"/>
    <w:lvl w:ilvl="0" w:tplc="77EC0B7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C0F5EBF"/>
    <w:multiLevelType w:val="multilevel"/>
    <w:tmpl w:val="17C4FDDA"/>
    <w:lvl w:ilvl="0">
      <w:start w:val="2"/>
      <w:numFmt w:val="decimal"/>
      <w:lvlText w:val="%1."/>
      <w:lvlJc w:val="left"/>
      <w:pPr>
        <w:ind w:left="480" w:hanging="48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1">
    <w:nsid w:val="3D5E7DDE"/>
    <w:multiLevelType w:val="hybridMultilevel"/>
    <w:tmpl w:val="5966166A"/>
    <w:lvl w:ilvl="0" w:tplc="77EC0B7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DF1192C"/>
    <w:multiLevelType w:val="hybridMultilevel"/>
    <w:tmpl w:val="C4408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F24A7E"/>
    <w:multiLevelType w:val="hybridMultilevel"/>
    <w:tmpl w:val="833E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52D98"/>
    <w:multiLevelType w:val="hybridMultilevel"/>
    <w:tmpl w:val="98F0A214"/>
    <w:lvl w:ilvl="0" w:tplc="DB249AA6">
      <w:start w:val="1"/>
      <w:numFmt w:val="decimal"/>
      <w:lvlText w:val="2.%1."/>
      <w:lvlJc w:val="left"/>
      <w:pPr>
        <w:ind w:left="770" w:hanging="360"/>
      </w:pPr>
      <w:rPr>
        <w:rFonts w:hint="default"/>
        <w:b/>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5">
    <w:nsid w:val="4B3F79F1"/>
    <w:multiLevelType w:val="hybridMultilevel"/>
    <w:tmpl w:val="93E64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B4B0D"/>
    <w:multiLevelType w:val="multilevel"/>
    <w:tmpl w:val="D6424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263734F"/>
    <w:multiLevelType w:val="multilevel"/>
    <w:tmpl w:val="CCE4F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53024985"/>
    <w:multiLevelType w:val="hybridMultilevel"/>
    <w:tmpl w:val="F2C04952"/>
    <w:lvl w:ilvl="0" w:tplc="DB249AA6">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4234AD"/>
    <w:multiLevelType w:val="multilevel"/>
    <w:tmpl w:val="2B827E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E676109"/>
    <w:multiLevelType w:val="hybridMultilevel"/>
    <w:tmpl w:val="676AC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E10C62"/>
    <w:multiLevelType w:val="hybridMultilevel"/>
    <w:tmpl w:val="909C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7F1840"/>
    <w:multiLevelType w:val="hybridMultilevel"/>
    <w:tmpl w:val="F9908E24"/>
    <w:lvl w:ilvl="0" w:tplc="80E8B85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792A06AB"/>
    <w:multiLevelType w:val="hybridMultilevel"/>
    <w:tmpl w:val="013A9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822CF"/>
    <w:multiLevelType w:val="hybridMultilevel"/>
    <w:tmpl w:val="1D049444"/>
    <w:lvl w:ilvl="0" w:tplc="39F01F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2A2D23"/>
    <w:multiLevelType w:val="hybridMultilevel"/>
    <w:tmpl w:val="A5E2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07521F"/>
    <w:multiLevelType w:val="hybridMultilevel"/>
    <w:tmpl w:val="9DF43D9C"/>
    <w:lvl w:ilvl="0" w:tplc="92487E24">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7">
    <w:nsid w:val="7D2A7797"/>
    <w:multiLevelType w:val="hybridMultilevel"/>
    <w:tmpl w:val="36DCE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6"/>
  </w:num>
  <w:num w:numId="4">
    <w:abstractNumId w:val="2"/>
  </w:num>
  <w:num w:numId="5">
    <w:abstractNumId w:val="27"/>
  </w:num>
  <w:num w:numId="6">
    <w:abstractNumId w:val="21"/>
  </w:num>
  <w:num w:numId="7">
    <w:abstractNumId w:val="4"/>
  </w:num>
  <w:num w:numId="8">
    <w:abstractNumId w:val="3"/>
  </w:num>
  <w:num w:numId="9">
    <w:abstractNumId w:val="23"/>
  </w:num>
  <w:num w:numId="10">
    <w:abstractNumId w:val="5"/>
  </w:num>
  <w:num w:numId="11">
    <w:abstractNumId w:val="17"/>
  </w:num>
  <w:num w:numId="12">
    <w:abstractNumId w:val="13"/>
  </w:num>
  <w:num w:numId="13">
    <w:abstractNumId w:val="8"/>
  </w:num>
  <w:num w:numId="14">
    <w:abstractNumId w:val="12"/>
  </w:num>
  <w:num w:numId="15">
    <w:abstractNumId w:val="19"/>
  </w:num>
  <w:num w:numId="16">
    <w:abstractNumId w:val="16"/>
  </w:num>
  <w:num w:numId="17">
    <w:abstractNumId w:val="24"/>
  </w:num>
  <w:num w:numId="18">
    <w:abstractNumId w:val="10"/>
  </w:num>
  <w:num w:numId="19">
    <w:abstractNumId w:val="18"/>
  </w:num>
  <w:num w:numId="20">
    <w:abstractNumId w:val="0"/>
  </w:num>
  <w:num w:numId="21">
    <w:abstractNumId w:val="14"/>
  </w:num>
  <w:num w:numId="22">
    <w:abstractNumId w:val="20"/>
  </w:num>
  <w:num w:numId="23">
    <w:abstractNumId w:val="9"/>
  </w:num>
  <w:num w:numId="24">
    <w:abstractNumId w:val="22"/>
  </w:num>
  <w:num w:numId="25">
    <w:abstractNumId w:val="11"/>
  </w:num>
  <w:num w:numId="26">
    <w:abstractNumId w:val="7"/>
  </w:num>
  <w:num w:numId="27">
    <w:abstractNumId w:val="2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009A"/>
    <w:rsid w:val="00003186"/>
    <w:rsid w:val="000045EC"/>
    <w:rsid w:val="000157DD"/>
    <w:rsid w:val="00034A87"/>
    <w:rsid w:val="00034B3E"/>
    <w:rsid w:val="000765FC"/>
    <w:rsid w:val="00080FD7"/>
    <w:rsid w:val="000821AC"/>
    <w:rsid w:val="00091914"/>
    <w:rsid w:val="00095F40"/>
    <w:rsid w:val="000A639E"/>
    <w:rsid w:val="000A645D"/>
    <w:rsid w:val="000B098E"/>
    <w:rsid w:val="000B4693"/>
    <w:rsid w:val="000E1304"/>
    <w:rsid w:val="000E1641"/>
    <w:rsid w:val="000E225E"/>
    <w:rsid w:val="000E36BE"/>
    <w:rsid w:val="000E5FCC"/>
    <w:rsid w:val="000E6629"/>
    <w:rsid w:val="00111198"/>
    <w:rsid w:val="00111DC5"/>
    <w:rsid w:val="00127805"/>
    <w:rsid w:val="001348B1"/>
    <w:rsid w:val="001374C0"/>
    <w:rsid w:val="001452BC"/>
    <w:rsid w:val="00157385"/>
    <w:rsid w:val="00171048"/>
    <w:rsid w:val="00184F5B"/>
    <w:rsid w:val="001A5E3C"/>
    <w:rsid w:val="001B7277"/>
    <w:rsid w:val="001C4A2C"/>
    <w:rsid w:val="001C6149"/>
    <w:rsid w:val="001C7C28"/>
    <w:rsid w:val="001E61C7"/>
    <w:rsid w:val="00226B30"/>
    <w:rsid w:val="00244F89"/>
    <w:rsid w:val="0026059A"/>
    <w:rsid w:val="00263A4C"/>
    <w:rsid w:val="002664D9"/>
    <w:rsid w:val="00284B56"/>
    <w:rsid w:val="00290FDE"/>
    <w:rsid w:val="0029210A"/>
    <w:rsid w:val="002C566A"/>
    <w:rsid w:val="002D009A"/>
    <w:rsid w:val="002D179F"/>
    <w:rsid w:val="002F4EB1"/>
    <w:rsid w:val="002F6C1D"/>
    <w:rsid w:val="00302B04"/>
    <w:rsid w:val="00313C7A"/>
    <w:rsid w:val="00315154"/>
    <w:rsid w:val="00322359"/>
    <w:rsid w:val="00331C37"/>
    <w:rsid w:val="003555A7"/>
    <w:rsid w:val="00357994"/>
    <w:rsid w:val="00361330"/>
    <w:rsid w:val="003643FA"/>
    <w:rsid w:val="00370137"/>
    <w:rsid w:val="00377FA3"/>
    <w:rsid w:val="00381317"/>
    <w:rsid w:val="00381A6B"/>
    <w:rsid w:val="00385978"/>
    <w:rsid w:val="003934BE"/>
    <w:rsid w:val="00395866"/>
    <w:rsid w:val="003A158E"/>
    <w:rsid w:val="003C3592"/>
    <w:rsid w:val="003C4E39"/>
    <w:rsid w:val="003D2E80"/>
    <w:rsid w:val="003D4E16"/>
    <w:rsid w:val="003E2623"/>
    <w:rsid w:val="00410C7E"/>
    <w:rsid w:val="00462054"/>
    <w:rsid w:val="00463802"/>
    <w:rsid w:val="004969BD"/>
    <w:rsid w:val="004A33E4"/>
    <w:rsid w:val="004A636E"/>
    <w:rsid w:val="004B3BDE"/>
    <w:rsid w:val="004B64A2"/>
    <w:rsid w:val="004C1C8B"/>
    <w:rsid w:val="004C7255"/>
    <w:rsid w:val="004D28CA"/>
    <w:rsid w:val="004F767D"/>
    <w:rsid w:val="00510E65"/>
    <w:rsid w:val="00521133"/>
    <w:rsid w:val="00524C6A"/>
    <w:rsid w:val="00525A07"/>
    <w:rsid w:val="00525CAC"/>
    <w:rsid w:val="00526627"/>
    <w:rsid w:val="00532A76"/>
    <w:rsid w:val="00543D5D"/>
    <w:rsid w:val="0055020B"/>
    <w:rsid w:val="005716C0"/>
    <w:rsid w:val="0057219D"/>
    <w:rsid w:val="00576598"/>
    <w:rsid w:val="00577E83"/>
    <w:rsid w:val="00593CBD"/>
    <w:rsid w:val="005A5376"/>
    <w:rsid w:val="005B1E3E"/>
    <w:rsid w:val="005D1B82"/>
    <w:rsid w:val="005F3362"/>
    <w:rsid w:val="006163AA"/>
    <w:rsid w:val="00622A03"/>
    <w:rsid w:val="00623B41"/>
    <w:rsid w:val="00626889"/>
    <w:rsid w:val="006302FF"/>
    <w:rsid w:val="00630A79"/>
    <w:rsid w:val="00636B90"/>
    <w:rsid w:val="006414E1"/>
    <w:rsid w:val="00672653"/>
    <w:rsid w:val="00673ED9"/>
    <w:rsid w:val="006B6B5D"/>
    <w:rsid w:val="006C3012"/>
    <w:rsid w:val="006C7170"/>
    <w:rsid w:val="006D6EE4"/>
    <w:rsid w:val="007139D6"/>
    <w:rsid w:val="007141FC"/>
    <w:rsid w:val="00720F50"/>
    <w:rsid w:val="00724BD9"/>
    <w:rsid w:val="00726140"/>
    <w:rsid w:val="00732045"/>
    <w:rsid w:val="00745EEE"/>
    <w:rsid w:val="00747592"/>
    <w:rsid w:val="00750FFC"/>
    <w:rsid w:val="00752311"/>
    <w:rsid w:val="00760B5C"/>
    <w:rsid w:val="00763374"/>
    <w:rsid w:val="0076747F"/>
    <w:rsid w:val="007777D1"/>
    <w:rsid w:val="00782052"/>
    <w:rsid w:val="007838B3"/>
    <w:rsid w:val="007937EB"/>
    <w:rsid w:val="00795E60"/>
    <w:rsid w:val="007A121F"/>
    <w:rsid w:val="007A6CD9"/>
    <w:rsid w:val="007A7653"/>
    <w:rsid w:val="007B6030"/>
    <w:rsid w:val="007F4450"/>
    <w:rsid w:val="008140AA"/>
    <w:rsid w:val="0082226A"/>
    <w:rsid w:val="00835B80"/>
    <w:rsid w:val="00842259"/>
    <w:rsid w:val="008440EC"/>
    <w:rsid w:val="00880AA4"/>
    <w:rsid w:val="0088505D"/>
    <w:rsid w:val="008A45D7"/>
    <w:rsid w:val="008A54F3"/>
    <w:rsid w:val="008B3D17"/>
    <w:rsid w:val="008D2C43"/>
    <w:rsid w:val="008F61AF"/>
    <w:rsid w:val="00906A24"/>
    <w:rsid w:val="00920E65"/>
    <w:rsid w:val="009354D9"/>
    <w:rsid w:val="00954A45"/>
    <w:rsid w:val="00955C48"/>
    <w:rsid w:val="0098057C"/>
    <w:rsid w:val="00997B2E"/>
    <w:rsid w:val="009B5B56"/>
    <w:rsid w:val="009C2148"/>
    <w:rsid w:val="009C4C2F"/>
    <w:rsid w:val="009C7544"/>
    <w:rsid w:val="009D6843"/>
    <w:rsid w:val="009D71CD"/>
    <w:rsid w:val="009E3870"/>
    <w:rsid w:val="009E52D3"/>
    <w:rsid w:val="00A146DB"/>
    <w:rsid w:val="00A346C2"/>
    <w:rsid w:val="00A36E47"/>
    <w:rsid w:val="00A43CAF"/>
    <w:rsid w:val="00A56BAA"/>
    <w:rsid w:val="00A73DC9"/>
    <w:rsid w:val="00A82C84"/>
    <w:rsid w:val="00AA7047"/>
    <w:rsid w:val="00AC5C78"/>
    <w:rsid w:val="00AC5FB2"/>
    <w:rsid w:val="00AD1A31"/>
    <w:rsid w:val="00AE41D8"/>
    <w:rsid w:val="00AE668C"/>
    <w:rsid w:val="00B06BED"/>
    <w:rsid w:val="00B12595"/>
    <w:rsid w:val="00B20A4D"/>
    <w:rsid w:val="00B54B78"/>
    <w:rsid w:val="00B565B5"/>
    <w:rsid w:val="00B70D92"/>
    <w:rsid w:val="00B8364B"/>
    <w:rsid w:val="00B90B65"/>
    <w:rsid w:val="00BA5F1C"/>
    <w:rsid w:val="00BD5F7F"/>
    <w:rsid w:val="00C068E3"/>
    <w:rsid w:val="00C103AF"/>
    <w:rsid w:val="00C11003"/>
    <w:rsid w:val="00C1451C"/>
    <w:rsid w:val="00C167F2"/>
    <w:rsid w:val="00C22E39"/>
    <w:rsid w:val="00C2547F"/>
    <w:rsid w:val="00C60C1C"/>
    <w:rsid w:val="00C63573"/>
    <w:rsid w:val="00C93BD9"/>
    <w:rsid w:val="00C942C7"/>
    <w:rsid w:val="00C961BB"/>
    <w:rsid w:val="00CA69F9"/>
    <w:rsid w:val="00CC43C1"/>
    <w:rsid w:val="00CD7ADA"/>
    <w:rsid w:val="00CE0C28"/>
    <w:rsid w:val="00CF2412"/>
    <w:rsid w:val="00CF7130"/>
    <w:rsid w:val="00D011AE"/>
    <w:rsid w:val="00D20FCD"/>
    <w:rsid w:val="00D24AE3"/>
    <w:rsid w:val="00D268E5"/>
    <w:rsid w:val="00D61E35"/>
    <w:rsid w:val="00D942D9"/>
    <w:rsid w:val="00D97AC3"/>
    <w:rsid w:val="00DA0819"/>
    <w:rsid w:val="00DB26DE"/>
    <w:rsid w:val="00DB31D8"/>
    <w:rsid w:val="00DB7B76"/>
    <w:rsid w:val="00DD05A0"/>
    <w:rsid w:val="00DF7F77"/>
    <w:rsid w:val="00E14838"/>
    <w:rsid w:val="00E15959"/>
    <w:rsid w:val="00E20363"/>
    <w:rsid w:val="00E2289C"/>
    <w:rsid w:val="00E2775B"/>
    <w:rsid w:val="00E40D85"/>
    <w:rsid w:val="00E50FCE"/>
    <w:rsid w:val="00E548C3"/>
    <w:rsid w:val="00E61E34"/>
    <w:rsid w:val="00E659E0"/>
    <w:rsid w:val="00E66036"/>
    <w:rsid w:val="00E665E1"/>
    <w:rsid w:val="00E84453"/>
    <w:rsid w:val="00E86CB0"/>
    <w:rsid w:val="00EB2C70"/>
    <w:rsid w:val="00EB3690"/>
    <w:rsid w:val="00EC2D44"/>
    <w:rsid w:val="00EF5C7D"/>
    <w:rsid w:val="00F14A67"/>
    <w:rsid w:val="00F20294"/>
    <w:rsid w:val="00F216CB"/>
    <w:rsid w:val="00F237A3"/>
    <w:rsid w:val="00F3710B"/>
    <w:rsid w:val="00F652F7"/>
    <w:rsid w:val="00F8385E"/>
    <w:rsid w:val="00F92BCC"/>
    <w:rsid w:val="00F96020"/>
    <w:rsid w:val="00FD2079"/>
    <w:rsid w:val="00FD3482"/>
    <w:rsid w:val="00FD6CDB"/>
    <w:rsid w:val="00FE0CC0"/>
    <w:rsid w:val="00FE7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B5"/>
  </w:style>
  <w:style w:type="paragraph" w:styleId="1">
    <w:name w:val="heading 1"/>
    <w:basedOn w:val="a"/>
    <w:next w:val="a"/>
    <w:link w:val="10"/>
    <w:uiPriority w:val="9"/>
    <w:qFormat/>
    <w:rsid w:val="00171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1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2259"/>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84225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84225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C84"/>
    <w:pPr>
      <w:ind w:left="720"/>
      <w:contextualSpacing/>
    </w:pPr>
  </w:style>
  <w:style w:type="paragraph" w:styleId="a4">
    <w:name w:val="Normal (Web)"/>
    <w:basedOn w:val="a"/>
    <w:unhideWhenUsed/>
    <w:rsid w:val="00381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61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1BB"/>
    <w:rPr>
      <w:rFonts w:ascii="Tahoma" w:hAnsi="Tahoma" w:cs="Tahoma"/>
      <w:sz w:val="16"/>
      <w:szCs w:val="16"/>
    </w:rPr>
  </w:style>
  <w:style w:type="character" w:customStyle="1" w:styleId="30">
    <w:name w:val="Заголовок 3 Знак"/>
    <w:basedOn w:val="a0"/>
    <w:link w:val="3"/>
    <w:rsid w:val="00842259"/>
    <w:rPr>
      <w:rFonts w:ascii="Arial" w:eastAsia="Times New Roman" w:hAnsi="Arial" w:cs="Arial"/>
      <w:b/>
      <w:bCs/>
      <w:sz w:val="26"/>
      <w:szCs w:val="26"/>
      <w:lang w:eastAsia="ru-RU"/>
    </w:rPr>
  </w:style>
  <w:style w:type="character" w:customStyle="1" w:styleId="50">
    <w:name w:val="Заголовок 5 Знак"/>
    <w:basedOn w:val="a0"/>
    <w:link w:val="5"/>
    <w:rsid w:val="0084225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42259"/>
    <w:rPr>
      <w:rFonts w:ascii="Times New Roman" w:eastAsia="Times New Roman" w:hAnsi="Times New Roman" w:cs="Times New Roman"/>
      <w:sz w:val="24"/>
      <w:szCs w:val="24"/>
      <w:lang w:eastAsia="ru-RU"/>
    </w:rPr>
  </w:style>
  <w:style w:type="table" w:styleId="a7">
    <w:name w:val="Table Grid"/>
    <w:basedOn w:val="a1"/>
    <w:uiPriority w:val="59"/>
    <w:rsid w:val="00082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5F3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3362"/>
  </w:style>
  <w:style w:type="paragraph" w:styleId="aa">
    <w:name w:val="footer"/>
    <w:basedOn w:val="a"/>
    <w:link w:val="ab"/>
    <w:uiPriority w:val="99"/>
    <w:semiHidden/>
    <w:unhideWhenUsed/>
    <w:rsid w:val="005F33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3362"/>
  </w:style>
  <w:style w:type="character" w:customStyle="1" w:styleId="10">
    <w:name w:val="Заголовок 1 Знак"/>
    <w:basedOn w:val="a0"/>
    <w:link w:val="1"/>
    <w:uiPriority w:val="9"/>
    <w:rsid w:val="00171048"/>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171048"/>
    <w:pPr>
      <w:outlineLvl w:val="9"/>
    </w:pPr>
  </w:style>
  <w:style w:type="paragraph" w:styleId="11">
    <w:name w:val="toc 1"/>
    <w:basedOn w:val="a"/>
    <w:next w:val="a"/>
    <w:autoRedefine/>
    <w:uiPriority w:val="39"/>
    <w:unhideWhenUsed/>
    <w:rsid w:val="00171048"/>
    <w:pPr>
      <w:spacing w:after="100"/>
    </w:pPr>
  </w:style>
  <w:style w:type="character" w:styleId="ad">
    <w:name w:val="Hyperlink"/>
    <w:basedOn w:val="a0"/>
    <w:uiPriority w:val="99"/>
    <w:unhideWhenUsed/>
    <w:rsid w:val="00171048"/>
    <w:rPr>
      <w:color w:val="0000FF" w:themeColor="hyperlink"/>
      <w:u w:val="single"/>
    </w:rPr>
  </w:style>
  <w:style w:type="character" w:customStyle="1" w:styleId="20">
    <w:name w:val="Заголовок 2 Знак"/>
    <w:basedOn w:val="a0"/>
    <w:link w:val="2"/>
    <w:uiPriority w:val="9"/>
    <w:semiHidden/>
    <w:rsid w:val="00171048"/>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171048"/>
    <w:pPr>
      <w:spacing w:after="100"/>
      <w:ind w:left="220"/>
    </w:pPr>
  </w:style>
</w:styles>
</file>

<file path=word/webSettings.xml><?xml version="1.0" encoding="utf-8"?>
<w:webSettings xmlns:r="http://schemas.openxmlformats.org/officeDocument/2006/relationships" xmlns:w="http://schemas.openxmlformats.org/wordprocessingml/2006/main">
  <w:divs>
    <w:div w:id="143740940">
      <w:bodyDiv w:val="1"/>
      <w:marLeft w:val="0"/>
      <w:marRight w:val="0"/>
      <w:marTop w:val="0"/>
      <w:marBottom w:val="0"/>
      <w:divBdr>
        <w:top w:val="none" w:sz="0" w:space="0" w:color="auto"/>
        <w:left w:val="none" w:sz="0" w:space="0" w:color="auto"/>
        <w:bottom w:val="none" w:sz="0" w:space="0" w:color="auto"/>
        <w:right w:val="none" w:sz="0" w:space="0" w:color="auto"/>
      </w:divBdr>
    </w:div>
    <w:div w:id="20819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eurodrg.eu" TargetMode="External"/><Relationship Id="rId3" Type="http://schemas.openxmlformats.org/officeDocument/2006/relationships/styles" Target="styles.xml"/><Relationship Id="rId21" Type="http://schemas.openxmlformats.org/officeDocument/2006/relationships/hyperlink" Target="http://works.bepress.com/timothy_martin/5"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who.int" TargetMode="External"/><Relationship Id="rId2" Type="http://schemas.openxmlformats.org/officeDocument/2006/relationships/numbering" Target="numbering.xml"/><Relationship Id="rId16" Type="http://schemas.openxmlformats.org/officeDocument/2006/relationships/hyperlink" Target="http://www.worldbank.org" TargetMode="External"/><Relationship Id="rId20" Type="http://schemas.openxmlformats.org/officeDocument/2006/relationships/hyperlink" Target="http://www.mig.tu-berli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1087;&#1088;&#1077;&#1079;&#1080;&#1076;&#1077;&#1085;&#1090;.&#1088;&#1092;/&#1085;&#1086;&#1074;&#1086;&#1089;&#1090;&#1080;/1803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vgenia\Desktop\_parts\&#1075;&#1088;&#1072;&#109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vgenia\Desktop\_parts\&#1075;&#1088;&#1072;&#10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Всего</c:v>
                </c:pt>
              </c:strCache>
            </c:strRef>
          </c:tx>
          <c:spPr>
            <a:solidFill>
              <a:srgbClr val="4F81BD"/>
            </a:solidFill>
          </c:spPr>
          <c:dLbls>
            <c:txPr>
              <a:bodyPr/>
              <a:lstStyle/>
              <a:p>
                <a:pPr>
                  <a:defRPr sz="800">
                    <a:latin typeface="Times New Roman" pitchFamily="18" charset="0"/>
                    <a:cs typeface="Times New Roman" pitchFamily="18" charset="0"/>
                  </a:defRPr>
                </a:pPr>
                <a:endParaRPr lang="ru-RU"/>
              </a:p>
            </c:txPr>
            <c:showVal val="1"/>
          </c:dLbls>
          <c:cat>
            <c:strRef>
              <c:f>Лист1!$A$2:$A$10</c:f>
              <c:strCache>
                <c:ptCount val="9"/>
                <c:pt idx="0">
                  <c:v>2001 г.</c:v>
                </c:pt>
                <c:pt idx="1">
                  <c:v>2002 г.</c:v>
                </c:pt>
                <c:pt idx="2">
                  <c:v>2003 г.</c:v>
                </c:pt>
                <c:pt idx="3">
                  <c:v>2004 г.</c:v>
                </c:pt>
                <c:pt idx="4">
                  <c:v>2005 г.</c:v>
                </c:pt>
                <c:pt idx="5">
                  <c:v>2006 г.</c:v>
                </c:pt>
                <c:pt idx="6">
                  <c:v>2007 г.</c:v>
                </c:pt>
                <c:pt idx="7">
                  <c:v>2008 г.</c:v>
                </c:pt>
                <c:pt idx="8">
                  <c:v>2009 г.</c:v>
                </c:pt>
              </c:strCache>
            </c:strRef>
          </c:cat>
          <c:val>
            <c:numRef>
              <c:f>Лист1!$B$2:$B$10</c:f>
              <c:numCache>
                <c:formatCode>0</c:formatCode>
                <c:ptCount val="9"/>
                <c:pt idx="0">
                  <c:v>238.4</c:v>
                </c:pt>
                <c:pt idx="1">
                  <c:v>311</c:v>
                </c:pt>
                <c:pt idx="2">
                  <c:v>355.6</c:v>
                </c:pt>
                <c:pt idx="3">
                  <c:v>435.2</c:v>
                </c:pt>
                <c:pt idx="4">
                  <c:v>559.5</c:v>
                </c:pt>
                <c:pt idx="5">
                  <c:v>690.7</c:v>
                </c:pt>
                <c:pt idx="6">
                  <c:v>897.3</c:v>
                </c:pt>
                <c:pt idx="7">
                  <c:v>1185.0999999999999</c:v>
                </c:pt>
                <c:pt idx="8">
                  <c:v>1378.6</c:v>
                </c:pt>
              </c:numCache>
            </c:numRef>
          </c:val>
        </c:ser>
        <c:ser>
          <c:idx val="1"/>
          <c:order val="1"/>
          <c:tx>
            <c:strRef>
              <c:f>Лист1!$C$1</c:f>
              <c:strCache>
                <c:ptCount val="1"/>
                <c:pt idx="0">
                  <c:v>Средства консолированных бюджетов РФ</c:v>
                </c:pt>
              </c:strCache>
            </c:strRef>
          </c:tx>
          <c:dLbls>
            <c:dLbl>
              <c:idx val="0"/>
              <c:layout>
                <c:manualLayout>
                  <c:x val="5.3333333333334121E-3"/>
                  <c:y val="0"/>
                </c:manualLayout>
              </c:layout>
              <c:showVal val="1"/>
            </c:dLbl>
            <c:dLbl>
              <c:idx val="1"/>
              <c:layout>
                <c:manualLayout>
                  <c:x val="8.888888888889019E-3"/>
                  <c:y val="3.5938914033551692E-3"/>
                </c:manualLayout>
              </c:layout>
              <c:showVal val="1"/>
            </c:dLbl>
            <c:dLbl>
              <c:idx val="2"/>
              <c:layout>
                <c:manualLayout>
                  <c:x val="1.0647088096857467E-2"/>
                  <c:y val="0"/>
                </c:manualLayout>
              </c:layout>
              <c:showVal val="1"/>
            </c:dLbl>
            <c:dLbl>
              <c:idx val="3"/>
              <c:layout>
                <c:manualLayout>
                  <c:x val="1.1721521805907348E-2"/>
                  <c:y val="7.1877639158025933E-3"/>
                </c:manualLayout>
              </c:layout>
              <c:showVal val="1"/>
            </c:dLbl>
            <c:dLbl>
              <c:idx val="4"/>
              <c:layout>
                <c:manualLayout>
                  <c:x val="1.1721521805907348E-2"/>
                  <c:y val="-7.1880174524485904E-3"/>
                </c:manualLayout>
              </c:layout>
              <c:showVal val="1"/>
            </c:dLbl>
            <c:dLbl>
              <c:idx val="5"/>
              <c:layout>
                <c:manualLayout>
                  <c:x val="5.3333333333334121E-3"/>
                  <c:y val="0"/>
                </c:manualLayout>
              </c:layout>
              <c:showVal val="1"/>
            </c:dLbl>
            <c:dLbl>
              <c:idx val="6"/>
              <c:layout>
                <c:manualLayout>
                  <c:x val="1.1721521805907348E-2"/>
                  <c:y val="0"/>
                </c:manualLayout>
              </c:layout>
              <c:showVal val="1"/>
            </c:dLbl>
            <c:dLbl>
              <c:idx val="7"/>
              <c:layout>
                <c:manualLayout>
                  <c:x val="8.888888888889019E-3"/>
                  <c:y val="3.5938914033551692E-3"/>
                </c:manualLayout>
              </c:layout>
              <c:showVal val="1"/>
            </c:dLbl>
            <c:dLbl>
              <c:idx val="8"/>
              <c:layout>
                <c:manualLayout>
                  <c:x val="5.333268947792783E-3"/>
                  <c:y val="-1.2879661619850772E-2"/>
                </c:manualLayout>
              </c:layout>
              <c:showVal val="1"/>
            </c:dLbl>
            <c:txPr>
              <a:bodyPr/>
              <a:lstStyle/>
              <a:p>
                <a:pPr>
                  <a:defRPr sz="800">
                    <a:latin typeface="Times New Roman" pitchFamily="18" charset="0"/>
                    <a:cs typeface="Times New Roman" pitchFamily="18" charset="0"/>
                  </a:defRPr>
                </a:pPr>
                <a:endParaRPr lang="ru-RU"/>
              </a:p>
            </c:txPr>
            <c:showVal val="1"/>
          </c:dLbls>
          <c:cat>
            <c:strRef>
              <c:f>Лист1!$A$2:$A$10</c:f>
              <c:strCache>
                <c:ptCount val="9"/>
                <c:pt idx="0">
                  <c:v>2001 г.</c:v>
                </c:pt>
                <c:pt idx="1">
                  <c:v>2002 г.</c:v>
                </c:pt>
                <c:pt idx="2">
                  <c:v>2003 г.</c:v>
                </c:pt>
                <c:pt idx="3">
                  <c:v>2004 г.</c:v>
                </c:pt>
                <c:pt idx="4">
                  <c:v>2005 г.</c:v>
                </c:pt>
                <c:pt idx="5">
                  <c:v>2006 г.</c:v>
                </c:pt>
                <c:pt idx="6">
                  <c:v>2007 г.</c:v>
                </c:pt>
                <c:pt idx="7">
                  <c:v>2008 г.</c:v>
                </c:pt>
                <c:pt idx="8">
                  <c:v>2009 г.</c:v>
                </c:pt>
              </c:strCache>
            </c:strRef>
          </c:cat>
          <c:val>
            <c:numRef>
              <c:f>Лист1!$C$2:$C$10</c:f>
              <c:numCache>
                <c:formatCode>0</c:formatCode>
                <c:ptCount val="9"/>
                <c:pt idx="0">
                  <c:v>130.1</c:v>
                </c:pt>
                <c:pt idx="1">
                  <c:v>162.30000000000001</c:v>
                </c:pt>
                <c:pt idx="2">
                  <c:v>178.4</c:v>
                </c:pt>
                <c:pt idx="3">
                  <c:v>217.3</c:v>
                </c:pt>
                <c:pt idx="4">
                  <c:v>253</c:v>
                </c:pt>
                <c:pt idx="5">
                  <c:v>317.2</c:v>
                </c:pt>
                <c:pt idx="6">
                  <c:v>406.6</c:v>
                </c:pt>
                <c:pt idx="7">
                  <c:v>483.7</c:v>
                </c:pt>
                <c:pt idx="8">
                  <c:v>481.6</c:v>
                </c:pt>
              </c:numCache>
            </c:numRef>
          </c:val>
        </c:ser>
        <c:ser>
          <c:idx val="2"/>
          <c:order val="2"/>
          <c:tx>
            <c:strRef>
              <c:f>Лист1!$D$1</c:f>
              <c:strCache>
                <c:ptCount val="1"/>
                <c:pt idx="0">
                  <c:v>Средства обязательного медицинского страхования</c:v>
                </c:pt>
              </c:strCache>
            </c:strRef>
          </c:tx>
          <c:dLbls>
            <c:dLbl>
              <c:idx val="0"/>
              <c:layout>
                <c:manualLayout>
                  <c:x val="1.0666666666666661E-2"/>
                  <c:y val="1.4375565613420762E-2"/>
                </c:manualLayout>
              </c:layout>
              <c:showVal val="1"/>
            </c:dLbl>
            <c:dLbl>
              <c:idx val="1"/>
              <c:layout>
                <c:manualLayout>
                  <c:x val="1.0666666666666734E-2"/>
                  <c:y val="1.0781674210065727E-2"/>
                </c:manualLayout>
              </c:layout>
              <c:showVal val="1"/>
            </c:dLbl>
            <c:dLbl>
              <c:idx val="2"/>
              <c:layout>
                <c:manualLayout>
                  <c:x val="1.7406563837592922E-2"/>
                  <c:y val="1.3253628172789279E-2"/>
                </c:manualLayout>
              </c:layout>
              <c:showVal val="1"/>
            </c:dLbl>
            <c:dLbl>
              <c:idx val="3"/>
              <c:layout>
                <c:manualLayout>
                  <c:x val="2.7702046521236052E-2"/>
                  <c:y val="1.7221476683629239E-2"/>
                </c:manualLayout>
              </c:layout>
              <c:showVal val="1"/>
            </c:dLbl>
            <c:dLbl>
              <c:idx val="4"/>
              <c:layout>
                <c:manualLayout>
                  <c:x val="1.244444444444438E-2"/>
                  <c:y val="1.0781674210065727E-2"/>
                </c:manualLayout>
              </c:layout>
              <c:showVal val="1"/>
            </c:dLbl>
            <c:dLbl>
              <c:idx val="5"/>
              <c:layout>
                <c:manualLayout>
                  <c:x val="8.888888888889019E-3"/>
                  <c:y val="3.5938914033551692E-3"/>
                </c:manualLayout>
              </c:layout>
              <c:showVal val="1"/>
            </c:dLbl>
            <c:dLbl>
              <c:idx val="6"/>
              <c:layout>
                <c:manualLayout>
                  <c:x val="1.0666666666666734E-2"/>
                  <c:y val="7.1877828067103975E-3"/>
                </c:manualLayout>
              </c:layout>
              <c:showVal val="1"/>
            </c:dLbl>
            <c:dLbl>
              <c:idx val="7"/>
              <c:layout>
                <c:manualLayout>
                  <c:x val="1.0666666666666734E-2"/>
                  <c:y val="1.4375565613420698E-2"/>
                </c:manualLayout>
              </c:layout>
              <c:showVal val="1"/>
            </c:dLbl>
            <c:dLbl>
              <c:idx val="8"/>
              <c:layout>
                <c:manualLayout>
                  <c:x val="2.0258809752799801E-2"/>
                  <c:y val="1.7221476683629239E-2"/>
                </c:manualLayout>
              </c:layout>
              <c:showVal val="1"/>
            </c:dLbl>
            <c:txPr>
              <a:bodyPr/>
              <a:lstStyle/>
              <a:p>
                <a:pPr>
                  <a:defRPr sz="800">
                    <a:latin typeface="Times New Roman" pitchFamily="18" charset="0"/>
                    <a:cs typeface="Times New Roman" pitchFamily="18" charset="0"/>
                  </a:defRPr>
                </a:pPr>
                <a:endParaRPr lang="ru-RU"/>
              </a:p>
            </c:txPr>
            <c:showVal val="1"/>
          </c:dLbls>
          <c:cat>
            <c:strRef>
              <c:f>Лист1!$A$2:$A$10</c:f>
              <c:strCache>
                <c:ptCount val="9"/>
                <c:pt idx="0">
                  <c:v>2001 г.</c:v>
                </c:pt>
                <c:pt idx="1">
                  <c:v>2002 г.</c:v>
                </c:pt>
                <c:pt idx="2">
                  <c:v>2003 г.</c:v>
                </c:pt>
                <c:pt idx="3">
                  <c:v>2004 г.</c:v>
                </c:pt>
                <c:pt idx="4">
                  <c:v>2005 г.</c:v>
                </c:pt>
                <c:pt idx="5">
                  <c:v>2006 г.</c:v>
                </c:pt>
                <c:pt idx="6">
                  <c:v>2007 г.</c:v>
                </c:pt>
                <c:pt idx="7">
                  <c:v>2008 г.</c:v>
                </c:pt>
                <c:pt idx="8">
                  <c:v>2009 г.</c:v>
                </c:pt>
              </c:strCache>
            </c:strRef>
          </c:cat>
          <c:val>
            <c:numRef>
              <c:f>Лист1!$D$2:$D$10</c:f>
              <c:numCache>
                <c:formatCode>0</c:formatCode>
                <c:ptCount val="9"/>
                <c:pt idx="0">
                  <c:v>90.3</c:v>
                </c:pt>
                <c:pt idx="1">
                  <c:v>123.9</c:v>
                </c:pt>
                <c:pt idx="2">
                  <c:v>149.30000000000001</c:v>
                </c:pt>
                <c:pt idx="3">
                  <c:v>186.4</c:v>
                </c:pt>
                <c:pt idx="4">
                  <c:v>217.2</c:v>
                </c:pt>
                <c:pt idx="5">
                  <c:v>256.10000000000002</c:v>
                </c:pt>
                <c:pt idx="6">
                  <c:v>328.2</c:v>
                </c:pt>
                <c:pt idx="7">
                  <c:v>412.8</c:v>
                </c:pt>
                <c:pt idx="8">
                  <c:v>505.4</c:v>
                </c:pt>
              </c:numCache>
            </c:numRef>
          </c:val>
        </c:ser>
        <c:ser>
          <c:idx val="3"/>
          <c:order val="3"/>
          <c:tx>
            <c:strRef>
              <c:f>Лист1!$E$1</c:f>
              <c:strCache>
                <c:ptCount val="1"/>
                <c:pt idx="0">
                  <c:v>Средства Федерального бюджета</c:v>
                </c:pt>
              </c:strCache>
            </c:strRef>
          </c:tx>
          <c:dLbls>
            <c:dLbl>
              <c:idx val="0"/>
              <c:layout>
                <c:manualLayout>
                  <c:x val="5.3333333333334208E-3"/>
                  <c:y val="1.4375565613420762E-2"/>
                </c:manualLayout>
              </c:layout>
              <c:showVal val="1"/>
            </c:dLbl>
            <c:dLbl>
              <c:idx val="1"/>
              <c:layout>
                <c:manualLayout>
                  <c:x val="5.3333333333334121E-3"/>
                  <c:y val="7.1877828067103333E-3"/>
                </c:manualLayout>
              </c:layout>
              <c:showVal val="1"/>
            </c:dLbl>
            <c:dLbl>
              <c:idx val="2"/>
              <c:layout>
                <c:manualLayout>
                  <c:x val="5.3333333333334121E-3"/>
                  <c:y val="1.0781674210065727E-2"/>
                </c:manualLayout>
              </c:layout>
              <c:showVal val="1"/>
            </c:dLbl>
            <c:dLbl>
              <c:idx val="4"/>
              <c:layout>
                <c:manualLayout>
                  <c:x val="5.3333333333334121E-3"/>
                  <c:y val="3.5938914033551692E-3"/>
                </c:manualLayout>
              </c:layout>
              <c:showVal val="1"/>
            </c:dLbl>
            <c:dLbl>
              <c:idx val="5"/>
              <c:layout>
                <c:manualLayout>
                  <c:x val="7.111111111111173E-3"/>
                  <c:y val="1.0781674210065727E-2"/>
                </c:manualLayout>
              </c:layout>
              <c:showVal val="1"/>
            </c:dLbl>
            <c:dLbl>
              <c:idx val="6"/>
              <c:layout>
                <c:manualLayout>
                  <c:x val="1.0666666666666734E-2"/>
                  <c:y val="1.0781674210065727E-2"/>
                </c:manualLayout>
              </c:layout>
              <c:showVal val="1"/>
            </c:dLbl>
            <c:dLbl>
              <c:idx val="7"/>
              <c:layout>
                <c:manualLayout>
                  <c:x val="8.888888888889019E-3"/>
                  <c:y val="3.5938914033551159E-3"/>
                </c:manualLayout>
              </c:layout>
              <c:showVal val="1"/>
            </c:dLbl>
            <c:dLbl>
              <c:idx val="8"/>
              <c:layout>
                <c:manualLayout>
                  <c:x val="1.0666666666666803E-2"/>
                  <c:y val="1.0781674210065727E-2"/>
                </c:manualLayout>
              </c:layout>
              <c:showVal val="1"/>
            </c:dLbl>
            <c:txPr>
              <a:bodyPr/>
              <a:lstStyle/>
              <a:p>
                <a:pPr>
                  <a:defRPr sz="800">
                    <a:latin typeface="Times New Roman" pitchFamily="18" charset="0"/>
                    <a:cs typeface="Times New Roman" pitchFamily="18" charset="0"/>
                  </a:defRPr>
                </a:pPr>
                <a:endParaRPr lang="ru-RU"/>
              </a:p>
            </c:txPr>
            <c:showVal val="1"/>
          </c:dLbls>
          <c:cat>
            <c:strRef>
              <c:f>Лист1!$A$2:$A$10</c:f>
              <c:strCache>
                <c:ptCount val="9"/>
                <c:pt idx="0">
                  <c:v>2001 г.</c:v>
                </c:pt>
                <c:pt idx="1">
                  <c:v>2002 г.</c:v>
                </c:pt>
                <c:pt idx="2">
                  <c:v>2003 г.</c:v>
                </c:pt>
                <c:pt idx="3">
                  <c:v>2004 г.</c:v>
                </c:pt>
                <c:pt idx="4">
                  <c:v>2005 г.</c:v>
                </c:pt>
                <c:pt idx="5">
                  <c:v>2006 г.</c:v>
                </c:pt>
                <c:pt idx="6">
                  <c:v>2007 г.</c:v>
                </c:pt>
                <c:pt idx="7">
                  <c:v>2008 г.</c:v>
                </c:pt>
                <c:pt idx="8">
                  <c:v>2009 г.</c:v>
                </c:pt>
              </c:strCache>
            </c:strRef>
          </c:cat>
          <c:val>
            <c:numRef>
              <c:f>Лист1!$E$2:$E$10</c:f>
              <c:numCache>
                <c:formatCode>0</c:formatCode>
                <c:ptCount val="9"/>
                <c:pt idx="0">
                  <c:v>18</c:v>
                </c:pt>
                <c:pt idx="1">
                  <c:v>24.8</c:v>
                </c:pt>
                <c:pt idx="2">
                  <c:v>27.9</c:v>
                </c:pt>
                <c:pt idx="3">
                  <c:v>31.5</c:v>
                </c:pt>
                <c:pt idx="4">
                  <c:v>89.3</c:v>
                </c:pt>
                <c:pt idx="5">
                  <c:v>117.4</c:v>
                </c:pt>
                <c:pt idx="6">
                  <c:v>162.5</c:v>
                </c:pt>
                <c:pt idx="7">
                  <c:v>288.60000000000002</c:v>
                </c:pt>
                <c:pt idx="8">
                  <c:v>391.6</c:v>
                </c:pt>
              </c:numCache>
            </c:numRef>
          </c:val>
        </c:ser>
        <c:axId val="50825472"/>
        <c:axId val="50839552"/>
      </c:barChart>
      <c:catAx>
        <c:axId val="50825472"/>
        <c:scaling>
          <c:orientation val="minMax"/>
        </c:scaling>
        <c:axPos val="b"/>
        <c:tickLblPos val="nextTo"/>
        <c:txPr>
          <a:bodyPr/>
          <a:lstStyle/>
          <a:p>
            <a:pPr>
              <a:defRPr baseline="0">
                <a:latin typeface="Times New Roman" pitchFamily="18" charset="0"/>
              </a:defRPr>
            </a:pPr>
            <a:endParaRPr lang="ru-RU"/>
          </a:p>
        </c:txPr>
        <c:crossAx val="50839552"/>
        <c:crosses val="autoZero"/>
        <c:auto val="1"/>
        <c:lblAlgn val="ctr"/>
        <c:lblOffset val="100"/>
      </c:catAx>
      <c:valAx>
        <c:axId val="50839552"/>
        <c:scaling>
          <c:orientation val="minMax"/>
          <c:max val="1500"/>
        </c:scaling>
        <c:axPos val="l"/>
        <c:majorGridlines/>
        <c:numFmt formatCode="0" sourceLinked="1"/>
        <c:tickLblPos val="nextTo"/>
        <c:txPr>
          <a:bodyPr/>
          <a:lstStyle/>
          <a:p>
            <a:pPr>
              <a:defRPr baseline="0">
                <a:latin typeface="Times New Roman" pitchFamily="18" charset="0"/>
              </a:defRPr>
            </a:pPr>
            <a:endParaRPr lang="ru-RU"/>
          </a:p>
        </c:txPr>
        <c:crossAx val="50825472"/>
        <c:crosses val="autoZero"/>
        <c:crossBetween val="between"/>
        <c:majorUnit val="300"/>
      </c:valAx>
    </c:plotArea>
    <c:legend>
      <c:legendPos val="b"/>
      <c:layout>
        <c:manualLayout>
          <c:xMode val="edge"/>
          <c:yMode val="edge"/>
          <c:x val="1.2776505716228896E-2"/>
          <c:y val="0.75146157538037472"/>
          <c:w val="0.98722349428377165"/>
          <c:h val="0.13584239959251729"/>
        </c:manualLayout>
      </c:layout>
      <c:txPr>
        <a:bodyPr/>
        <a:lstStyle/>
        <a:p>
          <a:pPr>
            <a:defRPr baseline="0">
              <a:latin typeface="Times New Roman" pitchFamily="18" charset="0"/>
            </a:defRPr>
          </a:pPr>
          <a:endParaRPr lang="ru-RU"/>
        </a:p>
      </c:txPr>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27608711073278"/>
          <c:y val="4.3411611671708192E-2"/>
          <c:w val="0.87246435411789769"/>
          <c:h val="0.60753037785968045"/>
        </c:manualLayout>
      </c:layout>
      <c:barChart>
        <c:barDir val="col"/>
        <c:grouping val="clustered"/>
        <c:ser>
          <c:idx val="0"/>
          <c:order val="0"/>
          <c:tx>
            <c:strRef>
              <c:f>Лист2!$B$1</c:f>
              <c:strCache>
                <c:ptCount val="1"/>
                <c:pt idx="0">
                  <c:v>За счет бюджетов субъектов РФ</c:v>
                </c:pt>
              </c:strCache>
            </c:strRef>
          </c:tx>
          <c:dLbls>
            <c:dLbl>
              <c:idx val="3"/>
              <c:layout>
                <c:manualLayout>
                  <c:x val="0"/>
                  <c:y val="1.2618296529968416E-2"/>
                </c:manualLayout>
              </c:layout>
              <c:showVal val="1"/>
            </c:dLbl>
            <c:txPr>
              <a:bodyPr/>
              <a:lstStyle/>
              <a:p>
                <a:pPr>
                  <a:defRPr sz="800">
                    <a:latin typeface="Times New Roman" pitchFamily="18" charset="0"/>
                    <a:cs typeface="Times New Roman" pitchFamily="18" charset="0"/>
                  </a:defRPr>
                </a:pPr>
                <a:endParaRPr lang="ru-RU"/>
              </a:p>
            </c:txPr>
            <c:showVal val="1"/>
          </c:dLbls>
          <c:cat>
            <c:strRef>
              <c:f>Лист2!$A$2:$A$8</c:f>
              <c:strCache>
                <c:ptCount val="7"/>
                <c:pt idx="0">
                  <c:v>2003 г.</c:v>
                </c:pt>
                <c:pt idx="1">
                  <c:v>2004 г.</c:v>
                </c:pt>
                <c:pt idx="2">
                  <c:v>2005 г.</c:v>
                </c:pt>
                <c:pt idx="3">
                  <c:v>2006 г.</c:v>
                </c:pt>
                <c:pt idx="4">
                  <c:v>2007 г.</c:v>
                </c:pt>
                <c:pt idx="5">
                  <c:v>2008 г.</c:v>
                </c:pt>
                <c:pt idx="6">
                  <c:v>2009 г.</c:v>
                </c:pt>
              </c:strCache>
            </c:strRef>
          </c:cat>
          <c:val>
            <c:numRef>
              <c:f>Лист2!$B$2:$B$8</c:f>
              <c:numCache>
                <c:formatCode>0</c:formatCode>
                <c:ptCount val="7"/>
                <c:pt idx="0">
                  <c:v>10708.7</c:v>
                </c:pt>
                <c:pt idx="1">
                  <c:v>16885.8</c:v>
                </c:pt>
                <c:pt idx="2">
                  <c:v>18583.3</c:v>
                </c:pt>
                <c:pt idx="3">
                  <c:v>16698.2</c:v>
                </c:pt>
                <c:pt idx="4">
                  <c:v>32111.1</c:v>
                </c:pt>
                <c:pt idx="5">
                  <c:v>39341.300000000003</c:v>
                </c:pt>
                <c:pt idx="6">
                  <c:v>44291.199999999997</c:v>
                </c:pt>
              </c:numCache>
            </c:numRef>
          </c:val>
        </c:ser>
        <c:ser>
          <c:idx val="1"/>
          <c:order val="1"/>
          <c:tx>
            <c:strRef>
              <c:f>Лист2!$C$1</c:f>
              <c:strCache>
                <c:ptCount val="1"/>
                <c:pt idx="0">
                  <c:v>За счет муниципального бюджета</c:v>
                </c:pt>
              </c:strCache>
            </c:strRef>
          </c:tx>
          <c:dLbls>
            <c:dLbl>
              <c:idx val="0"/>
              <c:layout>
                <c:manualLayout>
                  <c:x val="3.6036036036036036E-2"/>
                  <c:y val="2.1030494216614092E-2"/>
                </c:manualLayout>
              </c:layout>
              <c:showVal val="1"/>
            </c:dLbl>
            <c:dLbl>
              <c:idx val="1"/>
              <c:layout>
                <c:manualLayout>
                  <c:x val="-1.1261261261261382E-2"/>
                  <c:y val="0"/>
                </c:manualLayout>
              </c:layout>
              <c:showVal val="1"/>
            </c:dLbl>
            <c:dLbl>
              <c:idx val="2"/>
              <c:layout>
                <c:manualLayout>
                  <c:x val="1.3513513513513521E-2"/>
                  <c:y val="0"/>
                </c:manualLayout>
              </c:layout>
              <c:showVal val="1"/>
            </c:dLbl>
            <c:dLbl>
              <c:idx val="3"/>
              <c:layout>
                <c:manualLayout>
                  <c:x val="1.3513513513513521E-2"/>
                  <c:y val="8.4121976866457417E-3"/>
                </c:manualLayout>
              </c:layout>
              <c:showVal val="1"/>
            </c:dLbl>
            <c:dLbl>
              <c:idx val="4"/>
              <c:layout>
                <c:manualLayout>
                  <c:x val="1.3513513513513521E-2"/>
                  <c:y val="0"/>
                </c:manualLayout>
              </c:layout>
              <c:showVal val="1"/>
            </c:dLbl>
            <c:dLbl>
              <c:idx val="5"/>
              <c:layout>
                <c:manualLayout>
                  <c:x val="1.1261261261261382E-2"/>
                  <c:y val="4.2060988433228778E-3"/>
                </c:manualLayout>
              </c:layout>
              <c:showVal val="1"/>
            </c:dLbl>
            <c:dLbl>
              <c:idx val="6"/>
              <c:layout>
                <c:manualLayout>
                  <c:x val="2.0270270270270608E-2"/>
                  <c:y val="-8.4121976866457417E-3"/>
                </c:manualLayout>
              </c:layout>
              <c:showVal val="1"/>
            </c:dLbl>
            <c:txPr>
              <a:bodyPr/>
              <a:lstStyle/>
              <a:p>
                <a:pPr>
                  <a:defRPr sz="800">
                    <a:latin typeface="Times New Roman" pitchFamily="18" charset="0"/>
                    <a:cs typeface="Times New Roman" pitchFamily="18" charset="0"/>
                  </a:defRPr>
                </a:pPr>
                <a:endParaRPr lang="ru-RU"/>
              </a:p>
            </c:txPr>
            <c:showVal val="1"/>
          </c:dLbls>
          <c:cat>
            <c:strRef>
              <c:f>Лист2!$A$2:$A$8</c:f>
              <c:strCache>
                <c:ptCount val="7"/>
                <c:pt idx="0">
                  <c:v>2003 г.</c:v>
                </c:pt>
                <c:pt idx="1">
                  <c:v>2004 г.</c:v>
                </c:pt>
                <c:pt idx="2">
                  <c:v>2005 г.</c:v>
                </c:pt>
                <c:pt idx="3">
                  <c:v>2006 г.</c:v>
                </c:pt>
                <c:pt idx="4">
                  <c:v>2007 г.</c:v>
                </c:pt>
                <c:pt idx="5">
                  <c:v>2008 г.</c:v>
                </c:pt>
                <c:pt idx="6">
                  <c:v>2009 г.</c:v>
                </c:pt>
              </c:strCache>
            </c:strRef>
          </c:cat>
          <c:val>
            <c:numRef>
              <c:f>Лист2!$C$2:$C$8</c:f>
              <c:numCache>
                <c:formatCode>0</c:formatCode>
                <c:ptCount val="7"/>
                <c:pt idx="0">
                  <c:v>11942.2</c:v>
                </c:pt>
                <c:pt idx="1">
                  <c:v>3564.5</c:v>
                </c:pt>
                <c:pt idx="2">
                  <c:v>8105.3</c:v>
                </c:pt>
                <c:pt idx="3">
                  <c:v>10007.1</c:v>
                </c:pt>
                <c:pt idx="4">
                  <c:v>11767.4</c:v>
                </c:pt>
                <c:pt idx="5">
                  <c:v>14440.8</c:v>
                </c:pt>
                <c:pt idx="6">
                  <c:v>14788.6</c:v>
                </c:pt>
              </c:numCache>
            </c:numRef>
          </c:val>
        </c:ser>
        <c:ser>
          <c:idx val="2"/>
          <c:order val="2"/>
          <c:tx>
            <c:strRef>
              <c:f>Лист2!$D$1</c:f>
              <c:strCache>
                <c:ptCount val="1"/>
                <c:pt idx="0">
                  <c:v>В рамках территориальной программы ОМС</c:v>
                </c:pt>
              </c:strCache>
            </c:strRef>
          </c:tx>
          <c:dLbls>
            <c:dLbl>
              <c:idx val="0"/>
              <c:layout>
                <c:manualLayout>
                  <c:x val="1.5765765765765934E-2"/>
                  <c:y val="1.6824395373291195E-2"/>
                </c:manualLayout>
              </c:layout>
              <c:showVal val="1"/>
            </c:dLbl>
            <c:dLbl>
              <c:idx val="1"/>
              <c:layout>
                <c:manualLayout>
                  <c:x val="2.0270270270270608E-2"/>
                  <c:y val="1.2618296529968378E-2"/>
                </c:manualLayout>
              </c:layout>
              <c:showVal val="1"/>
            </c:dLbl>
            <c:dLbl>
              <c:idx val="2"/>
              <c:layout>
                <c:manualLayout>
                  <c:x val="1.3513513513513521E-2"/>
                  <c:y val="1.2618296529968416E-2"/>
                </c:manualLayout>
              </c:layout>
              <c:showVal val="1"/>
            </c:dLbl>
            <c:dLbl>
              <c:idx val="3"/>
              <c:layout>
                <c:manualLayout>
                  <c:x val="1.5765765765765934E-2"/>
                  <c:y val="1.2618296529968416E-2"/>
                </c:manualLayout>
              </c:layout>
              <c:showVal val="1"/>
            </c:dLbl>
            <c:dLbl>
              <c:idx val="4"/>
              <c:layout>
                <c:manualLayout>
                  <c:x val="2.0270270270270608E-2"/>
                  <c:y val="8.4121976866457417E-3"/>
                </c:manualLayout>
              </c:layout>
              <c:showVal val="1"/>
            </c:dLbl>
            <c:dLbl>
              <c:idx val="5"/>
              <c:layout>
                <c:manualLayout>
                  <c:x val="2.4774774774774896E-2"/>
                  <c:y val="1.2618296529968416E-2"/>
                </c:manualLayout>
              </c:layout>
              <c:showVal val="1"/>
            </c:dLbl>
            <c:dLbl>
              <c:idx val="6"/>
              <c:layout>
                <c:manualLayout>
                  <c:x val="2.0270270270270608E-2"/>
                  <c:y val="1.2618296529968416E-2"/>
                </c:manualLayout>
              </c:layout>
              <c:showVal val="1"/>
            </c:dLbl>
            <c:txPr>
              <a:bodyPr/>
              <a:lstStyle/>
              <a:p>
                <a:pPr>
                  <a:defRPr sz="800">
                    <a:latin typeface="Times New Roman" pitchFamily="18" charset="0"/>
                    <a:cs typeface="Times New Roman" pitchFamily="18" charset="0"/>
                  </a:defRPr>
                </a:pPr>
                <a:endParaRPr lang="ru-RU"/>
              </a:p>
            </c:txPr>
            <c:showVal val="1"/>
          </c:dLbls>
          <c:cat>
            <c:strRef>
              <c:f>Лист2!$A$2:$A$8</c:f>
              <c:strCache>
                <c:ptCount val="7"/>
                <c:pt idx="0">
                  <c:v>2003 г.</c:v>
                </c:pt>
                <c:pt idx="1">
                  <c:v>2004 г.</c:v>
                </c:pt>
                <c:pt idx="2">
                  <c:v>2005 г.</c:v>
                </c:pt>
                <c:pt idx="3">
                  <c:v>2006 г.</c:v>
                </c:pt>
                <c:pt idx="4">
                  <c:v>2007 г.</c:v>
                </c:pt>
                <c:pt idx="5">
                  <c:v>2008 г.</c:v>
                </c:pt>
                <c:pt idx="6">
                  <c:v>2009 г.</c:v>
                </c:pt>
              </c:strCache>
            </c:strRef>
          </c:cat>
          <c:val>
            <c:numRef>
              <c:f>Лист2!$D$2:$D$8</c:f>
              <c:numCache>
                <c:formatCode>0</c:formatCode>
                <c:ptCount val="7"/>
                <c:pt idx="0">
                  <c:v>5153</c:v>
                </c:pt>
                <c:pt idx="1">
                  <c:v>5446.7</c:v>
                </c:pt>
                <c:pt idx="2">
                  <c:v>6243.7</c:v>
                </c:pt>
                <c:pt idx="3">
                  <c:v>7871.4</c:v>
                </c:pt>
                <c:pt idx="4">
                  <c:v>9306.7000000000007</c:v>
                </c:pt>
                <c:pt idx="5">
                  <c:v>12198.1</c:v>
                </c:pt>
                <c:pt idx="6">
                  <c:v>13672.4</c:v>
                </c:pt>
              </c:numCache>
            </c:numRef>
          </c:val>
        </c:ser>
        <c:axId val="36091776"/>
        <c:axId val="36093312"/>
      </c:barChart>
      <c:catAx>
        <c:axId val="36091776"/>
        <c:scaling>
          <c:orientation val="minMax"/>
        </c:scaling>
        <c:axPos val="b"/>
        <c:tickLblPos val="nextTo"/>
        <c:txPr>
          <a:bodyPr/>
          <a:lstStyle/>
          <a:p>
            <a:pPr>
              <a:defRPr>
                <a:latin typeface="Times New Roman" pitchFamily="18" charset="0"/>
                <a:cs typeface="Times New Roman" pitchFamily="18" charset="0"/>
              </a:defRPr>
            </a:pPr>
            <a:endParaRPr lang="ru-RU"/>
          </a:p>
        </c:txPr>
        <c:crossAx val="36093312"/>
        <c:crosses val="autoZero"/>
        <c:auto val="1"/>
        <c:lblAlgn val="ctr"/>
        <c:lblOffset val="100"/>
      </c:catAx>
      <c:valAx>
        <c:axId val="36093312"/>
        <c:scaling>
          <c:orientation val="minMax"/>
          <c:max val="45000"/>
          <c:min val="0"/>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36091776"/>
        <c:crosses val="autoZero"/>
        <c:crossBetween val="between"/>
        <c:majorUnit val="10000"/>
      </c:valAx>
    </c:plotArea>
    <c:legend>
      <c:legendPos val="b"/>
      <c:layout>
        <c:manualLayout>
          <c:xMode val="edge"/>
          <c:yMode val="edge"/>
          <c:x val="3.4752843394575676E-2"/>
          <c:y val="0.7427895288627695"/>
          <c:w val="0.96524721571965666"/>
          <c:h val="0.12229248687664145"/>
        </c:manualLayout>
      </c:layout>
      <c:txPr>
        <a:bodyPr/>
        <a:lstStyle/>
        <a:p>
          <a:pPr>
            <a:defRPr>
              <a:latin typeface="Times New Roman" pitchFamily="18" charset="0"/>
              <a:cs typeface="Times New Roman" pitchFamily="18" charset="0"/>
            </a:defRPr>
          </a:pPr>
          <a:endParaRPr lang="ru-RU"/>
        </a:p>
      </c:txPr>
    </c:legend>
    <c:plotVisOnly val="1"/>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0.92087</cdr:y>
    </cdr:from>
    <cdr:to>
      <cdr:x>0.99921</cdr:x>
      <cdr:y>0.99928</cdr:y>
    </cdr:to>
    <cdr:sp macro="" textlink="">
      <cdr:nvSpPr>
        <cdr:cNvPr id="2" name="TextBox 1"/>
        <cdr:cNvSpPr txBox="1"/>
      </cdr:nvSpPr>
      <cdr:spPr>
        <a:xfrm xmlns:a="http://schemas.openxmlformats.org/drawingml/2006/main">
          <a:off x="0" y="3507474"/>
          <a:ext cx="5754900" cy="29866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latin typeface="Times New Roman" pitchFamily="18" charset="0"/>
              <a:cs typeface="Times New Roman" pitchFamily="18" charset="0"/>
            </a:rPr>
            <a:t>Рисунок</a:t>
          </a:r>
          <a:r>
            <a:rPr lang="ru-RU" sz="1100" b="1" baseline="0">
              <a:latin typeface="Times New Roman" pitchFamily="18" charset="0"/>
              <a:cs typeface="Times New Roman" pitchFamily="18" charset="0"/>
            </a:rPr>
            <a:t> 4</a:t>
          </a:r>
          <a:r>
            <a:rPr lang="ru-RU" sz="1100" b="1">
              <a:latin typeface="Times New Roman" pitchFamily="18" charset="0"/>
              <a:cs typeface="Times New Roman" pitchFamily="18" charset="0"/>
            </a:rPr>
            <a:t>. </a:t>
          </a:r>
          <a:r>
            <a:rPr lang="ru-RU" sz="1100" b="1">
              <a:latin typeface="Times New Roman" pitchFamily="18" charset="0"/>
              <a:ea typeface="+mn-ea"/>
              <a:cs typeface="Times New Roman" pitchFamily="18" charset="0"/>
            </a:rPr>
            <a:t>Финансирование Программы государственных гарантий (источник -- </a:t>
          </a:r>
          <a:r>
            <a:rPr lang="en-US" sz="1100" b="1">
              <a:latin typeface="Times New Roman" pitchFamily="18" charset="0"/>
              <a:ea typeface="+mn-ea"/>
              <a:cs typeface="Times New Roman" pitchFamily="18" charset="0"/>
            </a:rPr>
            <a:t>[3]</a:t>
          </a:r>
          <a:r>
            <a:rPr lang="ru-RU" sz="1100" b="1">
              <a:latin typeface="Times New Roman" pitchFamily="18" charset="0"/>
              <a:ea typeface="+mn-ea"/>
              <a:cs typeface="Times New Roman" pitchFamily="18" charset="0"/>
            </a:rPr>
            <a:t>).</a:t>
          </a:r>
          <a:r>
            <a:rPr lang="ru-RU" sz="1100" b="1">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0.0371</cdr:x>
      <cdr:y>0.90162</cdr:y>
    </cdr:from>
    <cdr:to>
      <cdr:x>0.9566</cdr:x>
      <cdr:y>0.97561</cdr:y>
    </cdr:to>
    <cdr:sp macro="" textlink="">
      <cdr:nvSpPr>
        <cdr:cNvPr id="2" name="TextBox 1"/>
        <cdr:cNvSpPr txBox="1"/>
      </cdr:nvSpPr>
      <cdr:spPr>
        <a:xfrm xmlns:a="http://schemas.openxmlformats.org/drawingml/2006/main">
          <a:off x="220497" y="3496752"/>
          <a:ext cx="5465175" cy="28697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latin typeface="Times New Roman" pitchFamily="18" charset="0"/>
              <a:cs typeface="Times New Roman" pitchFamily="18" charset="0"/>
            </a:rPr>
            <a:t>Рисунок 6. Р</a:t>
          </a:r>
          <a:r>
            <a:rPr lang="ru-RU" sz="1100" b="1">
              <a:latin typeface="Times New Roman" pitchFamily="18" charset="0"/>
              <a:ea typeface="+mn-ea"/>
              <a:cs typeface="Times New Roman" pitchFamily="18" charset="0"/>
            </a:rPr>
            <a:t>асходы на оплату стационарной медицинской помощи (источник – [3])</a:t>
          </a:r>
          <a:endParaRPr lang="ru-RU" sz="11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1083-6A5E-4156-B0C2-770EF669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61</Pages>
  <Words>12378</Words>
  <Characters>70559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evgenia</dc:creator>
  <cp:lastModifiedBy>esemakova</cp:lastModifiedBy>
  <cp:revision>78</cp:revision>
  <cp:lastPrinted>2013-05-27T06:58:00Z</cp:lastPrinted>
  <dcterms:created xsi:type="dcterms:W3CDTF">2013-05-25T14:49:00Z</dcterms:created>
  <dcterms:modified xsi:type="dcterms:W3CDTF">2013-05-27T07:27:00Z</dcterms:modified>
</cp:coreProperties>
</file>