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83" w:rsidRDefault="00CE4583" w:rsidP="00CE4583">
      <w:pPr>
        <w:jc w:val="center"/>
        <w:rPr>
          <w:rFonts w:ascii="Times New Roman" w:hAnsi="Times New Roman" w:cs="Times New Roman"/>
          <w:b/>
          <w:sz w:val="28"/>
          <w:szCs w:val="28"/>
        </w:rPr>
      </w:pPr>
      <w:r>
        <w:rPr>
          <w:rFonts w:ascii="Times New Roman" w:hAnsi="Times New Roman" w:cs="Times New Roman"/>
          <w:b/>
          <w:sz w:val="28"/>
          <w:szCs w:val="28"/>
        </w:rPr>
        <w:t>Правительство Российской Федерации</w:t>
      </w:r>
    </w:p>
    <w:p w:rsidR="00AA5F3D" w:rsidRPr="00CE4583" w:rsidRDefault="00CE4583" w:rsidP="00CE4583">
      <w:pPr>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автономное образовательное учреждение высшего профессионального образования</w:t>
      </w:r>
      <w:r w:rsidR="00AA5F3D" w:rsidRPr="00AA5F3D">
        <w:rPr>
          <w:rFonts w:ascii="Times New Roman" w:hAnsi="Times New Roman" w:cs="Times New Roman"/>
          <w:b/>
          <w:bCs/>
          <w:sz w:val="28"/>
          <w:szCs w:val="28"/>
        </w:rPr>
        <w:t xml:space="preserve"> </w:t>
      </w:r>
      <w:r w:rsidR="00AA5F3D" w:rsidRPr="00AA5F3D">
        <w:rPr>
          <w:rFonts w:ascii="Times New Roman" w:hAnsi="Times New Roman" w:cs="Times New Roman"/>
          <w:b/>
          <w:bCs/>
          <w:sz w:val="28"/>
          <w:szCs w:val="28"/>
        </w:rPr>
        <w:br/>
        <w:t>"Национальный исслед</w:t>
      </w:r>
      <w:r>
        <w:rPr>
          <w:rFonts w:ascii="Times New Roman" w:hAnsi="Times New Roman" w:cs="Times New Roman"/>
          <w:b/>
          <w:bCs/>
          <w:sz w:val="28"/>
          <w:szCs w:val="28"/>
        </w:rPr>
        <w:t>овательский университет – Высшая</w:t>
      </w:r>
      <w:r w:rsidR="00AA5F3D" w:rsidRPr="00AA5F3D">
        <w:rPr>
          <w:rFonts w:ascii="Times New Roman" w:hAnsi="Times New Roman" w:cs="Times New Roman"/>
          <w:b/>
          <w:bCs/>
          <w:sz w:val="28"/>
          <w:szCs w:val="28"/>
        </w:rPr>
        <w:t xml:space="preserve"> школа экономики. Санкт - Петербург"</w:t>
      </w:r>
    </w:p>
    <w:p w:rsidR="00AA5F3D" w:rsidRPr="00AA5F3D" w:rsidRDefault="00AA5F3D" w:rsidP="00AA5F3D">
      <w:pPr>
        <w:autoSpaceDE w:val="0"/>
        <w:autoSpaceDN w:val="0"/>
        <w:adjustRightInd w:val="0"/>
        <w:spacing w:line="240" w:lineRule="auto"/>
        <w:jc w:val="center"/>
        <w:rPr>
          <w:rFonts w:ascii="Times New Roman" w:hAnsi="Times New Roman" w:cs="Times New Roman"/>
          <w:sz w:val="28"/>
          <w:szCs w:val="28"/>
        </w:rPr>
      </w:pPr>
    </w:p>
    <w:p w:rsidR="00AA5F3D" w:rsidRPr="00CE4583" w:rsidRDefault="00AA5F3D" w:rsidP="00CE4583">
      <w:pPr>
        <w:autoSpaceDE w:val="0"/>
        <w:autoSpaceDN w:val="0"/>
        <w:adjustRightInd w:val="0"/>
        <w:spacing w:line="240" w:lineRule="auto"/>
        <w:rPr>
          <w:rFonts w:ascii="Times New Roman" w:hAnsi="Times New Roman" w:cs="Times New Roman"/>
          <w:sz w:val="28"/>
          <w:szCs w:val="28"/>
        </w:rPr>
      </w:pPr>
      <w:r w:rsidRPr="00CE4583">
        <w:rPr>
          <w:rFonts w:ascii="Times New Roman" w:hAnsi="Times New Roman" w:cs="Times New Roman"/>
          <w:sz w:val="28"/>
          <w:szCs w:val="28"/>
        </w:rPr>
        <w:t>Факультет экономики</w:t>
      </w:r>
    </w:p>
    <w:p w:rsidR="00AA5F3D" w:rsidRPr="00CE4583" w:rsidRDefault="00AA5F3D" w:rsidP="00CE4583">
      <w:pPr>
        <w:pStyle w:val="6"/>
        <w:rPr>
          <w:b w:val="0"/>
          <w:sz w:val="28"/>
          <w:szCs w:val="28"/>
        </w:rPr>
      </w:pPr>
      <w:r w:rsidRPr="00CE4583">
        <w:rPr>
          <w:b w:val="0"/>
          <w:sz w:val="28"/>
          <w:szCs w:val="28"/>
        </w:rPr>
        <w:t>Кафедра финансовых рынков и финансового менеджмента</w:t>
      </w:r>
    </w:p>
    <w:p w:rsidR="00AA5F3D" w:rsidRPr="00AA5F3D" w:rsidRDefault="00AA5F3D" w:rsidP="00AA5F3D">
      <w:pPr>
        <w:autoSpaceDE w:val="0"/>
        <w:autoSpaceDN w:val="0"/>
        <w:adjustRightInd w:val="0"/>
        <w:spacing w:line="240" w:lineRule="auto"/>
        <w:jc w:val="center"/>
        <w:rPr>
          <w:rFonts w:ascii="Times New Roman" w:hAnsi="Times New Roman" w:cs="Times New Roman"/>
          <w:sz w:val="28"/>
          <w:szCs w:val="28"/>
        </w:rPr>
      </w:pPr>
    </w:p>
    <w:p w:rsidR="00AA5F3D" w:rsidRPr="00AA5F3D" w:rsidRDefault="00AA5F3D" w:rsidP="00AA5F3D">
      <w:pPr>
        <w:autoSpaceDE w:val="0"/>
        <w:autoSpaceDN w:val="0"/>
        <w:adjustRightInd w:val="0"/>
        <w:spacing w:line="240" w:lineRule="auto"/>
        <w:rPr>
          <w:rFonts w:ascii="Times New Roman" w:hAnsi="Times New Roman" w:cs="Times New Roman"/>
          <w:sz w:val="28"/>
          <w:szCs w:val="28"/>
        </w:rPr>
      </w:pPr>
    </w:p>
    <w:p w:rsidR="00AA5F3D" w:rsidRPr="00AA5F3D" w:rsidRDefault="00AA5F3D" w:rsidP="00AA5F3D">
      <w:pPr>
        <w:autoSpaceDE w:val="0"/>
        <w:autoSpaceDN w:val="0"/>
        <w:adjustRightInd w:val="0"/>
        <w:spacing w:line="240" w:lineRule="auto"/>
        <w:jc w:val="center"/>
        <w:rPr>
          <w:rFonts w:ascii="Times New Roman" w:hAnsi="Times New Roman" w:cs="Times New Roman"/>
          <w:sz w:val="28"/>
          <w:szCs w:val="28"/>
        </w:rPr>
      </w:pPr>
    </w:p>
    <w:p w:rsidR="00AA5F3D" w:rsidRPr="00AA5F3D" w:rsidRDefault="00F52005" w:rsidP="00CE458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БАКАЛАВРСКАЯ </w:t>
      </w:r>
      <w:r w:rsidR="00AA5F3D" w:rsidRPr="00AA5F3D">
        <w:rPr>
          <w:rFonts w:ascii="Times New Roman" w:hAnsi="Times New Roman" w:cs="Times New Roman"/>
          <w:sz w:val="28"/>
          <w:szCs w:val="28"/>
        </w:rPr>
        <w:t xml:space="preserve">РАБОТА </w:t>
      </w:r>
    </w:p>
    <w:p w:rsidR="00AA5F3D" w:rsidRPr="00AA5F3D" w:rsidRDefault="00AA5F3D" w:rsidP="00CE4583">
      <w:pPr>
        <w:spacing w:line="240" w:lineRule="auto"/>
        <w:jc w:val="center"/>
        <w:rPr>
          <w:rFonts w:ascii="Times New Roman" w:hAnsi="Times New Roman" w:cs="Times New Roman"/>
          <w:sz w:val="28"/>
          <w:szCs w:val="28"/>
        </w:rPr>
      </w:pPr>
      <w:r w:rsidRPr="00AA5F3D">
        <w:rPr>
          <w:rFonts w:ascii="Times New Roman" w:hAnsi="Times New Roman" w:cs="Times New Roman"/>
          <w:sz w:val="28"/>
          <w:szCs w:val="28"/>
        </w:rPr>
        <w:t>на тему:</w:t>
      </w:r>
    </w:p>
    <w:p w:rsidR="00AA5F3D" w:rsidRPr="00CE4583" w:rsidRDefault="00AA5F3D" w:rsidP="00AA5F3D">
      <w:pPr>
        <w:pStyle w:val="FR1"/>
        <w:spacing w:line="240" w:lineRule="auto"/>
        <w:ind w:left="80"/>
        <w:rPr>
          <w:szCs w:val="32"/>
        </w:rPr>
      </w:pPr>
    </w:p>
    <w:p w:rsidR="00AA5F3D" w:rsidRDefault="00CE4583" w:rsidP="00AA5F3D">
      <w:pPr>
        <w:spacing w:line="240" w:lineRule="auto"/>
        <w:jc w:val="center"/>
        <w:rPr>
          <w:rFonts w:ascii="Times New Roman" w:hAnsi="Times New Roman" w:cs="Times New Roman"/>
          <w:sz w:val="32"/>
          <w:szCs w:val="32"/>
        </w:rPr>
      </w:pPr>
      <w:r>
        <w:rPr>
          <w:rFonts w:ascii="Times New Roman" w:hAnsi="Times New Roman" w:cs="Times New Roman"/>
          <w:sz w:val="32"/>
          <w:szCs w:val="32"/>
        </w:rPr>
        <w:t>«Оценка стоимости компании</w:t>
      </w:r>
      <w:r w:rsidR="005E07E3">
        <w:rPr>
          <w:rFonts w:ascii="Times New Roman" w:hAnsi="Times New Roman" w:cs="Times New Roman"/>
          <w:sz w:val="32"/>
          <w:szCs w:val="32"/>
        </w:rPr>
        <w:t xml:space="preserve"> в сделках слияния и поглощения</w:t>
      </w:r>
      <w:r w:rsidR="00AA5F3D" w:rsidRPr="00CE4583">
        <w:rPr>
          <w:rFonts w:ascii="Times New Roman" w:hAnsi="Times New Roman" w:cs="Times New Roman"/>
          <w:sz w:val="32"/>
          <w:szCs w:val="32"/>
        </w:rPr>
        <w:t>»</w:t>
      </w:r>
    </w:p>
    <w:p w:rsidR="00F52005" w:rsidRPr="00F52005" w:rsidRDefault="00F52005" w:rsidP="00F52005">
      <w:pPr>
        <w:spacing w:line="240" w:lineRule="auto"/>
        <w:rPr>
          <w:rFonts w:ascii="Times New Roman" w:hAnsi="Times New Roman" w:cs="Times New Roman"/>
          <w:sz w:val="28"/>
          <w:szCs w:val="28"/>
        </w:rPr>
      </w:pPr>
      <w:r w:rsidRPr="00F52005">
        <w:rPr>
          <w:rFonts w:ascii="Times New Roman" w:hAnsi="Times New Roman" w:cs="Times New Roman"/>
          <w:sz w:val="28"/>
          <w:szCs w:val="28"/>
        </w:rPr>
        <w:t>Направление экономика</w:t>
      </w:r>
    </w:p>
    <w:p w:rsidR="00AA5F3D" w:rsidRPr="00AA5F3D" w:rsidRDefault="00AA5F3D" w:rsidP="00AA5F3D">
      <w:pPr>
        <w:spacing w:line="240" w:lineRule="auto"/>
        <w:jc w:val="center"/>
        <w:rPr>
          <w:rFonts w:ascii="Times New Roman" w:hAnsi="Times New Roman" w:cs="Times New Roman"/>
          <w:sz w:val="28"/>
          <w:szCs w:val="28"/>
        </w:rPr>
      </w:pPr>
    </w:p>
    <w:p w:rsidR="00AA5F3D" w:rsidRPr="00AA5F3D" w:rsidRDefault="00AA5F3D" w:rsidP="00AA5F3D">
      <w:pPr>
        <w:autoSpaceDE w:val="0"/>
        <w:autoSpaceDN w:val="0"/>
        <w:adjustRightInd w:val="0"/>
        <w:spacing w:before="35" w:line="240" w:lineRule="auto"/>
        <w:jc w:val="both"/>
        <w:rPr>
          <w:rFonts w:ascii="Times New Roman" w:hAnsi="Times New Roman" w:cs="Times New Roman"/>
          <w:sz w:val="28"/>
          <w:szCs w:val="28"/>
        </w:rPr>
      </w:pP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Студент</w:t>
      </w:r>
      <w:r w:rsidR="00CE4583">
        <w:rPr>
          <w:rFonts w:ascii="Times New Roman" w:hAnsi="Times New Roman" w:cs="Times New Roman"/>
          <w:sz w:val="28"/>
          <w:szCs w:val="28"/>
        </w:rPr>
        <w:t>ка</w:t>
      </w:r>
      <w:r w:rsidRPr="00AA5F3D">
        <w:rPr>
          <w:rFonts w:ascii="Times New Roman" w:hAnsi="Times New Roman" w:cs="Times New Roman"/>
          <w:sz w:val="28"/>
          <w:szCs w:val="28"/>
        </w:rPr>
        <w:t xml:space="preserve"> группы </w:t>
      </w:r>
      <w:r w:rsidR="00CE4583">
        <w:rPr>
          <w:rFonts w:ascii="Times New Roman" w:hAnsi="Times New Roman" w:cs="Times New Roman"/>
          <w:sz w:val="28"/>
          <w:szCs w:val="28"/>
        </w:rPr>
        <w:t xml:space="preserve"> </w:t>
      </w:r>
      <w:r w:rsidRPr="00AA5F3D">
        <w:rPr>
          <w:rFonts w:ascii="Times New Roman" w:hAnsi="Times New Roman" w:cs="Times New Roman"/>
          <w:sz w:val="28"/>
          <w:szCs w:val="28"/>
        </w:rPr>
        <w:t>№ 141</w:t>
      </w: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Пьяных М.В.</w:t>
      </w: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 xml:space="preserve">                      </w:t>
      </w: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 xml:space="preserve">Руководитель ВКР </w:t>
      </w: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к. э. н., доцент</w:t>
      </w:r>
    </w:p>
    <w:p w:rsidR="00AA5F3D" w:rsidRPr="00AA5F3D" w:rsidRDefault="00AA5F3D" w:rsidP="00AA5F3D">
      <w:pPr>
        <w:tabs>
          <w:tab w:val="left" w:pos="8820"/>
        </w:tabs>
        <w:spacing w:line="240" w:lineRule="auto"/>
        <w:ind w:left="4956" w:right="818"/>
        <w:rPr>
          <w:rFonts w:ascii="Times New Roman" w:hAnsi="Times New Roman" w:cs="Times New Roman"/>
          <w:sz w:val="28"/>
          <w:szCs w:val="28"/>
        </w:rPr>
      </w:pPr>
      <w:r w:rsidRPr="00AA5F3D">
        <w:rPr>
          <w:rFonts w:ascii="Times New Roman" w:hAnsi="Times New Roman" w:cs="Times New Roman"/>
          <w:sz w:val="28"/>
          <w:szCs w:val="28"/>
        </w:rPr>
        <w:t>Назарова В. В.</w:t>
      </w:r>
    </w:p>
    <w:p w:rsidR="00AA5F3D" w:rsidRPr="00AA5F3D" w:rsidRDefault="00AA5F3D" w:rsidP="00AA5F3D">
      <w:pPr>
        <w:spacing w:line="240" w:lineRule="auto"/>
        <w:jc w:val="both"/>
        <w:rPr>
          <w:rFonts w:ascii="Times New Roman" w:hAnsi="Times New Roman" w:cs="Times New Roman"/>
          <w:sz w:val="28"/>
          <w:szCs w:val="28"/>
        </w:rPr>
      </w:pPr>
    </w:p>
    <w:p w:rsidR="00AA5F3D" w:rsidRPr="00AA5F3D" w:rsidRDefault="00AA5F3D" w:rsidP="00AA5F3D">
      <w:pPr>
        <w:spacing w:line="240" w:lineRule="auto"/>
        <w:jc w:val="both"/>
        <w:rPr>
          <w:rFonts w:ascii="Times New Roman" w:hAnsi="Times New Roman" w:cs="Times New Roman"/>
          <w:sz w:val="28"/>
          <w:szCs w:val="28"/>
        </w:rPr>
      </w:pPr>
    </w:p>
    <w:p w:rsidR="00AA5F3D" w:rsidRPr="00AA5F3D" w:rsidRDefault="00AA5F3D" w:rsidP="00AA5F3D">
      <w:pPr>
        <w:autoSpaceDE w:val="0"/>
        <w:autoSpaceDN w:val="0"/>
        <w:adjustRightInd w:val="0"/>
        <w:spacing w:line="240" w:lineRule="auto"/>
        <w:jc w:val="center"/>
        <w:rPr>
          <w:rFonts w:ascii="Times New Roman" w:hAnsi="Times New Roman" w:cs="Times New Roman"/>
          <w:sz w:val="28"/>
          <w:szCs w:val="28"/>
        </w:rPr>
      </w:pPr>
      <w:r w:rsidRPr="00AA5F3D">
        <w:rPr>
          <w:rFonts w:ascii="Times New Roman" w:hAnsi="Times New Roman" w:cs="Times New Roman"/>
          <w:sz w:val="28"/>
          <w:szCs w:val="28"/>
        </w:rPr>
        <w:t xml:space="preserve">Санкт-Петербург  </w:t>
      </w:r>
    </w:p>
    <w:p w:rsidR="00AA5F3D" w:rsidRPr="00AA5F3D" w:rsidRDefault="00AA5F3D" w:rsidP="00AA5F3D">
      <w:pPr>
        <w:autoSpaceDE w:val="0"/>
        <w:autoSpaceDN w:val="0"/>
        <w:adjustRightInd w:val="0"/>
        <w:spacing w:line="240" w:lineRule="auto"/>
        <w:jc w:val="center"/>
        <w:rPr>
          <w:rFonts w:ascii="Times New Roman" w:hAnsi="Times New Roman" w:cs="Times New Roman"/>
          <w:sz w:val="28"/>
          <w:szCs w:val="28"/>
        </w:rPr>
      </w:pPr>
      <w:r w:rsidRPr="00AA5F3D">
        <w:rPr>
          <w:rFonts w:ascii="Times New Roman" w:hAnsi="Times New Roman" w:cs="Times New Roman"/>
          <w:sz w:val="28"/>
          <w:szCs w:val="28"/>
        </w:rPr>
        <w:t>2013</w:t>
      </w:r>
    </w:p>
    <w:p w:rsidR="003527B7" w:rsidRDefault="003527B7" w:rsidP="003527B7">
      <w:pPr>
        <w:jc w:val="center"/>
        <w:rPr>
          <w:rFonts w:ascii="Times New Roman" w:hAnsi="Times New Roman" w:cs="Times New Roman"/>
          <w:sz w:val="28"/>
          <w:szCs w:val="28"/>
        </w:rPr>
      </w:pPr>
      <w:r w:rsidRPr="00791D33">
        <w:rPr>
          <w:rFonts w:ascii="Times New Roman" w:hAnsi="Times New Roman" w:cs="Times New Roman"/>
          <w:sz w:val="28"/>
          <w:szCs w:val="28"/>
        </w:rPr>
        <w:lastRenderedPageBreak/>
        <w:t>СОДЕРЖАНИЕ</w:t>
      </w:r>
    </w:p>
    <w:p w:rsidR="003527B7" w:rsidRDefault="003527B7" w:rsidP="003527B7">
      <w:pPr>
        <w:spacing w:line="24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3527B7" w:rsidRPr="00791D33" w:rsidRDefault="003527B7" w:rsidP="003527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аспекты сделок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………………………………..8</w:t>
      </w:r>
    </w:p>
    <w:p w:rsidR="003527B7" w:rsidRPr="00791D33"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1.1. Сущность сделок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sidRPr="00791D33">
        <w:rPr>
          <w:rFonts w:ascii="Times New Roman" w:hAnsi="Times New Roman" w:cs="Times New Roman"/>
          <w:sz w:val="28"/>
          <w:szCs w:val="28"/>
        </w:rPr>
        <w:t xml:space="preserve"> </w:t>
      </w:r>
      <w:r>
        <w:rPr>
          <w:rFonts w:ascii="Times New Roman" w:hAnsi="Times New Roman" w:cs="Times New Roman"/>
          <w:sz w:val="28"/>
          <w:szCs w:val="28"/>
        </w:rPr>
        <w:t>и их классификация………………….….8</w:t>
      </w:r>
    </w:p>
    <w:p w:rsidR="003527B7" w:rsidRPr="00791D33"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1.2. Мотивы и факторы заключения сделок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………………..….11</w:t>
      </w:r>
    </w:p>
    <w:p w:rsidR="003527B7" w:rsidRPr="00791D33"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1.3. Обзор российского рынка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…………………………….....…14</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1.4. Выводы по главе………………………………………………..….25</w:t>
      </w:r>
    </w:p>
    <w:p w:rsidR="003527B7" w:rsidRPr="00791D33" w:rsidRDefault="003527B7" w:rsidP="003527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2 Подходы к оценке стоимости компании в целях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 xml:space="preserve"> и синергетического эффекта…………………………………………………....27</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2.1. Оценка компании при слияниях и поглощениях……………......27</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2.2. Оценка синергетического эффекта……………………………….39</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2.3. Выводы по главе……………………………………………..…….45</w:t>
      </w:r>
    </w:p>
    <w:p w:rsidR="003527B7" w:rsidRPr="00791D33" w:rsidRDefault="003527B7" w:rsidP="003527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3 Оценка стоимости компании в целях </w:t>
      </w:r>
      <w:r>
        <w:rPr>
          <w:rFonts w:ascii="Times New Roman" w:hAnsi="Times New Roman" w:cs="Times New Roman"/>
          <w:sz w:val="28"/>
          <w:szCs w:val="28"/>
          <w:lang w:val="en-US"/>
        </w:rPr>
        <w:t>M</w:t>
      </w:r>
      <w:r w:rsidRPr="00791D33">
        <w:rPr>
          <w:rFonts w:ascii="Times New Roman" w:hAnsi="Times New Roman" w:cs="Times New Roman"/>
          <w:sz w:val="28"/>
          <w:szCs w:val="28"/>
        </w:rPr>
        <w:t>&amp;</w:t>
      </w:r>
      <w:r>
        <w:rPr>
          <w:rFonts w:ascii="Times New Roman" w:hAnsi="Times New Roman" w:cs="Times New Roman"/>
          <w:sz w:val="28"/>
          <w:szCs w:val="28"/>
          <w:lang w:val="en-US"/>
        </w:rPr>
        <w:t>A</w:t>
      </w:r>
      <w:r>
        <w:rPr>
          <w:rFonts w:ascii="Times New Roman" w:hAnsi="Times New Roman" w:cs="Times New Roman"/>
          <w:sz w:val="28"/>
          <w:szCs w:val="28"/>
        </w:rPr>
        <w:t xml:space="preserve"> на примере КФ им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рупской и ОАО КО «</w:t>
      </w:r>
      <w:proofErr w:type="spellStart"/>
      <w:r>
        <w:rPr>
          <w:rFonts w:ascii="Times New Roman" w:hAnsi="Times New Roman" w:cs="Times New Roman"/>
          <w:sz w:val="28"/>
          <w:szCs w:val="28"/>
        </w:rPr>
        <w:t>СладКо</w:t>
      </w:r>
      <w:proofErr w:type="spellEnd"/>
      <w:r>
        <w:rPr>
          <w:rFonts w:ascii="Times New Roman" w:hAnsi="Times New Roman" w:cs="Times New Roman"/>
          <w:sz w:val="28"/>
          <w:szCs w:val="28"/>
        </w:rPr>
        <w:t>»………………………………………….47</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3.1. Общая характеристика компаний……………………………….47</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3.2. Оценка компаний до объединения…………………………….…50</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3.2.1. Оценка стоимости КФ им. Крупской………………………......50</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3.2.2. Оценка стоимости КО «</w:t>
      </w:r>
      <w:proofErr w:type="spellStart"/>
      <w:r>
        <w:rPr>
          <w:rFonts w:ascii="Times New Roman" w:hAnsi="Times New Roman" w:cs="Times New Roman"/>
          <w:sz w:val="28"/>
          <w:szCs w:val="28"/>
        </w:rPr>
        <w:t>СладКо</w:t>
      </w:r>
      <w:proofErr w:type="spellEnd"/>
      <w:r>
        <w:rPr>
          <w:rFonts w:ascii="Times New Roman" w:hAnsi="Times New Roman" w:cs="Times New Roman"/>
          <w:sz w:val="28"/>
          <w:szCs w:val="28"/>
        </w:rPr>
        <w:t>»……………………..………...57</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3.3. Оценка операционной синергии от присоединения КО «</w:t>
      </w:r>
      <w:proofErr w:type="spellStart"/>
      <w:r>
        <w:rPr>
          <w:rFonts w:ascii="Times New Roman" w:hAnsi="Times New Roman" w:cs="Times New Roman"/>
          <w:sz w:val="28"/>
          <w:szCs w:val="28"/>
        </w:rPr>
        <w:t>СладКо</w:t>
      </w:r>
      <w:proofErr w:type="spellEnd"/>
      <w:r>
        <w:rPr>
          <w:rFonts w:ascii="Times New Roman" w:hAnsi="Times New Roman" w:cs="Times New Roman"/>
          <w:sz w:val="28"/>
          <w:szCs w:val="28"/>
        </w:rPr>
        <w:t>» к КФ им. Крупской……………..……………………..……………..…64</w:t>
      </w:r>
    </w:p>
    <w:p w:rsidR="003527B7" w:rsidRDefault="003527B7" w:rsidP="003527B7">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3.4. Выводы </w:t>
      </w:r>
      <w:r w:rsidR="000B507C">
        <w:rPr>
          <w:rFonts w:ascii="Times New Roman" w:hAnsi="Times New Roman" w:cs="Times New Roman"/>
          <w:sz w:val="28"/>
          <w:szCs w:val="28"/>
        </w:rPr>
        <w:t>по главе……………….……………………………….….67</w:t>
      </w:r>
    </w:p>
    <w:p w:rsidR="003527B7" w:rsidRDefault="003527B7" w:rsidP="003527B7">
      <w:p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Заключение………………………………………………………………….....68</w:t>
      </w:r>
    </w:p>
    <w:p w:rsidR="00AA5F3D" w:rsidRDefault="003527B7" w:rsidP="00352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B507C">
        <w:rPr>
          <w:rFonts w:ascii="Times New Roman" w:hAnsi="Times New Roman" w:cs="Times New Roman"/>
          <w:sz w:val="28"/>
          <w:szCs w:val="28"/>
        </w:rPr>
        <w:t>……………………………………………....71</w:t>
      </w:r>
    </w:p>
    <w:p w:rsidR="00AA5F3D" w:rsidRDefault="00AA5F3D" w:rsidP="00AA5F3D">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851D0E" w:rsidRPr="0068449A" w:rsidRDefault="00D8078C" w:rsidP="003527B7">
      <w:pPr>
        <w:jc w:val="center"/>
        <w:rPr>
          <w:rFonts w:ascii="Times New Roman" w:hAnsi="Times New Roman" w:cs="Times New Roman"/>
          <w:b/>
          <w:sz w:val="28"/>
          <w:szCs w:val="28"/>
        </w:rPr>
      </w:pPr>
      <w:r w:rsidRPr="0068449A">
        <w:rPr>
          <w:rFonts w:ascii="Times New Roman" w:hAnsi="Times New Roman" w:cs="Times New Roman"/>
          <w:b/>
          <w:sz w:val="28"/>
          <w:szCs w:val="28"/>
        </w:rPr>
        <w:lastRenderedPageBreak/>
        <w:t>ВВЕДЕНИЕ</w:t>
      </w:r>
    </w:p>
    <w:p w:rsidR="00D8078C" w:rsidRDefault="00D8078C" w:rsidP="00D8078C">
      <w:pPr>
        <w:spacing w:after="0"/>
        <w:ind w:firstLine="709"/>
        <w:jc w:val="center"/>
        <w:rPr>
          <w:rFonts w:ascii="Times New Roman" w:hAnsi="Times New Roman" w:cs="Times New Roman"/>
          <w:sz w:val="28"/>
          <w:szCs w:val="28"/>
        </w:rPr>
      </w:pPr>
    </w:p>
    <w:p w:rsidR="00851D0E" w:rsidRDefault="00851D0E" w:rsidP="002A2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слияний и поглощений</w:t>
      </w:r>
      <w:r w:rsidR="00207EDA">
        <w:rPr>
          <w:rStyle w:val="a5"/>
          <w:rFonts w:ascii="Times New Roman" w:hAnsi="Times New Roman" w:cs="Times New Roman"/>
          <w:sz w:val="28"/>
          <w:szCs w:val="28"/>
        </w:rPr>
        <w:footnoteReference w:id="2"/>
      </w:r>
      <w:r>
        <w:rPr>
          <w:rFonts w:ascii="Times New Roman" w:hAnsi="Times New Roman" w:cs="Times New Roman"/>
          <w:sz w:val="28"/>
          <w:szCs w:val="28"/>
        </w:rPr>
        <w:t xml:space="preserve"> относительно новы для России. В нашей стране этот процесс зародился менее 30 лет назад, в то время как на развитых рынках, к примеру, в США </w:t>
      </w:r>
      <w:r w:rsidR="00165926">
        <w:rPr>
          <w:rFonts w:ascii="Times New Roman" w:hAnsi="Times New Roman" w:cs="Times New Roman"/>
          <w:sz w:val="28"/>
          <w:szCs w:val="28"/>
        </w:rPr>
        <w:t>данный процесс стал обычным делом, обыденностью</w:t>
      </w:r>
      <w:r w:rsidR="005F01BF">
        <w:rPr>
          <w:rFonts w:ascii="Times New Roman" w:hAnsi="Times New Roman" w:cs="Times New Roman"/>
          <w:sz w:val="28"/>
          <w:szCs w:val="28"/>
        </w:rPr>
        <w:t>, так как функционирует уже более века</w:t>
      </w:r>
      <w:r w:rsidR="00165926">
        <w:rPr>
          <w:rFonts w:ascii="Times New Roman" w:hAnsi="Times New Roman" w:cs="Times New Roman"/>
          <w:sz w:val="28"/>
          <w:szCs w:val="28"/>
        </w:rPr>
        <w:t xml:space="preserve">. В то же время ни в одной стране рынок данных сделок не развивался так стремительно как в России. За столь короткий срок динамика роста объемов слияний превышает среднемировой уровень втрое. </w:t>
      </w:r>
    </w:p>
    <w:p w:rsidR="00EB0669" w:rsidRPr="00EB0669" w:rsidRDefault="00EB0669" w:rsidP="002A2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мире, да и в России интерес </w:t>
      </w:r>
      <w:proofErr w:type="gramStart"/>
      <w:r>
        <w:rPr>
          <w:rFonts w:ascii="Times New Roman" w:hAnsi="Times New Roman" w:cs="Times New Roman"/>
          <w:sz w:val="28"/>
          <w:szCs w:val="28"/>
        </w:rPr>
        <w:t>к</w:t>
      </w:r>
      <w:proofErr w:type="gramEnd"/>
      <w:r w:rsidR="001D7180">
        <w:rPr>
          <w:rFonts w:ascii="Times New Roman" w:hAnsi="Times New Roman" w:cs="Times New Roman"/>
          <w:sz w:val="28"/>
          <w:szCs w:val="28"/>
        </w:rPr>
        <w:t xml:space="preserve"> </w:t>
      </w:r>
      <w:proofErr w:type="gramStart"/>
      <w:r>
        <w:rPr>
          <w:rFonts w:ascii="Times New Roman" w:hAnsi="Times New Roman" w:cs="Times New Roman"/>
          <w:sz w:val="28"/>
          <w:szCs w:val="28"/>
        </w:rPr>
        <w:t>подобного</w:t>
      </w:r>
      <w:proofErr w:type="gramEnd"/>
      <w:r>
        <w:rPr>
          <w:rFonts w:ascii="Times New Roman" w:hAnsi="Times New Roman" w:cs="Times New Roman"/>
          <w:sz w:val="28"/>
          <w:szCs w:val="28"/>
        </w:rPr>
        <w:t xml:space="preserve"> рода сделкам довольно высок. Одной из причин повышенного интереса является то, что степень активности на рынке слияний указывает на состояние экономики. Согласно мировому опыту во время роста экономики наблюдается значительное увеличение, как объемов, так и числа заключаемых сделок. Соответственно в периоды спада или кризисных явлений рынок </w:t>
      </w:r>
      <w:r>
        <w:rPr>
          <w:rFonts w:ascii="Times New Roman" w:hAnsi="Times New Roman" w:cs="Times New Roman"/>
          <w:sz w:val="28"/>
          <w:szCs w:val="28"/>
          <w:lang w:val="en-US"/>
        </w:rPr>
        <w:t>M</w:t>
      </w:r>
      <w:r w:rsidRPr="00EB0669">
        <w:rPr>
          <w:rFonts w:ascii="Times New Roman" w:hAnsi="Times New Roman" w:cs="Times New Roman"/>
          <w:sz w:val="28"/>
          <w:szCs w:val="28"/>
        </w:rPr>
        <w:t>&amp;</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имеет тенденцию к снижению.</w:t>
      </w:r>
    </w:p>
    <w:p w:rsidR="005F01BF" w:rsidRDefault="005F01BF" w:rsidP="002A2D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сделки слияний и поглощений не теряют своей актуальности</w:t>
      </w:r>
      <w:r w:rsidR="00434D4A">
        <w:rPr>
          <w:rFonts w:ascii="Times New Roman" w:hAnsi="Times New Roman" w:cs="Times New Roman"/>
          <w:sz w:val="28"/>
          <w:szCs w:val="28"/>
        </w:rPr>
        <w:t xml:space="preserve"> </w:t>
      </w:r>
      <w:proofErr w:type="gramStart"/>
      <w:r w:rsidR="00207EDA">
        <w:rPr>
          <w:rFonts w:ascii="Times New Roman" w:hAnsi="Times New Roman" w:cs="Times New Roman"/>
          <w:sz w:val="28"/>
          <w:szCs w:val="28"/>
        </w:rPr>
        <w:t>для</w:t>
      </w:r>
      <w:proofErr w:type="gramEnd"/>
      <w:r w:rsidR="00434D4A">
        <w:rPr>
          <w:rFonts w:ascii="Times New Roman" w:hAnsi="Times New Roman" w:cs="Times New Roman"/>
          <w:sz w:val="28"/>
          <w:szCs w:val="28"/>
        </w:rPr>
        <w:t xml:space="preserve"> </w:t>
      </w:r>
      <w:proofErr w:type="gramStart"/>
      <w:r w:rsidR="00207EDA">
        <w:rPr>
          <w:rFonts w:ascii="Times New Roman" w:hAnsi="Times New Roman" w:cs="Times New Roman"/>
          <w:sz w:val="28"/>
          <w:szCs w:val="28"/>
        </w:rPr>
        <w:t>бизнес</w:t>
      </w:r>
      <w:proofErr w:type="gramEnd"/>
      <w:r w:rsidR="00207EDA">
        <w:rPr>
          <w:rFonts w:ascii="Times New Roman" w:hAnsi="Times New Roman" w:cs="Times New Roman"/>
          <w:sz w:val="28"/>
          <w:szCs w:val="28"/>
        </w:rPr>
        <w:t xml:space="preserve"> среды</w:t>
      </w:r>
      <w:r>
        <w:rPr>
          <w:rFonts w:ascii="Times New Roman" w:hAnsi="Times New Roman" w:cs="Times New Roman"/>
          <w:sz w:val="28"/>
          <w:szCs w:val="28"/>
        </w:rPr>
        <w:t xml:space="preserve"> из-за динамичности развития рынков и присутствия на них большого числа конкурентов. В такой конкурентной борьбе </w:t>
      </w:r>
      <w:r w:rsidR="007A42E2">
        <w:rPr>
          <w:rFonts w:ascii="Times New Roman" w:hAnsi="Times New Roman" w:cs="Times New Roman"/>
          <w:sz w:val="28"/>
          <w:szCs w:val="28"/>
        </w:rPr>
        <w:t xml:space="preserve">высокое значение приобретают </w:t>
      </w:r>
      <w:r w:rsidR="007A42E2" w:rsidRPr="007A42E2">
        <w:rPr>
          <w:rFonts w:ascii="Times New Roman" w:hAnsi="Times New Roman" w:cs="Times New Roman"/>
          <w:sz w:val="28"/>
          <w:szCs w:val="28"/>
        </w:rPr>
        <w:t xml:space="preserve">сделки </w:t>
      </w:r>
      <w:r w:rsidR="007A42E2">
        <w:rPr>
          <w:rFonts w:ascii="Times New Roman" w:hAnsi="Times New Roman" w:cs="Times New Roman"/>
          <w:sz w:val="28"/>
          <w:szCs w:val="28"/>
          <w:lang w:val="en-US"/>
        </w:rPr>
        <w:t>M</w:t>
      </w:r>
      <w:r w:rsidR="007A42E2" w:rsidRPr="007A42E2">
        <w:rPr>
          <w:rFonts w:ascii="Times New Roman" w:hAnsi="Times New Roman" w:cs="Times New Roman"/>
          <w:sz w:val="28"/>
          <w:szCs w:val="28"/>
        </w:rPr>
        <w:t>&amp;</w:t>
      </w:r>
      <w:proofErr w:type="gramStart"/>
      <w:r w:rsidR="007A42E2">
        <w:rPr>
          <w:rFonts w:ascii="Times New Roman" w:hAnsi="Times New Roman" w:cs="Times New Roman"/>
          <w:sz w:val="28"/>
          <w:szCs w:val="28"/>
          <w:lang w:val="en-US"/>
        </w:rPr>
        <w:t>A</w:t>
      </w:r>
      <w:proofErr w:type="gramEnd"/>
      <w:r w:rsidR="007A42E2">
        <w:rPr>
          <w:rFonts w:ascii="Times New Roman" w:hAnsi="Times New Roman" w:cs="Times New Roman"/>
          <w:sz w:val="28"/>
          <w:szCs w:val="28"/>
        </w:rPr>
        <w:t xml:space="preserve">как стратегия развития бизнеса, позволяющая адаптироваться к стремительно меняющимся условиям рынка и </w:t>
      </w:r>
      <w:r w:rsidR="002424DC">
        <w:rPr>
          <w:rFonts w:ascii="Times New Roman" w:hAnsi="Times New Roman" w:cs="Times New Roman"/>
          <w:sz w:val="28"/>
          <w:szCs w:val="28"/>
        </w:rPr>
        <w:t xml:space="preserve">как минимум не проигрывать конкурентам. Именно эффективные и оправданные слияния на данный момент помогают компании или предприятию сохранить свою долю рынка, а также занять лидирующие позиции на нем. </w:t>
      </w:r>
    </w:p>
    <w:p w:rsidR="00E41981" w:rsidRPr="00E41981" w:rsidRDefault="00207EDA" w:rsidP="002A2DE3">
      <w:pPr>
        <w:pStyle w:val="a6"/>
        <w:shd w:val="clear" w:color="auto" w:fill="FFFFFF"/>
        <w:spacing w:before="0" w:beforeAutospacing="0" w:after="0" w:afterAutospacing="0" w:line="360" w:lineRule="auto"/>
        <w:ind w:firstLine="709"/>
        <w:jc w:val="both"/>
        <w:rPr>
          <w:sz w:val="28"/>
          <w:szCs w:val="28"/>
        </w:rPr>
      </w:pPr>
      <w:r>
        <w:rPr>
          <w:sz w:val="28"/>
          <w:szCs w:val="28"/>
        </w:rPr>
        <w:t xml:space="preserve">Процесс слияния и поглощения является многоступенчатым и сложным в реализации. Так профессор финансов </w:t>
      </w:r>
      <w:proofErr w:type="spellStart"/>
      <w:r>
        <w:rPr>
          <w:sz w:val="28"/>
          <w:szCs w:val="28"/>
        </w:rPr>
        <w:t>Асват</w:t>
      </w:r>
      <w:proofErr w:type="spellEnd"/>
      <w:r w:rsidR="001D7180">
        <w:rPr>
          <w:sz w:val="28"/>
          <w:szCs w:val="28"/>
        </w:rPr>
        <w:t xml:space="preserve"> </w:t>
      </w:r>
      <w:proofErr w:type="spellStart"/>
      <w:r>
        <w:rPr>
          <w:sz w:val="28"/>
          <w:szCs w:val="28"/>
        </w:rPr>
        <w:t>Дамодаран</w:t>
      </w:r>
      <w:proofErr w:type="spellEnd"/>
      <w:r>
        <w:rPr>
          <w:sz w:val="28"/>
          <w:szCs w:val="28"/>
        </w:rPr>
        <w:t xml:space="preserve"> выделяет четыре основных и возможно непоследовательных этапа в </w:t>
      </w:r>
      <w:r>
        <w:rPr>
          <w:sz w:val="28"/>
          <w:szCs w:val="28"/>
        </w:rPr>
        <w:lastRenderedPageBreak/>
        <w:t xml:space="preserve">проведении сделок: обоснование и разработка стратегии, </w:t>
      </w:r>
      <w:r w:rsidR="009465F9">
        <w:rPr>
          <w:sz w:val="28"/>
          <w:szCs w:val="28"/>
        </w:rPr>
        <w:t xml:space="preserve">выбор компании – цели и ее первоначальная оценка, определение цены и выбор источника финансирования, заключение </w:t>
      </w:r>
      <w:r w:rsidR="00A857E2">
        <w:rPr>
          <w:sz w:val="28"/>
          <w:szCs w:val="28"/>
        </w:rPr>
        <w:t>сделки. Основной интерес для научных работ отечественных и зарубежных авторов, а также ключевое значение при осуществлении слияния или поглощения представляю</w:t>
      </w:r>
      <w:r w:rsidR="009465F9">
        <w:rPr>
          <w:sz w:val="28"/>
          <w:szCs w:val="28"/>
        </w:rPr>
        <w:t>т второй и третий этапы, то есть оценка компа</w:t>
      </w:r>
      <w:r w:rsidR="00A857E2">
        <w:rPr>
          <w:sz w:val="28"/>
          <w:szCs w:val="28"/>
        </w:rPr>
        <w:t xml:space="preserve">ний в целях </w:t>
      </w:r>
      <w:r w:rsidR="00A857E2">
        <w:rPr>
          <w:sz w:val="28"/>
          <w:szCs w:val="28"/>
          <w:lang w:val="en-US"/>
        </w:rPr>
        <w:t>M</w:t>
      </w:r>
      <w:r w:rsidR="00A857E2" w:rsidRPr="00A857E2">
        <w:rPr>
          <w:sz w:val="28"/>
          <w:szCs w:val="28"/>
        </w:rPr>
        <w:t>&amp;</w:t>
      </w:r>
      <w:r w:rsidR="00A857E2">
        <w:rPr>
          <w:sz w:val="28"/>
          <w:szCs w:val="28"/>
          <w:lang w:val="en-US"/>
        </w:rPr>
        <w:t>A</w:t>
      </w:r>
      <w:r w:rsidR="009465F9">
        <w:rPr>
          <w:sz w:val="28"/>
          <w:szCs w:val="28"/>
        </w:rPr>
        <w:t>, а также оценка их эффективности</w:t>
      </w:r>
      <w:r w:rsidR="00A857E2" w:rsidRPr="00A857E2">
        <w:rPr>
          <w:sz w:val="28"/>
          <w:szCs w:val="28"/>
        </w:rPr>
        <w:t xml:space="preserve"> (</w:t>
      </w:r>
      <w:r w:rsidR="00A857E2">
        <w:rPr>
          <w:sz w:val="28"/>
          <w:szCs w:val="28"/>
        </w:rPr>
        <w:t>синергии)</w:t>
      </w:r>
      <w:r w:rsidR="009465F9">
        <w:rPr>
          <w:sz w:val="28"/>
          <w:szCs w:val="28"/>
        </w:rPr>
        <w:t>.</w:t>
      </w:r>
    </w:p>
    <w:p w:rsidR="00DD75C8" w:rsidRDefault="00E41981" w:rsidP="002A2DE3">
      <w:pPr>
        <w:pStyle w:val="a6"/>
        <w:shd w:val="clear" w:color="auto" w:fill="FFFFFF"/>
        <w:spacing w:before="0" w:beforeAutospacing="0" w:after="0" w:afterAutospacing="0" w:line="360" w:lineRule="auto"/>
        <w:ind w:firstLine="709"/>
        <w:jc w:val="both"/>
        <w:rPr>
          <w:sz w:val="28"/>
          <w:szCs w:val="28"/>
        </w:rPr>
      </w:pPr>
      <w:r>
        <w:rPr>
          <w:sz w:val="28"/>
          <w:szCs w:val="28"/>
        </w:rPr>
        <w:t>При рассмотрении вопроса о приобретение функционирующего предприятия оценка играет ключевую роль. Предприятие или покупатель (приобретающая сторона) должны принять решение о справедливой стоимости приобретаемой компании перед тем, как назначать цену. Со своей стороны компания-цель, прежде чем принимать или отклонять предложение о слиянии должна определить собственную разумную цену.</w:t>
      </w:r>
      <w:r w:rsidR="008334AC">
        <w:rPr>
          <w:sz w:val="28"/>
          <w:szCs w:val="28"/>
        </w:rPr>
        <w:t xml:space="preserve"> </w:t>
      </w:r>
      <w:r>
        <w:rPr>
          <w:sz w:val="28"/>
          <w:szCs w:val="28"/>
        </w:rPr>
        <w:t>Кроме того, есть ряд факторов</w:t>
      </w:r>
      <w:r w:rsidR="00DD75C8">
        <w:rPr>
          <w:sz w:val="28"/>
          <w:szCs w:val="28"/>
        </w:rPr>
        <w:t>,</w:t>
      </w:r>
      <w:r>
        <w:rPr>
          <w:sz w:val="28"/>
          <w:szCs w:val="28"/>
        </w:rPr>
        <w:t xml:space="preserve"> которые необходимо учитывать при проведении сделки. Во-первых, синергетический эффект совместной стоимости обеих компаний. Во-вторых, воздействие на стоимость таких факторов как: изменения в управлении предприятием и дальнейшая реструктуризация приобретенного бизнеса.</w:t>
      </w:r>
    </w:p>
    <w:p w:rsidR="00C401D5" w:rsidRDefault="00DD75C8" w:rsidP="002A2DE3">
      <w:pPr>
        <w:pStyle w:val="a6"/>
        <w:shd w:val="clear" w:color="auto" w:fill="FFFFFF"/>
        <w:spacing w:before="0" w:beforeAutospacing="0" w:after="0" w:afterAutospacing="0" w:line="360" w:lineRule="auto"/>
        <w:ind w:firstLine="709"/>
        <w:jc w:val="both"/>
        <w:rPr>
          <w:sz w:val="28"/>
          <w:szCs w:val="28"/>
        </w:rPr>
      </w:pPr>
      <w:r>
        <w:rPr>
          <w:sz w:val="28"/>
          <w:szCs w:val="28"/>
        </w:rPr>
        <w:t>Согласно вышесказанному в</w:t>
      </w:r>
      <w:r w:rsidR="00FA0EE5">
        <w:rPr>
          <w:sz w:val="28"/>
          <w:szCs w:val="28"/>
        </w:rPr>
        <w:t xml:space="preserve">ажность оценки компаний заключается </w:t>
      </w:r>
      <w:r w:rsidR="00D6088C">
        <w:rPr>
          <w:sz w:val="28"/>
          <w:szCs w:val="28"/>
        </w:rPr>
        <w:t xml:space="preserve">в </w:t>
      </w:r>
      <w:r w:rsidR="00FA0EE5">
        <w:rPr>
          <w:sz w:val="28"/>
          <w:szCs w:val="28"/>
        </w:rPr>
        <w:t>правильности форм</w:t>
      </w:r>
      <w:r w:rsidR="00C401D5">
        <w:rPr>
          <w:sz w:val="28"/>
          <w:szCs w:val="28"/>
        </w:rPr>
        <w:t>ирования мнения о выгоде</w:t>
      </w:r>
      <w:r w:rsidR="00D6088C">
        <w:rPr>
          <w:sz w:val="28"/>
          <w:szCs w:val="28"/>
        </w:rPr>
        <w:t xml:space="preserve"> и целесообраз</w:t>
      </w:r>
      <w:r w:rsidR="00FA0EE5">
        <w:rPr>
          <w:sz w:val="28"/>
          <w:szCs w:val="28"/>
        </w:rPr>
        <w:t xml:space="preserve">ности предполагаемой сделки, а в дальнейшем и обоснованности цены приобретения. </w:t>
      </w:r>
      <w:r>
        <w:rPr>
          <w:sz w:val="28"/>
          <w:szCs w:val="28"/>
        </w:rPr>
        <w:t>Значительная роль процесса оценки в ходе проведения сделок по слиянию и поглощению послужила</w:t>
      </w:r>
      <w:r w:rsidR="00D6088C">
        <w:rPr>
          <w:sz w:val="28"/>
          <w:szCs w:val="28"/>
        </w:rPr>
        <w:t xml:space="preserve"> причиной выбора данной тематики для выпускной квалификационной работы, а также является обоснованием ее актуальности. </w:t>
      </w:r>
    </w:p>
    <w:p w:rsidR="00D6088C" w:rsidRPr="009D315C" w:rsidRDefault="00D6088C" w:rsidP="002A2DE3">
      <w:pPr>
        <w:pStyle w:val="a6"/>
        <w:shd w:val="clear" w:color="auto" w:fill="FFFFFF"/>
        <w:spacing w:before="0" w:beforeAutospacing="0" w:after="0" w:afterAutospacing="0" w:line="360" w:lineRule="auto"/>
        <w:ind w:firstLine="709"/>
        <w:jc w:val="both"/>
        <w:rPr>
          <w:sz w:val="28"/>
          <w:szCs w:val="28"/>
        </w:rPr>
      </w:pPr>
      <w:r>
        <w:rPr>
          <w:sz w:val="28"/>
          <w:szCs w:val="28"/>
        </w:rPr>
        <w:t>Целью данной дипломной работы</w:t>
      </w:r>
      <w:r w:rsidR="009C258C">
        <w:rPr>
          <w:sz w:val="28"/>
          <w:szCs w:val="28"/>
        </w:rPr>
        <w:t xml:space="preserve"> является проведение оценки стоимости компаний в целях </w:t>
      </w:r>
      <w:r w:rsidR="009D315C">
        <w:rPr>
          <w:sz w:val="28"/>
          <w:szCs w:val="28"/>
        </w:rPr>
        <w:t>слияния и поглощения на примере присоединения ОАО «Кондитерское объединение «</w:t>
      </w:r>
      <w:proofErr w:type="spellStart"/>
      <w:r w:rsidR="009D315C">
        <w:rPr>
          <w:sz w:val="28"/>
          <w:szCs w:val="28"/>
        </w:rPr>
        <w:t>СладКо</w:t>
      </w:r>
      <w:proofErr w:type="spellEnd"/>
      <w:r w:rsidR="009D315C">
        <w:rPr>
          <w:sz w:val="28"/>
          <w:szCs w:val="28"/>
        </w:rPr>
        <w:t>» к Кондитерской фабрике им. Крупской</w:t>
      </w:r>
      <w:r w:rsidR="00D8078C">
        <w:rPr>
          <w:sz w:val="28"/>
          <w:szCs w:val="28"/>
        </w:rPr>
        <w:t xml:space="preserve"> и оценка синергетического эффекта</w:t>
      </w:r>
      <w:r w:rsidR="002A3642">
        <w:rPr>
          <w:sz w:val="28"/>
          <w:szCs w:val="28"/>
        </w:rPr>
        <w:t xml:space="preserve"> этой сделки</w:t>
      </w:r>
      <w:r w:rsidR="00D8078C">
        <w:rPr>
          <w:sz w:val="28"/>
          <w:szCs w:val="28"/>
        </w:rPr>
        <w:t xml:space="preserve"> в стоимостном выражении</w:t>
      </w:r>
      <w:r w:rsidR="009C258C">
        <w:rPr>
          <w:sz w:val="28"/>
          <w:szCs w:val="28"/>
        </w:rPr>
        <w:t>.</w:t>
      </w:r>
      <w:r w:rsidR="009D315C">
        <w:rPr>
          <w:sz w:val="28"/>
          <w:szCs w:val="28"/>
        </w:rPr>
        <w:t xml:space="preserve"> В работе проводится анализ </w:t>
      </w:r>
      <w:r w:rsidR="009D315C">
        <w:rPr>
          <w:sz w:val="28"/>
          <w:szCs w:val="28"/>
        </w:rPr>
        <w:lastRenderedPageBreak/>
        <w:t xml:space="preserve">существующих подходов к оценке, а также анализ российского рынка </w:t>
      </w:r>
      <w:r w:rsidR="009D315C">
        <w:rPr>
          <w:sz w:val="28"/>
          <w:szCs w:val="28"/>
          <w:lang w:val="en-US"/>
        </w:rPr>
        <w:t>M</w:t>
      </w:r>
      <w:r w:rsidR="009D315C" w:rsidRPr="009D315C">
        <w:rPr>
          <w:sz w:val="28"/>
          <w:szCs w:val="28"/>
        </w:rPr>
        <w:t>&amp;</w:t>
      </w:r>
      <w:r w:rsidR="009D315C">
        <w:rPr>
          <w:sz w:val="28"/>
          <w:szCs w:val="28"/>
          <w:lang w:val="en-US"/>
        </w:rPr>
        <w:t>A</w:t>
      </w:r>
      <w:r w:rsidR="009D315C">
        <w:rPr>
          <w:sz w:val="28"/>
          <w:szCs w:val="28"/>
        </w:rPr>
        <w:t xml:space="preserve"> и кондитерского рынка России, на котором функционируют вышеуказанные </w:t>
      </w:r>
      <w:r w:rsidR="0089299B">
        <w:rPr>
          <w:sz w:val="28"/>
          <w:szCs w:val="28"/>
        </w:rPr>
        <w:t>компании.</w:t>
      </w:r>
    </w:p>
    <w:p w:rsidR="009C258C" w:rsidRDefault="009C258C" w:rsidP="002A2DE3">
      <w:pPr>
        <w:pStyle w:val="a6"/>
        <w:shd w:val="clear" w:color="auto" w:fill="FFFFFF"/>
        <w:spacing w:before="0" w:beforeAutospacing="0" w:after="0" w:afterAutospacing="0" w:line="360" w:lineRule="auto"/>
        <w:ind w:firstLine="709"/>
        <w:jc w:val="both"/>
        <w:rPr>
          <w:sz w:val="28"/>
          <w:szCs w:val="28"/>
        </w:rPr>
      </w:pPr>
      <w:r>
        <w:rPr>
          <w:sz w:val="28"/>
          <w:szCs w:val="28"/>
        </w:rPr>
        <w:t>В соответствии с поставленной целью были выделены следующие задачи:</w:t>
      </w:r>
    </w:p>
    <w:p w:rsidR="009C258C" w:rsidRDefault="0089299B" w:rsidP="004843D8">
      <w:pPr>
        <w:pStyle w:val="a6"/>
        <w:numPr>
          <w:ilvl w:val="0"/>
          <w:numId w:val="1"/>
        </w:numPr>
        <w:shd w:val="clear" w:color="auto" w:fill="FFFFFF"/>
        <w:spacing w:before="0" w:beforeAutospacing="0" w:after="0" w:afterAutospacing="0" w:line="360" w:lineRule="auto"/>
        <w:ind w:left="284" w:firstLine="709"/>
        <w:jc w:val="both"/>
        <w:rPr>
          <w:sz w:val="28"/>
          <w:szCs w:val="28"/>
        </w:rPr>
      </w:pPr>
      <w:r>
        <w:rPr>
          <w:sz w:val="28"/>
          <w:szCs w:val="28"/>
        </w:rPr>
        <w:t>Сформулировать основные мотивы и факторы, побуждающие к осуществлению слияний и поглощений;</w:t>
      </w:r>
    </w:p>
    <w:p w:rsidR="0089299B" w:rsidRDefault="0089299B" w:rsidP="004843D8">
      <w:pPr>
        <w:pStyle w:val="a6"/>
        <w:numPr>
          <w:ilvl w:val="0"/>
          <w:numId w:val="1"/>
        </w:numPr>
        <w:shd w:val="clear" w:color="auto" w:fill="FFFFFF"/>
        <w:spacing w:before="0" w:beforeAutospacing="0" w:after="0" w:afterAutospacing="0" w:line="360" w:lineRule="auto"/>
        <w:ind w:left="284" w:firstLine="709"/>
        <w:jc w:val="both"/>
        <w:rPr>
          <w:sz w:val="28"/>
          <w:szCs w:val="28"/>
        </w:rPr>
      </w:pPr>
      <w:r>
        <w:rPr>
          <w:sz w:val="28"/>
          <w:szCs w:val="28"/>
        </w:rPr>
        <w:t xml:space="preserve">Проанализировать существующие методы оценки компаний для целей </w:t>
      </w:r>
      <w:r>
        <w:rPr>
          <w:sz w:val="28"/>
          <w:szCs w:val="28"/>
          <w:lang w:val="en-US"/>
        </w:rPr>
        <w:t>M</w:t>
      </w:r>
      <w:r w:rsidRPr="0089299B">
        <w:rPr>
          <w:sz w:val="28"/>
          <w:szCs w:val="28"/>
        </w:rPr>
        <w:t>&amp;</w:t>
      </w:r>
      <w:r>
        <w:rPr>
          <w:sz w:val="28"/>
          <w:szCs w:val="28"/>
          <w:lang w:val="en-US"/>
        </w:rPr>
        <w:t>A</w:t>
      </w:r>
      <w:r>
        <w:rPr>
          <w:sz w:val="28"/>
          <w:szCs w:val="28"/>
        </w:rPr>
        <w:t xml:space="preserve"> и выделить наиболее применимые из них;</w:t>
      </w:r>
    </w:p>
    <w:p w:rsidR="005210CA" w:rsidRDefault="003A1588" w:rsidP="005210CA">
      <w:pPr>
        <w:pStyle w:val="a6"/>
        <w:numPr>
          <w:ilvl w:val="0"/>
          <w:numId w:val="1"/>
        </w:numPr>
        <w:shd w:val="clear" w:color="auto" w:fill="FFFFFF"/>
        <w:spacing w:before="0" w:beforeAutospacing="0" w:after="0" w:afterAutospacing="0" w:line="360" w:lineRule="auto"/>
        <w:ind w:left="284" w:firstLine="709"/>
        <w:jc w:val="both"/>
        <w:rPr>
          <w:sz w:val="28"/>
          <w:szCs w:val="28"/>
        </w:rPr>
      </w:pPr>
      <w:r>
        <w:rPr>
          <w:sz w:val="28"/>
          <w:szCs w:val="28"/>
        </w:rPr>
        <w:t>Проанализировать динамику и отраслевые тенденции, наблюдаемые на рынке слияний в России в 2012 году;</w:t>
      </w:r>
    </w:p>
    <w:p w:rsidR="003A1588" w:rsidRPr="005210CA" w:rsidRDefault="003A1588" w:rsidP="005210CA">
      <w:pPr>
        <w:pStyle w:val="a6"/>
        <w:numPr>
          <w:ilvl w:val="0"/>
          <w:numId w:val="1"/>
        </w:numPr>
        <w:shd w:val="clear" w:color="auto" w:fill="FFFFFF"/>
        <w:spacing w:before="0" w:beforeAutospacing="0" w:after="0" w:afterAutospacing="0" w:line="360" w:lineRule="auto"/>
        <w:ind w:left="284" w:firstLine="709"/>
        <w:jc w:val="both"/>
        <w:rPr>
          <w:sz w:val="28"/>
          <w:szCs w:val="28"/>
        </w:rPr>
      </w:pPr>
      <w:r w:rsidRPr="005210CA">
        <w:rPr>
          <w:sz w:val="28"/>
          <w:szCs w:val="28"/>
        </w:rPr>
        <w:t>Проанализировать рынок кондитерских изделий и выявить основных конкурентов для оценив</w:t>
      </w:r>
      <w:r w:rsidR="00693686" w:rsidRPr="005210CA">
        <w:rPr>
          <w:sz w:val="28"/>
          <w:szCs w:val="28"/>
        </w:rPr>
        <w:t>аемых компаний</w:t>
      </w:r>
      <w:r w:rsidR="00C243B2" w:rsidRPr="005210CA">
        <w:rPr>
          <w:sz w:val="28"/>
          <w:szCs w:val="28"/>
        </w:rPr>
        <w:t xml:space="preserve"> с целью прогнозирования дальнейшего развития и темпов роста, как отрасли, так и объектов оценки</w:t>
      </w:r>
      <w:r w:rsidR="00693686" w:rsidRPr="005210CA">
        <w:rPr>
          <w:sz w:val="28"/>
          <w:szCs w:val="28"/>
        </w:rPr>
        <w:t>;</w:t>
      </w:r>
    </w:p>
    <w:p w:rsidR="00693686" w:rsidRDefault="00693686" w:rsidP="004843D8">
      <w:pPr>
        <w:pStyle w:val="a6"/>
        <w:numPr>
          <w:ilvl w:val="0"/>
          <w:numId w:val="1"/>
        </w:numPr>
        <w:shd w:val="clear" w:color="auto" w:fill="FFFFFF"/>
        <w:spacing w:before="0" w:beforeAutospacing="0" w:after="0" w:afterAutospacing="0" w:line="360" w:lineRule="auto"/>
        <w:ind w:left="284" w:firstLine="709"/>
        <w:jc w:val="both"/>
        <w:rPr>
          <w:sz w:val="28"/>
          <w:szCs w:val="28"/>
        </w:rPr>
      </w:pPr>
      <w:r>
        <w:rPr>
          <w:sz w:val="28"/>
          <w:szCs w:val="28"/>
        </w:rPr>
        <w:t>Оценить стоимость компаний, участвующих в присоединении</w:t>
      </w:r>
      <w:r w:rsidR="00A10FA5">
        <w:rPr>
          <w:sz w:val="28"/>
          <w:szCs w:val="28"/>
        </w:rPr>
        <w:t xml:space="preserve"> с целью сравнения с</w:t>
      </w:r>
      <w:r w:rsidR="00C243B2">
        <w:rPr>
          <w:sz w:val="28"/>
          <w:szCs w:val="28"/>
        </w:rPr>
        <w:t xml:space="preserve"> рыночной оценкой</w:t>
      </w:r>
      <w:r>
        <w:rPr>
          <w:sz w:val="28"/>
          <w:szCs w:val="28"/>
        </w:rPr>
        <w:t>;</w:t>
      </w:r>
    </w:p>
    <w:p w:rsidR="00693686" w:rsidRDefault="00693686" w:rsidP="004843D8">
      <w:pPr>
        <w:pStyle w:val="a6"/>
        <w:numPr>
          <w:ilvl w:val="0"/>
          <w:numId w:val="1"/>
        </w:numPr>
        <w:shd w:val="clear" w:color="auto" w:fill="FFFFFF"/>
        <w:spacing w:before="0" w:beforeAutospacing="0" w:after="0" w:afterAutospacing="0" w:line="360" w:lineRule="auto"/>
        <w:ind w:left="284" w:firstLine="709"/>
        <w:jc w:val="both"/>
        <w:rPr>
          <w:sz w:val="28"/>
          <w:szCs w:val="28"/>
        </w:rPr>
      </w:pPr>
      <w:r>
        <w:rPr>
          <w:sz w:val="28"/>
          <w:szCs w:val="28"/>
        </w:rPr>
        <w:t>Выявить синергетический эфф</w:t>
      </w:r>
      <w:r w:rsidR="004843D8">
        <w:rPr>
          <w:sz w:val="28"/>
          <w:szCs w:val="28"/>
        </w:rPr>
        <w:t>ект от объединения и оценить</w:t>
      </w:r>
      <w:r w:rsidR="00C243B2">
        <w:rPr>
          <w:sz w:val="28"/>
          <w:szCs w:val="28"/>
          <w:highlight w:val="yellow"/>
        </w:rPr>
        <w:t xml:space="preserve"> </w:t>
      </w:r>
      <w:r w:rsidR="00C243B2" w:rsidRPr="00DB4A75">
        <w:rPr>
          <w:sz w:val="28"/>
          <w:szCs w:val="28"/>
        </w:rPr>
        <w:t>его, с целью</w:t>
      </w:r>
      <w:r w:rsidR="00DB4A75" w:rsidRPr="00DB4A75">
        <w:rPr>
          <w:sz w:val="28"/>
          <w:szCs w:val="28"/>
        </w:rPr>
        <w:t xml:space="preserve"> определения эффективности и оправданности совершенной сделки</w:t>
      </w:r>
      <w:r w:rsidRPr="00DB4A75">
        <w:rPr>
          <w:sz w:val="28"/>
          <w:szCs w:val="28"/>
        </w:rPr>
        <w:t>;</w:t>
      </w:r>
    </w:p>
    <w:p w:rsidR="00693686" w:rsidRDefault="003E1755" w:rsidP="002A2DE3">
      <w:pPr>
        <w:pStyle w:val="a6"/>
        <w:shd w:val="clear" w:color="auto" w:fill="FFFFFF"/>
        <w:spacing w:before="0" w:beforeAutospacing="0" w:after="0" w:afterAutospacing="0" w:line="360" w:lineRule="auto"/>
        <w:ind w:firstLine="709"/>
        <w:jc w:val="both"/>
        <w:rPr>
          <w:sz w:val="28"/>
          <w:szCs w:val="28"/>
        </w:rPr>
      </w:pPr>
      <w:r>
        <w:rPr>
          <w:sz w:val="28"/>
          <w:szCs w:val="28"/>
        </w:rPr>
        <w:t>Объек</w:t>
      </w:r>
      <w:r w:rsidR="00AB6064">
        <w:rPr>
          <w:sz w:val="28"/>
          <w:szCs w:val="28"/>
        </w:rPr>
        <w:t xml:space="preserve">том исследования работы выступает </w:t>
      </w:r>
      <w:r w:rsidR="0029650B" w:rsidRPr="00390FBE">
        <w:rPr>
          <w:color w:val="000000"/>
          <w:sz w:val="28"/>
        </w:rPr>
        <w:t>сделка поглощения</w:t>
      </w:r>
      <w:r w:rsidR="00C243B2">
        <w:rPr>
          <w:sz w:val="28"/>
          <w:szCs w:val="28"/>
        </w:rPr>
        <w:t xml:space="preserve"> между двумя участниками кондитерского рынка, </w:t>
      </w:r>
      <w:r w:rsidR="00DB4A75">
        <w:rPr>
          <w:sz w:val="28"/>
          <w:szCs w:val="28"/>
        </w:rPr>
        <w:t>«</w:t>
      </w:r>
      <w:proofErr w:type="spellStart"/>
      <w:r w:rsidR="00DB4A75">
        <w:rPr>
          <w:sz w:val="28"/>
          <w:szCs w:val="28"/>
        </w:rPr>
        <w:t>СладКо</w:t>
      </w:r>
      <w:proofErr w:type="spellEnd"/>
      <w:r w:rsidR="00DB4A75">
        <w:rPr>
          <w:sz w:val="28"/>
          <w:szCs w:val="28"/>
        </w:rPr>
        <w:t>» и «Крупская»</w:t>
      </w:r>
      <w:r w:rsidR="00AB6064">
        <w:rPr>
          <w:sz w:val="28"/>
          <w:szCs w:val="28"/>
        </w:rPr>
        <w:t>.</w:t>
      </w:r>
    </w:p>
    <w:p w:rsidR="00AB6064" w:rsidRDefault="003E1755" w:rsidP="002A2DE3">
      <w:pPr>
        <w:pStyle w:val="a6"/>
        <w:shd w:val="clear" w:color="auto" w:fill="FFFFFF"/>
        <w:spacing w:before="0" w:beforeAutospacing="0" w:after="0" w:afterAutospacing="0" w:line="360" w:lineRule="auto"/>
        <w:ind w:firstLine="709"/>
        <w:jc w:val="both"/>
        <w:rPr>
          <w:sz w:val="28"/>
          <w:szCs w:val="28"/>
        </w:rPr>
      </w:pPr>
      <w:r>
        <w:rPr>
          <w:sz w:val="28"/>
          <w:szCs w:val="28"/>
        </w:rPr>
        <w:t>В свою очередь предметом</w:t>
      </w:r>
      <w:r w:rsidR="00AB6064">
        <w:rPr>
          <w:sz w:val="28"/>
          <w:szCs w:val="28"/>
        </w:rPr>
        <w:t xml:space="preserve"> исследования в данной работе является оценка стоимости присоединяемой компании ОАО «Кондитерское </w:t>
      </w:r>
      <w:r w:rsidR="00AB6064" w:rsidRPr="004328DD">
        <w:rPr>
          <w:sz w:val="28"/>
          <w:szCs w:val="28"/>
        </w:rPr>
        <w:t>объединение «</w:t>
      </w:r>
      <w:proofErr w:type="spellStart"/>
      <w:r w:rsidR="00AB6064" w:rsidRPr="004328DD">
        <w:rPr>
          <w:sz w:val="28"/>
          <w:szCs w:val="28"/>
        </w:rPr>
        <w:t>СладКо</w:t>
      </w:r>
      <w:proofErr w:type="spellEnd"/>
      <w:r w:rsidR="00AB6064" w:rsidRPr="004328DD">
        <w:rPr>
          <w:sz w:val="28"/>
          <w:szCs w:val="28"/>
        </w:rPr>
        <w:t xml:space="preserve">» и оценка </w:t>
      </w:r>
      <w:r w:rsidR="004328DD" w:rsidRPr="004328DD">
        <w:rPr>
          <w:sz w:val="28"/>
          <w:szCs w:val="28"/>
        </w:rPr>
        <w:t xml:space="preserve">операционного </w:t>
      </w:r>
      <w:r w:rsidR="00AB6064" w:rsidRPr="004328DD">
        <w:rPr>
          <w:sz w:val="28"/>
          <w:szCs w:val="28"/>
        </w:rPr>
        <w:t>синергетического эффекта.</w:t>
      </w:r>
    </w:p>
    <w:p w:rsidR="00AB6064" w:rsidRDefault="00AB6064" w:rsidP="002A2DE3">
      <w:pPr>
        <w:pStyle w:val="a6"/>
        <w:shd w:val="clear" w:color="auto" w:fill="FFFFFF"/>
        <w:spacing w:before="0" w:beforeAutospacing="0" w:after="0" w:afterAutospacing="0" w:line="360" w:lineRule="auto"/>
        <w:ind w:firstLine="709"/>
        <w:jc w:val="both"/>
        <w:rPr>
          <w:sz w:val="28"/>
          <w:szCs w:val="28"/>
        </w:rPr>
      </w:pPr>
      <w:r>
        <w:rPr>
          <w:sz w:val="28"/>
          <w:szCs w:val="28"/>
        </w:rPr>
        <w:t>В</w:t>
      </w:r>
      <w:r w:rsidR="003E1755">
        <w:rPr>
          <w:sz w:val="28"/>
          <w:szCs w:val="28"/>
        </w:rPr>
        <w:t xml:space="preserve"> ходе написания дипломной работы были</w:t>
      </w:r>
      <w:r>
        <w:rPr>
          <w:sz w:val="28"/>
          <w:szCs w:val="28"/>
        </w:rPr>
        <w:t xml:space="preserve"> использованы </w:t>
      </w:r>
      <w:r w:rsidR="00D8078C">
        <w:rPr>
          <w:sz w:val="28"/>
          <w:szCs w:val="28"/>
        </w:rPr>
        <w:t xml:space="preserve">методики оценки бизнеса, а также методы анализа и синтеза теоретического материала, методы анализа финансовой отчетности и финансового состояния компании, </w:t>
      </w:r>
      <w:proofErr w:type="spellStart"/>
      <w:proofErr w:type="gramStart"/>
      <w:r w:rsidR="00D8078C">
        <w:rPr>
          <w:sz w:val="28"/>
          <w:szCs w:val="28"/>
        </w:rPr>
        <w:t>статистико</w:t>
      </w:r>
      <w:proofErr w:type="spellEnd"/>
      <w:r w:rsidR="00D8078C">
        <w:rPr>
          <w:sz w:val="28"/>
          <w:szCs w:val="28"/>
        </w:rPr>
        <w:t xml:space="preserve"> – экономический</w:t>
      </w:r>
      <w:proofErr w:type="gramEnd"/>
      <w:r w:rsidR="00D8078C">
        <w:rPr>
          <w:sz w:val="28"/>
          <w:szCs w:val="28"/>
        </w:rPr>
        <w:t xml:space="preserve"> анализ и др.</w:t>
      </w:r>
    </w:p>
    <w:p w:rsidR="004B3EBB" w:rsidRDefault="004B3EBB" w:rsidP="002A2DE3">
      <w:pPr>
        <w:pStyle w:val="a6"/>
        <w:shd w:val="clear" w:color="auto" w:fill="FFFFFF"/>
        <w:spacing w:before="0" w:beforeAutospacing="0" w:after="0" w:afterAutospacing="0" w:line="360" w:lineRule="auto"/>
        <w:ind w:firstLine="709"/>
        <w:jc w:val="both"/>
        <w:rPr>
          <w:sz w:val="28"/>
          <w:szCs w:val="28"/>
        </w:rPr>
      </w:pPr>
      <w:r>
        <w:rPr>
          <w:sz w:val="28"/>
          <w:szCs w:val="28"/>
        </w:rPr>
        <w:lastRenderedPageBreak/>
        <w:t>О</w:t>
      </w:r>
      <w:r w:rsidR="004328DD">
        <w:rPr>
          <w:sz w:val="28"/>
          <w:szCs w:val="28"/>
        </w:rPr>
        <w:t>сновой для теоретической части проводимого исследования</w:t>
      </w:r>
      <w:r>
        <w:rPr>
          <w:sz w:val="28"/>
          <w:szCs w:val="28"/>
        </w:rPr>
        <w:t xml:space="preserve"> послужили </w:t>
      </w:r>
      <w:r w:rsidR="00A354AC">
        <w:rPr>
          <w:sz w:val="28"/>
          <w:szCs w:val="28"/>
        </w:rPr>
        <w:t>труды и исследовательские работы известных теоретиков и практиков в области слияний и поглощений, а также оценки бизнеса. В частности</w:t>
      </w:r>
      <w:r w:rsidR="00A354AC" w:rsidRPr="00A354AC">
        <w:rPr>
          <w:sz w:val="28"/>
          <w:szCs w:val="28"/>
        </w:rPr>
        <w:t>,</w:t>
      </w:r>
      <w:r w:rsidR="00A354AC">
        <w:rPr>
          <w:sz w:val="28"/>
          <w:szCs w:val="28"/>
        </w:rPr>
        <w:t xml:space="preserve"> можно перечислить основных иностранных авторов: </w:t>
      </w:r>
      <w:proofErr w:type="spellStart"/>
      <w:r w:rsidR="00A354AC" w:rsidRPr="00A354AC">
        <w:rPr>
          <w:sz w:val="28"/>
          <w:szCs w:val="28"/>
        </w:rPr>
        <w:t>АсватДамодаран</w:t>
      </w:r>
      <w:proofErr w:type="spellEnd"/>
      <w:r w:rsidR="00A354AC" w:rsidRPr="00A354AC">
        <w:rPr>
          <w:sz w:val="28"/>
          <w:szCs w:val="28"/>
        </w:rPr>
        <w:t>,</w:t>
      </w:r>
      <w:r w:rsidR="003E7159">
        <w:rPr>
          <w:sz w:val="28"/>
          <w:szCs w:val="28"/>
        </w:rPr>
        <w:t xml:space="preserve"> </w:t>
      </w:r>
      <w:r w:rsidR="0010017C">
        <w:rPr>
          <w:sz w:val="28"/>
          <w:szCs w:val="28"/>
        </w:rPr>
        <w:t xml:space="preserve">Дональд </w:t>
      </w:r>
      <w:proofErr w:type="spellStart"/>
      <w:r w:rsidR="0010017C">
        <w:rPr>
          <w:sz w:val="28"/>
          <w:szCs w:val="28"/>
        </w:rPr>
        <w:t>Депамфилис</w:t>
      </w:r>
      <w:proofErr w:type="spellEnd"/>
      <w:r w:rsidR="0010017C">
        <w:rPr>
          <w:sz w:val="28"/>
          <w:szCs w:val="28"/>
        </w:rPr>
        <w:t xml:space="preserve">, </w:t>
      </w:r>
      <w:r w:rsidR="00A354AC">
        <w:rPr>
          <w:sz w:val="28"/>
          <w:szCs w:val="28"/>
        </w:rPr>
        <w:t>Фрэнк Эванс и Дэвид Бишоп,  Патрик Го</w:t>
      </w:r>
      <w:proofErr w:type="gramStart"/>
      <w:r w:rsidR="00A354AC">
        <w:rPr>
          <w:sz w:val="28"/>
          <w:szCs w:val="28"/>
          <w:lang w:val="en-US"/>
        </w:rPr>
        <w:t>x</w:t>
      </w:r>
      <w:proofErr w:type="gramEnd"/>
      <w:r w:rsidR="00A354AC" w:rsidRPr="00A354AC">
        <w:rPr>
          <w:sz w:val="28"/>
          <w:szCs w:val="28"/>
        </w:rPr>
        <w:t xml:space="preserve">ан, </w:t>
      </w:r>
      <w:proofErr w:type="spellStart"/>
      <w:r w:rsidR="00A354AC">
        <w:rPr>
          <w:sz w:val="28"/>
          <w:szCs w:val="28"/>
        </w:rPr>
        <w:t>Стенли</w:t>
      </w:r>
      <w:proofErr w:type="spellEnd"/>
      <w:r w:rsidR="00A354AC">
        <w:rPr>
          <w:sz w:val="28"/>
          <w:szCs w:val="28"/>
        </w:rPr>
        <w:t xml:space="preserve"> Рид, </w:t>
      </w:r>
      <w:proofErr w:type="spellStart"/>
      <w:r w:rsidR="00A354AC" w:rsidRPr="00A354AC">
        <w:rPr>
          <w:sz w:val="28"/>
          <w:szCs w:val="28"/>
        </w:rPr>
        <w:t>ТомКоупленд</w:t>
      </w:r>
      <w:proofErr w:type="spellEnd"/>
      <w:r w:rsidR="00A354AC" w:rsidRPr="00A354AC">
        <w:rPr>
          <w:sz w:val="28"/>
          <w:szCs w:val="28"/>
        </w:rPr>
        <w:t>, Тим Колер и Марк Г</w:t>
      </w:r>
      <w:r w:rsidR="00A354AC">
        <w:rPr>
          <w:sz w:val="28"/>
          <w:szCs w:val="28"/>
          <w:lang w:val="en-US"/>
        </w:rPr>
        <w:t>o</w:t>
      </w:r>
      <w:proofErr w:type="spellStart"/>
      <w:r w:rsidR="00A354AC" w:rsidRPr="00A354AC">
        <w:rPr>
          <w:sz w:val="28"/>
          <w:szCs w:val="28"/>
        </w:rPr>
        <w:t>эрхард</w:t>
      </w:r>
      <w:proofErr w:type="spellEnd"/>
      <w:r w:rsidR="00A354AC" w:rsidRPr="00A354AC">
        <w:rPr>
          <w:sz w:val="28"/>
          <w:szCs w:val="28"/>
        </w:rPr>
        <w:t>. При</w:t>
      </w:r>
      <w:r w:rsidR="00A10FA5">
        <w:rPr>
          <w:sz w:val="28"/>
          <w:szCs w:val="28"/>
        </w:rPr>
        <w:t xml:space="preserve"> </w:t>
      </w:r>
      <w:r w:rsidR="0010017C">
        <w:rPr>
          <w:sz w:val="28"/>
          <w:szCs w:val="28"/>
        </w:rPr>
        <w:t>этом</w:t>
      </w:r>
      <w:r w:rsidR="00A354AC">
        <w:rPr>
          <w:sz w:val="28"/>
          <w:szCs w:val="28"/>
        </w:rPr>
        <w:t xml:space="preserve"> следует </w:t>
      </w:r>
      <w:r w:rsidR="00A354AC" w:rsidRPr="00A354AC">
        <w:rPr>
          <w:sz w:val="28"/>
          <w:szCs w:val="28"/>
        </w:rPr>
        <w:t>отметить, что, несмотря на</w:t>
      </w:r>
      <w:r w:rsidR="00A10FA5">
        <w:rPr>
          <w:sz w:val="28"/>
          <w:szCs w:val="28"/>
        </w:rPr>
        <w:t xml:space="preserve"> </w:t>
      </w:r>
      <w:r w:rsidR="00A354AC" w:rsidRPr="00A354AC">
        <w:rPr>
          <w:sz w:val="28"/>
          <w:szCs w:val="28"/>
        </w:rPr>
        <w:t>достаточно широкое освеще</w:t>
      </w:r>
      <w:r w:rsidR="00A354AC">
        <w:rPr>
          <w:sz w:val="28"/>
          <w:szCs w:val="28"/>
        </w:rPr>
        <w:t xml:space="preserve">ние темы слияний и поглощений, характерной чертой </w:t>
      </w:r>
      <w:r w:rsidR="00A354AC" w:rsidRPr="00A354AC">
        <w:rPr>
          <w:sz w:val="28"/>
          <w:szCs w:val="28"/>
        </w:rPr>
        <w:t>большинства нау</w:t>
      </w:r>
      <w:r w:rsidR="0010017C">
        <w:rPr>
          <w:sz w:val="28"/>
          <w:szCs w:val="28"/>
        </w:rPr>
        <w:t>чных работ является привязанность</w:t>
      </w:r>
      <w:r w:rsidR="00A354AC" w:rsidRPr="00A354AC">
        <w:rPr>
          <w:sz w:val="28"/>
          <w:szCs w:val="28"/>
        </w:rPr>
        <w:t xml:space="preserve"> к американской практике</w:t>
      </w:r>
      <w:r w:rsidR="003E7159">
        <w:rPr>
          <w:sz w:val="28"/>
          <w:szCs w:val="28"/>
        </w:rPr>
        <w:t xml:space="preserve"> </w:t>
      </w:r>
      <w:r w:rsidR="00A354AC" w:rsidRPr="00A354AC">
        <w:rPr>
          <w:sz w:val="28"/>
          <w:szCs w:val="28"/>
        </w:rPr>
        <w:t>проведения сделок</w:t>
      </w:r>
      <w:proofErr w:type="gramStart"/>
      <w:r w:rsidR="0010017C">
        <w:rPr>
          <w:sz w:val="28"/>
          <w:szCs w:val="28"/>
          <w:lang w:val="en-US"/>
        </w:rPr>
        <w:t>M</w:t>
      </w:r>
      <w:proofErr w:type="gramEnd"/>
      <w:r w:rsidR="0010017C" w:rsidRPr="0010017C">
        <w:rPr>
          <w:sz w:val="28"/>
          <w:szCs w:val="28"/>
        </w:rPr>
        <w:t>&amp;</w:t>
      </w:r>
      <w:r w:rsidR="0010017C">
        <w:rPr>
          <w:sz w:val="28"/>
          <w:szCs w:val="28"/>
          <w:lang w:val="en-US"/>
        </w:rPr>
        <w:t>A</w:t>
      </w:r>
      <w:r w:rsidR="0010017C">
        <w:rPr>
          <w:sz w:val="28"/>
          <w:szCs w:val="28"/>
        </w:rPr>
        <w:t>. Лишь малая часть исследовательских работ затрагивает российскую специфику. Среди российских авторов мо</w:t>
      </w:r>
      <w:r w:rsidR="00A354AC" w:rsidRPr="00A354AC">
        <w:rPr>
          <w:sz w:val="28"/>
          <w:szCs w:val="28"/>
        </w:rPr>
        <w:t>жно выделить</w:t>
      </w:r>
      <w:r w:rsidR="0010017C">
        <w:rPr>
          <w:sz w:val="28"/>
          <w:szCs w:val="28"/>
        </w:rPr>
        <w:t xml:space="preserve"> следующих:</w:t>
      </w:r>
      <w:r w:rsidR="00A10FA5">
        <w:rPr>
          <w:sz w:val="28"/>
          <w:szCs w:val="28"/>
        </w:rPr>
        <w:t xml:space="preserve"> </w:t>
      </w:r>
      <w:r w:rsidR="0010017C">
        <w:rPr>
          <w:sz w:val="28"/>
          <w:szCs w:val="28"/>
        </w:rPr>
        <w:t xml:space="preserve">Д. </w:t>
      </w:r>
      <w:proofErr w:type="spellStart"/>
      <w:r w:rsidR="0010017C">
        <w:rPr>
          <w:sz w:val="28"/>
          <w:szCs w:val="28"/>
        </w:rPr>
        <w:t>Ендовицкий</w:t>
      </w:r>
      <w:proofErr w:type="spellEnd"/>
      <w:r w:rsidR="0010017C">
        <w:rPr>
          <w:sz w:val="28"/>
          <w:szCs w:val="28"/>
        </w:rPr>
        <w:t xml:space="preserve">, </w:t>
      </w:r>
      <w:r w:rsidR="00A354AC" w:rsidRPr="00A354AC">
        <w:rPr>
          <w:sz w:val="28"/>
          <w:szCs w:val="28"/>
        </w:rPr>
        <w:t xml:space="preserve">Ю. </w:t>
      </w:r>
      <w:proofErr w:type="spellStart"/>
      <w:r w:rsidR="00A354AC" w:rsidRPr="00A354AC">
        <w:rPr>
          <w:sz w:val="28"/>
          <w:szCs w:val="28"/>
        </w:rPr>
        <w:t>Ингнатишина</w:t>
      </w:r>
      <w:proofErr w:type="spellEnd"/>
      <w:r w:rsidR="0010017C">
        <w:rPr>
          <w:sz w:val="28"/>
          <w:szCs w:val="28"/>
        </w:rPr>
        <w:t>, Д. Лысенко и Б</w:t>
      </w:r>
      <w:r w:rsidR="00A354AC" w:rsidRPr="00A354AC">
        <w:rPr>
          <w:sz w:val="28"/>
          <w:szCs w:val="28"/>
        </w:rPr>
        <w:t xml:space="preserve">. </w:t>
      </w:r>
      <w:proofErr w:type="spellStart"/>
      <w:r w:rsidR="00A354AC" w:rsidRPr="00A354AC">
        <w:rPr>
          <w:sz w:val="28"/>
          <w:szCs w:val="28"/>
        </w:rPr>
        <w:t>Рудыка</w:t>
      </w:r>
      <w:proofErr w:type="spellEnd"/>
      <w:r w:rsidR="00A354AC" w:rsidRPr="00A354AC">
        <w:rPr>
          <w:sz w:val="28"/>
          <w:szCs w:val="28"/>
        </w:rPr>
        <w:t>. Что касается</w:t>
      </w:r>
      <w:r w:rsidR="0007618E">
        <w:rPr>
          <w:sz w:val="28"/>
          <w:szCs w:val="28"/>
        </w:rPr>
        <w:t xml:space="preserve"> </w:t>
      </w:r>
      <w:r w:rsidR="00A354AC" w:rsidRPr="00A354AC">
        <w:rPr>
          <w:sz w:val="28"/>
          <w:szCs w:val="28"/>
        </w:rPr>
        <w:t>используемого в работе фактического материала, то основными его источниками были</w:t>
      </w:r>
      <w:r w:rsidR="004328DD">
        <w:rPr>
          <w:sz w:val="28"/>
          <w:szCs w:val="28"/>
        </w:rPr>
        <w:t xml:space="preserve"> </w:t>
      </w:r>
      <w:r w:rsidR="00A354AC" w:rsidRPr="00A354AC">
        <w:rPr>
          <w:sz w:val="28"/>
          <w:szCs w:val="28"/>
        </w:rPr>
        <w:t xml:space="preserve">отчеты инвестиционных банков и ведущих консалтинговых фирм, таких как </w:t>
      </w:r>
      <w:proofErr w:type="spellStart"/>
      <w:r w:rsidR="00A354AC" w:rsidRPr="00A354AC">
        <w:rPr>
          <w:sz w:val="28"/>
          <w:szCs w:val="28"/>
        </w:rPr>
        <w:t>McKinsey</w:t>
      </w:r>
      <w:proofErr w:type="spellEnd"/>
      <w:r w:rsidR="00A354AC" w:rsidRPr="00A354AC">
        <w:rPr>
          <w:sz w:val="28"/>
          <w:szCs w:val="28"/>
        </w:rPr>
        <w:t xml:space="preserve">, KPMG, </w:t>
      </w:r>
      <w:proofErr w:type="spellStart"/>
      <w:r w:rsidR="00A354AC" w:rsidRPr="00A354AC">
        <w:rPr>
          <w:sz w:val="28"/>
          <w:szCs w:val="28"/>
        </w:rPr>
        <w:t>Ernst&amp;Young</w:t>
      </w:r>
      <w:proofErr w:type="spellEnd"/>
      <w:r w:rsidR="00A354AC" w:rsidRPr="00A354AC">
        <w:rPr>
          <w:sz w:val="28"/>
          <w:szCs w:val="28"/>
        </w:rPr>
        <w:t>,</w:t>
      </w:r>
      <w:r w:rsidR="00A10FA5">
        <w:rPr>
          <w:sz w:val="28"/>
          <w:szCs w:val="28"/>
        </w:rPr>
        <w:t xml:space="preserve"> </w:t>
      </w:r>
      <w:r w:rsidR="00D8078C">
        <w:rPr>
          <w:sz w:val="28"/>
          <w:szCs w:val="28"/>
          <w:lang w:val="en-US"/>
        </w:rPr>
        <w:t>AK</w:t>
      </w:r>
      <w:r w:rsidR="00D8078C" w:rsidRPr="00D8078C">
        <w:rPr>
          <w:sz w:val="28"/>
          <w:szCs w:val="28"/>
        </w:rPr>
        <w:t>&amp;</w:t>
      </w:r>
      <w:r w:rsidR="00D8078C">
        <w:rPr>
          <w:sz w:val="28"/>
          <w:szCs w:val="28"/>
          <w:lang w:val="en-US"/>
        </w:rPr>
        <w:t>M</w:t>
      </w:r>
      <w:r w:rsidR="004328DD">
        <w:rPr>
          <w:sz w:val="28"/>
          <w:szCs w:val="28"/>
        </w:rPr>
        <w:t>. Использовалась</w:t>
      </w:r>
      <w:r w:rsidR="00A354AC" w:rsidRPr="00A354AC">
        <w:rPr>
          <w:sz w:val="28"/>
          <w:szCs w:val="28"/>
        </w:rPr>
        <w:t xml:space="preserve"> информация, представленная на сайта</w:t>
      </w:r>
      <w:r w:rsidR="000171E0">
        <w:rPr>
          <w:sz w:val="28"/>
          <w:szCs w:val="28"/>
        </w:rPr>
        <w:t>х рассматриваемых и оцениваемых компаний. Т</w:t>
      </w:r>
      <w:r w:rsidR="00A354AC" w:rsidRPr="00A354AC">
        <w:rPr>
          <w:sz w:val="28"/>
          <w:szCs w:val="28"/>
        </w:rPr>
        <w:t>акже глобальные информационные</w:t>
      </w:r>
      <w:r w:rsidR="0007618E">
        <w:rPr>
          <w:sz w:val="28"/>
          <w:szCs w:val="28"/>
        </w:rPr>
        <w:t xml:space="preserve"> </w:t>
      </w:r>
      <w:r w:rsidR="000171E0">
        <w:rPr>
          <w:sz w:val="28"/>
          <w:szCs w:val="28"/>
        </w:rPr>
        <w:t xml:space="preserve">системы, такие как </w:t>
      </w:r>
      <w:proofErr w:type="spellStart"/>
      <w:r w:rsidR="000171E0">
        <w:rPr>
          <w:sz w:val="28"/>
          <w:szCs w:val="28"/>
        </w:rPr>
        <w:t>Bloomberg</w:t>
      </w:r>
      <w:proofErr w:type="spellEnd"/>
      <w:r w:rsidR="000171E0">
        <w:rPr>
          <w:sz w:val="28"/>
          <w:szCs w:val="28"/>
        </w:rPr>
        <w:t xml:space="preserve">, </w:t>
      </w:r>
      <w:proofErr w:type="spellStart"/>
      <w:r w:rsidR="000171E0">
        <w:rPr>
          <w:sz w:val="28"/>
          <w:szCs w:val="28"/>
        </w:rPr>
        <w:t>MergerMarket</w:t>
      </w:r>
      <w:proofErr w:type="spellEnd"/>
      <w:r w:rsidR="000171E0">
        <w:rPr>
          <w:sz w:val="28"/>
          <w:szCs w:val="28"/>
        </w:rPr>
        <w:t xml:space="preserve"> и </w:t>
      </w:r>
      <w:r w:rsidR="0007618E">
        <w:rPr>
          <w:sz w:val="28"/>
          <w:szCs w:val="28"/>
        </w:rPr>
        <w:t xml:space="preserve">база данных </w:t>
      </w:r>
      <w:proofErr w:type="spellStart"/>
      <w:r w:rsidR="0007618E">
        <w:rPr>
          <w:sz w:val="28"/>
          <w:szCs w:val="28"/>
        </w:rPr>
        <w:t>Асвата</w:t>
      </w:r>
      <w:proofErr w:type="spellEnd"/>
      <w:r w:rsidR="0007618E">
        <w:rPr>
          <w:sz w:val="28"/>
          <w:szCs w:val="28"/>
        </w:rPr>
        <w:t xml:space="preserve"> </w:t>
      </w:r>
      <w:proofErr w:type="spellStart"/>
      <w:r w:rsidR="0007618E">
        <w:rPr>
          <w:sz w:val="28"/>
          <w:szCs w:val="28"/>
        </w:rPr>
        <w:t>Дамодарана</w:t>
      </w:r>
      <w:proofErr w:type="spellEnd"/>
      <w:r w:rsidR="0007618E">
        <w:rPr>
          <w:sz w:val="28"/>
          <w:szCs w:val="28"/>
        </w:rPr>
        <w:t xml:space="preserve"> - </w:t>
      </w:r>
      <w:proofErr w:type="spellStart"/>
      <w:r w:rsidR="000171E0">
        <w:rPr>
          <w:sz w:val="28"/>
          <w:szCs w:val="28"/>
          <w:lang w:val="en-US"/>
        </w:rPr>
        <w:t>Damodaran</w:t>
      </w:r>
      <w:proofErr w:type="spellEnd"/>
      <w:r w:rsidR="000171E0" w:rsidRPr="000171E0">
        <w:rPr>
          <w:sz w:val="28"/>
          <w:szCs w:val="28"/>
        </w:rPr>
        <w:t>-</w:t>
      </w:r>
      <w:r w:rsidR="000171E0">
        <w:rPr>
          <w:sz w:val="28"/>
          <w:szCs w:val="28"/>
          <w:lang w:val="en-US"/>
        </w:rPr>
        <w:t>online</w:t>
      </w:r>
      <w:r w:rsidR="000171E0">
        <w:rPr>
          <w:rStyle w:val="a5"/>
          <w:sz w:val="28"/>
          <w:szCs w:val="28"/>
          <w:lang w:val="en-US"/>
        </w:rPr>
        <w:footnoteReference w:id="3"/>
      </w:r>
      <w:r w:rsidR="000171E0" w:rsidRPr="000171E0">
        <w:rPr>
          <w:sz w:val="28"/>
          <w:szCs w:val="28"/>
        </w:rPr>
        <w:t>.</w:t>
      </w:r>
    </w:p>
    <w:p w:rsidR="0096229B" w:rsidRDefault="0096229B"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w:t>
      </w:r>
      <w:r w:rsidRPr="00B91E76">
        <w:rPr>
          <w:rFonts w:ascii="Times New Roman" w:hAnsi="Times New Roman"/>
          <w:sz w:val="28"/>
          <w:szCs w:val="28"/>
        </w:rPr>
        <w:t>главе</w:t>
      </w:r>
      <w:r w:rsidR="008334AC">
        <w:rPr>
          <w:rFonts w:ascii="Times New Roman" w:hAnsi="Times New Roman"/>
          <w:sz w:val="28"/>
          <w:szCs w:val="28"/>
        </w:rPr>
        <w:t xml:space="preserve"> исследовательской работы</w:t>
      </w:r>
      <w:r>
        <w:rPr>
          <w:rFonts w:ascii="Times New Roman" w:hAnsi="Times New Roman"/>
          <w:sz w:val="28"/>
          <w:szCs w:val="28"/>
        </w:rPr>
        <w:t xml:space="preserve"> </w:t>
      </w:r>
      <w:r w:rsidRPr="00B91E76">
        <w:rPr>
          <w:rFonts w:ascii="Times New Roman" w:hAnsi="Times New Roman"/>
          <w:sz w:val="28"/>
          <w:szCs w:val="28"/>
        </w:rPr>
        <w:t xml:space="preserve"> рассмотрены важные аспекты сделок слияния и поглощения, такие как интерпретация понятий в отечественной литературе и зарубежной, классификация и основные мотивы совершаемых сделок. </w:t>
      </w:r>
      <w:r>
        <w:rPr>
          <w:rFonts w:ascii="Times New Roman" w:hAnsi="Times New Roman"/>
          <w:sz w:val="28"/>
          <w:szCs w:val="28"/>
        </w:rPr>
        <w:t xml:space="preserve">В главе приводится анализ рынка слияний за прошедший год, в котором </w:t>
      </w:r>
      <w:r w:rsidRPr="00B91E76">
        <w:rPr>
          <w:rFonts w:ascii="Times New Roman" w:hAnsi="Times New Roman"/>
          <w:sz w:val="28"/>
          <w:szCs w:val="28"/>
        </w:rPr>
        <w:t xml:space="preserve">определены основные тенденции рынка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Pr>
          <w:rFonts w:ascii="Times New Roman" w:hAnsi="Times New Roman"/>
          <w:sz w:val="28"/>
          <w:szCs w:val="28"/>
        </w:rPr>
        <w:t>, как мирового, так и российского</w:t>
      </w:r>
      <w:r w:rsidRPr="00B91E76">
        <w:rPr>
          <w:rFonts w:ascii="Times New Roman" w:hAnsi="Times New Roman"/>
          <w:sz w:val="28"/>
          <w:szCs w:val="28"/>
        </w:rPr>
        <w:t xml:space="preserve">. </w:t>
      </w:r>
      <w:r>
        <w:rPr>
          <w:rFonts w:ascii="Times New Roman" w:hAnsi="Times New Roman"/>
          <w:sz w:val="28"/>
          <w:szCs w:val="28"/>
        </w:rPr>
        <w:t>При этом выделены характерные особенности отечественного рынка и наиболее привлекательные отрасли для целей слияний.</w:t>
      </w:r>
    </w:p>
    <w:p w:rsidR="00CF3999" w:rsidRDefault="00CF3999" w:rsidP="002A2DE3">
      <w:pPr>
        <w:tabs>
          <w:tab w:val="left" w:pos="31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рассмотрены три подхода к оценке бизнеса, которые в той или иной степени применимы для оценки стоимости компаний в </w:t>
      </w:r>
      <w:r>
        <w:rPr>
          <w:rFonts w:ascii="Times New Roman" w:hAnsi="Times New Roman" w:cs="Times New Roman"/>
          <w:sz w:val="28"/>
          <w:szCs w:val="28"/>
        </w:rPr>
        <w:lastRenderedPageBreak/>
        <w:t xml:space="preserve">целях слияния и поглощения. В частности доходный подход и метод дисконтированных денежных потоков, затратный подход и метод чистых активов, сравнительный подход и методы сделок, компаний – аналогов.  А так же раскрыто понятие синергетического эффекта и выделены источники его возникновения. Описаны существующие подходы и методики оценки выгод от сделок </w:t>
      </w:r>
      <w:r>
        <w:rPr>
          <w:rFonts w:ascii="Times New Roman" w:hAnsi="Times New Roman" w:cs="Times New Roman"/>
          <w:sz w:val="28"/>
          <w:szCs w:val="28"/>
          <w:lang w:val="en-US"/>
        </w:rPr>
        <w:t>M</w:t>
      </w:r>
      <w:r w:rsidRPr="00E96125">
        <w:rPr>
          <w:rFonts w:ascii="Times New Roman" w:hAnsi="Times New Roman" w:cs="Times New Roman"/>
          <w:sz w:val="28"/>
          <w:szCs w:val="28"/>
        </w:rPr>
        <w:t>&amp;</w:t>
      </w:r>
      <w:r>
        <w:rPr>
          <w:rFonts w:ascii="Times New Roman" w:hAnsi="Times New Roman" w:cs="Times New Roman"/>
          <w:sz w:val="28"/>
          <w:szCs w:val="28"/>
          <w:lang w:val="en-US"/>
        </w:rPr>
        <w:t>A</w:t>
      </w:r>
      <w:r w:rsidRPr="00E96125">
        <w:rPr>
          <w:rFonts w:ascii="Times New Roman" w:hAnsi="Times New Roman" w:cs="Times New Roman"/>
          <w:sz w:val="28"/>
          <w:szCs w:val="28"/>
        </w:rPr>
        <w:t xml:space="preserve">. </w:t>
      </w:r>
    </w:p>
    <w:p w:rsidR="002A2DE3" w:rsidRDefault="0096229B"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Третья глава представляет практическую часть исследования, в которой проведена о</w:t>
      </w:r>
      <w:r w:rsidRPr="00AA21EE">
        <w:rPr>
          <w:rFonts w:ascii="Times New Roman" w:hAnsi="Times New Roman"/>
          <w:sz w:val="28"/>
          <w:szCs w:val="28"/>
        </w:rPr>
        <w:t>ценка</w:t>
      </w:r>
      <w:r>
        <w:rPr>
          <w:rFonts w:ascii="Times New Roman" w:hAnsi="Times New Roman"/>
          <w:sz w:val="28"/>
          <w:szCs w:val="28"/>
        </w:rPr>
        <w:t xml:space="preserve"> компаний, участвующих в сделке присоединения. </w:t>
      </w:r>
      <w:r w:rsidR="0007618E" w:rsidRPr="0007618E">
        <w:rPr>
          <w:rFonts w:ascii="Times New Roman" w:hAnsi="Times New Roman"/>
          <w:sz w:val="28"/>
          <w:szCs w:val="28"/>
        </w:rPr>
        <w:t>Для определения стоимости компаний был применен</w:t>
      </w:r>
      <w:r w:rsidR="0007618E">
        <w:rPr>
          <w:rFonts w:ascii="Times New Roman" w:hAnsi="Times New Roman"/>
          <w:sz w:val="28"/>
          <w:szCs w:val="28"/>
        </w:rPr>
        <w:t xml:space="preserve"> доходный подход</w:t>
      </w:r>
      <w:r w:rsidRPr="00AA21EE">
        <w:rPr>
          <w:rFonts w:ascii="Times New Roman" w:hAnsi="Times New Roman"/>
          <w:sz w:val="28"/>
          <w:szCs w:val="28"/>
        </w:rPr>
        <w:t>, в частности метода дисконтированных денежных потоков (</w:t>
      </w:r>
      <w:r w:rsidRPr="00AA21EE">
        <w:rPr>
          <w:rFonts w:ascii="Times New Roman" w:hAnsi="Times New Roman"/>
          <w:sz w:val="28"/>
          <w:szCs w:val="28"/>
          <w:lang w:val="en-US"/>
        </w:rPr>
        <w:t>DCF</w:t>
      </w:r>
      <w:r w:rsidRPr="00AA21EE">
        <w:rPr>
          <w:rFonts w:ascii="Times New Roman" w:hAnsi="Times New Roman"/>
          <w:sz w:val="28"/>
          <w:szCs w:val="28"/>
        </w:rPr>
        <w:t xml:space="preserve">), так как в контексте сделки слияния другие подходы малоприменимы по </w:t>
      </w:r>
      <w:r>
        <w:rPr>
          <w:rFonts w:ascii="Times New Roman" w:hAnsi="Times New Roman"/>
          <w:sz w:val="28"/>
          <w:szCs w:val="28"/>
        </w:rPr>
        <w:t xml:space="preserve">причинам, описанным во второй </w:t>
      </w:r>
      <w:r w:rsidRPr="00AA21EE">
        <w:rPr>
          <w:rFonts w:ascii="Times New Roman" w:hAnsi="Times New Roman"/>
          <w:sz w:val="28"/>
          <w:szCs w:val="28"/>
        </w:rPr>
        <w:t>главе.</w:t>
      </w:r>
      <w:r>
        <w:rPr>
          <w:rFonts w:ascii="Times New Roman" w:hAnsi="Times New Roman"/>
          <w:sz w:val="28"/>
          <w:szCs w:val="28"/>
        </w:rPr>
        <w:t xml:space="preserve"> Компании оценивались с целью выявления синергетических выгод от объединения.</w:t>
      </w:r>
      <w:r w:rsidR="0007618E">
        <w:rPr>
          <w:rFonts w:ascii="Times New Roman" w:hAnsi="Times New Roman"/>
          <w:sz w:val="28"/>
          <w:szCs w:val="28"/>
        </w:rPr>
        <w:t xml:space="preserve"> В ходе изучения заключенной сделки присоединения «</w:t>
      </w:r>
      <w:proofErr w:type="spellStart"/>
      <w:r w:rsidR="00A65A2E">
        <w:rPr>
          <w:rFonts w:ascii="Times New Roman" w:hAnsi="Times New Roman"/>
          <w:sz w:val="28"/>
          <w:szCs w:val="28"/>
        </w:rPr>
        <w:t>СладКо</w:t>
      </w:r>
      <w:proofErr w:type="spellEnd"/>
      <w:r w:rsidR="00A65A2E">
        <w:rPr>
          <w:rFonts w:ascii="Times New Roman" w:hAnsi="Times New Roman"/>
          <w:sz w:val="28"/>
          <w:szCs w:val="28"/>
        </w:rPr>
        <w:t>» к фабрике им. Крупской были выделены вид и возможные исто</w:t>
      </w:r>
      <w:r w:rsidR="00390FBE">
        <w:rPr>
          <w:rFonts w:ascii="Times New Roman" w:hAnsi="Times New Roman"/>
          <w:sz w:val="28"/>
          <w:szCs w:val="28"/>
        </w:rPr>
        <w:t xml:space="preserve">чники синергетического эффекта. Стоимость компаний и операционная синергия были определены. Сделка, как и предсказывалось, явилась целесообразной и эффективной для обеих компаний. </w:t>
      </w:r>
    </w:p>
    <w:p w:rsidR="00390FBE" w:rsidRDefault="00390FBE" w:rsidP="002A2DE3">
      <w:pPr>
        <w:tabs>
          <w:tab w:val="left" w:pos="3119"/>
        </w:tabs>
        <w:spacing w:after="0" w:line="360" w:lineRule="auto"/>
        <w:ind w:firstLine="709"/>
        <w:jc w:val="both"/>
        <w:rPr>
          <w:rFonts w:ascii="Times New Roman" w:hAnsi="Times New Roman"/>
          <w:sz w:val="28"/>
          <w:szCs w:val="28"/>
        </w:rPr>
      </w:pPr>
    </w:p>
    <w:p w:rsidR="002A2DE3" w:rsidRDefault="002A2DE3">
      <w:pPr>
        <w:rPr>
          <w:rFonts w:ascii="Times New Roman" w:hAnsi="Times New Roman"/>
          <w:sz w:val="28"/>
          <w:szCs w:val="28"/>
        </w:rPr>
      </w:pPr>
      <w:r>
        <w:rPr>
          <w:rFonts w:ascii="Times New Roman" w:hAnsi="Times New Roman"/>
          <w:sz w:val="28"/>
          <w:szCs w:val="28"/>
        </w:rPr>
        <w:br w:type="page"/>
      </w:r>
    </w:p>
    <w:p w:rsidR="002A2DE3" w:rsidRPr="00DD4CBE" w:rsidRDefault="002A2DE3" w:rsidP="002A2DE3">
      <w:pPr>
        <w:pStyle w:val="1"/>
        <w:spacing w:before="0" w:line="360" w:lineRule="auto"/>
        <w:ind w:firstLine="709"/>
        <w:jc w:val="center"/>
        <w:rPr>
          <w:rFonts w:ascii="Times New Roman" w:hAnsi="Times New Roman"/>
          <w:color w:val="auto"/>
        </w:rPr>
      </w:pPr>
      <w:bookmarkStart w:id="0" w:name="_Toc324507328"/>
      <w:r w:rsidRPr="00E362DE">
        <w:rPr>
          <w:rFonts w:ascii="Times New Roman" w:hAnsi="Times New Roman"/>
          <w:color w:val="auto"/>
        </w:rPr>
        <w:lastRenderedPageBreak/>
        <w:t xml:space="preserve">Глава </w:t>
      </w:r>
      <w:r>
        <w:rPr>
          <w:rFonts w:ascii="Times New Roman" w:hAnsi="Times New Roman"/>
          <w:color w:val="auto"/>
        </w:rPr>
        <w:t>1</w:t>
      </w:r>
      <w:bookmarkEnd w:id="0"/>
      <w:r w:rsidR="00643D66">
        <w:rPr>
          <w:rFonts w:ascii="Times New Roman" w:hAnsi="Times New Roman"/>
          <w:color w:val="auto"/>
        </w:rPr>
        <w:t xml:space="preserve"> </w:t>
      </w:r>
      <w:r>
        <w:rPr>
          <w:rFonts w:ascii="Times New Roman" w:hAnsi="Times New Roman"/>
          <w:color w:val="auto"/>
        </w:rPr>
        <w:t xml:space="preserve">Теоретические аспекты сделок </w:t>
      </w:r>
      <w:r>
        <w:rPr>
          <w:rFonts w:ascii="Times New Roman" w:hAnsi="Times New Roman"/>
          <w:color w:val="auto"/>
          <w:lang w:val="en-US"/>
        </w:rPr>
        <w:t>M</w:t>
      </w:r>
      <w:r w:rsidRPr="00DD4CBE">
        <w:rPr>
          <w:rFonts w:ascii="Times New Roman" w:hAnsi="Times New Roman"/>
          <w:color w:val="auto"/>
        </w:rPr>
        <w:t>&amp;</w:t>
      </w:r>
      <w:r>
        <w:rPr>
          <w:rFonts w:ascii="Times New Roman" w:hAnsi="Times New Roman"/>
          <w:color w:val="auto"/>
          <w:lang w:val="en-US"/>
        </w:rPr>
        <w:t>A</w:t>
      </w:r>
      <w:r w:rsidRPr="00DD4CBE">
        <w:rPr>
          <w:rFonts w:ascii="Times New Roman" w:hAnsi="Times New Roman"/>
          <w:color w:val="auto"/>
        </w:rPr>
        <w:t xml:space="preserve"> </w:t>
      </w:r>
    </w:p>
    <w:p w:rsidR="002A2DE3" w:rsidRPr="00E362DE" w:rsidRDefault="002A2DE3" w:rsidP="002A2DE3">
      <w:pPr>
        <w:spacing w:after="0" w:line="360" w:lineRule="auto"/>
        <w:ind w:firstLine="709"/>
        <w:jc w:val="both"/>
        <w:rPr>
          <w:rFonts w:ascii="Times New Roman" w:hAnsi="Times New Roman"/>
          <w:sz w:val="28"/>
          <w:szCs w:val="28"/>
        </w:rPr>
      </w:pPr>
    </w:p>
    <w:p w:rsidR="002A2DE3" w:rsidRPr="00E362DE"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В современном мире с</w:t>
      </w:r>
      <w:r w:rsidRPr="00E362DE">
        <w:rPr>
          <w:rFonts w:ascii="Times New Roman" w:hAnsi="Times New Roman"/>
          <w:sz w:val="28"/>
          <w:szCs w:val="28"/>
        </w:rPr>
        <w:t>лияния и поглощения</w:t>
      </w:r>
      <w:r>
        <w:rPr>
          <w:rFonts w:ascii="Times New Roman" w:hAnsi="Times New Roman"/>
          <w:sz w:val="28"/>
          <w:szCs w:val="28"/>
        </w:rPr>
        <w:t xml:space="preserve"> являются неотъемлемой</w:t>
      </w:r>
      <w:r w:rsidRPr="00E362DE">
        <w:rPr>
          <w:rFonts w:ascii="Times New Roman" w:hAnsi="Times New Roman"/>
          <w:sz w:val="28"/>
          <w:szCs w:val="28"/>
        </w:rPr>
        <w:t xml:space="preserve"> частью корпоративного финансового</w:t>
      </w:r>
      <w:r>
        <w:rPr>
          <w:rFonts w:ascii="Times New Roman" w:hAnsi="Times New Roman"/>
          <w:sz w:val="28"/>
          <w:szCs w:val="28"/>
        </w:rPr>
        <w:t xml:space="preserve"> мира. Ежедневно по всему миру заключается множество </w:t>
      </w:r>
      <w:r w:rsidRPr="00E362DE">
        <w:rPr>
          <w:rFonts w:ascii="Times New Roman" w:hAnsi="Times New Roman"/>
          <w:sz w:val="28"/>
          <w:szCs w:val="28"/>
        </w:rPr>
        <w:t xml:space="preserve">сделок, которые объединяют компании с целью </w:t>
      </w:r>
      <w:r>
        <w:rPr>
          <w:rFonts w:ascii="Times New Roman" w:hAnsi="Times New Roman"/>
          <w:sz w:val="28"/>
          <w:szCs w:val="28"/>
        </w:rPr>
        <w:t>создания более крупных компаний</w:t>
      </w:r>
      <w:r w:rsidRPr="00E362DE">
        <w:rPr>
          <w:rFonts w:ascii="Times New Roman" w:hAnsi="Times New Roman"/>
          <w:sz w:val="28"/>
          <w:szCs w:val="28"/>
        </w:rPr>
        <w:t>. Обычно за объеди</w:t>
      </w:r>
      <w:r>
        <w:rPr>
          <w:rFonts w:ascii="Times New Roman" w:hAnsi="Times New Roman"/>
          <w:sz w:val="28"/>
          <w:szCs w:val="28"/>
        </w:rPr>
        <w:t>нением нескольких бизнесов стоит</w:t>
      </w:r>
      <w:r w:rsidRPr="00E362DE">
        <w:rPr>
          <w:rFonts w:ascii="Times New Roman" w:hAnsi="Times New Roman"/>
          <w:sz w:val="28"/>
          <w:szCs w:val="28"/>
        </w:rPr>
        <w:t xml:space="preserve"> увеличение рын</w:t>
      </w:r>
      <w:r>
        <w:rPr>
          <w:rFonts w:ascii="Times New Roman" w:hAnsi="Times New Roman"/>
          <w:sz w:val="28"/>
          <w:szCs w:val="28"/>
        </w:rPr>
        <w:t>очной стоимости новой компании, а в некоторых случаях и получение синергетических выгод</w:t>
      </w:r>
      <w:r w:rsidRPr="00E362DE">
        <w:rPr>
          <w:rFonts w:ascii="Times New Roman" w:hAnsi="Times New Roman"/>
          <w:sz w:val="28"/>
          <w:szCs w:val="28"/>
        </w:rPr>
        <w:t xml:space="preserve">. </w:t>
      </w:r>
    </w:p>
    <w:p w:rsidR="002A2DE3" w:rsidRPr="00E362DE"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Сделки </w:t>
      </w:r>
      <w:r w:rsidRPr="00E362DE">
        <w:rPr>
          <w:rFonts w:ascii="Times New Roman" w:hAnsi="Times New Roman"/>
          <w:sz w:val="28"/>
          <w:szCs w:val="28"/>
          <w:lang w:val="de-DE"/>
        </w:rPr>
        <w:t>M</w:t>
      </w:r>
      <w:r w:rsidRPr="00E362DE">
        <w:rPr>
          <w:rFonts w:ascii="Times New Roman" w:hAnsi="Times New Roman"/>
          <w:sz w:val="28"/>
          <w:szCs w:val="28"/>
        </w:rPr>
        <w:t>&amp;</w:t>
      </w:r>
      <w:r w:rsidRPr="00E362DE">
        <w:rPr>
          <w:rFonts w:ascii="Times New Roman" w:hAnsi="Times New Roman"/>
          <w:sz w:val="28"/>
          <w:szCs w:val="28"/>
          <w:lang w:val="en-US"/>
        </w:rPr>
        <w:t>A</w:t>
      </w:r>
      <w:r w:rsidR="00390FBE">
        <w:rPr>
          <w:rFonts w:ascii="Times New Roman" w:hAnsi="Times New Roman"/>
          <w:sz w:val="28"/>
          <w:szCs w:val="28"/>
        </w:rPr>
        <w:t xml:space="preserve"> </w:t>
      </w:r>
      <w:r>
        <w:rPr>
          <w:rFonts w:ascii="Times New Roman" w:hAnsi="Times New Roman"/>
          <w:sz w:val="28"/>
          <w:szCs w:val="28"/>
        </w:rPr>
        <w:t xml:space="preserve">актуальны даже </w:t>
      </w:r>
      <w:r w:rsidRPr="00E362DE">
        <w:rPr>
          <w:rFonts w:ascii="Times New Roman" w:hAnsi="Times New Roman"/>
          <w:sz w:val="28"/>
          <w:szCs w:val="28"/>
        </w:rPr>
        <w:t xml:space="preserve">во времена сложной </w:t>
      </w:r>
      <w:r>
        <w:rPr>
          <w:rFonts w:ascii="Times New Roman" w:hAnsi="Times New Roman"/>
          <w:sz w:val="28"/>
          <w:szCs w:val="28"/>
        </w:rPr>
        <w:t>экономической ситуации в стране, хоть их число и снижается.</w:t>
      </w:r>
      <w:r w:rsidRPr="00E362DE">
        <w:rPr>
          <w:rFonts w:ascii="Times New Roman" w:hAnsi="Times New Roman"/>
          <w:sz w:val="28"/>
          <w:szCs w:val="28"/>
        </w:rPr>
        <w:t xml:space="preserve"> Так, наиб</w:t>
      </w:r>
      <w:r>
        <w:rPr>
          <w:rFonts w:ascii="Times New Roman" w:hAnsi="Times New Roman"/>
          <w:sz w:val="28"/>
          <w:szCs w:val="28"/>
        </w:rPr>
        <w:t>олее сильные компании посредством покупки слабых или недооцененных фирм, пытаются</w:t>
      </w:r>
      <w:r w:rsidRPr="00E362DE">
        <w:rPr>
          <w:rFonts w:ascii="Times New Roman" w:hAnsi="Times New Roman"/>
          <w:sz w:val="28"/>
          <w:szCs w:val="28"/>
        </w:rPr>
        <w:t xml:space="preserve"> созда</w:t>
      </w:r>
      <w:r>
        <w:rPr>
          <w:rFonts w:ascii="Times New Roman" w:hAnsi="Times New Roman"/>
          <w:sz w:val="28"/>
          <w:szCs w:val="28"/>
        </w:rPr>
        <w:t>ть более конкурентоспособную компанию, более сильную или получить ряд выгод, в виде уменьшения затрат или увеличения доходов</w:t>
      </w:r>
      <w:r w:rsidRPr="00E362DE">
        <w:rPr>
          <w:rFonts w:ascii="Times New Roman" w:hAnsi="Times New Roman"/>
          <w:sz w:val="28"/>
          <w:szCs w:val="28"/>
        </w:rPr>
        <w:t>.</w:t>
      </w:r>
    </w:p>
    <w:p w:rsidR="002A2DE3" w:rsidRPr="00156CF8" w:rsidRDefault="002A2DE3" w:rsidP="002A2DE3">
      <w:pPr>
        <w:spacing w:after="0" w:line="360" w:lineRule="auto"/>
        <w:ind w:firstLine="709"/>
        <w:jc w:val="both"/>
        <w:rPr>
          <w:rFonts w:ascii="Times New Roman" w:hAnsi="Times New Roman"/>
          <w:bCs/>
          <w:sz w:val="28"/>
          <w:szCs w:val="28"/>
        </w:rPr>
      </w:pPr>
      <w:r>
        <w:rPr>
          <w:rStyle w:val="a8"/>
          <w:rFonts w:ascii="Times New Roman" w:hAnsi="Times New Roman"/>
          <w:b w:val="0"/>
          <w:sz w:val="28"/>
          <w:szCs w:val="28"/>
        </w:rPr>
        <w:t xml:space="preserve">В последние годы российский рынок </w:t>
      </w:r>
      <w:r>
        <w:rPr>
          <w:rStyle w:val="a8"/>
          <w:rFonts w:ascii="Times New Roman" w:hAnsi="Times New Roman"/>
          <w:b w:val="0"/>
          <w:sz w:val="28"/>
          <w:szCs w:val="28"/>
          <w:lang w:val="en-US"/>
        </w:rPr>
        <w:t>M</w:t>
      </w:r>
      <w:r w:rsidRPr="00156CF8">
        <w:rPr>
          <w:rStyle w:val="a8"/>
          <w:rFonts w:ascii="Times New Roman" w:hAnsi="Times New Roman"/>
          <w:b w:val="0"/>
          <w:sz w:val="28"/>
          <w:szCs w:val="28"/>
        </w:rPr>
        <w:t>&amp;</w:t>
      </w:r>
      <w:proofErr w:type="gramStart"/>
      <w:r>
        <w:rPr>
          <w:rStyle w:val="a8"/>
          <w:rFonts w:ascii="Times New Roman" w:hAnsi="Times New Roman"/>
          <w:b w:val="0"/>
          <w:sz w:val="28"/>
          <w:szCs w:val="28"/>
          <w:lang w:val="en-US"/>
        </w:rPr>
        <w:t>A</w:t>
      </w:r>
      <w:proofErr w:type="gramEnd"/>
      <w:r>
        <w:rPr>
          <w:rStyle w:val="a8"/>
          <w:rFonts w:ascii="Times New Roman" w:hAnsi="Times New Roman"/>
          <w:b w:val="0"/>
          <w:sz w:val="28"/>
          <w:szCs w:val="28"/>
        </w:rPr>
        <w:t xml:space="preserve">развивается довольно стремительно. Наблюдается рост </w:t>
      </w:r>
      <w:r w:rsidRPr="00E362DE">
        <w:rPr>
          <w:rStyle w:val="a8"/>
          <w:rFonts w:ascii="Times New Roman" w:hAnsi="Times New Roman"/>
          <w:b w:val="0"/>
          <w:sz w:val="28"/>
          <w:szCs w:val="28"/>
        </w:rPr>
        <w:t>активности</w:t>
      </w:r>
      <w:r>
        <w:rPr>
          <w:rStyle w:val="a8"/>
          <w:rFonts w:ascii="Times New Roman" w:hAnsi="Times New Roman"/>
          <w:b w:val="0"/>
          <w:sz w:val="28"/>
          <w:szCs w:val="28"/>
        </w:rPr>
        <w:t xml:space="preserve"> среди иностранных и отечественных компаний</w:t>
      </w:r>
      <w:r w:rsidRPr="00E362DE">
        <w:rPr>
          <w:rStyle w:val="a8"/>
          <w:rFonts w:ascii="Times New Roman" w:hAnsi="Times New Roman"/>
          <w:b w:val="0"/>
          <w:sz w:val="28"/>
          <w:szCs w:val="28"/>
        </w:rPr>
        <w:t>. Существование таких процессов является важным свойством рыночной экономики. Что же является сущностью этих процессов</w:t>
      </w:r>
      <w:r>
        <w:rPr>
          <w:rStyle w:val="a8"/>
          <w:rFonts w:ascii="Times New Roman" w:hAnsi="Times New Roman"/>
          <w:b w:val="0"/>
          <w:sz w:val="28"/>
          <w:szCs w:val="28"/>
        </w:rPr>
        <w:t>? Что побуждает компании объединяться? Какие изменения наблюдались на рынке в прошлом году?</w:t>
      </w:r>
      <w:r>
        <w:rPr>
          <w:rFonts w:ascii="Times New Roman" w:hAnsi="Times New Roman"/>
          <w:sz w:val="28"/>
          <w:szCs w:val="28"/>
        </w:rPr>
        <w:t xml:space="preserve"> На эти вопросы следует ответить, прежде чем производить оценку компании для целей </w:t>
      </w:r>
      <w:r>
        <w:rPr>
          <w:rFonts w:ascii="Times New Roman" w:hAnsi="Times New Roman"/>
          <w:sz w:val="28"/>
          <w:szCs w:val="28"/>
          <w:lang w:val="en-US"/>
        </w:rPr>
        <w:t>M</w:t>
      </w:r>
      <w:r w:rsidRPr="00156CF8">
        <w:rPr>
          <w:rFonts w:ascii="Times New Roman" w:hAnsi="Times New Roman"/>
          <w:sz w:val="28"/>
          <w:szCs w:val="28"/>
        </w:rPr>
        <w:t>&amp;</w:t>
      </w:r>
      <w:r>
        <w:rPr>
          <w:rFonts w:ascii="Times New Roman" w:hAnsi="Times New Roman"/>
          <w:sz w:val="28"/>
          <w:szCs w:val="28"/>
          <w:lang w:val="en-US"/>
        </w:rPr>
        <w:t>A</w:t>
      </w:r>
      <w:r w:rsidRPr="00156CF8">
        <w:rPr>
          <w:rFonts w:ascii="Times New Roman" w:hAnsi="Times New Roman"/>
          <w:sz w:val="28"/>
          <w:szCs w:val="28"/>
        </w:rPr>
        <w:t xml:space="preserve">. </w:t>
      </w:r>
    </w:p>
    <w:p w:rsidR="002A2DE3" w:rsidRPr="00E362DE" w:rsidRDefault="002A2DE3" w:rsidP="002A2DE3">
      <w:pPr>
        <w:pStyle w:val="a6"/>
        <w:spacing w:before="0" w:beforeAutospacing="0" w:after="0" w:afterAutospacing="0" w:line="360" w:lineRule="auto"/>
        <w:ind w:firstLine="709"/>
        <w:jc w:val="both"/>
        <w:rPr>
          <w:sz w:val="28"/>
          <w:szCs w:val="28"/>
        </w:rPr>
      </w:pPr>
    </w:p>
    <w:p w:rsidR="002A2DE3" w:rsidRPr="00E362DE" w:rsidRDefault="002A2DE3" w:rsidP="002A2DE3">
      <w:pPr>
        <w:pStyle w:val="2"/>
        <w:spacing w:before="0" w:beforeAutospacing="0" w:after="0" w:afterAutospacing="0" w:line="360" w:lineRule="auto"/>
        <w:ind w:firstLine="709"/>
        <w:jc w:val="center"/>
        <w:rPr>
          <w:sz w:val="28"/>
          <w:szCs w:val="28"/>
        </w:rPr>
      </w:pPr>
      <w:bookmarkStart w:id="1" w:name="_Toc324507329"/>
      <w:r w:rsidRPr="00E362DE">
        <w:rPr>
          <w:sz w:val="28"/>
          <w:szCs w:val="28"/>
        </w:rPr>
        <w:t>1.1</w:t>
      </w:r>
      <w:r w:rsidR="008334AC">
        <w:rPr>
          <w:sz w:val="28"/>
          <w:szCs w:val="28"/>
        </w:rPr>
        <w:t>.</w:t>
      </w:r>
      <w:r w:rsidRPr="00E362DE">
        <w:rPr>
          <w:sz w:val="28"/>
          <w:szCs w:val="28"/>
        </w:rPr>
        <w:t xml:space="preserve"> Сущность сделок </w:t>
      </w:r>
      <w:r w:rsidRPr="00E362DE">
        <w:rPr>
          <w:sz w:val="28"/>
          <w:szCs w:val="28"/>
          <w:lang w:val="de-DE"/>
        </w:rPr>
        <w:t>M</w:t>
      </w:r>
      <w:r w:rsidRPr="00E362DE">
        <w:rPr>
          <w:sz w:val="28"/>
          <w:szCs w:val="28"/>
        </w:rPr>
        <w:t>&amp;</w:t>
      </w:r>
      <w:r w:rsidRPr="00E362DE">
        <w:rPr>
          <w:sz w:val="28"/>
          <w:szCs w:val="28"/>
          <w:lang w:val="en-US"/>
        </w:rPr>
        <w:t>A</w:t>
      </w:r>
      <w:r w:rsidRPr="00E362DE">
        <w:rPr>
          <w:sz w:val="28"/>
          <w:szCs w:val="28"/>
        </w:rPr>
        <w:t xml:space="preserve"> и их классификация</w:t>
      </w:r>
      <w:bookmarkEnd w:id="1"/>
    </w:p>
    <w:p w:rsidR="002A2DE3" w:rsidRPr="00E362DE" w:rsidRDefault="002A2DE3" w:rsidP="002A2DE3">
      <w:pPr>
        <w:spacing w:after="0" w:line="360" w:lineRule="auto"/>
        <w:ind w:firstLine="709"/>
        <w:jc w:val="both"/>
        <w:rPr>
          <w:rFonts w:ascii="Times New Roman" w:hAnsi="Times New Roman"/>
          <w:sz w:val="28"/>
          <w:szCs w:val="28"/>
        </w:rPr>
      </w:pPr>
      <w:r w:rsidRPr="00E362DE">
        <w:rPr>
          <w:rFonts w:ascii="Times New Roman" w:hAnsi="Times New Roman"/>
          <w:sz w:val="28"/>
          <w:szCs w:val="28"/>
        </w:rPr>
        <w:t xml:space="preserve">Термины слияние </w:t>
      </w:r>
      <w:r w:rsidRPr="00E362DE">
        <w:rPr>
          <w:rFonts w:ascii="Times New Roman" w:hAnsi="Times New Roman"/>
          <w:color w:val="444444"/>
          <w:sz w:val="28"/>
          <w:szCs w:val="28"/>
          <w:shd w:val="clear" w:color="auto" w:fill="FFFFFF"/>
        </w:rPr>
        <w:t>(</w:t>
      </w:r>
      <w:r w:rsidRPr="00E362DE">
        <w:rPr>
          <w:rFonts w:ascii="Times New Roman" w:hAnsi="Times New Roman"/>
          <w:sz w:val="28"/>
          <w:szCs w:val="28"/>
          <w:shd w:val="clear" w:color="auto" w:fill="FFFFFF"/>
        </w:rPr>
        <w:t xml:space="preserve">англ. </w:t>
      </w:r>
      <w:proofErr w:type="spellStart"/>
      <w:r w:rsidRPr="00E362DE">
        <w:rPr>
          <w:rFonts w:ascii="Times New Roman" w:hAnsi="Times New Roman"/>
          <w:sz w:val="28"/>
          <w:szCs w:val="28"/>
          <w:shd w:val="clear" w:color="auto" w:fill="FFFFFF"/>
        </w:rPr>
        <w:t>merger</w:t>
      </w:r>
      <w:proofErr w:type="spellEnd"/>
      <w:r w:rsidRPr="00E362DE">
        <w:rPr>
          <w:rFonts w:ascii="Times New Roman" w:hAnsi="Times New Roman"/>
          <w:sz w:val="28"/>
          <w:szCs w:val="28"/>
          <w:shd w:val="clear" w:color="auto" w:fill="FFFFFF"/>
        </w:rPr>
        <w:t>)</w:t>
      </w:r>
      <w:r w:rsidRPr="00E362DE">
        <w:rPr>
          <w:rFonts w:ascii="Times New Roman" w:hAnsi="Times New Roman"/>
          <w:sz w:val="28"/>
          <w:szCs w:val="28"/>
        </w:rPr>
        <w:t xml:space="preserve"> и поглощение </w:t>
      </w:r>
      <w:r w:rsidRPr="00E362DE">
        <w:rPr>
          <w:rFonts w:ascii="Times New Roman" w:hAnsi="Times New Roman"/>
          <w:sz w:val="28"/>
          <w:szCs w:val="28"/>
          <w:shd w:val="clear" w:color="auto" w:fill="FFFFFF"/>
        </w:rPr>
        <w:t xml:space="preserve">(англ. </w:t>
      </w:r>
      <w:proofErr w:type="spellStart"/>
      <w:r w:rsidRPr="00E362DE">
        <w:rPr>
          <w:rFonts w:ascii="Times New Roman" w:hAnsi="Times New Roman"/>
          <w:sz w:val="28"/>
          <w:szCs w:val="28"/>
          <w:shd w:val="clear" w:color="auto" w:fill="FFFFFF"/>
        </w:rPr>
        <w:t>acquisition</w:t>
      </w:r>
      <w:proofErr w:type="spellEnd"/>
      <w:r w:rsidRPr="00E362DE">
        <w:rPr>
          <w:rFonts w:ascii="Times New Roman" w:hAnsi="Times New Roman"/>
          <w:sz w:val="28"/>
          <w:szCs w:val="28"/>
          <w:shd w:val="clear" w:color="auto" w:fill="FFFFFF"/>
        </w:rPr>
        <w:t xml:space="preserve">) </w:t>
      </w:r>
      <w:r>
        <w:rPr>
          <w:rFonts w:ascii="Times New Roman" w:hAnsi="Times New Roman"/>
          <w:sz w:val="28"/>
          <w:szCs w:val="28"/>
        </w:rPr>
        <w:t xml:space="preserve">в повседневной жизни используются как синонимы. Ведь </w:t>
      </w:r>
      <w:r w:rsidRPr="00E362DE">
        <w:rPr>
          <w:rFonts w:ascii="Times New Roman" w:hAnsi="Times New Roman"/>
          <w:sz w:val="28"/>
          <w:szCs w:val="28"/>
          <w:lang w:eastAsia="ru-RU"/>
        </w:rPr>
        <w:t xml:space="preserve">M&amp;A </w:t>
      </w:r>
      <w:r w:rsidRPr="00837508">
        <w:rPr>
          <w:rFonts w:ascii="Times New Roman" w:hAnsi="Times New Roman"/>
          <w:sz w:val="24"/>
          <w:szCs w:val="24"/>
        </w:rPr>
        <w:t>–</w:t>
      </w:r>
      <w:r>
        <w:rPr>
          <w:rFonts w:ascii="Times New Roman" w:hAnsi="Times New Roman"/>
          <w:sz w:val="28"/>
          <w:szCs w:val="28"/>
          <w:lang w:eastAsia="ru-RU"/>
        </w:rPr>
        <w:t xml:space="preserve"> это общее название для процесса, которо</w:t>
      </w:r>
      <w:r w:rsidRPr="00E362DE">
        <w:rPr>
          <w:rFonts w:ascii="Times New Roman" w:hAnsi="Times New Roman"/>
          <w:sz w:val="28"/>
          <w:szCs w:val="28"/>
          <w:lang w:eastAsia="ru-RU"/>
        </w:rPr>
        <w:t>е объединяет передача корпоративного контроля</w:t>
      </w:r>
      <w:r>
        <w:rPr>
          <w:rFonts w:ascii="Times New Roman" w:hAnsi="Times New Roman"/>
          <w:sz w:val="28"/>
          <w:szCs w:val="28"/>
          <w:lang w:eastAsia="ru-RU"/>
        </w:rPr>
        <w:t xml:space="preserve"> над бизнесом</w:t>
      </w:r>
      <w:r w:rsidRPr="00E362DE">
        <w:rPr>
          <w:rFonts w:ascii="Times New Roman" w:hAnsi="Times New Roman"/>
          <w:sz w:val="28"/>
          <w:szCs w:val="28"/>
          <w:lang w:eastAsia="ru-RU"/>
        </w:rPr>
        <w:t xml:space="preserve"> во всех формах, включая покупку и обмен активами.</w:t>
      </w:r>
      <w:r w:rsidR="00E564B4">
        <w:rPr>
          <w:rFonts w:ascii="Times New Roman" w:hAnsi="Times New Roman"/>
          <w:sz w:val="28"/>
          <w:szCs w:val="28"/>
          <w:lang w:eastAsia="ru-RU"/>
        </w:rPr>
        <w:t xml:space="preserve"> </w:t>
      </w:r>
      <w:r w:rsidRPr="00E362DE">
        <w:rPr>
          <w:rFonts w:ascii="Times New Roman" w:hAnsi="Times New Roman"/>
          <w:sz w:val="28"/>
          <w:szCs w:val="28"/>
          <w:lang w:eastAsia="ru-RU"/>
        </w:rPr>
        <w:t xml:space="preserve">Однако существуют различия </w:t>
      </w:r>
      <w:r>
        <w:rPr>
          <w:rFonts w:ascii="Times New Roman" w:hAnsi="Times New Roman"/>
          <w:sz w:val="28"/>
          <w:szCs w:val="28"/>
          <w:lang w:eastAsia="ru-RU"/>
        </w:rPr>
        <w:t xml:space="preserve">в </w:t>
      </w:r>
      <w:r w:rsidRPr="00E362DE">
        <w:rPr>
          <w:rFonts w:ascii="Times New Roman" w:hAnsi="Times New Roman"/>
          <w:sz w:val="28"/>
          <w:szCs w:val="28"/>
          <w:lang w:eastAsia="ru-RU"/>
        </w:rPr>
        <w:t>толковани</w:t>
      </w:r>
      <w:r>
        <w:rPr>
          <w:rFonts w:ascii="Times New Roman" w:hAnsi="Times New Roman"/>
          <w:sz w:val="28"/>
          <w:szCs w:val="28"/>
          <w:lang w:eastAsia="ru-RU"/>
        </w:rPr>
        <w:t>ях</w:t>
      </w:r>
      <w:r w:rsidRPr="00E362DE">
        <w:rPr>
          <w:rFonts w:ascii="Times New Roman" w:hAnsi="Times New Roman"/>
          <w:sz w:val="28"/>
          <w:szCs w:val="28"/>
          <w:lang w:eastAsia="ru-RU"/>
        </w:rPr>
        <w:t xml:space="preserve"> пон</w:t>
      </w:r>
      <w:r>
        <w:rPr>
          <w:rFonts w:ascii="Times New Roman" w:hAnsi="Times New Roman"/>
          <w:sz w:val="28"/>
          <w:szCs w:val="28"/>
          <w:lang w:eastAsia="ru-RU"/>
        </w:rPr>
        <w:t>ятий «слияние» и «поглощение»</w:t>
      </w:r>
      <w:r w:rsidRPr="00E362DE">
        <w:rPr>
          <w:rFonts w:ascii="Times New Roman" w:hAnsi="Times New Roman"/>
          <w:sz w:val="28"/>
          <w:szCs w:val="28"/>
          <w:lang w:eastAsia="ru-RU"/>
        </w:rPr>
        <w:t xml:space="preserve">. </w:t>
      </w:r>
    </w:p>
    <w:p w:rsidR="002A2DE3" w:rsidRPr="00E362DE"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r w:rsidRPr="00E362DE">
        <w:rPr>
          <w:rFonts w:ascii="Times New Roman" w:hAnsi="Times New Roman"/>
          <w:sz w:val="28"/>
          <w:szCs w:val="28"/>
        </w:rPr>
        <w:t>российском законод</w:t>
      </w:r>
      <w:r>
        <w:rPr>
          <w:rFonts w:ascii="Times New Roman" w:hAnsi="Times New Roman"/>
          <w:sz w:val="28"/>
          <w:szCs w:val="28"/>
        </w:rPr>
        <w:t>ательстве «</w:t>
      </w:r>
      <w:r>
        <w:rPr>
          <w:rFonts w:ascii="Times New Roman" w:hAnsi="Times New Roman"/>
          <w:bCs/>
          <w:iCs/>
          <w:sz w:val="28"/>
          <w:szCs w:val="28"/>
        </w:rPr>
        <w:t>слияние» определено как</w:t>
      </w:r>
      <w:r w:rsidRPr="00E362DE">
        <w:rPr>
          <w:rFonts w:ascii="Times New Roman" w:hAnsi="Times New Roman"/>
          <w:sz w:val="28"/>
          <w:szCs w:val="28"/>
        </w:rPr>
        <w:t xml:space="preserve"> реорганизация юридических лиц, при которой права и обязанности каждого из них переходят ко вновь возникшему юридическому лицу в соответствии с передаточным актом</w:t>
      </w:r>
      <w:r>
        <w:rPr>
          <w:rStyle w:val="a5"/>
          <w:rFonts w:ascii="Times New Roman" w:hAnsi="Times New Roman"/>
          <w:sz w:val="28"/>
          <w:szCs w:val="28"/>
        </w:rPr>
        <w:footnoteReference w:id="4"/>
      </w:r>
      <w:r w:rsidRPr="00E362DE">
        <w:rPr>
          <w:rFonts w:ascii="Times New Roman" w:hAnsi="Times New Roman"/>
          <w:sz w:val="28"/>
          <w:szCs w:val="28"/>
        </w:rPr>
        <w:t xml:space="preserve">. При этом образуется новая компания </w:t>
      </w:r>
      <w:proofErr w:type="gramStart"/>
      <w:r w:rsidRPr="00E362DE">
        <w:rPr>
          <w:rFonts w:ascii="Times New Roman" w:hAnsi="Times New Roman"/>
          <w:sz w:val="28"/>
          <w:szCs w:val="28"/>
        </w:rPr>
        <w:t>из</w:t>
      </w:r>
      <w:proofErr w:type="gramEnd"/>
      <w:r w:rsidRPr="00E362DE">
        <w:rPr>
          <w:rFonts w:ascii="Times New Roman" w:hAnsi="Times New Roman"/>
          <w:sz w:val="28"/>
          <w:szCs w:val="28"/>
        </w:rPr>
        <w:t xml:space="preserve"> прежних, которые</w:t>
      </w:r>
      <w:r>
        <w:rPr>
          <w:rFonts w:ascii="Times New Roman" w:hAnsi="Times New Roman"/>
          <w:sz w:val="28"/>
          <w:szCs w:val="28"/>
        </w:rPr>
        <w:t xml:space="preserve"> в свою очередь </w:t>
      </w:r>
      <w:r w:rsidRPr="00E362DE">
        <w:rPr>
          <w:rFonts w:ascii="Times New Roman" w:hAnsi="Times New Roman"/>
          <w:sz w:val="28"/>
          <w:szCs w:val="28"/>
        </w:rPr>
        <w:t xml:space="preserve">полностью утрачивают самостоятельное существование. </w:t>
      </w:r>
      <w:r w:rsidRPr="00C604A2">
        <w:rPr>
          <w:rFonts w:ascii="Times New Roman" w:hAnsi="Times New Roman"/>
          <w:sz w:val="28"/>
          <w:szCs w:val="28"/>
        </w:rPr>
        <w:t>С позиций т</w:t>
      </w:r>
      <w:r>
        <w:rPr>
          <w:rFonts w:ascii="Times New Roman" w:hAnsi="Times New Roman"/>
          <w:sz w:val="28"/>
          <w:szCs w:val="28"/>
        </w:rPr>
        <w:t>е</w:t>
      </w:r>
      <w:r w:rsidRPr="00C604A2">
        <w:rPr>
          <w:rFonts w:ascii="Times New Roman" w:hAnsi="Times New Roman"/>
          <w:sz w:val="28"/>
          <w:szCs w:val="28"/>
        </w:rPr>
        <w:t xml:space="preserve">ории слияние </w:t>
      </w:r>
      <w:r>
        <w:rPr>
          <w:rFonts w:ascii="Times New Roman" w:hAnsi="Times New Roman"/>
          <w:sz w:val="28"/>
          <w:szCs w:val="28"/>
        </w:rPr>
        <w:t xml:space="preserve">представляет собой объединение </w:t>
      </w:r>
      <w:r w:rsidRPr="00C604A2">
        <w:rPr>
          <w:rFonts w:ascii="Times New Roman" w:hAnsi="Times New Roman"/>
          <w:sz w:val="28"/>
          <w:szCs w:val="28"/>
        </w:rPr>
        <w:t>имущества и деятельности нескольких компаний</w:t>
      </w:r>
      <w:r w:rsidR="008334AC">
        <w:rPr>
          <w:rFonts w:ascii="Times New Roman" w:hAnsi="Times New Roman"/>
          <w:sz w:val="28"/>
          <w:szCs w:val="28"/>
        </w:rPr>
        <w:t xml:space="preserve"> </w:t>
      </w:r>
      <w:r w:rsidRPr="00C604A2">
        <w:rPr>
          <w:rFonts w:ascii="Times New Roman" w:hAnsi="Times New Roman"/>
          <w:sz w:val="28"/>
          <w:szCs w:val="28"/>
        </w:rPr>
        <w:t>с целью создания новой компании или поглощения этих компаний одной</w:t>
      </w:r>
      <w:r w:rsidR="008334AC">
        <w:rPr>
          <w:rFonts w:ascii="Times New Roman" w:hAnsi="Times New Roman"/>
          <w:sz w:val="28"/>
          <w:szCs w:val="28"/>
        </w:rPr>
        <w:t xml:space="preserve"> </w:t>
      </w:r>
      <w:r w:rsidRPr="00C604A2">
        <w:rPr>
          <w:rFonts w:ascii="Times New Roman" w:hAnsi="Times New Roman"/>
          <w:sz w:val="28"/>
          <w:szCs w:val="28"/>
        </w:rPr>
        <w:t>из них.</w:t>
      </w:r>
      <w:r>
        <w:rPr>
          <w:rStyle w:val="a5"/>
          <w:rFonts w:ascii="Times New Roman" w:hAnsi="Times New Roman"/>
          <w:sz w:val="28"/>
          <w:szCs w:val="28"/>
        </w:rPr>
        <w:footnoteReference w:id="5"/>
      </w:r>
      <w:r>
        <w:rPr>
          <w:rFonts w:ascii="Times New Roman" w:hAnsi="Times New Roman"/>
          <w:sz w:val="28"/>
          <w:szCs w:val="28"/>
        </w:rPr>
        <w:t xml:space="preserve"> Очень часто в </w:t>
      </w:r>
      <w:r w:rsidRPr="00C604A2">
        <w:rPr>
          <w:rFonts w:ascii="Times New Roman" w:hAnsi="Times New Roman"/>
          <w:sz w:val="28"/>
          <w:szCs w:val="28"/>
        </w:rPr>
        <w:t>отечественной</w:t>
      </w:r>
      <w:r w:rsidR="008334AC">
        <w:rPr>
          <w:rFonts w:ascii="Times New Roman" w:hAnsi="Times New Roman"/>
          <w:sz w:val="28"/>
          <w:szCs w:val="28"/>
        </w:rPr>
        <w:t xml:space="preserve"> </w:t>
      </w:r>
      <w:r w:rsidRPr="00C604A2">
        <w:rPr>
          <w:rFonts w:ascii="Times New Roman" w:hAnsi="Times New Roman"/>
          <w:sz w:val="28"/>
          <w:szCs w:val="28"/>
        </w:rPr>
        <w:t>литературе понятие «слияние» используется наряду с понятием</w:t>
      </w:r>
      <w:r w:rsidR="003D0E4C">
        <w:rPr>
          <w:rFonts w:ascii="Times New Roman" w:hAnsi="Times New Roman"/>
          <w:sz w:val="28"/>
          <w:szCs w:val="28"/>
        </w:rPr>
        <w:t xml:space="preserve"> </w:t>
      </w:r>
      <w:r w:rsidRPr="00C604A2">
        <w:rPr>
          <w:rFonts w:ascii="Times New Roman" w:hAnsi="Times New Roman"/>
          <w:sz w:val="28"/>
          <w:szCs w:val="28"/>
        </w:rPr>
        <w:t>«интеграция</w:t>
      </w:r>
      <w:r>
        <w:rPr>
          <w:rFonts w:ascii="Times New Roman" w:hAnsi="Times New Roman"/>
          <w:sz w:val="28"/>
          <w:szCs w:val="28"/>
        </w:rPr>
        <w:t>»</w:t>
      </w:r>
      <w:r w:rsidRPr="00C604A2">
        <w:rPr>
          <w:rFonts w:ascii="Times New Roman" w:hAnsi="Times New Roman"/>
          <w:sz w:val="28"/>
          <w:szCs w:val="28"/>
        </w:rPr>
        <w:t>.</w:t>
      </w:r>
      <w:r w:rsidR="00127537">
        <w:rPr>
          <w:rFonts w:ascii="Times New Roman" w:hAnsi="Times New Roman"/>
          <w:sz w:val="28"/>
          <w:szCs w:val="28"/>
        </w:rPr>
        <w:t xml:space="preserve"> </w:t>
      </w:r>
      <w:r w:rsidRPr="00E362DE">
        <w:rPr>
          <w:rFonts w:ascii="Times New Roman" w:hAnsi="Times New Roman"/>
          <w:sz w:val="28"/>
          <w:szCs w:val="28"/>
        </w:rPr>
        <w:t xml:space="preserve">А </w:t>
      </w:r>
      <w:r>
        <w:rPr>
          <w:rFonts w:ascii="Times New Roman" w:hAnsi="Times New Roman"/>
          <w:iCs/>
          <w:sz w:val="28"/>
          <w:szCs w:val="28"/>
        </w:rPr>
        <w:t xml:space="preserve">в зарубежной литературе </w:t>
      </w:r>
      <w:r w:rsidRPr="00E362DE">
        <w:rPr>
          <w:rFonts w:ascii="Times New Roman" w:hAnsi="Times New Roman"/>
          <w:iCs/>
          <w:sz w:val="28"/>
          <w:szCs w:val="28"/>
        </w:rPr>
        <w:t xml:space="preserve">под </w:t>
      </w:r>
      <w:r w:rsidRPr="00E362DE">
        <w:rPr>
          <w:rFonts w:ascii="Times New Roman" w:hAnsi="Times New Roman"/>
          <w:bCs/>
          <w:iCs/>
          <w:sz w:val="28"/>
          <w:szCs w:val="28"/>
        </w:rPr>
        <w:t xml:space="preserve">слиянием </w:t>
      </w:r>
      <w:r w:rsidRPr="00E362DE">
        <w:rPr>
          <w:rFonts w:ascii="Times New Roman" w:hAnsi="Times New Roman"/>
          <w:iCs/>
          <w:sz w:val="28"/>
          <w:szCs w:val="28"/>
        </w:rPr>
        <w:t>подразумевается любое объединение хозяйствующих субъектов, в результате которого образуется новая экономическая единица из двух или более существовавших структур</w:t>
      </w:r>
      <w:r>
        <w:rPr>
          <w:rStyle w:val="a5"/>
          <w:rFonts w:ascii="Times New Roman" w:hAnsi="Times New Roman"/>
          <w:iCs/>
          <w:sz w:val="28"/>
          <w:szCs w:val="28"/>
        </w:rPr>
        <w:footnoteReference w:id="6"/>
      </w:r>
      <w:r w:rsidRPr="00E362DE">
        <w:rPr>
          <w:rFonts w:ascii="Times New Roman" w:hAnsi="Times New Roman"/>
          <w:iCs/>
          <w:sz w:val="28"/>
          <w:szCs w:val="28"/>
        </w:rPr>
        <w:t xml:space="preserve">. </w:t>
      </w:r>
    </w:p>
    <w:p w:rsidR="002A2DE3" w:rsidRPr="00E362DE" w:rsidRDefault="002A2DE3" w:rsidP="002A2DE3">
      <w:pPr>
        <w:pStyle w:val="Web"/>
        <w:spacing w:before="0" w:after="0" w:line="360" w:lineRule="auto"/>
        <w:ind w:firstLine="709"/>
        <w:jc w:val="both"/>
        <w:rPr>
          <w:sz w:val="28"/>
          <w:szCs w:val="28"/>
        </w:rPr>
      </w:pPr>
      <w:r w:rsidRPr="00E362DE">
        <w:rPr>
          <w:bCs/>
          <w:iCs/>
          <w:sz w:val="28"/>
          <w:szCs w:val="28"/>
        </w:rPr>
        <w:t>Поглощение компании, в свою очередь,</w:t>
      </w:r>
      <w:r w:rsidRPr="00E362DE">
        <w:rPr>
          <w:sz w:val="28"/>
          <w:szCs w:val="28"/>
        </w:rPr>
        <w:t xml:space="preserve"> можно определить как взятие одной комп</w:t>
      </w:r>
      <w:r>
        <w:rPr>
          <w:sz w:val="28"/>
          <w:szCs w:val="28"/>
        </w:rPr>
        <w:t xml:space="preserve">анией другой под свой контроль и </w:t>
      </w:r>
      <w:r w:rsidRPr="00E362DE">
        <w:rPr>
          <w:sz w:val="28"/>
          <w:szCs w:val="28"/>
        </w:rPr>
        <w:t>управление ею с приобретением абсолютного или частичного права собственности на нее</w:t>
      </w:r>
      <w:r>
        <w:rPr>
          <w:rStyle w:val="a5"/>
          <w:sz w:val="28"/>
          <w:szCs w:val="28"/>
        </w:rPr>
        <w:footnoteReference w:id="7"/>
      </w:r>
      <w:r>
        <w:rPr>
          <w:sz w:val="28"/>
          <w:szCs w:val="28"/>
        </w:rPr>
        <w:t>. На практике же со 100% вероятностью</w:t>
      </w:r>
      <w:r w:rsidRPr="00E362DE">
        <w:rPr>
          <w:sz w:val="28"/>
          <w:szCs w:val="28"/>
        </w:rPr>
        <w:t xml:space="preserve"> определить является сделка между компаниями слиянием ил</w:t>
      </w:r>
      <w:r>
        <w:rPr>
          <w:sz w:val="28"/>
          <w:szCs w:val="28"/>
        </w:rPr>
        <w:t>и поглощением можно только по основным мотивам, способствующим заключению</w:t>
      </w:r>
      <w:r w:rsidRPr="00E362DE">
        <w:rPr>
          <w:sz w:val="28"/>
          <w:szCs w:val="28"/>
        </w:rPr>
        <w:t xml:space="preserve"> этой сделки.</w:t>
      </w:r>
    </w:p>
    <w:p w:rsidR="002A2DE3" w:rsidRPr="00E362DE" w:rsidRDefault="002A2DE3" w:rsidP="002A2DE3">
      <w:pPr>
        <w:spacing w:after="0" w:line="360" w:lineRule="auto"/>
        <w:ind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В настоящее время </w:t>
      </w:r>
      <w:r>
        <w:rPr>
          <w:rFonts w:ascii="Times New Roman" w:hAnsi="Times New Roman"/>
          <w:sz w:val="28"/>
          <w:szCs w:val="28"/>
          <w:lang w:eastAsia="ru-RU"/>
        </w:rPr>
        <w:t xml:space="preserve">сделки </w:t>
      </w:r>
      <w:r>
        <w:rPr>
          <w:rFonts w:ascii="Times New Roman" w:hAnsi="Times New Roman"/>
          <w:sz w:val="28"/>
          <w:szCs w:val="28"/>
          <w:lang w:val="en-US" w:eastAsia="ru-RU"/>
        </w:rPr>
        <w:t>M</w:t>
      </w:r>
      <w:r w:rsidRPr="00C73779">
        <w:rPr>
          <w:rFonts w:ascii="Times New Roman" w:hAnsi="Times New Roman"/>
          <w:sz w:val="28"/>
          <w:szCs w:val="28"/>
          <w:lang w:eastAsia="ru-RU"/>
        </w:rPr>
        <w:t>&amp;</w:t>
      </w:r>
      <w:proofErr w:type="gramStart"/>
      <w:r>
        <w:rPr>
          <w:rFonts w:ascii="Times New Roman" w:hAnsi="Times New Roman"/>
          <w:sz w:val="28"/>
          <w:szCs w:val="28"/>
          <w:lang w:val="en-US" w:eastAsia="ru-RU"/>
        </w:rPr>
        <w:t>A</w:t>
      </w:r>
      <w:proofErr w:type="gramEnd"/>
      <w:r>
        <w:rPr>
          <w:rFonts w:ascii="Times New Roman" w:hAnsi="Times New Roman"/>
          <w:sz w:val="28"/>
          <w:szCs w:val="28"/>
          <w:lang w:eastAsia="ru-RU"/>
        </w:rPr>
        <w:t>классифицируются по множеству неоднородных критериев. В основу классификации могут быть заложены</w:t>
      </w:r>
      <w:r w:rsidRPr="00E362DE">
        <w:rPr>
          <w:rFonts w:ascii="Times New Roman" w:hAnsi="Times New Roman"/>
          <w:sz w:val="28"/>
          <w:szCs w:val="28"/>
          <w:lang w:eastAsia="ru-RU"/>
        </w:rPr>
        <w:t xml:space="preserve"> различные факторы – от характера интеграции до способа оплаты сделок.</w:t>
      </w:r>
    </w:p>
    <w:p w:rsidR="002A2DE3" w:rsidRPr="00E362DE" w:rsidRDefault="002A2DE3" w:rsidP="002A2DE3">
      <w:pPr>
        <w:spacing w:after="0" w:line="360" w:lineRule="auto"/>
        <w:ind w:firstLine="709"/>
        <w:jc w:val="both"/>
        <w:rPr>
          <w:rFonts w:ascii="Times New Roman" w:hAnsi="Times New Roman"/>
          <w:sz w:val="28"/>
          <w:szCs w:val="28"/>
          <w:lang w:eastAsia="ru-RU"/>
        </w:rPr>
      </w:pPr>
      <w:r w:rsidRPr="00E362DE">
        <w:rPr>
          <w:rFonts w:ascii="Times New Roman" w:hAnsi="Times New Roman"/>
          <w:sz w:val="28"/>
          <w:szCs w:val="28"/>
          <w:lang w:eastAsia="ru-RU"/>
        </w:rPr>
        <w:lastRenderedPageBreak/>
        <w:t xml:space="preserve">Из наиболее важных признаков можно выделить </w:t>
      </w:r>
      <w:proofErr w:type="gramStart"/>
      <w:r w:rsidRPr="00E362DE">
        <w:rPr>
          <w:rFonts w:ascii="Times New Roman" w:hAnsi="Times New Roman"/>
          <w:sz w:val="28"/>
          <w:szCs w:val="28"/>
          <w:lang w:eastAsia="ru-RU"/>
        </w:rPr>
        <w:t>следующие</w:t>
      </w:r>
      <w:proofErr w:type="gramEnd"/>
      <w:r>
        <w:rPr>
          <w:rStyle w:val="a5"/>
          <w:rFonts w:ascii="Times New Roman" w:hAnsi="Times New Roman"/>
          <w:sz w:val="28"/>
          <w:szCs w:val="28"/>
          <w:lang w:eastAsia="ru-RU"/>
        </w:rPr>
        <w:footnoteReference w:id="8"/>
      </w:r>
      <w:r>
        <w:rPr>
          <w:rFonts w:ascii="Times New Roman" w:hAnsi="Times New Roman"/>
          <w:sz w:val="28"/>
          <w:szCs w:val="28"/>
          <w:lang w:eastAsia="ru-RU"/>
        </w:rPr>
        <w:t>:</w:t>
      </w:r>
    </w:p>
    <w:p w:rsidR="002A2DE3" w:rsidRPr="00E362DE" w:rsidRDefault="002A2DE3" w:rsidP="002A2DE3">
      <w:pPr>
        <w:pStyle w:val="12"/>
        <w:numPr>
          <w:ilvl w:val="0"/>
          <w:numId w:val="2"/>
        </w:numPr>
        <w:spacing w:after="0" w:line="360" w:lineRule="auto"/>
        <w:ind w:left="0"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характер интеграции компаний; </w:t>
      </w:r>
    </w:p>
    <w:p w:rsidR="002A2DE3" w:rsidRPr="00E362DE" w:rsidRDefault="002A2DE3" w:rsidP="002A2DE3">
      <w:pPr>
        <w:pStyle w:val="12"/>
        <w:numPr>
          <w:ilvl w:val="0"/>
          <w:numId w:val="2"/>
        </w:numPr>
        <w:spacing w:after="0" w:line="360" w:lineRule="auto"/>
        <w:ind w:left="0"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национальную принадлежность объединяемых компаний; </w:t>
      </w:r>
    </w:p>
    <w:p w:rsidR="002A2DE3" w:rsidRPr="00E362DE" w:rsidRDefault="002A2DE3" w:rsidP="002A2DE3">
      <w:pPr>
        <w:pStyle w:val="12"/>
        <w:numPr>
          <w:ilvl w:val="0"/>
          <w:numId w:val="2"/>
        </w:numPr>
        <w:spacing w:after="0" w:line="360" w:lineRule="auto"/>
        <w:ind w:left="0"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способ объединения потенциала; </w:t>
      </w:r>
    </w:p>
    <w:p w:rsidR="002A2DE3" w:rsidRPr="00E362DE" w:rsidRDefault="002A2DE3" w:rsidP="002A2DE3">
      <w:pPr>
        <w:pStyle w:val="12"/>
        <w:numPr>
          <w:ilvl w:val="0"/>
          <w:numId w:val="2"/>
        </w:numPr>
        <w:spacing w:after="0" w:line="360" w:lineRule="auto"/>
        <w:ind w:left="0"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условия слияния; </w:t>
      </w:r>
    </w:p>
    <w:p w:rsidR="002A2DE3" w:rsidRPr="00E362DE" w:rsidRDefault="002A2DE3" w:rsidP="002A2DE3">
      <w:pPr>
        <w:pStyle w:val="12"/>
        <w:numPr>
          <w:ilvl w:val="0"/>
          <w:numId w:val="2"/>
        </w:numPr>
        <w:spacing w:after="0" w:line="360" w:lineRule="auto"/>
        <w:ind w:left="0" w:firstLine="709"/>
        <w:jc w:val="both"/>
        <w:rPr>
          <w:rFonts w:ascii="Times New Roman" w:hAnsi="Times New Roman"/>
          <w:sz w:val="28"/>
          <w:szCs w:val="28"/>
          <w:lang w:eastAsia="ru-RU"/>
        </w:rPr>
      </w:pPr>
      <w:r w:rsidRPr="00E362DE">
        <w:rPr>
          <w:rFonts w:ascii="Times New Roman" w:hAnsi="Times New Roman"/>
          <w:sz w:val="28"/>
          <w:szCs w:val="28"/>
          <w:lang w:eastAsia="ru-RU"/>
        </w:rPr>
        <w:t xml:space="preserve">механизм слияния. </w:t>
      </w:r>
    </w:p>
    <w:p w:rsidR="002A2DE3" w:rsidRPr="00E362DE" w:rsidRDefault="002A2DE3" w:rsidP="002A2DE3">
      <w:pPr>
        <w:spacing w:after="0" w:line="360" w:lineRule="auto"/>
        <w:ind w:firstLine="709"/>
        <w:jc w:val="both"/>
        <w:rPr>
          <w:sz w:val="28"/>
          <w:szCs w:val="28"/>
        </w:rPr>
      </w:pPr>
      <w:r>
        <w:rPr>
          <w:rFonts w:ascii="Times New Roman" w:hAnsi="Times New Roman"/>
          <w:sz w:val="28"/>
          <w:szCs w:val="28"/>
          <w:lang w:eastAsia="ru-RU"/>
        </w:rPr>
        <w:t>Рассмотрим часто встречающуюся классификацию,</w:t>
      </w:r>
      <w:r w:rsidRPr="00E362DE">
        <w:rPr>
          <w:rFonts w:ascii="Times New Roman" w:hAnsi="Times New Roman"/>
          <w:sz w:val="28"/>
          <w:szCs w:val="28"/>
          <w:lang w:eastAsia="ru-RU"/>
        </w:rPr>
        <w:t xml:space="preserve"> а именно на </w:t>
      </w:r>
      <w:r>
        <w:rPr>
          <w:rFonts w:ascii="Times New Roman" w:hAnsi="Times New Roman"/>
          <w:sz w:val="28"/>
          <w:szCs w:val="28"/>
          <w:lang w:eastAsia="ru-RU"/>
        </w:rPr>
        <w:t>то, какие бывают сделки по характеру</w:t>
      </w:r>
      <w:r w:rsidRPr="00E362DE">
        <w:rPr>
          <w:rFonts w:ascii="Times New Roman" w:hAnsi="Times New Roman"/>
          <w:sz w:val="28"/>
          <w:szCs w:val="28"/>
          <w:lang w:eastAsia="ru-RU"/>
        </w:rPr>
        <w:t xml:space="preserve"> интеграции компаний. </w:t>
      </w:r>
      <w:r>
        <w:rPr>
          <w:rFonts w:ascii="Times New Roman" w:hAnsi="Times New Roman"/>
          <w:sz w:val="28"/>
          <w:szCs w:val="28"/>
          <w:lang w:eastAsia="ru-RU"/>
        </w:rPr>
        <w:t xml:space="preserve">Обычно </w:t>
      </w:r>
      <w:r w:rsidRPr="00E362DE">
        <w:rPr>
          <w:rFonts w:ascii="Times New Roman" w:hAnsi="Times New Roman"/>
          <w:sz w:val="28"/>
          <w:szCs w:val="28"/>
          <w:lang w:eastAsia="ru-RU"/>
        </w:rPr>
        <w:t xml:space="preserve">выделяют три основных вида интеграции: </w:t>
      </w:r>
    </w:p>
    <w:p w:rsidR="002A2DE3" w:rsidRPr="00E362DE" w:rsidRDefault="002A2DE3" w:rsidP="002A2DE3">
      <w:pPr>
        <w:pStyle w:val="11"/>
        <w:numPr>
          <w:ilvl w:val="0"/>
          <w:numId w:val="3"/>
        </w:numPr>
        <w:spacing w:before="0" w:after="120" w:line="360" w:lineRule="auto"/>
        <w:ind w:left="1094" w:hanging="357"/>
        <w:jc w:val="both"/>
        <w:rPr>
          <w:sz w:val="28"/>
          <w:szCs w:val="28"/>
        </w:rPr>
      </w:pPr>
      <w:r>
        <w:rPr>
          <w:sz w:val="28"/>
          <w:szCs w:val="28"/>
        </w:rPr>
        <w:t>горизонтальная – она предполагае</w:t>
      </w:r>
      <w:r w:rsidRPr="00E362DE">
        <w:rPr>
          <w:sz w:val="28"/>
          <w:szCs w:val="28"/>
        </w:rPr>
        <w:t>т объединение компаний, конкурирующих в одной области деятельности. Лидерами по количеству таких сделок являются нефтегазовая, пищевая</w:t>
      </w:r>
      <w:r>
        <w:rPr>
          <w:sz w:val="28"/>
          <w:szCs w:val="28"/>
        </w:rPr>
        <w:t xml:space="preserve"> и телекоммуникационная отрасли</w:t>
      </w:r>
      <w:r w:rsidRPr="00E362DE">
        <w:rPr>
          <w:sz w:val="28"/>
          <w:szCs w:val="28"/>
        </w:rPr>
        <w:t>.</w:t>
      </w:r>
      <w:r>
        <w:rPr>
          <w:sz w:val="28"/>
          <w:szCs w:val="28"/>
        </w:rPr>
        <w:t xml:space="preserve"> Различают объёмную и ассортиментную интеграции. Первая характеризуется слиянием компаний производящих идентичную продукцию.</w:t>
      </w:r>
      <w:r w:rsidR="003D0E4C">
        <w:rPr>
          <w:sz w:val="28"/>
          <w:szCs w:val="28"/>
        </w:rPr>
        <w:t xml:space="preserve"> </w:t>
      </w:r>
      <w:r>
        <w:rPr>
          <w:sz w:val="28"/>
          <w:szCs w:val="28"/>
        </w:rPr>
        <w:t xml:space="preserve">А если продукты хоть чем-то различны, то это второй подтип горизонтальной интеграции. </w:t>
      </w:r>
      <w:r w:rsidRPr="00E362DE">
        <w:rPr>
          <w:sz w:val="28"/>
          <w:szCs w:val="28"/>
        </w:rPr>
        <w:t>Важно отметить, что б</w:t>
      </w:r>
      <w:r>
        <w:rPr>
          <w:sz w:val="28"/>
          <w:szCs w:val="28"/>
        </w:rPr>
        <w:t>ольшинство сделок в России</w:t>
      </w:r>
      <w:r w:rsidRPr="00E362DE">
        <w:rPr>
          <w:sz w:val="28"/>
          <w:szCs w:val="28"/>
        </w:rPr>
        <w:t xml:space="preserve"> име</w:t>
      </w:r>
      <w:r>
        <w:rPr>
          <w:sz w:val="28"/>
          <w:szCs w:val="28"/>
        </w:rPr>
        <w:t>нно горизонтального</w:t>
      </w:r>
      <w:r w:rsidRPr="00E362DE">
        <w:rPr>
          <w:sz w:val="28"/>
          <w:szCs w:val="28"/>
        </w:rPr>
        <w:t xml:space="preserve"> характер</w:t>
      </w:r>
      <w:r>
        <w:rPr>
          <w:sz w:val="28"/>
          <w:szCs w:val="28"/>
        </w:rPr>
        <w:t>а</w:t>
      </w:r>
      <w:r w:rsidRPr="00E362DE">
        <w:rPr>
          <w:sz w:val="28"/>
          <w:szCs w:val="28"/>
        </w:rPr>
        <w:t xml:space="preserve">. </w:t>
      </w:r>
    </w:p>
    <w:p w:rsidR="002A2DE3" w:rsidRPr="00E362DE" w:rsidRDefault="002A2DE3" w:rsidP="002A2DE3">
      <w:pPr>
        <w:pStyle w:val="11"/>
        <w:numPr>
          <w:ilvl w:val="0"/>
          <w:numId w:val="3"/>
        </w:numPr>
        <w:spacing w:before="0" w:after="120" w:line="360" w:lineRule="auto"/>
        <w:ind w:left="1094" w:hanging="357"/>
        <w:jc w:val="both"/>
        <w:rPr>
          <w:sz w:val="28"/>
          <w:szCs w:val="28"/>
        </w:rPr>
      </w:pPr>
      <w:r>
        <w:rPr>
          <w:sz w:val="28"/>
          <w:szCs w:val="28"/>
        </w:rPr>
        <w:t xml:space="preserve">вертикальная интеграция – это </w:t>
      </w:r>
      <w:r w:rsidRPr="00E362DE">
        <w:rPr>
          <w:sz w:val="28"/>
          <w:szCs w:val="28"/>
        </w:rPr>
        <w:t xml:space="preserve">объединения компаний из разных отраслей, которые связанны </w:t>
      </w:r>
      <w:r>
        <w:rPr>
          <w:sz w:val="28"/>
          <w:szCs w:val="28"/>
        </w:rPr>
        <w:t xml:space="preserve">единой технологической цепочкой. Такие </w:t>
      </w:r>
      <w:r w:rsidRPr="00E362DE">
        <w:rPr>
          <w:sz w:val="28"/>
          <w:szCs w:val="28"/>
        </w:rPr>
        <w:t xml:space="preserve">интеграции в первую очередь характерны в отраслях, в которых возможности горизонтальных слияний уже исчерпаны. </w:t>
      </w:r>
      <w:r>
        <w:rPr>
          <w:sz w:val="28"/>
          <w:szCs w:val="28"/>
        </w:rPr>
        <w:t>На сегодня большое число вертикальных</w:t>
      </w:r>
      <w:r w:rsidR="003D0E4C">
        <w:rPr>
          <w:sz w:val="28"/>
          <w:szCs w:val="28"/>
        </w:rPr>
        <w:t xml:space="preserve"> </w:t>
      </w:r>
      <w:r>
        <w:rPr>
          <w:sz w:val="28"/>
          <w:szCs w:val="28"/>
        </w:rPr>
        <w:t>объединений осуществляется в металлургической отрасли</w:t>
      </w:r>
      <w:r w:rsidRPr="00E362DE">
        <w:rPr>
          <w:sz w:val="28"/>
          <w:szCs w:val="28"/>
        </w:rPr>
        <w:t>.</w:t>
      </w:r>
    </w:p>
    <w:p w:rsidR="002A2DE3" w:rsidRPr="00E362DE" w:rsidRDefault="002A2DE3" w:rsidP="002A2DE3">
      <w:pPr>
        <w:pStyle w:val="11"/>
        <w:numPr>
          <w:ilvl w:val="0"/>
          <w:numId w:val="3"/>
        </w:numPr>
        <w:spacing w:before="0" w:after="120" w:line="360" w:lineRule="auto"/>
        <w:ind w:left="1094" w:hanging="357"/>
        <w:jc w:val="both"/>
        <w:rPr>
          <w:sz w:val="28"/>
          <w:szCs w:val="28"/>
          <w:lang w:eastAsia="ru-RU"/>
        </w:rPr>
      </w:pPr>
      <w:r>
        <w:rPr>
          <w:sz w:val="28"/>
          <w:szCs w:val="28"/>
        </w:rPr>
        <w:t xml:space="preserve">конгломератное слияние – оно характеризуется </w:t>
      </w:r>
      <w:r w:rsidRPr="00E362DE">
        <w:rPr>
          <w:sz w:val="28"/>
          <w:szCs w:val="28"/>
        </w:rPr>
        <w:t>объединение</w:t>
      </w:r>
      <w:r>
        <w:rPr>
          <w:sz w:val="28"/>
          <w:szCs w:val="28"/>
        </w:rPr>
        <w:t>м</w:t>
      </w:r>
      <w:r w:rsidRPr="00E362DE">
        <w:rPr>
          <w:sz w:val="28"/>
          <w:szCs w:val="28"/>
        </w:rPr>
        <w:t xml:space="preserve"> компаний несвязанных отраслей или географических регионов, то есть объединяемые компании</w:t>
      </w:r>
      <w:r w:rsidRPr="00E362DE">
        <w:rPr>
          <w:sz w:val="28"/>
          <w:szCs w:val="28"/>
          <w:lang w:eastAsia="ru-RU"/>
        </w:rPr>
        <w:t xml:space="preserve"> не имеют как такового </w:t>
      </w:r>
      <w:r w:rsidRPr="00E362DE">
        <w:rPr>
          <w:sz w:val="28"/>
          <w:szCs w:val="28"/>
          <w:lang w:eastAsia="ru-RU"/>
        </w:rPr>
        <w:lastRenderedPageBreak/>
        <w:t>технологического единства с основной сфе</w:t>
      </w:r>
      <w:r>
        <w:rPr>
          <w:sz w:val="28"/>
          <w:szCs w:val="28"/>
          <w:lang w:eastAsia="ru-RU"/>
        </w:rPr>
        <w:t>рой деятельности друг друга</w:t>
      </w:r>
      <w:r w:rsidRPr="00E362DE">
        <w:rPr>
          <w:sz w:val="28"/>
          <w:szCs w:val="28"/>
          <w:lang w:eastAsia="ru-RU"/>
        </w:rPr>
        <w:t xml:space="preserve">. </w:t>
      </w:r>
    </w:p>
    <w:p w:rsidR="002A2DE3" w:rsidRDefault="002A2DE3" w:rsidP="002A2DE3">
      <w:pPr>
        <w:spacing w:after="0" w:line="360" w:lineRule="auto"/>
        <w:ind w:firstLine="709"/>
        <w:jc w:val="both"/>
        <w:rPr>
          <w:rFonts w:ascii="Times New Roman" w:hAnsi="Times New Roman"/>
          <w:sz w:val="28"/>
          <w:szCs w:val="28"/>
          <w:lang w:eastAsia="ru-RU"/>
        </w:rPr>
      </w:pPr>
      <w:r w:rsidRPr="00E362DE">
        <w:rPr>
          <w:rFonts w:ascii="Times New Roman" w:hAnsi="Times New Roman"/>
          <w:sz w:val="28"/>
          <w:szCs w:val="28"/>
          <w:lang w:eastAsia="ru-RU"/>
        </w:rPr>
        <w:t>Обобщая существующие классификации, можно выделить основные</w:t>
      </w:r>
    </w:p>
    <w:p w:rsidR="002A2DE3" w:rsidRDefault="002A2DE3" w:rsidP="002A2DE3">
      <w:pPr>
        <w:spacing w:after="0" w:line="360" w:lineRule="auto"/>
        <w:rPr>
          <w:rFonts w:ascii="Times New Roman" w:hAnsi="Times New Roman"/>
          <w:sz w:val="28"/>
          <w:szCs w:val="28"/>
          <w:lang w:eastAsia="ru-RU"/>
        </w:rPr>
      </w:pPr>
      <w:r w:rsidRPr="00E362DE">
        <w:rPr>
          <w:rFonts w:ascii="Times New Roman" w:hAnsi="Times New Roman"/>
          <w:sz w:val="28"/>
          <w:szCs w:val="28"/>
          <w:lang w:eastAsia="ru-RU"/>
        </w:rPr>
        <w:t xml:space="preserve">виды </w:t>
      </w:r>
      <w:r w:rsidRPr="00E362DE">
        <w:rPr>
          <w:rFonts w:ascii="Times New Roman" w:hAnsi="Times New Roman"/>
          <w:sz w:val="28"/>
          <w:szCs w:val="28"/>
          <w:lang w:val="de-DE" w:eastAsia="ru-RU"/>
        </w:rPr>
        <w:t>M</w:t>
      </w:r>
      <w:r w:rsidRPr="00E362DE">
        <w:rPr>
          <w:rFonts w:ascii="Times New Roman" w:hAnsi="Times New Roman"/>
          <w:sz w:val="28"/>
          <w:szCs w:val="28"/>
          <w:lang w:eastAsia="ru-RU"/>
        </w:rPr>
        <w:t>&amp;</w:t>
      </w:r>
      <w:r w:rsidRPr="00E362DE">
        <w:rPr>
          <w:rFonts w:ascii="Times New Roman" w:hAnsi="Times New Roman"/>
          <w:sz w:val="28"/>
          <w:szCs w:val="28"/>
          <w:lang w:val="de-DE" w:eastAsia="ru-RU"/>
        </w:rPr>
        <w:t>A</w:t>
      </w:r>
      <w:r w:rsidRPr="00E362DE">
        <w:rPr>
          <w:rFonts w:ascii="Times New Roman" w:hAnsi="Times New Roman"/>
          <w:sz w:val="28"/>
          <w:szCs w:val="28"/>
          <w:lang w:eastAsia="ru-RU"/>
        </w:rPr>
        <w:t xml:space="preserve"> в зависимости от выбранного признака</w:t>
      </w:r>
      <w:r>
        <w:rPr>
          <w:rFonts w:ascii="Times New Roman" w:hAnsi="Times New Roman"/>
          <w:sz w:val="28"/>
          <w:szCs w:val="28"/>
          <w:lang w:eastAsia="ru-RU"/>
        </w:rPr>
        <w:t xml:space="preserve"> (рис.1)</w:t>
      </w:r>
      <w:r w:rsidRPr="00E362DE">
        <w:rPr>
          <w:rFonts w:ascii="Times New Roman" w:hAnsi="Times New Roman"/>
          <w:sz w:val="28"/>
          <w:szCs w:val="28"/>
          <w:lang w:eastAsia="ru-RU"/>
        </w:rPr>
        <w:t>.</w:t>
      </w:r>
      <w:r w:rsidRPr="00E362DE">
        <w:rPr>
          <w:rStyle w:val="a5"/>
          <w:rFonts w:ascii="Times New Roman" w:hAnsi="Times New Roman"/>
          <w:sz w:val="28"/>
          <w:szCs w:val="28"/>
          <w:lang w:eastAsia="ru-RU"/>
        </w:rPr>
        <w:footnoteReference w:id="9"/>
      </w:r>
      <w:r w:rsidRPr="00E362DE">
        <w:rPr>
          <w:rFonts w:ascii="Times New Roman" w:hAnsi="Times New Roman"/>
          <w:sz w:val="28"/>
          <w:szCs w:val="28"/>
          <w:lang w:eastAsia="ru-RU"/>
        </w:rPr>
        <w:t>.</w:t>
      </w:r>
    </w:p>
    <w:p w:rsidR="002A2DE3" w:rsidRDefault="002A2DE3" w:rsidP="002A2DE3">
      <w:pPr>
        <w:spacing w:after="0" w:line="360" w:lineRule="auto"/>
        <w:rPr>
          <w:rFonts w:ascii="Times New Roman" w:hAnsi="Times New Roman"/>
          <w:sz w:val="28"/>
          <w:szCs w:val="28"/>
          <w:lang w:eastAsia="ru-RU"/>
        </w:rPr>
      </w:pPr>
    </w:p>
    <w:p w:rsidR="002A2DE3" w:rsidRPr="00E362DE" w:rsidRDefault="002A2DE3" w:rsidP="002A2DE3">
      <w:pPr>
        <w:spacing w:after="0" w:line="36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688000" cy="3755215"/>
            <wp:effectExtent l="19050" t="0" r="7950" b="0"/>
            <wp:docPr id="3" name="Рисунок 2" descr="11723_html_m15d21a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23_html_m15d21a57.png"/>
                    <pic:cNvPicPr/>
                  </pic:nvPicPr>
                  <pic:blipFill>
                    <a:blip r:embed="rId8"/>
                    <a:stretch>
                      <a:fillRect/>
                    </a:stretch>
                  </pic:blipFill>
                  <pic:spPr>
                    <a:xfrm>
                      <a:off x="0" y="0"/>
                      <a:ext cx="5688000" cy="3755215"/>
                    </a:xfrm>
                    <a:prstGeom prst="rect">
                      <a:avLst/>
                    </a:prstGeom>
                  </pic:spPr>
                </pic:pic>
              </a:graphicData>
            </a:graphic>
          </wp:inline>
        </w:drawing>
      </w:r>
    </w:p>
    <w:p w:rsidR="002A2DE3" w:rsidRDefault="002A2DE3" w:rsidP="003D0E4C">
      <w:pPr>
        <w:spacing w:after="0" w:line="360" w:lineRule="auto"/>
        <w:ind w:firstLine="709"/>
        <w:jc w:val="center"/>
        <w:rPr>
          <w:rFonts w:ascii="Times New Roman" w:hAnsi="Times New Roman"/>
          <w:iCs/>
          <w:sz w:val="28"/>
          <w:szCs w:val="28"/>
          <w:lang w:eastAsia="ru-RU"/>
        </w:rPr>
      </w:pPr>
      <w:r w:rsidRPr="005A4A47">
        <w:rPr>
          <w:rFonts w:ascii="Times New Roman" w:hAnsi="Times New Roman"/>
          <w:iCs/>
          <w:sz w:val="28"/>
          <w:szCs w:val="28"/>
          <w:lang w:eastAsia="ru-RU"/>
        </w:rPr>
        <w:t xml:space="preserve">Рис.1 Классификация типов </w:t>
      </w:r>
      <w:r w:rsidRPr="005A4A47">
        <w:rPr>
          <w:rFonts w:ascii="Times New Roman" w:hAnsi="Times New Roman"/>
          <w:sz w:val="28"/>
          <w:szCs w:val="28"/>
          <w:lang w:val="de-DE" w:eastAsia="ru-RU"/>
        </w:rPr>
        <w:t>M</w:t>
      </w:r>
      <w:r w:rsidRPr="005A4A47">
        <w:rPr>
          <w:rFonts w:ascii="Times New Roman" w:hAnsi="Times New Roman"/>
          <w:sz w:val="28"/>
          <w:szCs w:val="28"/>
          <w:lang w:eastAsia="ru-RU"/>
        </w:rPr>
        <w:t>&amp;</w:t>
      </w:r>
      <w:r w:rsidRPr="005A4A47">
        <w:rPr>
          <w:rFonts w:ascii="Times New Roman" w:hAnsi="Times New Roman"/>
          <w:sz w:val="28"/>
          <w:szCs w:val="28"/>
          <w:lang w:val="de-DE" w:eastAsia="ru-RU"/>
        </w:rPr>
        <w:t>A</w:t>
      </w:r>
      <w:r w:rsidR="003D0E4C">
        <w:rPr>
          <w:rFonts w:ascii="Times New Roman" w:hAnsi="Times New Roman"/>
          <w:sz w:val="28"/>
          <w:szCs w:val="28"/>
          <w:lang w:eastAsia="ru-RU"/>
        </w:rPr>
        <w:t xml:space="preserve"> </w:t>
      </w:r>
      <w:r w:rsidRPr="005A4A47">
        <w:rPr>
          <w:rFonts w:ascii="Times New Roman" w:hAnsi="Times New Roman"/>
          <w:iCs/>
          <w:sz w:val="28"/>
          <w:szCs w:val="28"/>
          <w:lang w:eastAsia="ru-RU"/>
        </w:rPr>
        <w:t>компаний</w:t>
      </w:r>
      <w:bookmarkStart w:id="2" w:name="_Toc324507330"/>
    </w:p>
    <w:p w:rsidR="002A2DE3" w:rsidRDefault="003D0E4C" w:rsidP="007F0FE5">
      <w:pPr>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Представленная выше классификация в полном объеме описывает все типы сделок</w:t>
      </w:r>
      <w:r w:rsidR="007F0FE5">
        <w:rPr>
          <w:rFonts w:ascii="Times New Roman" w:hAnsi="Times New Roman"/>
          <w:iCs/>
          <w:sz w:val="28"/>
          <w:szCs w:val="28"/>
          <w:lang w:eastAsia="ru-RU"/>
        </w:rPr>
        <w:t xml:space="preserve">, присущие процессу </w:t>
      </w:r>
      <w:r w:rsidR="007F0FE5">
        <w:rPr>
          <w:rFonts w:ascii="Times New Roman" w:hAnsi="Times New Roman"/>
          <w:iCs/>
          <w:sz w:val="28"/>
          <w:szCs w:val="28"/>
          <w:lang w:val="en-US" w:eastAsia="ru-RU"/>
        </w:rPr>
        <w:t>M</w:t>
      </w:r>
      <w:r w:rsidR="007F0FE5" w:rsidRPr="007F0FE5">
        <w:rPr>
          <w:rFonts w:ascii="Times New Roman" w:hAnsi="Times New Roman"/>
          <w:iCs/>
          <w:sz w:val="28"/>
          <w:szCs w:val="28"/>
          <w:lang w:eastAsia="ru-RU"/>
        </w:rPr>
        <w:t>&amp;</w:t>
      </w:r>
      <w:r w:rsidR="007F0FE5">
        <w:rPr>
          <w:rFonts w:ascii="Times New Roman" w:hAnsi="Times New Roman"/>
          <w:iCs/>
          <w:sz w:val="28"/>
          <w:szCs w:val="28"/>
          <w:lang w:val="en-US" w:eastAsia="ru-RU"/>
        </w:rPr>
        <w:t>A</w:t>
      </w:r>
      <w:r w:rsidR="007F0FE5" w:rsidRPr="007F0FE5">
        <w:rPr>
          <w:rFonts w:ascii="Times New Roman" w:hAnsi="Times New Roman"/>
          <w:iCs/>
          <w:sz w:val="28"/>
          <w:szCs w:val="28"/>
          <w:lang w:eastAsia="ru-RU"/>
        </w:rPr>
        <w:t xml:space="preserve">. </w:t>
      </w:r>
      <w:r w:rsidR="007F0FE5">
        <w:rPr>
          <w:rFonts w:ascii="Times New Roman" w:hAnsi="Times New Roman"/>
          <w:iCs/>
          <w:sz w:val="28"/>
          <w:szCs w:val="28"/>
          <w:lang w:eastAsia="ru-RU"/>
        </w:rPr>
        <w:t>Однако не дает ответа о побуждающих факторах. Поэтому в следующем параграфе выявим причины и мотивы, способствующие слияниям.</w:t>
      </w:r>
    </w:p>
    <w:p w:rsidR="007F0FE5" w:rsidRPr="005A4A47" w:rsidRDefault="007F0FE5" w:rsidP="007F0FE5">
      <w:pPr>
        <w:spacing w:after="0" w:line="360" w:lineRule="auto"/>
        <w:ind w:firstLine="709"/>
        <w:jc w:val="both"/>
        <w:rPr>
          <w:rFonts w:ascii="Times New Roman" w:hAnsi="Times New Roman"/>
          <w:iCs/>
          <w:sz w:val="28"/>
          <w:szCs w:val="28"/>
          <w:lang w:eastAsia="ru-RU"/>
        </w:rPr>
      </w:pPr>
    </w:p>
    <w:p w:rsidR="002A2DE3" w:rsidRPr="00E362DE" w:rsidRDefault="002A2DE3" w:rsidP="002A2DE3">
      <w:pPr>
        <w:pStyle w:val="2"/>
        <w:spacing w:before="0" w:beforeAutospacing="0" w:after="0" w:afterAutospacing="0" w:line="360" w:lineRule="auto"/>
        <w:ind w:firstLine="709"/>
        <w:jc w:val="center"/>
        <w:rPr>
          <w:sz w:val="28"/>
          <w:szCs w:val="28"/>
        </w:rPr>
      </w:pPr>
      <w:r w:rsidRPr="00E362DE">
        <w:rPr>
          <w:sz w:val="28"/>
          <w:szCs w:val="28"/>
        </w:rPr>
        <w:t>1.2</w:t>
      </w:r>
      <w:r w:rsidR="003D0E4C">
        <w:rPr>
          <w:sz w:val="28"/>
          <w:szCs w:val="28"/>
        </w:rPr>
        <w:t>.</w:t>
      </w:r>
      <w:r w:rsidRPr="00E362DE">
        <w:rPr>
          <w:sz w:val="28"/>
          <w:szCs w:val="28"/>
        </w:rPr>
        <w:t xml:space="preserve"> Мотивы </w:t>
      </w:r>
      <w:r>
        <w:rPr>
          <w:sz w:val="28"/>
          <w:szCs w:val="28"/>
        </w:rPr>
        <w:t xml:space="preserve">и факторы </w:t>
      </w:r>
      <w:r w:rsidRPr="00E362DE">
        <w:rPr>
          <w:sz w:val="28"/>
          <w:szCs w:val="28"/>
        </w:rPr>
        <w:t xml:space="preserve">заключения сделок </w:t>
      </w:r>
      <w:r w:rsidRPr="00E362DE">
        <w:rPr>
          <w:sz w:val="28"/>
          <w:szCs w:val="28"/>
          <w:lang w:val="de-DE"/>
        </w:rPr>
        <w:t>M</w:t>
      </w:r>
      <w:r w:rsidRPr="00E362DE">
        <w:rPr>
          <w:sz w:val="28"/>
          <w:szCs w:val="28"/>
        </w:rPr>
        <w:t>&amp;</w:t>
      </w:r>
      <w:r w:rsidRPr="00E362DE">
        <w:rPr>
          <w:sz w:val="28"/>
          <w:szCs w:val="28"/>
          <w:lang w:val="de-DE"/>
        </w:rPr>
        <w:t>A</w:t>
      </w:r>
      <w:bookmarkEnd w:id="2"/>
    </w:p>
    <w:p w:rsidR="002A2DE3" w:rsidRPr="00E362DE" w:rsidRDefault="002A2DE3" w:rsidP="002A2DE3">
      <w:pPr>
        <w:pStyle w:val="a6"/>
        <w:spacing w:before="0" w:beforeAutospacing="0" w:after="0" w:afterAutospacing="0" w:line="360" w:lineRule="auto"/>
        <w:ind w:firstLine="709"/>
        <w:jc w:val="both"/>
        <w:rPr>
          <w:color w:val="000000"/>
          <w:sz w:val="28"/>
          <w:szCs w:val="28"/>
        </w:rPr>
      </w:pPr>
      <w:r>
        <w:rPr>
          <w:color w:val="000000"/>
          <w:sz w:val="28"/>
          <w:szCs w:val="28"/>
        </w:rPr>
        <w:t>Несомненно, что в</w:t>
      </w:r>
      <w:r w:rsidRPr="00E71363">
        <w:rPr>
          <w:color w:val="000000"/>
          <w:sz w:val="28"/>
          <w:szCs w:val="28"/>
        </w:rPr>
        <w:t xml:space="preserve">опрос о </w:t>
      </w:r>
      <w:r>
        <w:rPr>
          <w:color w:val="000000"/>
          <w:sz w:val="28"/>
          <w:szCs w:val="28"/>
        </w:rPr>
        <w:t xml:space="preserve">том, что же </w:t>
      </w:r>
      <w:proofErr w:type="gramStart"/>
      <w:r>
        <w:rPr>
          <w:color w:val="000000"/>
          <w:sz w:val="28"/>
          <w:szCs w:val="28"/>
        </w:rPr>
        <w:t>является мотивами объединения двух компаний в одну заставляет</w:t>
      </w:r>
      <w:proofErr w:type="gramEnd"/>
      <w:r>
        <w:rPr>
          <w:color w:val="000000"/>
          <w:sz w:val="28"/>
          <w:szCs w:val="28"/>
        </w:rPr>
        <w:t xml:space="preserve"> задуматься многих. Еще, несомненно, то, что определение мотивирующих факторов </w:t>
      </w:r>
      <w:r w:rsidRPr="00E71363">
        <w:rPr>
          <w:color w:val="000000"/>
          <w:sz w:val="28"/>
          <w:szCs w:val="28"/>
        </w:rPr>
        <w:t xml:space="preserve">является одним </w:t>
      </w:r>
      <w:r w:rsidRPr="00E71363">
        <w:rPr>
          <w:color w:val="000000"/>
          <w:sz w:val="28"/>
          <w:szCs w:val="28"/>
        </w:rPr>
        <w:lastRenderedPageBreak/>
        <w:t xml:space="preserve">из </w:t>
      </w:r>
      <w:r>
        <w:rPr>
          <w:color w:val="000000"/>
          <w:sz w:val="28"/>
          <w:szCs w:val="28"/>
        </w:rPr>
        <w:t xml:space="preserve">ключевых моментов </w:t>
      </w:r>
      <w:r w:rsidRPr="00E71363">
        <w:rPr>
          <w:color w:val="000000"/>
          <w:sz w:val="28"/>
          <w:szCs w:val="28"/>
        </w:rPr>
        <w:t>при оценке</w:t>
      </w:r>
      <w:r w:rsidR="007F0FE5">
        <w:rPr>
          <w:color w:val="000000"/>
          <w:sz w:val="28"/>
          <w:szCs w:val="28"/>
        </w:rPr>
        <w:t xml:space="preserve"> </w:t>
      </w:r>
      <w:r w:rsidRPr="00E71363">
        <w:rPr>
          <w:color w:val="000000"/>
          <w:sz w:val="28"/>
          <w:szCs w:val="28"/>
        </w:rPr>
        <w:t>целесообразности сделок и даже при оценке стоимости фирмы в целях</w:t>
      </w:r>
      <w:r>
        <w:rPr>
          <w:color w:val="000000"/>
          <w:sz w:val="28"/>
          <w:szCs w:val="28"/>
        </w:rPr>
        <w:t xml:space="preserve"> M&amp;A. Так как </w:t>
      </w:r>
      <w:r w:rsidRPr="00E71363">
        <w:rPr>
          <w:color w:val="000000"/>
          <w:sz w:val="28"/>
          <w:szCs w:val="28"/>
        </w:rPr>
        <w:t xml:space="preserve">уже на этапе четкого </w:t>
      </w:r>
      <w:r>
        <w:rPr>
          <w:color w:val="000000"/>
          <w:sz w:val="28"/>
          <w:szCs w:val="28"/>
        </w:rPr>
        <w:t xml:space="preserve">понимания </w:t>
      </w:r>
      <w:r w:rsidRPr="00E71363">
        <w:rPr>
          <w:color w:val="000000"/>
          <w:sz w:val="28"/>
          <w:szCs w:val="28"/>
        </w:rPr>
        <w:t>мотива сделки может</w:t>
      </w:r>
      <w:r w:rsidR="007F0FE5">
        <w:rPr>
          <w:color w:val="000000"/>
          <w:sz w:val="28"/>
          <w:szCs w:val="28"/>
        </w:rPr>
        <w:t xml:space="preserve"> </w:t>
      </w:r>
      <w:r w:rsidRPr="00E71363">
        <w:rPr>
          <w:color w:val="000000"/>
          <w:sz w:val="28"/>
          <w:szCs w:val="28"/>
        </w:rPr>
        <w:t>решаться вопрос о ее целесообразности</w:t>
      </w:r>
      <w:r>
        <w:rPr>
          <w:color w:val="000000"/>
          <w:sz w:val="28"/>
          <w:szCs w:val="28"/>
        </w:rPr>
        <w:t xml:space="preserve">. </w:t>
      </w:r>
      <w:r w:rsidRPr="00E362DE">
        <w:rPr>
          <w:color w:val="000000"/>
          <w:sz w:val="28"/>
          <w:szCs w:val="28"/>
        </w:rPr>
        <w:t>Проанализировав опыт различных российских и зарубежных компаний, можно выделить следующие мотивы</w:t>
      </w:r>
      <w:r>
        <w:rPr>
          <w:rStyle w:val="a5"/>
          <w:color w:val="000000"/>
          <w:sz w:val="28"/>
          <w:szCs w:val="28"/>
        </w:rPr>
        <w:footnoteReference w:id="10"/>
      </w:r>
      <w:r w:rsidRPr="00E362DE">
        <w:rPr>
          <w:color w:val="000000"/>
          <w:sz w:val="28"/>
          <w:szCs w:val="28"/>
        </w:rPr>
        <w:t>.</w:t>
      </w:r>
    </w:p>
    <w:p w:rsidR="002A2DE3" w:rsidRPr="00EB7A5F" w:rsidRDefault="002A2DE3" w:rsidP="002A2DE3">
      <w:pPr>
        <w:pStyle w:val="a6"/>
        <w:spacing w:before="0" w:beforeAutospacing="0" w:after="0" w:afterAutospacing="0" w:line="360" w:lineRule="auto"/>
        <w:ind w:firstLine="709"/>
        <w:jc w:val="both"/>
        <w:rPr>
          <w:color w:val="000000"/>
          <w:sz w:val="28"/>
          <w:szCs w:val="28"/>
        </w:rPr>
      </w:pPr>
      <w:r w:rsidRPr="00E362DE">
        <w:rPr>
          <w:color w:val="000000"/>
          <w:sz w:val="28"/>
          <w:szCs w:val="28"/>
        </w:rPr>
        <w:t>Во-первых, это стремление получить синергетический эффект</w:t>
      </w:r>
      <w:r w:rsidRPr="00E362DE">
        <w:rPr>
          <w:sz w:val="28"/>
          <w:szCs w:val="28"/>
        </w:rPr>
        <w:t xml:space="preserve">. </w:t>
      </w:r>
      <w:r>
        <w:rPr>
          <w:sz w:val="28"/>
          <w:szCs w:val="28"/>
        </w:rPr>
        <w:t xml:space="preserve">Достаточно серьезный и оправданный мотив. Представляет собой  дополнительную стоимость, которая возникает как результат объединения. </w:t>
      </w:r>
      <w:r>
        <w:rPr>
          <w:color w:val="000000"/>
          <w:sz w:val="28"/>
          <w:szCs w:val="28"/>
        </w:rPr>
        <w:t>Может выражаться в виде экономии от масштаба, экономии</w:t>
      </w:r>
      <w:r w:rsidRPr="00E362DE">
        <w:rPr>
          <w:color w:val="000000"/>
          <w:sz w:val="28"/>
          <w:szCs w:val="28"/>
        </w:rPr>
        <w:t xml:space="preserve"> издержек на НИОКР и</w:t>
      </w:r>
      <w:r>
        <w:rPr>
          <w:color w:val="000000"/>
          <w:sz w:val="28"/>
          <w:szCs w:val="28"/>
        </w:rPr>
        <w:t>ли</w:t>
      </w:r>
      <w:r w:rsidRPr="00E362DE">
        <w:rPr>
          <w:color w:val="000000"/>
          <w:sz w:val="28"/>
          <w:szCs w:val="28"/>
        </w:rPr>
        <w:t xml:space="preserve"> эффект</w:t>
      </w:r>
      <w:r>
        <w:rPr>
          <w:color w:val="000000"/>
          <w:sz w:val="28"/>
          <w:szCs w:val="28"/>
        </w:rPr>
        <w:t>е</w:t>
      </w:r>
      <w:r w:rsidRPr="00E362DE">
        <w:rPr>
          <w:color w:val="000000"/>
          <w:sz w:val="28"/>
          <w:szCs w:val="28"/>
        </w:rPr>
        <w:t xml:space="preserve"> диверсификации. Другими словами совокупный результат объединившихся компаний будет существенно превышать результаты отдельных действий компаний. </w:t>
      </w:r>
      <w:r>
        <w:rPr>
          <w:color w:val="000000"/>
          <w:sz w:val="28"/>
          <w:szCs w:val="28"/>
        </w:rPr>
        <w:t>Следует отметить, что если компания – цель имеет схожий бизнес, то предполагается экономия от эффекта масштаба. Если компания – цель крупнее и занимает сильные позиции на рынке, то можно предположить операционную синергию.</w:t>
      </w:r>
      <w:r w:rsidR="00EB7A5F">
        <w:rPr>
          <w:color w:val="000000"/>
          <w:sz w:val="28"/>
          <w:szCs w:val="28"/>
        </w:rPr>
        <w:t xml:space="preserve"> Большинство из совершенных и совершающихся сделок на рынке </w:t>
      </w:r>
      <w:r w:rsidR="00EB7A5F">
        <w:rPr>
          <w:color w:val="000000"/>
          <w:sz w:val="28"/>
          <w:szCs w:val="28"/>
          <w:lang w:val="en-US"/>
        </w:rPr>
        <w:t>M</w:t>
      </w:r>
      <w:r w:rsidR="00EB7A5F" w:rsidRPr="00EB7A5F">
        <w:rPr>
          <w:color w:val="000000"/>
          <w:sz w:val="28"/>
          <w:szCs w:val="28"/>
        </w:rPr>
        <w:t>&amp;</w:t>
      </w:r>
      <w:r w:rsidR="00EB7A5F">
        <w:rPr>
          <w:color w:val="000000"/>
          <w:sz w:val="28"/>
          <w:szCs w:val="28"/>
          <w:lang w:val="en-US"/>
        </w:rPr>
        <w:t>A</w:t>
      </w:r>
      <w:r w:rsidR="00EB7A5F" w:rsidRPr="00EB7A5F">
        <w:rPr>
          <w:color w:val="000000"/>
          <w:sz w:val="28"/>
          <w:szCs w:val="28"/>
        </w:rPr>
        <w:t xml:space="preserve"> </w:t>
      </w:r>
      <w:r w:rsidR="00EB7A5F">
        <w:rPr>
          <w:color w:val="000000"/>
          <w:sz w:val="28"/>
          <w:szCs w:val="28"/>
        </w:rPr>
        <w:t xml:space="preserve">подразумевают синергию и заключаются с целью ее получения. Однако не всегда синергетические выгоды достигаются. Например, от слияния «Роснефти» и ТНК-ВР ожидается синергетический эффект в размере 4 – 5 млрд. руб. </w:t>
      </w:r>
    </w:p>
    <w:p w:rsidR="002A2DE3" w:rsidRPr="00E362DE" w:rsidRDefault="002A2DE3" w:rsidP="002A2DE3">
      <w:pPr>
        <w:pStyle w:val="a6"/>
        <w:spacing w:before="0" w:beforeAutospacing="0" w:after="0" w:afterAutospacing="0" w:line="360" w:lineRule="auto"/>
        <w:ind w:firstLine="709"/>
        <w:jc w:val="both"/>
        <w:rPr>
          <w:color w:val="000000"/>
          <w:sz w:val="28"/>
          <w:szCs w:val="28"/>
        </w:rPr>
      </w:pPr>
      <w:r>
        <w:rPr>
          <w:color w:val="000000"/>
          <w:sz w:val="28"/>
          <w:szCs w:val="28"/>
        </w:rPr>
        <w:t xml:space="preserve">Распространенным мотивом является присоединения недооцененной публичной компании. Однако чтобы убедиться, что компанию действительно недооценивают, и нет других причин в ее заниженной стоимости компании – покупателю желательно провести самостоятельную предварительную оценку. Схожую мотивацию имеет присоединение предприятия с неэффективным управлением. Различие лишь в том, что в случае </w:t>
      </w:r>
      <w:proofErr w:type="spellStart"/>
      <w:r>
        <w:rPr>
          <w:color w:val="000000"/>
          <w:sz w:val="28"/>
          <w:szCs w:val="28"/>
        </w:rPr>
        <w:t>недооцененности</w:t>
      </w:r>
      <w:proofErr w:type="spellEnd"/>
      <w:r>
        <w:rPr>
          <w:color w:val="000000"/>
          <w:sz w:val="28"/>
          <w:szCs w:val="28"/>
        </w:rPr>
        <w:t xml:space="preserve"> заниженная реальная стоимость вызвана </w:t>
      </w:r>
      <w:proofErr w:type="spellStart"/>
      <w:r>
        <w:rPr>
          <w:color w:val="000000"/>
          <w:sz w:val="28"/>
          <w:szCs w:val="28"/>
        </w:rPr>
        <w:lastRenderedPageBreak/>
        <w:t>коньюктурой</w:t>
      </w:r>
      <w:proofErr w:type="spellEnd"/>
      <w:r>
        <w:rPr>
          <w:color w:val="000000"/>
          <w:sz w:val="28"/>
          <w:szCs w:val="28"/>
        </w:rPr>
        <w:t xml:space="preserve"> фондового рынка, а в случае управления – его неэффективностью и нерациональностью.</w:t>
      </w:r>
    </w:p>
    <w:p w:rsidR="002A2DE3" w:rsidRPr="00E362DE" w:rsidRDefault="002A2DE3" w:rsidP="002A2DE3">
      <w:pPr>
        <w:pStyle w:val="a6"/>
        <w:spacing w:before="0" w:beforeAutospacing="0" w:after="0" w:afterAutospacing="0" w:line="360" w:lineRule="auto"/>
        <w:ind w:firstLine="709"/>
        <w:jc w:val="both"/>
        <w:rPr>
          <w:color w:val="000000"/>
          <w:sz w:val="28"/>
          <w:szCs w:val="28"/>
        </w:rPr>
      </w:pPr>
      <w:r w:rsidRPr="00E362DE">
        <w:rPr>
          <w:color w:val="000000"/>
          <w:sz w:val="28"/>
          <w:szCs w:val="28"/>
        </w:rPr>
        <w:t xml:space="preserve">Следующая теория, которая объясняет мотивацию компаний, является «теория гордыни». В таком случае слияние </w:t>
      </w:r>
      <w:r w:rsidRPr="00E362DE">
        <w:rPr>
          <w:color w:val="000000"/>
          <w:spacing w:val="-2"/>
          <w:sz w:val="28"/>
          <w:szCs w:val="28"/>
        </w:rPr>
        <w:t>—</w:t>
      </w:r>
      <w:r w:rsidRPr="00E362DE">
        <w:rPr>
          <w:color w:val="000000"/>
          <w:sz w:val="28"/>
          <w:szCs w:val="28"/>
        </w:rPr>
        <w:t xml:space="preserve"> это всего лишь итог личного решения</w:t>
      </w:r>
      <w:r>
        <w:rPr>
          <w:color w:val="000000"/>
          <w:sz w:val="28"/>
          <w:szCs w:val="28"/>
        </w:rPr>
        <w:t xml:space="preserve"> менеджмента компании - покупателя</w:t>
      </w:r>
      <w:r w:rsidRPr="00E362DE">
        <w:rPr>
          <w:color w:val="000000"/>
          <w:sz w:val="28"/>
          <w:szCs w:val="28"/>
        </w:rPr>
        <w:t xml:space="preserve">. Он считает, что рыночная оценка стоимости компании-цели не полностью отражает её потенциал, и что именно его оценка единственная верная. Другими словами, решение о слиянии может быть вызвано только иррациональной «гордыней» </w:t>
      </w:r>
      <w:r>
        <w:rPr>
          <w:color w:val="000000"/>
          <w:sz w:val="28"/>
          <w:szCs w:val="28"/>
        </w:rPr>
        <w:t xml:space="preserve"> менеджеров </w:t>
      </w:r>
      <w:r w:rsidRPr="00E362DE">
        <w:rPr>
          <w:color w:val="000000"/>
          <w:sz w:val="28"/>
          <w:szCs w:val="28"/>
        </w:rPr>
        <w:t xml:space="preserve">компании-покупателя. </w:t>
      </w:r>
    </w:p>
    <w:p w:rsidR="002A2DE3" w:rsidRPr="00E362DE" w:rsidRDefault="002A2DE3" w:rsidP="002A2DE3">
      <w:pPr>
        <w:pStyle w:val="a6"/>
        <w:shd w:val="clear" w:color="auto" w:fill="FFFFFF"/>
        <w:spacing w:before="0" w:beforeAutospacing="0" w:after="0" w:afterAutospacing="0" w:line="360" w:lineRule="auto"/>
        <w:ind w:firstLine="709"/>
        <w:jc w:val="both"/>
        <w:rPr>
          <w:sz w:val="28"/>
          <w:szCs w:val="28"/>
        </w:rPr>
      </w:pPr>
      <w:r w:rsidRPr="00E362DE">
        <w:rPr>
          <w:color w:val="000000"/>
          <w:sz w:val="28"/>
          <w:szCs w:val="28"/>
        </w:rPr>
        <w:t>Еще одн</w:t>
      </w:r>
      <w:r>
        <w:rPr>
          <w:color w:val="000000"/>
          <w:sz w:val="28"/>
          <w:szCs w:val="28"/>
        </w:rPr>
        <w:t>им мотивом является устранение конкурентов или так называемый мотив монополии. Характеризуется желанием компании увеличить свое влияние на рынке. В результате сделки присоединенная компания больше не является конкурентом, а иногда может быть приобретена просто с целью закрытия.</w:t>
      </w:r>
    </w:p>
    <w:p w:rsidR="002A2DE3" w:rsidRPr="00E362DE" w:rsidRDefault="002A2DE3" w:rsidP="002A2DE3">
      <w:pPr>
        <w:pStyle w:val="a6"/>
        <w:spacing w:before="0" w:beforeAutospacing="0" w:after="0" w:afterAutospacing="0" w:line="360" w:lineRule="auto"/>
        <w:ind w:firstLine="709"/>
        <w:jc w:val="both"/>
        <w:rPr>
          <w:color w:val="000000"/>
          <w:sz w:val="28"/>
          <w:szCs w:val="28"/>
        </w:rPr>
      </w:pPr>
      <w:r w:rsidRPr="00E362DE">
        <w:rPr>
          <w:color w:val="000000"/>
          <w:sz w:val="28"/>
          <w:szCs w:val="28"/>
        </w:rPr>
        <w:t xml:space="preserve">Рассмотренные мотивы показывают, что </w:t>
      </w:r>
      <w:r w:rsidRPr="00E362DE">
        <w:rPr>
          <w:sz w:val="28"/>
          <w:szCs w:val="28"/>
          <w:lang w:val="de-DE"/>
        </w:rPr>
        <w:t>M</w:t>
      </w:r>
      <w:r w:rsidRPr="00E362DE">
        <w:rPr>
          <w:sz w:val="28"/>
          <w:szCs w:val="28"/>
        </w:rPr>
        <w:t>&amp;</w:t>
      </w:r>
      <w:r w:rsidRPr="00E362DE">
        <w:rPr>
          <w:sz w:val="28"/>
          <w:szCs w:val="28"/>
          <w:lang w:val="de-DE"/>
        </w:rPr>
        <w:t>A</w:t>
      </w:r>
      <w:r w:rsidRPr="00E362DE">
        <w:rPr>
          <w:color w:val="000000"/>
          <w:sz w:val="28"/>
          <w:szCs w:val="28"/>
        </w:rPr>
        <w:t xml:space="preserve"> компаний могут быть ориентированы как на усовершенствование производства, финансирования, научно-исследовательской работы, так и на выход на новые рынки сбыта и сырья. В итоге, систематизируя все вышеперечисленные мотивы, лежащие в основе принятия решения о</w:t>
      </w:r>
      <w:r w:rsidR="00127537">
        <w:rPr>
          <w:color w:val="000000"/>
          <w:sz w:val="28"/>
          <w:szCs w:val="28"/>
        </w:rPr>
        <w:t xml:space="preserve"> </w:t>
      </w:r>
      <w:r w:rsidRPr="00E362DE">
        <w:rPr>
          <w:sz w:val="28"/>
          <w:szCs w:val="28"/>
          <w:lang w:val="de-DE"/>
        </w:rPr>
        <w:t>M</w:t>
      </w:r>
      <w:r w:rsidRPr="00E362DE">
        <w:rPr>
          <w:sz w:val="28"/>
          <w:szCs w:val="28"/>
        </w:rPr>
        <w:t>&amp;</w:t>
      </w:r>
      <w:r w:rsidRPr="00E362DE">
        <w:rPr>
          <w:sz w:val="28"/>
          <w:szCs w:val="28"/>
          <w:lang w:val="de-DE"/>
        </w:rPr>
        <w:t>A</w:t>
      </w:r>
      <w:r w:rsidRPr="00E362DE">
        <w:rPr>
          <w:sz w:val="28"/>
          <w:szCs w:val="28"/>
        </w:rPr>
        <w:t xml:space="preserve">, можно составить общую схему </w:t>
      </w:r>
      <w:r w:rsidRPr="00A97D7E">
        <w:rPr>
          <w:color w:val="000000"/>
          <w:sz w:val="28"/>
          <w:szCs w:val="28"/>
        </w:rPr>
        <w:t>(рис.2).</w:t>
      </w:r>
    </w:p>
    <w:p w:rsidR="002A2DE3" w:rsidRPr="00E362DE" w:rsidRDefault="002A2DE3" w:rsidP="002A2DE3">
      <w:pPr>
        <w:pStyle w:val="a6"/>
        <w:spacing w:before="0" w:beforeAutospacing="0" w:after="0" w:afterAutospacing="0" w:line="360" w:lineRule="auto"/>
        <w:jc w:val="center"/>
        <w:rPr>
          <w:sz w:val="28"/>
          <w:szCs w:val="28"/>
        </w:rPr>
      </w:pPr>
      <w:r>
        <w:rPr>
          <w:noProof/>
          <w:sz w:val="28"/>
          <w:szCs w:val="28"/>
        </w:rPr>
        <w:lastRenderedPageBreak/>
        <w:drawing>
          <wp:inline distT="0" distB="0" distL="0" distR="0">
            <wp:extent cx="5822931" cy="3780000"/>
            <wp:effectExtent l="19050" t="0" r="6369" b="0"/>
            <wp:docPr id="5" name="Рисунок 4"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srcRect l="1885" r="4433"/>
                    <a:stretch>
                      <a:fillRect/>
                    </a:stretch>
                  </pic:blipFill>
                  <pic:spPr>
                    <a:xfrm>
                      <a:off x="0" y="0"/>
                      <a:ext cx="5822931" cy="3780000"/>
                    </a:xfrm>
                    <a:prstGeom prst="rect">
                      <a:avLst/>
                    </a:prstGeom>
                  </pic:spPr>
                </pic:pic>
              </a:graphicData>
            </a:graphic>
          </wp:inline>
        </w:drawing>
      </w:r>
    </w:p>
    <w:p w:rsidR="00390FBE" w:rsidRDefault="002A2DE3" w:rsidP="006B0EB0">
      <w:pPr>
        <w:pStyle w:val="a6"/>
        <w:spacing w:before="0" w:beforeAutospacing="0" w:after="0" w:afterAutospacing="0" w:line="360" w:lineRule="auto"/>
        <w:ind w:firstLine="709"/>
        <w:jc w:val="center"/>
        <w:rPr>
          <w:sz w:val="28"/>
          <w:szCs w:val="28"/>
        </w:rPr>
      </w:pPr>
      <w:r w:rsidRPr="00793D0E">
        <w:rPr>
          <w:color w:val="000000"/>
          <w:sz w:val="28"/>
          <w:szCs w:val="28"/>
        </w:rPr>
        <w:t xml:space="preserve">Рис.2 Основные мотивы </w:t>
      </w:r>
      <w:r w:rsidRPr="00793D0E">
        <w:rPr>
          <w:sz w:val="28"/>
          <w:szCs w:val="28"/>
          <w:lang w:val="de-DE"/>
        </w:rPr>
        <w:t>M</w:t>
      </w:r>
      <w:r w:rsidRPr="00793D0E">
        <w:rPr>
          <w:sz w:val="28"/>
          <w:szCs w:val="28"/>
        </w:rPr>
        <w:t>&amp;</w:t>
      </w:r>
      <w:r w:rsidRPr="00793D0E">
        <w:rPr>
          <w:sz w:val="28"/>
          <w:szCs w:val="28"/>
          <w:lang w:val="de-DE"/>
        </w:rPr>
        <w:t>A</w:t>
      </w:r>
      <w:r w:rsidR="00793D0E" w:rsidRPr="00793D0E">
        <w:rPr>
          <w:sz w:val="28"/>
          <w:szCs w:val="28"/>
        </w:rPr>
        <w:t xml:space="preserve"> (составлено автором)</w:t>
      </w:r>
    </w:p>
    <w:p w:rsidR="006B0EB0" w:rsidRDefault="006B0EB0" w:rsidP="006B0EB0">
      <w:pPr>
        <w:pStyle w:val="a6"/>
        <w:spacing w:before="0" w:beforeAutospacing="0" w:after="0" w:afterAutospacing="0" w:line="360" w:lineRule="auto"/>
        <w:ind w:firstLine="709"/>
        <w:jc w:val="center"/>
        <w:rPr>
          <w:sz w:val="28"/>
          <w:szCs w:val="28"/>
        </w:rPr>
      </w:pPr>
    </w:p>
    <w:p w:rsidR="002A2DE3" w:rsidRPr="00793D0E" w:rsidRDefault="002A2DE3" w:rsidP="00793D0E">
      <w:pPr>
        <w:pStyle w:val="a6"/>
        <w:spacing w:before="0" w:beforeAutospacing="0" w:after="0" w:afterAutospacing="0" w:line="360" w:lineRule="auto"/>
        <w:ind w:firstLine="709"/>
        <w:jc w:val="center"/>
        <w:rPr>
          <w:sz w:val="28"/>
          <w:szCs w:val="28"/>
        </w:rPr>
      </w:pPr>
      <w:r w:rsidRPr="00063536">
        <w:rPr>
          <w:b/>
          <w:sz w:val="28"/>
          <w:szCs w:val="28"/>
        </w:rPr>
        <w:t>1.3</w:t>
      </w:r>
      <w:r w:rsidR="00793D0E">
        <w:rPr>
          <w:b/>
          <w:sz w:val="28"/>
          <w:szCs w:val="28"/>
        </w:rPr>
        <w:t>.</w:t>
      </w:r>
      <w:r w:rsidRPr="00063536">
        <w:rPr>
          <w:b/>
          <w:sz w:val="28"/>
          <w:szCs w:val="28"/>
        </w:rPr>
        <w:t xml:space="preserve"> Обзор </w:t>
      </w:r>
      <w:r>
        <w:rPr>
          <w:b/>
          <w:sz w:val="28"/>
          <w:szCs w:val="28"/>
        </w:rPr>
        <w:t xml:space="preserve">российского </w:t>
      </w:r>
      <w:r w:rsidRPr="00063536">
        <w:rPr>
          <w:b/>
          <w:sz w:val="28"/>
          <w:szCs w:val="28"/>
        </w:rPr>
        <w:t xml:space="preserve">рынка </w:t>
      </w:r>
      <w:r w:rsidRPr="00063536">
        <w:rPr>
          <w:b/>
          <w:sz w:val="28"/>
          <w:szCs w:val="28"/>
          <w:lang w:val="en-US"/>
        </w:rPr>
        <w:t>M</w:t>
      </w:r>
      <w:r w:rsidRPr="00063536">
        <w:rPr>
          <w:b/>
          <w:sz w:val="28"/>
          <w:szCs w:val="28"/>
        </w:rPr>
        <w:t>&amp;</w:t>
      </w:r>
      <w:r w:rsidRPr="00063536">
        <w:rPr>
          <w:b/>
          <w:sz w:val="28"/>
          <w:szCs w:val="28"/>
          <w:lang w:val="en-US"/>
        </w:rPr>
        <w:t>A</w:t>
      </w:r>
    </w:p>
    <w:p w:rsidR="006B0EB0" w:rsidRDefault="006B0EB0" w:rsidP="006B0EB0">
      <w:pPr>
        <w:spacing w:after="0" w:line="240" w:lineRule="auto"/>
        <w:ind w:firstLine="709"/>
        <w:jc w:val="both"/>
        <w:rPr>
          <w:rFonts w:ascii="Times New Roman" w:hAnsi="Times New Roman"/>
          <w:sz w:val="28"/>
          <w:szCs w:val="28"/>
        </w:rPr>
      </w:pP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На</w:t>
      </w:r>
      <w:r w:rsidRPr="00E362DE">
        <w:rPr>
          <w:rFonts w:ascii="Times New Roman" w:hAnsi="Times New Roman"/>
          <w:sz w:val="28"/>
          <w:szCs w:val="28"/>
        </w:rPr>
        <w:t xml:space="preserve"> миро</w:t>
      </w:r>
      <w:r>
        <w:rPr>
          <w:rFonts w:ascii="Times New Roman" w:hAnsi="Times New Roman"/>
          <w:sz w:val="28"/>
          <w:szCs w:val="28"/>
        </w:rPr>
        <w:t>вом рынке</w:t>
      </w:r>
      <w:proofErr w:type="gramStart"/>
      <w:r w:rsidRPr="00E362DE">
        <w:rPr>
          <w:rFonts w:ascii="Times New Roman" w:hAnsi="Times New Roman"/>
          <w:sz w:val="28"/>
          <w:szCs w:val="28"/>
          <w:lang w:val="de-DE"/>
        </w:rPr>
        <w:t>M</w:t>
      </w:r>
      <w:proofErr w:type="gramEnd"/>
      <w:r w:rsidRPr="00E362DE">
        <w:rPr>
          <w:rFonts w:ascii="Times New Roman" w:hAnsi="Times New Roman"/>
          <w:sz w:val="28"/>
          <w:szCs w:val="28"/>
        </w:rPr>
        <w:t>&amp;</w:t>
      </w:r>
      <w:r w:rsidRPr="00E362DE">
        <w:rPr>
          <w:rFonts w:ascii="Times New Roman" w:hAnsi="Times New Roman"/>
          <w:sz w:val="28"/>
          <w:szCs w:val="28"/>
          <w:lang w:val="de-DE"/>
        </w:rPr>
        <w:t>A</w:t>
      </w:r>
      <w:r>
        <w:rPr>
          <w:rFonts w:ascii="Times New Roman" w:hAnsi="Times New Roman"/>
          <w:sz w:val="28"/>
          <w:szCs w:val="28"/>
        </w:rPr>
        <w:t xml:space="preserve"> (рис. 3</w:t>
      </w:r>
      <w:r w:rsidR="001C7B5A">
        <w:rPr>
          <w:rFonts w:ascii="Times New Roman" w:hAnsi="Times New Roman"/>
          <w:sz w:val="28"/>
          <w:szCs w:val="28"/>
        </w:rPr>
        <w:t xml:space="preserve"> а и 3 б</w:t>
      </w:r>
      <w:r>
        <w:rPr>
          <w:rFonts w:ascii="Times New Roman" w:hAnsi="Times New Roman"/>
          <w:sz w:val="28"/>
          <w:szCs w:val="28"/>
        </w:rPr>
        <w:t>)</w:t>
      </w:r>
      <w:r w:rsidR="00793D0E">
        <w:rPr>
          <w:rFonts w:ascii="Times New Roman" w:hAnsi="Times New Roman"/>
          <w:sz w:val="28"/>
          <w:szCs w:val="28"/>
        </w:rPr>
        <w:t xml:space="preserve"> </w:t>
      </w:r>
      <w:r>
        <w:rPr>
          <w:rFonts w:ascii="Times New Roman" w:hAnsi="Times New Roman"/>
          <w:sz w:val="28"/>
          <w:szCs w:val="28"/>
        </w:rPr>
        <w:t>происходит сокращение как числа, так объемов совершенных сделок, что является следствием нестабильности и продолжавшегося весь год долгового кризиса в еврозоне. К</w:t>
      </w:r>
      <w:r w:rsidRPr="00E362DE">
        <w:rPr>
          <w:rFonts w:ascii="Times New Roman" w:hAnsi="Times New Roman"/>
          <w:sz w:val="28"/>
          <w:szCs w:val="28"/>
        </w:rPr>
        <w:t>ризис не затронул сильно экономику Росси</w:t>
      </w:r>
      <w:r>
        <w:rPr>
          <w:rFonts w:ascii="Times New Roman" w:hAnsi="Times New Roman"/>
          <w:sz w:val="28"/>
          <w:szCs w:val="28"/>
        </w:rPr>
        <w:t xml:space="preserve">и, что говорит о том, что Российский рынок </w:t>
      </w:r>
      <w:r>
        <w:rPr>
          <w:rFonts w:ascii="Times New Roman" w:hAnsi="Times New Roman"/>
          <w:sz w:val="28"/>
          <w:szCs w:val="28"/>
          <w:lang w:val="en-US"/>
        </w:rPr>
        <w:t>M</w:t>
      </w:r>
      <w:r w:rsidRPr="00C33A38">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вне опасности</w:t>
      </w:r>
      <w:r w:rsidRPr="00E362DE">
        <w:rPr>
          <w:rFonts w:ascii="Times New Roman" w:hAnsi="Times New Roman"/>
          <w:sz w:val="28"/>
          <w:szCs w:val="28"/>
        </w:rPr>
        <w:t>. Это является большим преимуществом отечественного рынк</w:t>
      </w:r>
      <w:r>
        <w:rPr>
          <w:rFonts w:ascii="Times New Roman" w:hAnsi="Times New Roman"/>
          <w:sz w:val="28"/>
          <w:szCs w:val="28"/>
        </w:rPr>
        <w:t xml:space="preserve">а, который находится </w:t>
      </w:r>
      <w:r w:rsidRPr="00E362DE">
        <w:rPr>
          <w:rFonts w:ascii="Times New Roman" w:hAnsi="Times New Roman"/>
          <w:sz w:val="28"/>
          <w:szCs w:val="28"/>
        </w:rPr>
        <w:t xml:space="preserve">на начальном этапе своего развития. В связи с этим именно благодаря внутренним факторам </w:t>
      </w:r>
      <w:r>
        <w:rPr>
          <w:rFonts w:ascii="Times New Roman" w:hAnsi="Times New Roman"/>
          <w:sz w:val="28"/>
          <w:szCs w:val="28"/>
        </w:rPr>
        <w:t>это</w:t>
      </w:r>
      <w:r w:rsidRPr="00E362DE">
        <w:rPr>
          <w:rFonts w:ascii="Times New Roman" w:hAnsi="Times New Roman"/>
          <w:sz w:val="28"/>
          <w:szCs w:val="28"/>
        </w:rPr>
        <w:t xml:space="preserve"> позволяет российскому рынку</w:t>
      </w:r>
      <w:r w:rsidR="00793D0E">
        <w:rPr>
          <w:rFonts w:ascii="Times New Roman" w:hAnsi="Times New Roman"/>
          <w:sz w:val="28"/>
          <w:szCs w:val="28"/>
        </w:rPr>
        <w:t xml:space="preserve"> </w:t>
      </w:r>
      <w:r w:rsidRPr="00E362DE">
        <w:rPr>
          <w:rFonts w:ascii="Times New Roman" w:hAnsi="Times New Roman"/>
          <w:sz w:val="28"/>
          <w:szCs w:val="28"/>
        </w:rPr>
        <w:t xml:space="preserve">развиваться, поэтому уже сейчас можно говорить о том, что развитие рынков </w:t>
      </w:r>
      <w:r w:rsidRPr="00E362DE">
        <w:rPr>
          <w:rFonts w:ascii="Times New Roman" w:hAnsi="Times New Roman"/>
          <w:sz w:val="28"/>
          <w:szCs w:val="28"/>
          <w:lang w:val="en-US"/>
        </w:rPr>
        <w:t>M</w:t>
      </w:r>
      <w:r w:rsidRPr="00E362DE">
        <w:rPr>
          <w:rFonts w:ascii="Times New Roman" w:hAnsi="Times New Roman"/>
          <w:sz w:val="28"/>
          <w:szCs w:val="28"/>
        </w:rPr>
        <w:t>&amp;</w:t>
      </w:r>
      <w:r w:rsidRPr="00E362DE">
        <w:rPr>
          <w:rFonts w:ascii="Times New Roman" w:hAnsi="Times New Roman"/>
          <w:sz w:val="28"/>
          <w:szCs w:val="28"/>
          <w:lang w:val="en-US"/>
        </w:rPr>
        <w:t>A</w:t>
      </w:r>
      <w:r w:rsidRPr="00E362DE">
        <w:rPr>
          <w:rFonts w:ascii="Times New Roman" w:hAnsi="Times New Roman"/>
          <w:sz w:val="28"/>
          <w:szCs w:val="28"/>
        </w:rPr>
        <w:t xml:space="preserve"> в России и в мире имеют разные направления и тенденции. </w:t>
      </w:r>
    </w:p>
    <w:p w:rsidR="002A2DE3" w:rsidRDefault="002A2DE3" w:rsidP="002A2DE3">
      <w:pPr>
        <w:spacing w:after="0" w:line="240" w:lineRule="auto"/>
        <w:ind w:firstLine="709"/>
        <w:jc w:val="both"/>
        <w:rPr>
          <w:rFonts w:ascii="Times New Roman" w:hAnsi="Times New Roman"/>
          <w:sz w:val="28"/>
          <w:szCs w:val="28"/>
        </w:rPr>
      </w:pPr>
    </w:p>
    <w:p w:rsidR="00F006D0" w:rsidRDefault="001C7B5A" w:rsidP="00793D0E">
      <w:pPr>
        <w:spacing w:after="0" w:line="360" w:lineRule="auto"/>
        <w:jc w:val="center"/>
        <w:rPr>
          <w:rFonts w:ascii="Times New Roman" w:hAnsi="Times New Roman"/>
          <w:sz w:val="28"/>
          <w:szCs w:val="28"/>
        </w:rPr>
      </w:pPr>
      <w:r w:rsidRPr="001C7B5A">
        <w:rPr>
          <w:rFonts w:ascii="Times New Roman" w:hAnsi="Times New Roman"/>
          <w:noProof/>
          <w:sz w:val="28"/>
          <w:szCs w:val="28"/>
          <w:lang w:eastAsia="ru-RU"/>
        </w:rPr>
        <w:lastRenderedPageBreak/>
        <w:drawing>
          <wp:inline distT="0" distB="0" distL="0" distR="0">
            <wp:extent cx="4860290" cy="2880000"/>
            <wp:effectExtent l="19050" t="0" r="1651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6D0" w:rsidRPr="00F006D0" w:rsidRDefault="00F006D0" w:rsidP="00793D0E">
      <w:pPr>
        <w:spacing w:after="0" w:line="360" w:lineRule="auto"/>
        <w:jc w:val="center"/>
        <w:rPr>
          <w:rFonts w:ascii="Times New Roman" w:hAnsi="Times New Roman"/>
          <w:sz w:val="28"/>
          <w:szCs w:val="28"/>
        </w:rPr>
      </w:pPr>
      <w:r>
        <w:rPr>
          <w:rFonts w:ascii="Times New Roman" w:hAnsi="Times New Roman"/>
          <w:sz w:val="28"/>
          <w:szCs w:val="28"/>
        </w:rPr>
        <w:t xml:space="preserve">Рис. 3а Мировой  рынок </w:t>
      </w:r>
      <w:r>
        <w:rPr>
          <w:rFonts w:ascii="Times New Roman" w:hAnsi="Times New Roman"/>
          <w:sz w:val="28"/>
          <w:szCs w:val="28"/>
          <w:lang w:val="en-US"/>
        </w:rPr>
        <w:t>M</w:t>
      </w:r>
      <w:proofErr w:type="gramStart"/>
      <w:r w:rsidRPr="00F006D0">
        <w:rPr>
          <w:rFonts w:ascii="Times New Roman" w:hAnsi="Times New Roman"/>
          <w:sz w:val="28"/>
          <w:szCs w:val="28"/>
        </w:rPr>
        <w:t>&amp;</w:t>
      </w:r>
      <w:r>
        <w:rPr>
          <w:rFonts w:ascii="Times New Roman" w:hAnsi="Times New Roman"/>
          <w:sz w:val="28"/>
          <w:szCs w:val="28"/>
        </w:rPr>
        <w:t>А</w:t>
      </w:r>
      <w:proofErr w:type="gramEnd"/>
      <w:r w:rsidR="00755DD8" w:rsidRPr="00755DD8">
        <w:rPr>
          <w:rFonts w:ascii="Times New Roman" w:hAnsi="Times New Roman"/>
          <w:sz w:val="28"/>
          <w:szCs w:val="28"/>
        </w:rPr>
        <w:t xml:space="preserve"> 2005</w:t>
      </w:r>
      <w:r w:rsidR="00755DD8">
        <w:rPr>
          <w:rFonts w:ascii="Times New Roman" w:hAnsi="Times New Roman"/>
          <w:sz w:val="28"/>
          <w:szCs w:val="28"/>
        </w:rPr>
        <w:t xml:space="preserve"> – 2012</w:t>
      </w:r>
      <w:r w:rsidR="00755DD8" w:rsidRPr="00755DD8">
        <w:rPr>
          <w:rFonts w:ascii="Times New Roman" w:hAnsi="Times New Roman"/>
          <w:sz w:val="28"/>
          <w:szCs w:val="28"/>
        </w:rPr>
        <w:t xml:space="preserve"> </w:t>
      </w:r>
      <w:r w:rsidR="00755DD8">
        <w:rPr>
          <w:rFonts w:ascii="Times New Roman" w:hAnsi="Times New Roman"/>
          <w:sz w:val="28"/>
          <w:szCs w:val="28"/>
        </w:rPr>
        <w:t>г.</w:t>
      </w:r>
      <w:r w:rsidR="00793D0E">
        <w:rPr>
          <w:rStyle w:val="a5"/>
          <w:rFonts w:ascii="Times New Roman" w:hAnsi="Times New Roman"/>
          <w:sz w:val="28"/>
          <w:szCs w:val="28"/>
        </w:rPr>
        <w:footnoteReference w:id="11"/>
      </w:r>
    </w:p>
    <w:p w:rsidR="002A2DE3" w:rsidRDefault="00F006D0" w:rsidP="00793D0E">
      <w:pPr>
        <w:spacing w:after="0" w:line="360" w:lineRule="auto"/>
        <w:jc w:val="center"/>
        <w:rPr>
          <w:rFonts w:ascii="Times New Roman" w:hAnsi="Times New Roman"/>
          <w:sz w:val="28"/>
          <w:szCs w:val="28"/>
        </w:rPr>
      </w:pPr>
      <w:r w:rsidRPr="00F006D0">
        <w:rPr>
          <w:rFonts w:ascii="Times New Roman" w:hAnsi="Times New Roman"/>
          <w:noProof/>
          <w:sz w:val="28"/>
          <w:szCs w:val="28"/>
          <w:lang w:eastAsia="ru-RU"/>
        </w:rPr>
        <w:drawing>
          <wp:inline distT="0" distB="0" distL="0" distR="0">
            <wp:extent cx="4860290" cy="2880000"/>
            <wp:effectExtent l="19050" t="0" r="1651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2DE3" w:rsidRDefault="002A2DE3" w:rsidP="002A2DE3">
      <w:pPr>
        <w:spacing w:after="0" w:line="360" w:lineRule="auto"/>
        <w:ind w:firstLine="709"/>
        <w:jc w:val="center"/>
        <w:rPr>
          <w:rFonts w:ascii="Times New Roman" w:hAnsi="Times New Roman"/>
          <w:sz w:val="28"/>
          <w:szCs w:val="28"/>
        </w:rPr>
      </w:pPr>
      <w:r>
        <w:rPr>
          <w:rFonts w:ascii="Times New Roman" w:hAnsi="Times New Roman"/>
          <w:sz w:val="28"/>
          <w:szCs w:val="28"/>
        </w:rPr>
        <w:t>Рис. 3</w:t>
      </w:r>
      <w:r w:rsidR="00F006D0">
        <w:rPr>
          <w:rFonts w:ascii="Times New Roman" w:hAnsi="Times New Roman"/>
          <w:sz w:val="28"/>
          <w:szCs w:val="28"/>
        </w:rPr>
        <w:t>б</w:t>
      </w:r>
      <w:r>
        <w:rPr>
          <w:rFonts w:ascii="Times New Roman" w:hAnsi="Times New Roman"/>
          <w:sz w:val="28"/>
          <w:szCs w:val="28"/>
        </w:rPr>
        <w:t xml:space="preserve"> Мировой рынок </w:t>
      </w:r>
      <w:r>
        <w:rPr>
          <w:rFonts w:ascii="Times New Roman" w:hAnsi="Times New Roman"/>
          <w:sz w:val="28"/>
          <w:szCs w:val="28"/>
          <w:lang w:val="en-US"/>
        </w:rPr>
        <w:t>M</w:t>
      </w:r>
      <w:r w:rsidRPr="007159C9">
        <w:rPr>
          <w:rFonts w:ascii="Times New Roman" w:hAnsi="Times New Roman"/>
          <w:sz w:val="28"/>
          <w:szCs w:val="28"/>
        </w:rPr>
        <w:t>&amp;</w:t>
      </w:r>
      <w:r>
        <w:rPr>
          <w:rFonts w:ascii="Times New Roman" w:hAnsi="Times New Roman"/>
          <w:sz w:val="28"/>
          <w:szCs w:val="28"/>
          <w:lang w:val="en-US"/>
        </w:rPr>
        <w:t>A</w:t>
      </w:r>
      <w:r w:rsidRPr="007159C9">
        <w:rPr>
          <w:rFonts w:ascii="Times New Roman" w:hAnsi="Times New Roman"/>
          <w:sz w:val="28"/>
          <w:szCs w:val="28"/>
        </w:rPr>
        <w:t xml:space="preserve"> 2005 – 2012 </w:t>
      </w:r>
      <w:r>
        <w:rPr>
          <w:rFonts w:ascii="Times New Roman" w:hAnsi="Times New Roman"/>
          <w:sz w:val="28"/>
          <w:szCs w:val="28"/>
        </w:rPr>
        <w:t>г.</w:t>
      </w:r>
      <w:r w:rsidR="00755DD8">
        <w:rPr>
          <w:rStyle w:val="a5"/>
          <w:rFonts w:ascii="Times New Roman" w:hAnsi="Times New Roman"/>
          <w:sz w:val="28"/>
          <w:szCs w:val="28"/>
        </w:rPr>
        <w:footnoteReference w:id="12"/>
      </w:r>
    </w:p>
    <w:p w:rsidR="002A2DE3" w:rsidRPr="00C8297A" w:rsidRDefault="002A2DE3" w:rsidP="002A2DE3">
      <w:pPr>
        <w:spacing w:after="0" w:line="240" w:lineRule="auto"/>
        <w:ind w:firstLine="709"/>
        <w:jc w:val="center"/>
        <w:rPr>
          <w:rStyle w:val="a8"/>
          <w:rFonts w:ascii="Times New Roman" w:hAnsi="Times New Roman"/>
          <w:b w:val="0"/>
          <w:bCs w:val="0"/>
          <w:sz w:val="28"/>
          <w:szCs w:val="28"/>
        </w:rPr>
      </w:pPr>
    </w:p>
    <w:p w:rsidR="002A2DE3" w:rsidRPr="00E362DE" w:rsidRDefault="002A2DE3" w:rsidP="002A2DE3">
      <w:pPr>
        <w:spacing w:after="0" w:line="360" w:lineRule="auto"/>
        <w:ind w:firstLine="709"/>
        <w:jc w:val="both"/>
        <w:rPr>
          <w:rStyle w:val="a8"/>
          <w:rFonts w:ascii="Times New Roman" w:hAnsi="Times New Roman"/>
          <w:b w:val="0"/>
          <w:bCs w:val="0"/>
          <w:sz w:val="28"/>
          <w:szCs w:val="28"/>
        </w:rPr>
      </w:pPr>
      <w:r>
        <w:rPr>
          <w:rStyle w:val="a8"/>
          <w:rFonts w:ascii="Times New Roman" w:hAnsi="Times New Roman"/>
          <w:b w:val="0"/>
          <w:sz w:val="28"/>
          <w:szCs w:val="28"/>
        </w:rPr>
        <w:t xml:space="preserve">Рынки </w:t>
      </w:r>
      <w:r>
        <w:rPr>
          <w:rStyle w:val="a8"/>
          <w:rFonts w:ascii="Times New Roman" w:hAnsi="Times New Roman"/>
          <w:b w:val="0"/>
          <w:sz w:val="28"/>
          <w:szCs w:val="28"/>
          <w:lang w:val="en-US"/>
        </w:rPr>
        <w:t>M</w:t>
      </w:r>
      <w:r w:rsidRPr="007159C9">
        <w:rPr>
          <w:rStyle w:val="a8"/>
          <w:rFonts w:ascii="Times New Roman" w:hAnsi="Times New Roman"/>
          <w:b w:val="0"/>
          <w:sz w:val="28"/>
          <w:szCs w:val="28"/>
        </w:rPr>
        <w:t>&amp;</w:t>
      </w:r>
      <w:r>
        <w:rPr>
          <w:rStyle w:val="a8"/>
          <w:rFonts w:ascii="Times New Roman" w:hAnsi="Times New Roman"/>
          <w:b w:val="0"/>
          <w:sz w:val="28"/>
          <w:szCs w:val="28"/>
          <w:lang w:val="en-US"/>
        </w:rPr>
        <w:t>A</w:t>
      </w:r>
      <w:r w:rsidR="00755DD8">
        <w:rPr>
          <w:rStyle w:val="a8"/>
          <w:rFonts w:ascii="Times New Roman" w:hAnsi="Times New Roman"/>
          <w:b w:val="0"/>
          <w:sz w:val="28"/>
          <w:szCs w:val="28"/>
        </w:rPr>
        <w:t xml:space="preserve"> </w:t>
      </w:r>
      <w:r>
        <w:rPr>
          <w:rStyle w:val="a8"/>
          <w:rFonts w:ascii="Times New Roman" w:hAnsi="Times New Roman"/>
          <w:b w:val="0"/>
          <w:sz w:val="28"/>
          <w:szCs w:val="28"/>
        </w:rPr>
        <w:t>в</w:t>
      </w:r>
      <w:r w:rsidRPr="00E362DE">
        <w:rPr>
          <w:rStyle w:val="a8"/>
          <w:rFonts w:ascii="Times New Roman" w:hAnsi="Times New Roman"/>
          <w:b w:val="0"/>
          <w:sz w:val="28"/>
          <w:szCs w:val="28"/>
        </w:rPr>
        <w:t xml:space="preserve"> каждой стране </w:t>
      </w:r>
      <w:r>
        <w:rPr>
          <w:rStyle w:val="a8"/>
          <w:rFonts w:ascii="Times New Roman" w:hAnsi="Times New Roman"/>
          <w:b w:val="0"/>
          <w:sz w:val="28"/>
          <w:szCs w:val="28"/>
        </w:rPr>
        <w:t xml:space="preserve">имеют свои особенности, свою специфику, что обуславливается степенью </w:t>
      </w:r>
      <w:r w:rsidRPr="00E362DE">
        <w:rPr>
          <w:rStyle w:val="a8"/>
          <w:rFonts w:ascii="Times New Roman" w:hAnsi="Times New Roman"/>
          <w:b w:val="0"/>
          <w:sz w:val="28"/>
          <w:szCs w:val="28"/>
        </w:rPr>
        <w:t>развитости экономики, законодательства, финансовых рынков и других факторов. Есть такие особенности и в России.</w:t>
      </w:r>
      <w:r w:rsidR="00755DD8">
        <w:rPr>
          <w:rStyle w:val="a8"/>
          <w:rFonts w:ascii="Times New Roman" w:hAnsi="Times New Roman"/>
          <w:b w:val="0"/>
          <w:sz w:val="28"/>
          <w:szCs w:val="28"/>
        </w:rPr>
        <w:t xml:space="preserve"> </w:t>
      </w:r>
      <w:r>
        <w:rPr>
          <w:rFonts w:ascii="Times New Roman" w:hAnsi="Times New Roman"/>
          <w:sz w:val="28"/>
          <w:szCs w:val="28"/>
        </w:rPr>
        <w:t xml:space="preserve">На сегодняшний день </w:t>
      </w:r>
      <w:r w:rsidRPr="00E362DE">
        <w:rPr>
          <w:rFonts w:ascii="Times New Roman" w:hAnsi="Times New Roman"/>
          <w:sz w:val="28"/>
          <w:szCs w:val="28"/>
        </w:rPr>
        <w:t xml:space="preserve">Российский рынок по своим характеристикам </w:t>
      </w:r>
      <w:r>
        <w:rPr>
          <w:rFonts w:ascii="Times New Roman" w:hAnsi="Times New Roman"/>
          <w:sz w:val="28"/>
          <w:szCs w:val="28"/>
        </w:rPr>
        <w:t>сильно отличается от рынка</w:t>
      </w:r>
      <w:r w:rsidRPr="00E362DE">
        <w:rPr>
          <w:rFonts w:ascii="Times New Roman" w:hAnsi="Times New Roman"/>
          <w:sz w:val="28"/>
          <w:szCs w:val="28"/>
        </w:rPr>
        <w:t xml:space="preserve"> США и</w:t>
      </w:r>
      <w:r>
        <w:rPr>
          <w:rFonts w:ascii="Times New Roman" w:hAnsi="Times New Roman"/>
          <w:sz w:val="28"/>
          <w:szCs w:val="28"/>
        </w:rPr>
        <w:t>ли</w:t>
      </w:r>
      <w:r w:rsidRPr="00E362DE">
        <w:rPr>
          <w:rFonts w:ascii="Times New Roman" w:hAnsi="Times New Roman"/>
          <w:sz w:val="28"/>
          <w:szCs w:val="28"/>
        </w:rPr>
        <w:t xml:space="preserve"> Европы, </w:t>
      </w:r>
      <w:r w:rsidRPr="00E362DE">
        <w:rPr>
          <w:rFonts w:ascii="Times New Roman" w:hAnsi="Times New Roman"/>
          <w:sz w:val="28"/>
          <w:szCs w:val="28"/>
        </w:rPr>
        <w:lastRenderedPageBreak/>
        <w:t xml:space="preserve">поскольку </w:t>
      </w:r>
      <w:r>
        <w:rPr>
          <w:rFonts w:ascii="Times New Roman" w:hAnsi="Times New Roman"/>
          <w:sz w:val="28"/>
          <w:szCs w:val="28"/>
        </w:rPr>
        <w:t>сформировался он не так давно.</w:t>
      </w:r>
      <w:r w:rsidR="00755DD8">
        <w:rPr>
          <w:rFonts w:ascii="Times New Roman" w:hAnsi="Times New Roman"/>
          <w:sz w:val="28"/>
          <w:szCs w:val="28"/>
        </w:rPr>
        <w:t xml:space="preserve"> </w:t>
      </w:r>
      <w:r>
        <w:rPr>
          <w:rStyle w:val="a8"/>
          <w:rFonts w:ascii="Times New Roman" w:hAnsi="Times New Roman"/>
          <w:b w:val="0"/>
          <w:sz w:val="28"/>
          <w:szCs w:val="28"/>
        </w:rPr>
        <w:t xml:space="preserve">Есть </w:t>
      </w:r>
      <w:r w:rsidRPr="00E362DE">
        <w:rPr>
          <w:rStyle w:val="a8"/>
          <w:rFonts w:ascii="Times New Roman" w:hAnsi="Times New Roman"/>
          <w:b w:val="0"/>
          <w:sz w:val="28"/>
          <w:szCs w:val="28"/>
        </w:rPr>
        <w:t>множ</w:t>
      </w:r>
      <w:r>
        <w:rPr>
          <w:rStyle w:val="a8"/>
          <w:rFonts w:ascii="Times New Roman" w:hAnsi="Times New Roman"/>
          <w:b w:val="0"/>
          <w:sz w:val="28"/>
          <w:szCs w:val="28"/>
        </w:rPr>
        <w:t>ество специфических характеристик, но рассмотрим только основные из них</w:t>
      </w:r>
      <w:r w:rsidRPr="00E362DE">
        <w:rPr>
          <w:rStyle w:val="a8"/>
          <w:rFonts w:ascii="Times New Roman" w:hAnsi="Times New Roman"/>
          <w:b w:val="0"/>
          <w:sz w:val="28"/>
          <w:szCs w:val="28"/>
        </w:rPr>
        <w:t xml:space="preserve">. </w:t>
      </w:r>
    </w:p>
    <w:p w:rsidR="002A2DE3" w:rsidRPr="00652B84" w:rsidRDefault="002A2DE3" w:rsidP="002A2DE3">
      <w:pPr>
        <w:spacing w:after="0" w:line="360" w:lineRule="auto"/>
        <w:ind w:firstLine="709"/>
        <w:jc w:val="both"/>
        <w:rPr>
          <w:rFonts w:ascii="Times New Roman" w:hAnsi="Times New Roman"/>
          <w:sz w:val="28"/>
          <w:szCs w:val="28"/>
        </w:rPr>
      </w:pPr>
      <w:r w:rsidRPr="00E362DE">
        <w:rPr>
          <w:rFonts w:ascii="Times New Roman" w:hAnsi="Times New Roman"/>
          <w:sz w:val="28"/>
          <w:szCs w:val="28"/>
        </w:rPr>
        <w:t>Во-первых,</w:t>
      </w:r>
      <w:r>
        <w:rPr>
          <w:rFonts w:ascii="Times New Roman" w:hAnsi="Times New Roman"/>
          <w:sz w:val="28"/>
          <w:szCs w:val="28"/>
        </w:rPr>
        <w:t xml:space="preserve"> темпы развития российского рынка. У</w:t>
      </w:r>
      <w:r w:rsidRPr="00E362DE">
        <w:rPr>
          <w:rFonts w:ascii="Times New Roman" w:hAnsi="Times New Roman"/>
          <w:sz w:val="28"/>
          <w:szCs w:val="28"/>
        </w:rPr>
        <w:t>никальност</w:t>
      </w:r>
      <w:r>
        <w:rPr>
          <w:rFonts w:ascii="Times New Roman" w:hAnsi="Times New Roman"/>
          <w:sz w:val="28"/>
          <w:szCs w:val="28"/>
        </w:rPr>
        <w:t>ь отечественного</w:t>
      </w:r>
      <w:r w:rsidRPr="00E362DE">
        <w:rPr>
          <w:rFonts w:ascii="Times New Roman" w:hAnsi="Times New Roman"/>
          <w:sz w:val="28"/>
          <w:szCs w:val="28"/>
        </w:rPr>
        <w:t xml:space="preserve"> рынка состоит в том, что всего за несколько лет он прошел путь развития от локальных сделок к большим тра</w:t>
      </w:r>
      <w:r>
        <w:rPr>
          <w:rFonts w:ascii="Times New Roman" w:hAnsi="Times New Roman"/>
          <w:sz w:val="28"/>
          <w:szCs w:val="28"/>
        </w:rPr>
        <w:t>нсграничным сделкам. Н</w:t>
      </w:r>
      <w:r w:rsidRPr="00E362DE">
        <w:rPr>
          <w:rFonts w:ascii="Times New Roman" w:hAnsi="Times New Roman"/>
          <w:sz w:val="28"/>
          <w:szCs w:val="28"/>
        </w:rPr>
        <w:t xml:space="preserve">о на российском рынке </w:t>
      </w:r>
      <w:r w:rsidRPr="00E362DE">
        <w:rPr>
          <w:rFonts w:ascii="Times New Roman" w:hAnsi="Times New Roman"/>
          <w:sz w:val="28"/>
          <w:szCs w:val="28"/>
          <w:lang w:val="en-US"/>
        </w:rPr>
        <w:t>M</w:t>
      </w:r>
      <w:r w:rsidRPr="00E362DE">
        <w:rPr>
          <w:rFonts w:ascii="Times New Roman" w:hAnsi="Times New Roman"/>
          <w:sz w:val="28"/>
          <w:szCs w:val="28"/>
        </w:rPr>
        <w:t>&amp;</w:t>
      </w:r>
      <w:r w:rsidRPr="00E362DE">
        <w:rPr>
          <w:rFonts w:ascii="Times New Roman" w:hAnsi="Times New Roman"/>
          <w:sz w:val="28"/>
          <w:szCs w:val="28"/>
          <w:lang w:val="en-US"/>
        </w:rPr>
        <w:t>A</w:t>
      </w:r>
      <w:r>
        <w:rPr>
          <w:rFonts w:ascii="Times New Roman" w:hAnsi="Times New Roman"/>
          <w:sz w:val="28"/>
          <w:szCs w:val="28"/>
        </w:rPr>
        <w:t xml:space="preserve"> не наблюдается циклической закономерности</w:t>
      </w:r>
      <w:r w:rsidRPr="00E362DE">
        <w:rPr>
          <w:rFonts w:ascii="Times New Roman" w:hAnsi="Times New Roman"/>
          <w:sz w:val="28"/>
          <w:szCs w:val="28"/>
        </w:rPr>
        <w:t>. Такой вывод можно сделать исходя и</w:t>
      </w:r>
      <w:r>
        <w:rPr>
          <w:rFonts w:ascii="Times New Roman" w:hAnsi="Times New Roman"/>
          <w:sz w:val="28"/>
          <w:szCs w:val="28"/>
        </w:rPr>
        <w:t xml:space="preserve">з существующих данных о динамике рынка, данные представлены в </w:t>
      </w:r>
      <w:r w:rsidRPr="00C8297A">
        <w:rPr>
          <w:rFonts w:ascii="Times New Roman" w:hAnsi="Times New Roman"/>
          <w:sz w:val="28"/>
          <w:szCs w:val="28"/>
        </w:rPr>
        <w:t>таблице 1</w:t>
      </w:r>
      <w:r>
        <w:rPr>
          <w:rFonts w:ascii="Times New Roman" w:hAnsi="Times New Roman"/>
          <w:sz w:val="28"/>
          <w:szCs w:val="28"/>
        </w:rPr>
        <w:t>.От года к году происходило одновременное увеличение количества заключенных сделок и суммарных объемов. Это можно объяснить тем,</w:t>
      </w:r>
      <w:r w:rsidRPr="00E362DE">
        <w:rPr>
          <w:rFonts w:ascii="Times New Roman" w:hAnsi="Times New Roman"/>
          <w:sz w:val="28"/>
          <w:szCs w:val="28"/>
        </w:rPr>
        <w:t xml:space="preserve"> что развитие рынка происходило с нарастанием, что во многом было определено приватизацией, послужившей толчком к бурному развитию.</w:t>
      </w:r>
      <w:r>
        <w:rPr>
          <w:rFonts w:ascii="Times New Roman" w:hAnsi="Times New Roman"/>
          <w:sz w:val="28"/>
          <w:szCs w:val="28"/>
        </w:rPr>
        <w:t xml:space="preserve"> Однако кризис 2008 – 2009 годов сказался на деятельности рынка </w:t>
      </w:r>
      <w:r>
        <w:rPr>
          <w:rFonts w:ascii="Times New Roman" w:hAnsi="Times New Roman"/>
          <w:sz w:val="28"/>
          <w:szCs w:val="28"/>
          <w:lang w:val="en-US"/>
        </w:rPr>
        <w:t>M</w:t>
      </w:r>
      <w:r w:rsidRPr="00652B84">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сильным сокращение числа сделок и их стоимости, но уже в 2010 году рынок стабилизировался.</w:t>
      </w:r>
    </w:p>
    <w:p w:rsidR="002A2DE3" w:rsidRPr="00C8297A" w:rsidRDefault="002A2DE3" w:rsidP="002A2DE3">
      <w:pPr>
        <w:spacing w:line="240" w:lineRule="auto"/>
        <w:ind w:firstLine="709"/>
        <w:jc w:val="right"/>
        <w:rPr>
          <w:rFonts w:ascii="Times New Roman" w:hAnsi="Times New Roman"/>
          <w:sz w:val="28"/>
          <w:szCs w:val="28"/>
        </w:rPr>
      </w:pPr>
      <w:r w:rsidRPr="006B0EB0">
        <w:rPr>
          <w:rFonts w:ascii="Times New Roman" w:hAnsi="Times New Roman"/>
          <w:sz w:val="28"/>
          <w:szCs w:val="28"/>
        </w:rPr>
        <w:t>Таблица 1</w:t>
      </w:r>
    </w:p>
    <w:p w:rsidR="002A2DE3" w:rsidRPr="00C8297A" w:rsidRDefault="002A2DE3" w:rsidP="002A2DE3">
      <w:pPr>
        <w:spacing w:line="240" w:lineRule="auto"/>
        <w:ind w:firstLine="709"/>
        <w:jc w:val="right"/>
        <w:rPr>
          <w:rFonts w:ascii="Times New Roman" w:hAnsi="Times New Roman"/>
          <w:sz w:val="28"/>
          <w:szCs w:val="28"/>
        </w:rPr>
      </w:pPr>
      <w:r w:rsidRPr="00C8297A">
        <w:rPr>
          <w:rFonts w:ascii="Times New Roman" w:hAnsi="Times New Roman"/>
          <w:sz w:val="28"/>
          <w:szCs w:val="28"/>
        </w:rPr>
        <w:t xml:space="preserve"> Данные российского рынка </w:t>
      </w:r>
      <w:r w:rsidRPr="00C8297A">
        <w:rPr>
          <w:rFonts w:ascii="Times New Roman" w:hAnsi="Times New Roman"/>
          <w:sz w:val="28"/>
          <w:szCs w:val="28"/>
          <w:lang w:val="en-US"/>
        </w:rPr>
        <w:t>M</w:t>
      </w:r>
      <w:r w:rsidRPr="00C8297A">
        <w:rPr>
          <w:rFonts w:ascii="Times New Roman" w:hAnsi="Times New Roman"/>
          <w:sz w:val="28"/>
          <w:szCs w:val="28"/>
        </w:rPr>
        <w:t>&amp;</w:t>
      </w:r>
      <w:r w:rsidRPr="00C8297A">
        <w:rPr>
          <w:rFonts w:ascii="Times New Roman" w:hAnsi="Times New Roman"/>
          <w:sz w:val="28"/>
          <w:szCs w:val="28"/>
          <w:lang w:val="en-US"/>
        </w:rPr>
        <w:t>A</w:t>
      </w:r>
      <w:r w:rsidR="00F006D0">
        <w:rPr>
          <w:rStyle w:val="a5"/>
          <w:rFonts w:ascii="Times New Roman" w:hAnsi="Times New Roman"/>
          <w:sz w:val="28"/>
          <w:szCs w:val="28"/>
          <w:lang w:val="en-US"/>
        </w:rPr>
        <w:footnoteReference w:id="13"/>
      </w:r>
    </w:p>
    <w:tbl>
      <w:tblPr>
        <w:tblStyle w:val="ab"/>
        <w:tblW w:w="8472" w:type="dxa"/>
        <w:jc w:val="center"/>
        <w:tblLook w:val="04A0"/>
      </w:tblPr>
      <w:tblGrid>
        <w:gridCol w:w="1617"/>
        <w:gridCol w:w="813"/>
        <w:gridCol w:w="814"/>
        <w:gridCol w:w="937"/>
        <w:gridCol w:w="937"/>
        <w:gridCol w:w="814"/>
        <w:gridCol w:w="776"/>
        <w:gridCol w:w="814"/>
        <w:gridCol w:w="950"/>
      </w:tblGrid>
      <w:tr w:rsidR="002A2DE3" w:rsidRPr="0074305C" w:rsidTr="002A3642">
        <w:trPr>
          <w:jc w:val="center"/>
        </w:trPr>
        <w:tc>
          <w:tcPr>
            <w:tcW w:w="1617" w:type="dxa"/>
            <w:vAlign w:val="bottom"/>
          </w:tcPr>
          <w:p w:rsidR="002A2DE3" w:rsidRPr="0074305C" w:rsidRDefault="002A2DE3" w:rsidP="002A3642">
            <w:pPr>
              <w:spacing w:line="360" w:lineRule="auto"/>
              <w:rPr>
                <w:rFonts w:ascii="Times New Roman" w:hAnsi="Times New Roman"/>
                <w:sz w:val="28"/>
                <w:szCs w:val="28"/>
              </w:rPr>
            </w:pPr>
            <w:r w:rsidRPr="0074305C">
              <w:rPr>
                <w:rFonts w:ascii="Times New Roman" w:hAnsi="Times New Roman"/>
                <w:sz w:val="28"/>
                <w:szCs w:val="28"/>
              </w:rPr>
              <w:t>Показатели</w:t>
            </w:r>
          </w:p>
        </w:tc>
        <w:tc>
          <w:tcPr>
            <w:tcW w:w="813"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2005</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2006</w:t>
            </w:r>
          </w:p>
        </w:tc>
        <w:tc>
          <w:tcPr>
            <w:tcW w:w="937"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2007</w:t>
            </w:r>
          </w:p>
        </w:tc>
        <w:tc>
          <w:tcPr>
            <w:tcW w:w="937"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2008</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2009</w:t>
            </w:r>
          </w:p>
        </w:tc>
        <w:tc>
          <w:tcPr>
            <w:tcW w:w="776"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2010</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2011</w:t>
            </w:r>
          </w:p>
        </w:tc>
        <w:tc>
          <w:tcPr>
            <w:tcW w:w="950" w:type="dxa"/>
            <w:vAlign w:val="bottom"/>
          </w:tcPr>
          <w:p w:rsidR="002A2DE3" w:rsidRPr="0074305C" w:rsidRDefault="002A2DE3" w:rsidP="002A3642">
            <w:pPr>
              <w:spacing w:line="360" w:lineRule="auto"/>
              <w:jc w:val="center"/>
              <w:rPr>
                <w:rFonts w:ascii="Times New Roman" w:hAnsi="Times New Roman"/>
                <w:sz w:val="28"/>
                <w:szCs w:val="28"/>
              </w:rPr>
            </w:pPr>
            <w:r w:rsidRPr="0074305C">
              <w:rPr>
                <w:rFonts w:ascii="Times New Roman" w:hAnsi="Times New Roman"/>
                <w:sz w:val="28"/>
                <w:szCs w:val="28"/>
              </w:rPr>
              <w:t>2012</w:t>
            </w:r>
          </w:p>
        </w:tc>
      </w:tr>
      <w:tr w:rsidR="002A2DE3" w:rsidRPr="0074305C" w:rsidTr="002A3642">
        <w:trPr>
          <w:jc w:val="center"/>
        </w:trPr>
        <w:tc>
          <w:tcPr>
            <w:tcW w:w="1617" w:type="dxa"/>
            <w:vAlign w:val="bottom"/>
          </w:tcPr>
          <w:p w:rsidR="002A2DE3" w:rsidRPr="0074305C" w:rsidRDefault="002A2DE3" w:rsidP="002A3642">
            <w:pPr>
              <w:spacing w:line="360" w:lineRule="auto"/>
              <w:rPr>
                <w:rFonts w:ascii="Times New Roman" w:hAnsi="Times New Roman"/>
                <w:sz w:val="28"/>
                <w:szCs w:val="28"/>
              </w:rPr>
            </w:pPr>
            <w:r w:rsidRPr="0074305C">
              <w:rPr>
                <w:rFonts w:ascii="Times New Roman" w:hAnsi="Times New Roman"/>
                <w:sz w:val="28"/>
                <w:szCs w:val="28"/>
              </w:rPr>
              <w:t>Количество</w:t>
            </w:r>
          </w:p>
        </w:tc>
        <w:tc>
          <w:tcPr>
            <w:tcW w:w="813"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505</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817</w:t>
            </w:r>
          </w:p>
        </w:tc>
        <w:tc>
          <w:tcPr>
            <w:tcW w:w="937"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867</w:t>
            </w:r>
          </w:p>
        </w:tc>
        <w:tc>
          <w:tcPr>
            <w:tcW w:w="937"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688</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214</w:t>
            </w:r>
          </w:p>
        </w:tc>
        <w:tc>
          <w:tcPr>
            <w:tcW w:w="776"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375</w:t>
            </w:r>
          </w:p>
        </w:tc>
        <w:tc>
          <w:tcPr>
            <w:tcW w:w="814"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381</w:t>
            </w:r>
          </w:p>
        </w:tc>
        <w:tc>
          <w:tcPr>
            <w:tcW w:w="950" w:type="dxa"/>
            <w:vAlign w:val="bottom"/>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427</w:t>
            </w:r>
          </w:p>
        </w:tc>
      </w:tr>
      <w:tr w:rsidR="002A2DE3" w:rsidRPr="0074305C" w:rsidTr="002A3642">
        <w:trPr>
          <w:jc w:val="center"/>
        </w:trPr>
        <w:tc>
          <w:tcPr>
            <w:tcW w:w="1617" w:type="dxa"/>
            <w:vAlign w:val="bottom"/>
          </w:tcPr>
          <w:p w:rsidR="002A2DE3" w:rsidRPr="0074305C" w:rsidRDefault="002A2DE3" w:rsidP="002A3642">
            <w:pPr>
              <w:spacing w:line="360" w:lineRule="auto"/>
              <w:rPr>
                <w:rFonts w:ascii="Times New Roman" w:hAnsi="Times New Roman"/>
                <w:sz w:val="28"/>
                <w:szCs w:val="28"/>
              </w:rPr>
            </w:pPr>
            <w:r>
              <w:rPr>
                <w:rFonts w:ascii="Times New Roman" w:hAnsi="Times New Roman"/>
                <w:sz w:val="28"/>
                <w:szCs w:val="28"/>
              </w:rPr>
              <w:t>Объём, млрд</w:t>
            </w:r>
            <w:proofErr w:type="gramStart"/>
            <w:r w:rsidRPr="0074305C">
              <w:rPr>
                <w:rFonts w:ascii="Times New Roman" w:hAnsi="Times New Roman"/>
                <w:sz w:val="28"/>
                <w:szCs w:val="28"/>
              </w:rPr>
              <w:t>.д</w:t>
            </w:r>
            <w:proofErr w:type="gramEnd"/>
            <w:r w:rsidRPr="0074305C">
              <w:rPr>
                <w:rFonts w:ascii="Times New Roman" w:hAnsi="Times New Roman"/>
                <w:sz w:val="28"/>
                <w:szCs w:val="28"/>
              </w:rPr>
              <w:t>олл.</w:t>
            </w:r>
          </w:p>
        </w:tc>
        <w:tc>
          <w:tcPr>
            <w:tcW w:w="813"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40,5</w:t>
            </w:r>
          </w:p>
        </w:tc>
        <w:tc>
          <w:tcPr>
            <w:tcW w:w="814"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63,6</w:t>
            </w:r>
          </w:p>
        </w:tc>
        <w:tc>
          <w:tcPr>
            <w:tcW w:w="937"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154,9</w:t>
            </w:r>
          </w:p>
        </w:tc>
        <w:tc>
          <w:tcPr>
            <w:tcW w:w="937"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122,4</w:t>
            </w:r>
          </w:p>
        </w:tc>
        <w:tc>
          <w:tcPr>
            <w:tcW w:w="814"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48,8</w:t>
            </w:r>
          </w:p>
        </w:tc>
        <w:tc>
          <w:tcPr>
            <w:tcW w:w="776"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77,5</w:t>
            </w:r>
          </w:p>
        </w:tc>
        <w:tc>
          <w:tcPr>
            <w:tcW w:w="814"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68,7</w:t>
            </w:r>
          </w:p>
        </w:tc>
        <w:tc>
          <w:tcPr>
            <w:tcW w:w="950" w:type="dxa"/>
            <w:vAlign w:val="center"/>
          </w:tcPr>
          <w:p w:rsidR="002A2DE3" w:rsidRPr="0074305C" w:rsidRDefault="002A2DE3" w:rsidP="002A3642">
            <w:pPr>
              <w:spacing w:line="360" w:lineRule="auto"/>
              <w:jc w:val="center"/>
              <w:rPr>
                <w:rFonts w:ascii="Times New Roman" w:hAnsi="Times New Roman"/>
                <w:sz w:val="28"/>
                <w:szCs w:val="28"/>
              </w:rPr>
            </w:pPr>
            <w:r>
              <w:rPr>
                <w:rFonts w:ascii="Times New Roman" w:hAnsi="Times New Roman"/>
                <w:sz w:val="28"/>
                <w:szCs w:val="28"/>
              </w:rPr>
              <w:t>83,1</w:t>
            </w:r>
          </w:p>
        </w:tc>
      </w:tr>
    </w:tbl>
    <w:p w:rsidR="002A2DE3" w:rsidRDefault="002A2DE3" w:rsidP="002A2DE3">
      <w:pPr>
        <w:spacing w:after="0" w:line="360" w:lineRule="auto"/>
        <w:ind w:firstLine="709"/>
        <w:jc w:val="both"/>
        <w:rPr>
          <w:rFonts w:ascii="Times New Roman" w:hAnsi="Times New Roman"/>
          <w:sz w:val="28"/>
          <w:szCs w:val="28"/>
        </w:rPr>
      </w:pPr>
    </w:p>
    <w:p w:rsidR="002A2DE3" w:rsidRPr="006B0EB0"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По данным исследования ИКГ «</w:t>
      </w:r>
      <w:proofErr w:type="spellStart"/>
      <w:r>
        <w:rPr>
          <w:rFonts w:ascii="Times New Roman" w:hAnsi="Times New Roman"/>
          <w:sz w:val="28"/>
          <w:szCs w:val="28"/>
        </w:rPr>
        <w:t>Консалтпром</w:t>
      </w:r>
      <w:proofErr w:type="spellEnd"/>
      <w:r>
        <w:rPr>
          <w:rFonts w:ascii="Times New Roman" w:hAnsi="Times New Roman"/>
          <w:sz w:val="28"/>
          <w:szCs w:val="28"/>
        </w:rPr>
        <w:t xml:space="preserve">» темпы роста российского рынка </w:t>
      </w:r>
      <w:r>
        <w:rPr>
          <w:rFonts w:ascii="Times New Roman" w:hAnsi="Times New Roman"/>
          <w:sz w:val="28"/>
          <w:szCs w:val="28"/>
          <w:lang w:val="en-US"/>
        </w:rPr>
        <w:t>M</w:t>
      </w:r>
      <w:r w:rsidRPr="009F6441">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превышают средние темпы роста мирового рынка более чем в 3 раза</w:t>
      </w:r>
      <w:r w:rsidRPr="00E362DE">
        <w:rPr>
          <w:rFonts w:ascii="Times New Roman" w:hAnsi="Times New Roman"/>
          <w:sz w:val="28"/>
          <w:szCs w:val="28"/>
        </w:rPr>
        <w:t>.</w:t>
      </w:r>
      <w:r>
        <w:rPr>
          <w:rFonts w:ascii="Times New Roman" w:hAnsi="Times New Roman"/>
          <w:sz w:val="28"/>
          <w:szCs w:val="28"/>
        </w:rPr>
        <w:t xml:space="preserve"> Что еще раз подтверждает уникальность отечественного рынка и стремительные темпы его развития.</w:t>
      </w:r>
      <w:r w:rsidR="006B0EB0">
        <w:rPr>
          <w:rFonts w:ascii="Times New Roman" w:hAnsi="Times New Roman"/>
          <w:sz w:val="28"/>
          <w:szCs w:val="28"/>
        </w:rPr>
        <w:t xml:space="preserve"> Число сделок увеличивается год от года, что говорит о значительности процессов </w:t>
      </w:r>
      <w:r w:rsidR="006B0EB0">
        <w:rPr>
          <w:rFonts w:ascii="Times New Roman" w:hAnsi="Times New Roman"/>
          <w:sz w:val="28"/>
          <w:szCs w:val="28"/>
          <w:lang w:val="en-US"/>
        </w:rPr>
        <w:t>M</w:t>
      </w:r>
      <w:r w:rsidR="006B0EB0" w:rsidRPr="006B0EB0">
        <w:rPr>
          <w:rFonts w:ascii="Times New Roman" w:hAnsi="Times New Roman"/>
          <w:sz w:val="28"/>
          <w:szCs w:val="28"/>
        </w:rPr>
        <w:t>&amp;</w:t>
      </w:r>
      <w:r w:rsidR="006B0EB0">
        <w:rPr>
          <w:rFonts w:ascii="Times New Roman" w:hAnsi="Times New Roman"/>
          <w:sz w:val="28"/>
          <w:szCs w:val="28"/>
          <w:lang w:val="en-US"/>
        </w:rPr>
        <w:t>A</w:t>
      </w:r>
      <w:r w:rsidR="006B0EB0" w:rsidRPr="006B0EB0">
        <w:rPr>
          <w:rFonts w:ascii="Times New Roman" w:hAnsi="Times New Roman"/>
          <w:sz w:val="28"/>
          <w:szCs w:val="28"/>
        </w:rPr>
        <w:t xml:space="preserve"> </w:t>
      </w:r>
      <w:r w:rsidR="006B0EB0">
        <w:rPr>
          <w:rFonts w:ascii="Times New Roman" w:hAnsi="Times New Roman"/>
          <w:sz w:val="28"/>
          <w:szCs w:val="28"/>
        </w:rPr>
        <w:t xml:space="preserve">в корпоративном мире как основной стратегии для роста бизнеса. </w:t>
      </w:r>
    </w:p>
    <w:p w:rsidR="002A2DE3" w:rsidRPr="00E362DE" w:rsidRDefault="002A2DE3" w:rsidP="002A2DE3">
      <w:pPr>
        <w:spacing w:after="0" w:line="360" w:lineRule="auto"/>
        <w:ind w:firstLine="709"/>
        <w:jc w:val="both"/>
        <w:rPr>
          <w:rFonts w:ascii="Times New Roman" w:hAnsi="Times New Roman"/>
          <w:sz w:val="28"/>
          <w:szCs w:val="28"/>
        </w:rPr>
      </w:pPr>
      <w:r w:rsidRPr="00E362DE">
        <w:rPr>
          <w:rFonts w:ascii="Times New Roman" w:hAnsi="Times New Roman"/>
          <w:sz w:val="28"/>
          <w:szCs w:val="28"/>
        </w:rPr>
        <w:lastRenderedPageBreak/>
        <w:t xml:space="preserve">Во-вторых, </w:t>
      </w:r>
      <w:r>
        <w:rPr>
          <w:rFonts w:ascii="Times New Roman" w:hAnsi="Times New Roman"/>
          <w:sz w:val="28"/>
          <w:szCs w:val="28"/>
        </w:rPr>
        <w:t>закрытость рынка. Большинство малых и средних сделок</w:t>
      </w:r>
      <w:r w:rsidRPr="00E362DE">
        <w:rPr>
          <w:rFonts w:ascii="Times New Roman" w:hAnsi="Times New Roman"/>
          <w:sz w:val="28"/>
          <w:szCs w:val="28"/>
        </w:rPr>
        <w:t xml:space="preserve"> осуществляются непублично</w:t>
      </w:r>
      <w:r>
        <w:rPr>
          <w:rFonts w:ascii="Times New Roman" w:hAnsi="Times New Roman"/>
          <w:sz w:val="28"/>
          <w:szCs w:val="28"/>
        </w:rPr>
        <w:t>, без оглашения деталей</w:t>
      </w:r>
      <w:r w:rsidRPr="00E362DE">
        <w:rPr>
          <w:rFonts w:ascii="Times New Roman" w:hAnsi="Times New Roman"/>
          <w:sz w:val="28"/>
          <w:szCs w:val="28"/>
        </w:rPr>
        <w:t>. Таким образом, очень часто участники рынка не знают ни имени покупателя, ни сумму сделки.</w:t>
      </w:r>
      <w:r>
        <w:rPr>
          <w:rFonts w:ascii="Times New Roman" w:hAnsi="Times New Roman"/>
          <w:sz w:val="28"/>
          <w:szCs w:val="28"/>
        </w:rPr>
        <w:t xml:space="preserve"> Данная отличительная черта российского рынка негативно сказывается на проводимых исследованиях независимыми агентствами, так как позволяет лишь приблизительно оценивать стоимостные и количественные объемы рынка.</w:t>
      </w:r>
    </w:p>
    <w:p w:rsidR="002A2DE3" w:rsidRPr="00E362DE"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Следующей</w:t>
      </w:r>
      <w:r w:rsidRPr="00E362DE">
        <w:rPr>
          <w:rFonts w:ascii="Times New Roman" w:hAnsi="Times New Roman"/>
          <w:sz w:val="28"/>
          <w:szCs w:val="28"/>
        </w:rPr>
        <w:t xml:space="preserve"> особенностью</w:t>
      </w:r>
      <w:r>
        <w:rPr>
          <w:rFonts w:ascii="Times New Roman" w:hAnsi="Times New Roman"/>
          <w:sz w:val="28"/>
          <w:szCs w:val="28"/>
        </w:rPr>
        <w:t>, присущей отечественному рынку является</w:t>
      </w:r>
      <w:r w:rsidRPr="00E362DE">
        <w:rPr>
          <w:rFonts w:ascii="Times New Roman" w:hAnsi="Times New Roman"/>
          <w:sz w:val="28"/>
          <w:szCs w:val="28"/>
        </w:rPr>
        <w:t xml:space="preserve"> наличие </w:t>
      </w:r>
      <w:r>
        <w:rPr>
          <w:rFonts w:ascii="Times New Roman" w:hAnsi="Times New Roman"/>
          <w:sz w:val="28"/>
          <w:szCs w:val="28"/>
        </w:rPr>
        <w:t>большого количества числа слияний и поглощений</w:t>
      </w:r>
      <w:r w:rsidRPr="00E362DE">
        <w:rPr>
          <w:rFonts w:ascii="Times New Roman" w:hAnsi="Times New Roman"/>
          <w:sz w:val="28"/>
          <w:szCs w:val="28"/>
        </w:rPr>
        <w:t>, которые носят не горизонтальный или вертикальный характер, а являются итогом стремления покупателя к диверсификации, выходу на новые рынки.</w:t>
      </w:r>
      <w:r>
        <w:rPr>
          <w:rFonts w:ascii="Times New Roman" w:hAnsi="Times New Roman"/>
          <w:sz w:val="28"/>
          <w:szCs w:val="28"/>
          <w:lang w:eastAsia="ru-RU"/>
        </w:rPr>
        <w:t xml:space="preserve"> Нельзя</w:t>
      </w:r>
      <w:r w:rsidR="009F6E4A">
        <w:rPr>
          <w:rFonts w:ascii="Times New Roman" w:hAnsi="Times New Roman"/>
          <w:sz w:val="28"/>
          <w:szCs w:val="28"/>
          <w:lang w:eastAsia="ru-RU"/>
        </w:rPr>
        <w:t xml:space="preserve"> </w:t>
      </w:r>
      <w:r>
        <w:rPr>
          <w:rFonts w:ascii="Times New Roman" w:hAnsi="Times New Roman"/>
          <w:sz w:val="28"/>
          <w:szCs w:val="28"/>
          <w:lang w:eastAsia="ru-RU"/>
        </w:rPr>
        <w:t>не отметить то, что в российской</w:t>
      </w:r>
      <w:r w:rsidRPr="00E362DE">
        <w:rPr>
          <w:rFonts w:ascii="Times New Roman" w:hAnsi="Times New Roman"/>
          <w:sz w:val="28"/>
          <w:szCs w:val="28"/>
          <w:lang w:eastAsia="ru-RU"/>
        </w:rPr>
        <w:t xml:space="preserve"> практике </w:t>
      </w:r>
      <w:r w:rsidRPr="00E362DE">
        <w:rPr>
          <w:rFonts w:ascii="Times New Roman" w:hAnsi="Times New Roman"/>
          <w:sz w:val="28"/>
          <w:szCs w:val="28"/>
          <w:lang w:val="en-US"/>
        </w:rPr>
        <w:t>M</w:t>
      </w:r>
      <w:r w:rsidRPr="00E362DE">
        <w:rPr>
          <w:rFonts w:ascii="Times New Roman" w:hAnsi="Times New Roman"/>
          <w:sz w:val="28"/>
          <w:szCs w:val="28"/>
        </w:rPr>
        <w:t>&amp;</w:t>
      </w:r>
      <w:proofErr w:type="gramStart"/>
      <w:r w:rsidRPr="00E362DE">
        <w:rPr>
          <w:rFonts w:ascii="Times New Roman" w:hAnsi="Times New Roman"/>
          <w:sz w:val="28"/>
          <w:szCs w:val="28"/>
          <w:lang w:val="en-US"/>
        </w:rPr>
        <w:t>A</w:t>
      </w:r>
      <w:proofErr w:type="gramEnd"/>
      <w:r>
        <w:rPr>
          <w:rFonts w:ascii="Times New Roman" w:hAnsi="Times New Roman"/>
          <w:sz w:val="28"/>
          <w:szCs w:val="28"/>
        </w:rPr>
        <w:t>присутствовало такое понятие, как</w:t>
      </w:r>
      <w:r>
        <w:rPr>
          <w:rFonts w:ascii="Times New Roman" w:hAnsi="Times New Roman"/>
          <w:sz w:val="28"/>
          <w:szCs w:val="28"/>
          <w:lang w:eastAsia="ru-RU"/>
        </w:rPr>
        <w:t xml:space="preserve"> недружественное поглощение (враждебный «захват»), которое характеризовалось  приобретением контроля над активами путем применения разного рода давления (политического, судебного), использования несовершенства корпоративного законодательства и мошеннических схем. Однако усовершенствование законодательства свело на нет данный вид слияний. </w:t>
      </w:r>
    </w:p>
    <w:p w:rsidR="002A2DE3" w:rsidRPr="00E362DE" w:rsidRDefault="002A2DE3" w:rsidP="002A2DE3">
      <w:pPr>
        <w:spacing w:after="0" w:line="360" w:lineRule="auto"/>
        <w:ind w:firstLine="709"/>
        <w:jc w:val="both"/>
        <w:rPr>
          <w:rFonts w:ascii="Times New Roman" w:hAnsi="Times New Roman"/>
          <w:sz w:val="28"/>
          <w:szCs w:val="28"/>
        </w:rPr>
      </w:pPr>
      <w:r w:rsidRPr="00E362DE">
        <w:rPr>
          <w:rFonts w:ascii="Times New Roman" w:hAnsi="Times New Roman"/>
          <w:sz w:val="28"/>
          <w:szCs w:val="28"/>
        </w:rPr>
        <w:t>Необходимо также отметить, что</w:t>
      </w:r>
      <w:r>
        <w:rPr>
          <w:rFonts w:ascii="Times New Roman" w:hAnsi="Times New Roman"/>
          <w:sz w:val="28"/>
          <w:szCs w:val="28"/>
        </w:rPr>
        <w:t xml:space="preserve"> большинство</w:t>
      </w:r>
      <w:r w:rsidR="00755DD8">
        <w:rPr>
          <w:rFonts w:ascii="Times New Roman" w:hAnsi="Times New Roman"/>
          <w:sz w:val="28"/>
          <w:szCs w:val="28"/>
        </w:rPr>
        <w:t xml:space="preserve"> </w:t>
      </w:r>
      <w:r w:rsidRPr="00E362DE">
        <w:rPr>
          <w:rFonts w:ascii="Times New Roman" w:hAnsi="Times New Roman"/>
          <w:sz w:val="28"/>
          <w:szCs w:val="28"/>
          <w:lang w:eastAsia="ru-RU"/>
        </w:rPr>
        <w:t>сдел</w:t>
      </w:r>
      <w:r>
        <w:rPr>
          <w:rFonts w:ascii="Times New Roman" w:hAnsi="Times New Roman"/>
          <w:sz w:val="28"/>
          <w:szCs w:val="28"/>
          <w:lang w:eastAsia="ru-RU"/>
        </w:rPr>
        <w:t>ок</w:t>
      </w:r>
      <w:r w:rsidR="00755DD8">
        <w:rPr>
          <w:rFonts w:ascii="Times New Roman" w:hAnsi="Times New Roman"/>
          <w:sz w:val="28"/>
          <w:szCs w:val="28"/>
          <w:lang w:eastAsia="ru-RU"/>
        </w:rPr>
        <w:t xml:space="preserve"> </w:t>
      </w:r>
      <w:r w:rsidRPr="00E362DE">
        <w:rPr>
          <w:rFonts w:ascii="Times New Roman" w:hAnsi="Times New Roman"/>
          <w:sz w:val="28"/>
          <w:szCs w:val="28"/>
          <w:lang w:val="en-US"/>
        </w:rPr>
        <w:t>M</w:t>
      </w:r>
      <w:r w:rsidRPr="00E362DE">
        <w:rPr>
          <w:rFonts w:ascii="Times New Roman" w:hAnsi="Times New Roman"/>
          <w:sz w:val="28"/>
          <w:szCs w:val="28"/>
        </w:rPr>
        <w:t>&amp;</w:t>
      </w:r>
      <w:r w:rsidRPr="00E362DE">
        <w:rPr>
          <w:rFonts w:ascii="Times New Roman" w:hAnsi="Times New Roman"/>
          <w:sz w:val="28"/>
          <w:szCs w:val="28"/>
          <w:lang w:val="en-US"/>
        </w:rPr>
        <w:t>A</w:t>
      </w:r>
      <w:r w:rsidRPr="00E362DE">
        <w:rPr>
          <w:rFonts w:ascii="Times New Roman" w:hAnsi="Times New Roman"/>
          <w:sz w:val="28"/>
          <w:szCs w:val="28"/>
        </w:rPr>
        <w:t xml:space="preserve"> в России</w:t>
      </w:r>
      <w:r>
        <w:rPr>
          <w:rFonts w:ascii="Times New Roman" w:hAnsi="Times New Roman"/>
          <w:sz w:val="28"/>
          <w:szCs w:val="28"/>
          <w:lang w:eastAsia="ru-RU"/>
        </w:rPr>
        <w:t xml:space="preserve"> – это внутренние, которые </w:t>
      </w:r>
      <w:r w:rsidRPr="00E362DE">
        <w:rPr>
          <w:rFonts w:ascii="Times New Roman" w:hAnsi="Times New Roman"/>
          <w:sz w:val="28"/>
          <w:szCs w:val="28"/>
          <w:lang w:eastAsia="ru-RU"/>
        </w:rPr>
        <w:t xml:space="preserve">заключаются преимущественно </w:t>
      </w:r>
      <w:r>
        <w:rPr>
          <w:rFonts w:ascii="Times New Roman" w:hAnsi="Times New Roman"/>
          <w:sz w:val="28"/>
          <w:szCs w:val="28"/>
          <w:lang w:eastAsia="ru-RU"/>
        </w:rPr>
        <w:t>между отечественными компаниями. Это свидетельствует о невысоком</w:t>
      </w:r>
      <w:r w:rsidRPr="00E362DE">
        <w:rPr>
          <w:rFonts w:ascii="Times New Roman" w:hAnsi="Times New Roman"/>
          <w:sz w:val="28"/>
          <w:szCs w:val="28"/>
          <w:lang w:eastAsia="ru-RU"/>
        </w:rPr>
        <w:t xml:space="preserve"> интерес</w:t>
      </w:r>
      <w:r>
        <w:rPr>
          <w:rFonts w:ascii="Times New Roman" w:hAnsi="Times New Roman"/>
          <w:sz w:val="28"/>
          <w:szCs w:val="28"/>
          <w:lang w:eastAsia="ru-RU"/>
        </w:rPr>
        <w:t>е</w:t>
      </w:r>
      <w:r w:rsidRPr="00E362DE">
        <w:rPr>
          <w:rFonts w:ascii="Times New Roman" w:hAnsi="Times New Roman"/>
          <w:sz w:val="28"/>
          <w:szCs w:val="28"/>
          <w:lang w:eastAsia="ru-RU"/>
        </w:rPr>
        <w:t xml:space="preserve"> иностранных инвесторов к приобретению росси</w:t>
      </w:r>
      <w:r>
        <w:rPr>
          <w:rFonts w:ascii="Times New Roman" w:hAnsi="Times New Roman"/>
          <w:sz w:val="28"/>
          <w:szCs w:val="28"/>
          <w:lang w:eastAsia="ru-RU"/>
        </w:rPr>
        <w:t>йских активов</w:t>
      </w:r>
      <w:r w:rsidRPr="00E362DE">
        <w:rPr>
          <w:rFonts w:ascii="Times New Roman" w:hAnsi="Times New Roman"/>
          <w:sz w:val="28"/>
          <w:szCs w:val="28"/>
          <w:lang w:eastAsia="ru-RU"/>
        </w:rPr>
        <w:t>.</w:t>
      </w:r>
      <w:r>
        <w:rPr>
          <w:rFonts w:ascii="Times New Roman" w:hAnsi="Times New Roman"/>
          <w:sz w:val="28"/>
          <w:szCs w:val="28"/>
        </w:rPr>
        <w:t xml:space="preserve"> Однако довольно высок интерес российских компаний к иностранным активам.</w:t>
      </w:r>
      <w:r w:rsidR="00755DD8">
        <w:rPr>
          <w:rFonts w:ascii="Times New Roman" w:hAnsi="Times New Roman"/>
          <w:sz w:val="28"/>
          <w:szCs w:val="28"/>
        </w:rPr>
        <w:t xml:space="preserve"> </w:t>
      </w:r>
      <w:r>
        <w:rPr>
          <w:rFonts w:ascii="Times New Roman" w:hAnsi="Times New Roman"/>
          <w:sz w:val="28"/>
          <w:szCs w:val="28"/>
        </w:rPr>
        <w:t xml:space="preserve">На отечественном рынке присутствует несколько типов компании, которые преимущественно </w:t>
      </w:r>
      <w:r w:rsidRPr="00E362DE">
        <w:rPr>
          <w:rFonts w:ascii="Times New Roman" w:hAnsi="Times New Roman"/>
          <w:sz w:val="28"/>
          <w:szCs w:val="28"/>
        </w:rPr>
        <w:t>осуществляют поглощени</w:t>
      </w:r>
      <w:r>
        <w:rPr>
          <w:rFonts w:ascii="Times New Roman" w:hAnsi="Times New Roman"/>
          <w:sz w:val="28"/>
          <w:szCs w:val="28"/>
        </w:rPr>
        <w:t xml:space="preserve">я зарубежных компаний. К первому типу относятся </w:t>
      </w:r>
      <w:r w:rsidRPr="00E362DE">
        <w:rPr>
          <w:rFonts w:ascii="Times New Roman" w:hAnsi="Times New Roman"/>
          <w:sz w:val="28"/>
          <w:szCs w:val="28"/>
        </w:rPr>
        <w:t>крупнейшие российские холди</w:t>
      </w:r>
      <w:r>
        <w:rPr>
          <w:rFonts w:ascii="Times New Roman" w:hAnsi="Times New Roman"/>
          <w:sz w:val="28"/>
          <w:szCs w:val="28"/>
        </w:rPr>
        <w:t>нги такие как «Газпром» и «</w:t>
      </w:r>
      <w:proofErr w:type="spellStart"/>
      <w:r>
        <w:rPr>
          <w:rFonts w:ascii="Times New Roman" w:hAnsi="Times New Roman"/>
          <w:sz w:val="28"/>
          <w:szCs w:val="28"/>
        </w:rPr>
        <w:t>Лукойл</w:t>
      </w:r>
      <w:proofErr w:type="spellEnd"/>
      <w:r>
        <w:rPr>
          <w:rFonts w:ascii="Times New Roman" w:hAnsi="Times New Roman"/>
          <w:sz w:val="28"/>
          <w:szCs w:val="28"/>
        </w:rPr>
        <w:t xml:space="preserve">», деятельность которых направлена на мировой рынок и трансграничные слияния являются частью стратегии развития данных холдингов. Как второй тип можно выделить </w:t>
      </w:r>
      <w:r w:rsidRPr="00E362DE">
        <w:rPr>
          <w:rFonts w:ascii="Times New Roman" w:hAnsi="Times New Roman"/>
          <w:sz w:val="28"/>
          <w:szCs w:val="28"/>
        </w:rPr>
        <w:t>мелкие компании, которые вид</w:t>
      </w:r>
      <w:r>
        <w:rPr>
          <w:rFonts w:ascii="Times New Roman" w:hAnsi="Times New Roman"/>
          <w:sz w:val="28"/>
          <w:szCs w:val="28"/>
        </w:rPr>
        <w:t>ят потенциал для своего роста</w:t>
      </w:r>
      <w:r w:rsidRPr="00E362DE">
        <w:rPr>
          <w:rFonts w:ascii="Times New Roman" w:hAnsi="Times New Roman"/>
          <w:sz w:val="28"/>
          <w:szCs w:val="28"/>
        </w:rPr>
        <w:t xml:space="preserve"> при слиянии с зарубежными </w:t>
      </w:r>
      <w:r w:rsidRPr="00E362DE">
        <w:rPr>
          <w:rFonts w:ascii="Times New Roman" w:hAnsi="Times New Roman"/>
          <w:sz w:val="28"/>
          <w:szCs w:val="28"/>
        </w:rPr>
        <w:lastRenderedPageBreak/>
        <w:t>компаниями</w:t>
      </w:r>
      <w:r>
        <w:rPr>
          <w:rFonts w:ascii="Times New Roman" w:hAnsi="Times New Roman"/>
          <w:sz w:val="28"/>
          <w:szCs w:val="28"/>
        </w:rPr>
        <w:t xml:space="preserve"> и возможность развития сразу на нескольких рынках</w:t>
      </w:r>
      <w:r w:rsidRPr="00E362DE">
        <w:rPr>
          <w:rFonts w:ascii="Times New Roman" w:hAnsi="Times New Roman"/>
          <w:sz w:val="28"/>
          <w:szCs w:val="28"/>
        </w:rPr>
        <w:t>. Это такие компании, как МТС, «</w:t>
      </w:r>
      <w:proofErr w:type="spellStart"/>
      <w:r w:rsidRPr="00E362DE">
        <w:rPr>
          <w:rFonts w:ascii="Times New Roman" w:hAnsi="Times New Roman"/>
          <w:sz w:val="28"/>
          <w:szCs w:val="28"/>
        </w:rPr>
        <w:t>Вимм-Билль-Данн</w:t>
      </w:r>
      <w:proofErr w:type="spellEnd"/>
      <w:r w:rsidRPr="00E362DE">
        <w:rPr>
          <w:rFonts w:ascii="Times New Roman" w:hAnsi="Times New Roman"/>
          <w:sz w:val="28"/>
          <w:szCs w:val="28"/>
        </w:rPr>
        <w:t>» и др</w:t>
      </w:r>
      <w:r>
        <w:rPr>
          <w:rFonts w:ascii="Times New Roman" w:hAnsi="Times New Roman"/>
          <w:sz w:val="28"/>
          <w:szCs w:val="28"/>
        </w:rPr>
        <w:t>угие</w:t>
      </w:r>
      <w:r w:rsidRPr="00E362DE">
        <w:rPr>
          <w:rFonts w:ascii="Times New Roman" w:hAnsi="Times New Roman"/>
          <w:sz w:val="28"/>
          <w:szCs w:val="28"/>
        </w:rPr>
        <w:t xml:space="preserve">. </w:t>
      </w:r>
    </w:p>
    <w:p w:rsidR="002A2DE3" w:rsidRDefault="002A2DE3" w:rsidP="002A2DE3">
      <w:pPr>
        <w:spacing w:after="0" w:line="360" w:lineRule="auto"/>
        <w:ind w:firstLine="709"/>
        <w:jc w:val="both"/>
        <w:rPr>
          <w:rFonts w:ascii="Times New Roman" w:hAnsi="Times New Roman"/>
          <w:sz w:val="28"/>
          <w:szCs w:val="28"/>
        </w:rPr>
      </w:pPr>
      <w:r w:rsidRPr="00E362DE">
        <w:rPr>
          <w:rFonts w:ascii="Times New Roman" w:hAnsi="Times New Roman"/>
          <w:sz w:val="28"/>
          <w:szCs w:val="28"/>
          <w:lang w:eastAsia="ru-RU"/>
        </w:rPr>
        <w:t xml:space="preserve">Ещё одной отличительной чертой является </w:t>
      </w:r>
      <w:r>
        <w:rPr>
          <w:rFonts w:ascii="Times New Roman" w:hAnsi="Times New Roman"/>
          <w:sz w:val="28"/>
          <w:szCs w:val="28"/>
          <w:lang w:eastAsia="ru-RU"/>
        </w:rPr>
        <w:t xml:space="preserve">значительная роль государства и его активное участие в </w:t>
      </w:r>
      <w:r w:rsidRPr="00E362DE">
        <w:rPr>
          <w:rFonts w:ascii="Times New Roman" w:hAnsi="Times New Roman"/>
          <w:sz w:val="28"/>
          <w:szCs w:val="28"/>
        </w:rPr>
        <w:t xml:space="preserve">процессе </w:t>
      </w:r>
      <w:r w:rsidRPr="00E362DE">
        <w:rPr>
          <w:rFonts w:ascii="Times New Roman" w:hAnsi="Times New Roman"/>
          <w:sz w:val="28"/>
          <w:szCs w:val="28"/>
          <w:lang w:val="en-US"/>
        </w:rPr>
        <w:t>M</w:t>
      </w:r>
      <w:r w:rsidRPr="00E362DE">
        <w:rPr>
          <w:rFonts w:ascii="Times New Roman" w:hAnsi="Times New Roman"/>
          <w:sz w:val="28"/>
          <w:szCs w:val="28"/>
        </w:rPr>
        <w:t>&amp;</w:t>
      </w:r>
      <w:r w:rsidRPr="00E362DE">
        <w:rPr>
          <w:rFonts w:ascii="Times New Roman" w:hAnsi="Times New Roman"/>
          <w:sz w:val="28"/>
          <w:szCs w:val="28"/>
          <w:lang w:val="en-US"/>
        </w:rPr>
        <w:t>A</w:t>
      </w:r>
      <w:r w:rsidRPr="00E362DE">
        <w:rPr>
          <w:rFonts w:ascii="Times New Roman" w:hAnsi="Times New Roman"/>
          <w:sz w:val="28"/>
          <w:szCs w:val="28"/>
        </w:rPr>
        <w:t>, в отличие от других стран. Оно не только исполняет функции регулятора, но и в последнее время</w:t>
      </w:r>
      <w:r>
        <w:rPr>
          <w:rFonts w:ascii="Times New Roman" w:hAnsi="Times New Roman"/>
          <w:sz w:val="28"/>
          <w:szCs w:val="28"/>
        </w:rPr>
        <w:t xml:space="preserve"> довольно</w:t>
      </w:r>
      <w:r w:rsidRPr="00E362DE">
        <w:rPr>
          <w:rFonts w:ascii="Times New Roman" w:hAnsi="Times New Roman"/>
          <w:sz w:val="28"/>
          <w:szCs w:val="28"/>
        </w:rPr>
        <w:t xml:space="preserve"> активно участвует в формировании холдингов. В целом происходящий в России процесс </w:t>
      </w:r>
      <w:r w:rsidRPr="00E362DE">
        <w:rPr>
          <w:rFonts w:ascii="Times New Roman" w:hAnsi="Times New Roman"/>
          <w:sz w:val="28"/>
          <w:szCs w:val="28"/>
          <w:lang w:val="en-US"/>
        </w:rPr>
        <w:t>M</w:t>
      </w:r>
      <w:r w:rsidRPr="00E362DE">
        <w:rPr>
          <w:rFonts w:ascii="Times New Roman" w:hAnsi="Times New Roman"/>
          <w:sz w:val="28"/>
          <w:szCs w:val="28"/>
        </w:rPr>
        <w:t>&amp;</w:t>
      </w:r>
      <w:r w:rsidRPr="00E362DE">
        <w:rPr>
          <w:rFonts w:ascii="Times New Roman" w:hAnsi="Times New Roman"/>
          <w:sz w:val="28"/>
          <w:szCs w:val="28"/>
          <w:lang w:val="en-US"/>
        </w:rPr>
        <w:t>A</w:t>
      </w:r>
      <w:r w:rsidRPr="00E362DE">
        <w:rPr>
          <w:rFonts w:ascii="Times New Roman" w:hAnsi="Times New Roman"/>
          <w:sz w:val="28"/>
          <w:szCs w:val="28"/>
        </w:rPr>
        <w:t xml:space="preserve"> является позитивным для повышения эффективности и конкурентоспособности компаний. </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Перейдем непосредственно к рассмотрению и анализу российского рынка слияний за 2012 год и отметим некоторые тенденции, наблюдаемые в первом квартале 2013 года. Существует несколько «но» это закрытость информации и значительное различие в цифрах, приводимых в аналитических обзорах независимых агентств. Различие обусловлено используемой методологией, начиная от включения в статистику только завершенных сделок или еще и объявленных заканчивая размерами. В данной работе преимущественно были использованы материалы отчетов компании </w:t>
      </w:r>
      <w:r>
        <w:rPr>
          <w:rFonts w:ascii="Times New Roman" w:hAnsi="Times New Roman"/>
          <w:sz w:val="28"/>
          <w:szCs w:val="28"/>
          <w:lang w:val="en-US"/>
        </w:rPr>
        <w:t>KPMG</w:t>
      </w:r>
      <w:r>
        <w:rPr>
          <w:rFonts w:ascii="Times New Roman" w:hAnsi="Times New Roman"/>
          <w:sz w:val="28"/>
          <w:szCs w:val="28"/>
        </w:rPr>
        <w:t xml:space="preserve">, так как методика понятна и ясна, а информация детализирована и актуальна. </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в 2012 году было проведено 427 сделок на общую сумму 83,1 млрд. долл., что больше результатов 2011 года на 21%. Из статистики исключена самая крупная сделка за всю историю российского рынка </w:t>
      </w:r>
      <w:r>
        <w:rPr>
          <w:rFonts w:ascii="Times New Roman" w:hAnsi="Times New Roman"/>
          <w:sz w:val="28"/>
          <w:szCs w:val="28"/>
          <w:lang w:val="en-US"/>
        </w:rPr>
        <w:t>M</w:t>
      </w:r>
      <w:r w:rsidRPr="000337E2">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проведенная в этом году – приобретение ТНК – ВР нефтегазовой компанией «Роснефть». Стоимость этой сделки составляет 56 млрд. долл., что превышает суммарный показатель сделок в нефтегазовой отрасли за три последних года (23,0 + 20,3 + 11,6 = 54,9 млрд. долл.  </w:t>
      </w:r>
      <w:r w:rsidRPr="00E70DD1">
        <w:rPr>
          <w:rFonts w:ascii="Times New Roman" w:hAnsi="Times New Roman"/>
          <w:sz w:val="28"/>
          <w:szCs w:val="28"/>
        </w:rPr>
        <w:t>&lt;56</w:t>
      </w:r>
      <w:r>
        <w:rPr>
          <w:rFonts w:ascii="Times New Roman" w:hAnsi="Times New Roman"/>
          <w:sz w:val="28"/>
          <w:szCs w:val="28"/>
        </w:rPr>
        <w:t xml:space="preserve"> млрд. долл.). </w:t>
      </w:r>
    </w:p>
    <w:p w:rsidR="002A2DE3" w:rsidRDefault="002A2DE3" w:rsidP="009F6E4A">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Российский рынок пытается постепенно вернуться к количественным итогам докризисного периода. На рис. 4  можно видеть, что количество сделок возросло, в то время как на мировом рынке наблюдается снижение  на 10,9% (рис. 3). Рост рынка можно назвать стабильным и умеренным, а спад по стоимости в 2011 при увеличении </w:t>
      </w:r>
      <w:r>
        <w:rPr>
          <w:rFonts w:ascii="Times New Roman" w:hAnsi="Times New Roman"/>
          <w:sz w:val="28"/>
          <w:szCs w:val="28"/>
        </w:rPr>
        <w:lastRenderedPageBreak/>
        <w:t xml:space="preserve">количества сделок объяснить высоким уровнем </w:t>
      </w:r>
      <w:proofErr w:type="spellStart"/>
      <w:r>
        <w:rPr>
          <w:rFonts w:ascii="Times New Roman" w:hAnsi="Times New Roman"/>
          <w:sz w:val="28"/>
          <w:szCs w:val="28"/>
        </w:rPr>
        <w:t>волатильности</w:t>
      </w:r>
      <w:proofErr w:type="spellEnd"/>
      <w:r>
        <w:rPr>
          <w:rFonts w:ascii="Times New Roman" w:hAnsi="Times New Roman"/>
          <w:sz w:val="28"/>
          <w:szCs w:val="28"/>
        </w:rPr>
        <w:t xml:space="preserve"> рынка и сокращением числа крупных сделок. </w:t>
      </w:r>
    </w:p>
    <w:p w:rsidR="002A2DE3" w:rsidRPr="009F6E4A" w:rsidRDefault="002A2DE3" w:rsidP="009F6E4A">
      <w:pPr>
        <w:spacing w:line="360" w:lineRule="auto"/>
        <w:jc w:val="center"/>
        <w:rPr>
          <w:rFonts w:ascii="Times New Roman" w:hAnsi="Times New Roman"/>
          <w:sz w:val="28"/>
          <w:szCs w:val="28"/>
        </w:rPr>
      </w:pPr>
      <w:r w:rsidRPr="000647A6">
        <w:rPr>
          <w:rFonts w:ascii="Times New Roman" w:hAnsi="Times New Roman"/>
          <w:b/>
          <w:noProof/>
          <w:sz w:val="28"/>
          <w:szCs w:val="28"/>
          <w:lang w:eastAsia="ru-RU"/>
        </w:rPr>
        <w:drawing>
          <wp:inline distT="0" distB="0" distL="0" distR="0">
            <wp:extent cx="5760085" cy="2880000"/>
            <wp:effectExtent l="19050" t="0" r="1206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75552">
        <w:rPr>
          <w:rFonts w:ascii="Times New Roman" w:hAnsi="Times New Roman"/>
          <w:sz w:val="28"/>
          <w:szCs w:val="28"/>
        </w:rPr>
        <w:t>Рис</w:t>
      </w:r>
      <w:r>
        <w:rPr>
          <w:rFonts w:ascii="Times New Roman" w:hAnsi="Times New Roman"/>
          <w:sz w:val="28"/>
          <w:szCs w:val="28"/>
        </w:rPr>
        <w:t xml:space="preserve">. 4 Российский рынок </w:t>
      </w:r>
      <w:r>
        <w:rPr>
          <w:rFonts w:ascii="Times New Roman" w:hAnsi="Times New Roman"/>
          <w:sz w:val="28"/>
          <w:szCs w:val="28"/>
          <w:lang w:val="en-US"/>
        </w:rPr>
        <w:t>M</w:t>
      </w:r>
      <w:r w:rsidRPr="00775552">
        <w:rPr>
          <w:rFonts w:ascii="Times New Roman" w:hAnsi="Times New Roman"/>
          <w:sz w:val="28"/>
          <w:szCs w:val="28"/>
        </w:rPr>
        <w:t>&amp;</w:t>
      </w:r>
      <w:r>
        <w:rPr>
          <w:rFonts w:ascii="Times New Roman" w:hAnsi="Times New Roman"/>
          <w:sz w:val="28"/>
          <w:szCs w:val="28"/>
          <w:lang w:val="en-US"/>
        </w:rPr>
        <w:t>A</w:t>
      </w:r>
      <w:r w:rsidR="009F6E4A">
        <w:rPr>
          <w:rFonts w:ascii="Times New Roman" w:hAnsi="Times New Roman"/>
          <w:sz w:val="28"/>
          <w:szCs w:val="28"/>
        </w:rPr>
        <w:t xml:space="preserve"> 2005 – 2012 г.</w:t>
      </w:r>
    </w:p>
    <w:p w:rsidR="002A2DE3" w:rsidRDefault="002A2DE3" w:rsidP="002A2DE3">
      <w:pPr>
        <w:spacing w:after="0" w:line="360" w:lineRule="auto"/>
        <w:ind w:firstLine="709"/>
        <w:jc w:val="both"/>
        <w:rPr>
          <w:rFonts w:ascii="Times New Roman" w:hAnsi="Times New Roman"/>
          <w:sz w:val="28"/>
          <w:szCs w:val="28"/>
        </w:rPr>
      </w:pPr>
      <w:r w:rsidRPr="007C2309">
        <w:rPr>
          <w:rFonts w:ascii="Times New Roman" w:hAnsi="Times New Roman"/>
          <w:sz w:val="28"/>
          <w:szCs w:val="28"/>
        </w:rPr>
        <w:t>В 2012 г. на российском рынке слияний и поглощений по-прежнему преимущественно заключались внутренние сделки, однако доля трансграничных сделок увеличилась</w:t>
      </w:r>
      <w:r>
        <w:rPr>
          <w:rFonts w:ascii="Times New Roman" w:hAnsi="Times New Roman"/>
          <w:sz w:val="28"/>
          <w:szCs w:val="28"/>
        </w:rPr>
        <w:t xml:space="preserve"> (рис. 5)</w:t>
      </w:r>
      <w:r w:rsidRPr="007C2309">
        <w:rPr>
          <w:rFonts w:ascii="Times New Roman" w:hAnsi="Times New Roman"/>
          <w:sz w:val="28"/>
          <w:szCs w:val="28"/>
        </w:rPr>
        <w:t xml:space="preserve">. </w:t>
      </w:r>
      <w:proofErr w:type="gramStart"/>
      <w:r w:rsidRPr="007C2309">
        <w:rPr>
          <w:rFonts w:ascii="Times New Roman" w:hAnsi="Times New Roman"/>
          <w:sz w:val="28"/>
          <w:szCs w:val="28"/>
        </w:rPr>
        <w:t>Количество объявленных трансграничных сделок выросло на 11% до 125, а общая сумма таких сделок увеличила</w:t>
      </w:r>
      <w:r>
        <w:rPr>
          <w:rFonts w:ascii="Times New Roman" w:hAnsi="Times New Roman"/>
          <w:sz w:val="28"/>
          <w:szCs w:val="28"/>
        </w:rPr>
        <w:t>сь на 27% до 33,3 млрд. долл.</w:t>
      </w:r>
      <w:r w:rsidRPr="007C2309">
        <w:rPr>
          <w:rFonts w:ascii="Times New Roman" w:hAnsi="Times New Roman"/>
          <w:sz w:val="28"/>
          <w:szCs w:val="28"/>
        </w:rPr>
        <w:t>, что составляет 40% от всего объема российского рынка (в 2011 г. этот показатель составлял 38%)</w:t>
      </w:r>
      <w:r>
        <w:rPr>
          <w:rStyle w:val="a5"/>
          <w:rFonts w:ascii="Times New Roman" w:hAnsi="Times New Roman"/>
          <w:sz w:val="28"/>
          <w:szCs w:val="28"/>
        </w:rPr>
        <w:footnoteReference w:id="14"/>
      </w:r>
      <w:r w:rsidRPr="007C2309">
        <w:rPr>
          <w:rFonts w:ascii="Times New Roman" w:hAnsi="Times New Roman"/>
          <w:sz w:val="28"/>
          <w:szCs w:val="28"/>
        </w:rPr>
        <w:t xml:space="preserve">. Общая сумма сделок по покупке </w:t>
      </w:r>
      <w:r>
        <w:rPr>
          <w:rFonts w:ascii="Times New Roman" w:hAnsi="Times New Roman"/>
          <w:sz w:val="28"/>
          <w:szCs w:val="28"/>
        </w:rPr>
        <w:t xml:space="preserve">российских активов </w:t>
      </w:r>
      <w:r w:rsidRPr="007C2309">
        <w:rPr>
          <w:rFonts w:ascii="Times New Roman" w:hAnsi="Times New Roman"/>
          <w:sz w:val="28"/>
          <w:szCs w:val="28"/>
        </w:rPr>
        <w:t>иностранны</w:t>
      </w:r>
      <w:r>
        <w:rPr>
          <w:rFonts w:ascii="Times New Roman" w:hAnsi="Times New Roman"/>
          <w:sz w:val="28"/>
          <w:szCs w:val="28"/>
        </w:rPr>
        <w:t>ми компаниями в 2012 г. составила</w:t>
      </w:r>
      <w:r w:rsidRPr="007C2309">
        <w:rPr>
          <w:rFonts w:ascii="Times New Roman" w:hAnsi="Times New Roman"/>
          <w:sz w:val="28"/>
          <w:szCs w:val="28"/>
        </w:rPr>
        <w:t>17,1 млрд</w:t>
      </w:r>
      <w:r>
        <w:rPr>
          <w:rFonts w:ascii="Times New Roman" w:hAnsi="Times New Roman"/>
          <w:sz w:val="28"/>
          <w:szCs w:val="28"/>
        </w:rPr>
        <w:t>. долл., увеличившись на 24% по сравнению с 2011 годом</w:t>
      </w:r>
      <w:proofErr w:type="gramEnd"/>
      <w:r>
        <w:rPr>
          <w:rFonts w:ascii="Times New Roman" w:hAnsi="Times New Roman"/>
          <w:sz w:val="28"/>
          <w:szCs w:val="28"/>
        </w:rPr>
        <w:t>. Так в анализируемом году</w:t>
      </w:r>
      <w:r w:rsidRPr="007C2309">
        <w:rPr>
          <w:rFonts w:ascii="Times New Roman" w:hAnsi="Times New Roman"/>
          <w:sz w:val="28"/>
          <w:szCs w:val="28"/>
        </w:rPr>
        <w:t xml:space="preserve"> 52% всех иностранных инвестиций пришлось на три</w:t>
      </w:r>
      <w:r>
        <w:rPr>
          <w:rFonts w:ascii="Times New Roman" w:hAnsi="Times New Roman"/>
          <w:sz w:val="28"/>
          <w:szCs w:val="28"/>
        </w:rPr>
        <w:t xml:space="preserve"> ключевые</w:t>
      </w:r>
      <w:r w:rsidRPr="007C2309">
        <w:rPr>
          <w:rFonts w:ascii="Times New Roman" w:hAnsi="Times New Roman"/>
          <w:sz w:val="28"/>
          <w:szCs w:val="28"/>
        </w:rPr>
        <w:t xml:space="preserve"> сделки: вторичное размещение акций (SPO) ОАО «Сбербанк России», первичное размещение акций (IPO) ОАО «</w:t>
      </w:r>
      <w:proofErr w:type="spellStart"/>
      <w:r w:rsidRPr="007C2309">
        <w:rPr>
          <w:rFonts w:ascii="Times New Roman" w:hAnsi="Times New Roman"/>
          <w:sz w:val="28"/>
          <w:szCs w:val="28"/>
        </w:rPr>
        <w:t>МегаФон</w:t>
      </w:r>
      <w:proofErr w:type="spellEnd"/>
      <w:r w:rsidRPr="007C2309">
        <w:rPr>
          <w:rFonts w:ascii="Times New Roman" w:hAnsi="Times New Roman"/>
          <w:sz w:val="28"/>
          <w:szCs w:val="28"/>
        </w:rPr>
        <w:t>» и прио</w:t>
      </w:r>
      <w:r>
        <w:rPr>
          <w:rFonts w:ascii="Times New Roman" w:hAnsi="Times New Roman"/>
          <w:sz w:val="28"/>
          <w:szCs w:val="28"/>
        </w:rPr>
        <w:t>бретение</w:t>
      </w:r>
      <w:r w:rsidRPr="007C2309">
        <w:rPr>
          <w:rFonts w:ascii="Times New Roman" w:hAnsi="Times New Roman"/>
          <w:sz w:val="28"/>
          <w:szCs w:val="28"/>
        </w:rPr>
        <w:t xml:space="preserve"> пивоваренных активов </w:t>
      </w:r>
      <w:r>
        <w:rPr>
          <w:rFonts w:ascii="Times New Roman" w:hAnsi="Times New Roman"/>
          <w:sz w:val="28"/>
          <w:szCs w:val="28"/>
        </w:rPr>
        <w:t>«</w:t>
      </w:r>
      <w:proofErr w:type="spellStart"/>
      <w:r w:rsidRPr="007C2309">
        <w:rPr>
          <w:rFonts w:ascii="Times New Roman" w:hAnsi="Times New Roman"/>
          <w:sz w:val="28"/>
          <w:szCs w:val="28"/>
        </w:rPr>
        <w:t>SABMiller</w:t>
      </w:r>
      <w:proofErr w:type="spellEnd"/>
      <w:r>
        <w:rPr>
          <w:rFonts w:ascii="Times New Roman" w:hAnsi="Times New Roman"/>
          <w:sz w:val="28"/>
          <w:szCs w:val="28"/>
        </w:rPr>
        <w:t>»</w:t>
      </w:r>
      <w:r w:rsidRPr="007C2309">
        <w:rPr>
          <w:rFonts w:ascii="Times New Roman" w:hAnsi="Times New Roman"/>
          <w:sz w:val="28"/>
          <w:szCs w:val="28"/>
        </w:rPr>
        <w:t xml:space="preserve"> турецкой компанией </w:t>
      </w:r>
      <w:r>
        <w:rPr>
          <w:rFonts w:ascii="Times New Roman" w:hAnsi="Times New Roman"/>
          <w:sz w:val="28"/>
          <w:szCs w:val="28"/>
        </w:rPr>
        <w:t>«</w:t>
      </w:r>
      <w:proofErr w:type="spellStart"/>
      <w:r w:rsidRPr="007C2309">
        <w:rPr>
          <w:rFonts w:ascii="Times New Roman" w:hAnsi="Times New Roman"/>
          <w:sz w:val="28"/>
          <w:szCs w:val="28"/>
        </w:rPr>
        <w:t>AnadoluEfes</w:t>
      </w:r>
      <w:proofErr w:type="spellEnd"/>
      <w:r>
        <w:rPr>
          <w:rFonts w:ascii="Times New Roman" w:hAnsi="Times New Roman"/>
          <w:sz w:val="28"/>
          <w:szCs w:val="28"/>
        </w:rPr>
        <w:t>»</w:t>
      </w:r>
      <w:r w:rsidRPr="007C2309">
        <w:rPr>
          <w:rFonts w:ascii="Times New Roman" w:hAnsi="Times New Roman"/>
          <w:sz w:val="28"/>
          <w:szCs w:val="28"/>
        </w:rPr>
        <w:t>.</w:t>
      </w:r>
      <w:r w:rsidR="00D93F59">
        <w:rPr>
          <w:rStyle w:val="a5"/>
          <w:rFonts w:ascii="Times New Roman" w:hAnsi="Times New Roman"/>
          <w:sz w:val="28"/>
          <w:szCs w:val="28"/>
        </w:rPr>
        <w:footnoteReference w:id="15"/>
      </w:r>
      <w:r w:rsidRPr="007C2309">
        <w:rPr>
          <w:rFonts w:ascii="Times New Roman" w:hAnsi="Times New Roman"/>
          <w:sz w:val="28"/>
          <w:szCs w:val="28"/>
        </w:rPr>
        <w:t xml:space="preserve"> </w:t>
      </w:r>
    </w:p>
    <w:p w:rsidR="002A2DE3" w:rsidRDefault="002A2DE3" w:rsidP="002A2DE3">
      <w:pPr>
        <w:spacing w:line="360" w:lineRule="auto"/>
        <w:jc w:val="both"/>
        <w:rPr>
          <w:noProof/>
          <w:lang w:eastAsia="ru-RU"/>
        </w:rPr>
      </w:pPr>
      <w:r w:rsidRPr="00E54111">
        <w:rPr>
          <w:rFonts w:ascii="Times New Roman" w:hAnsi="Times New Roman"/>
          <w:noProof/>
          <w:sz w:val="28"/>
          <w:szCs w:val="28"/>
          <w:lang w:eastAsia="ru-RU"/>
        </w:rPr>
        <w:lastRenderedPageBreak/>
        <w:drawing>
          <wp:inline distT="0" distB="0" distL="0" distR="0">
            <wp:extent cx="2808605" cy="2880000"/>
            <wp:effectExtent l="19050" t="0" r="1079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54111">
        <w:rPr>
          <w:rFonts w:ascii="Times New Roman" w:hAnsi="Times New Roman"/>
          <w:noProof/>
          <w:sz w:val="28"/>
          <w:szCs w:val="28"/>
          <w:lang w:eastAsia="ru-RU"/>
        </w:rPr>
        <w:drawing>
          <wp:inline distT="0" distB="0" distL="0" distR="0">
            <wp:extent cx="2808605" cy="2880000"/>
            <wp:effectExtent l="19050" t="0" r="1079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2DE3" w:rsidRDefault="002A2DE3" w:rsidP="002A2DE3">
      <w:pPr>
        <w:spacing w:line="360" w:lineRule="auto"/>
        <w:jc w:val="center"/>
        <w:rPr>
          <w:rFonts w:ascii="Times New Roman" w:hAnsi="Times New Roman"/>
          <w:sz w:val="28"/>
          <w:szCs w:val="28"/>
        </w:rPr>
      </w:pPr>
      <w:r>
        <w:rPr>
          <w:rFonts w:ascii="Times New Roman" w:hAnsi="Times New Roman"/>
          <w:sz w:val="28"/>
          <w:szCs w:val="28"/>
        </w:rPr>
        <w:t>Рис. 5 Количество и сумма сделок по направлению движения капитала</w:t>
      </w:r>
    </w:p>
    <w:p w:rsidR="002A2DE3" w:rsidRPr="009E270B" w:rsidRDefault="002A2DE3" w:rsidP="00D93F59">
      <w:pPr>
        <w:spacing w:after="0" w:line="360" w:lineRule="auto"/>
        <w:ind w:firstLine="709"/>
        <w:jc w:val="both"/>
        <w:rPr>
          <w:rFonts w:ascii="Times New Roman" w:hAnsi="Times New Roman"/>
          <w:sz w:val="28"/>
          <w:szCs w:val="28"/>
        </w:rPr>
      </w:pPr>
      <w:r w:rsidRPr="007C2309">
        <w:rPr>
          <w:rFonts w:ascii="Times New Roman" w:hAnsi="Times New Roman"/>
          <w:sz w:val="28"/>
          <w:szCs w:val="28"/>
        </w:rPr>
        <w:t>По секторам наблюдается диверсификация сделок по слияниям и поглощениям. Наряду с тремя секторами: металлургия и горнодобывающая промышленность, нефтегазовый сектор, энергетика и коммуналь</w:t>
      </w:r>
      <w:r>
        <w:rPr>
          <w:rFonts w:ascii="Times New Roman" w:hAnsi="Times New Roman"/>
          <w:sz w:val="28"/>
          <w:szCs w:val="28"/>
        </w:rPr>
        <w:t xml:space="preserve">ный сектор, которые постоянно </w:t>
      </w:r>
      <w:r w:rsidRPr="007C2309">
        <w:rPr>
          <w:rFonts w:ascii="Times New Roman" w:hAnsi="Times New Roman"/>
          <w:sz w:val="28"/>
          <w:szCs w:val="28"/>
        </w:rPr>
        <w:t xml:space="preserve">доминируют на российском рынке </w:t>
      </w:r>
      <w:r w:rsidRPr="007C2309">
        <w:rPr>
          <w:rFonts w:ascii="Times New Roman" w:hAnsi="Times New Roman"/>
          <w:sz w:val="28"/>
          <w:szCs w:val="28"/>
          <w:lang w:val="en-US"/>
        </w:rPr>
        <w:t>M</w:t>
      </w:r>
      <w:r w:rsidRPr="007C2309">
        <w:rPr>
          <w:rFonts w:ascii="Times New Roman" w:hAnsi="Times New Roman"/>
          <w:sz w:val="28"/>
          <w:szCs w:val="28"/>
        </w:rPr>
        <w:t>&amp;</w:t>
      </w:r>
      <w:r w:rsidRPr="007C2309">
        <w:rPr>
          <w:rFonts w:ascii="Times New Roman" w:hAnsi="Times New Roman"/>
          <w:sz w:val="28"/>
          <w:szCs w:val="28"/>
          <w:lang w:val="en-US"/>
        </w:rPr>
        <w:t>A</w:t>
      </w:r>
      <w:r w:rsidRPr="007C2309">
        <w:rPr>
          <w:rFonts w:ascii="Times New Roman" w:hAnsi="Times New Roman"/>
          <w:sz w:val="28"/>
          <w:szCs w:val="28"/>
        </w:rPr>
        <w:t xml:space="preserve">, все более активными становятся сектор телекоммуникаций и </w:t>
      </w:r>
      <w:proofErr w:type="spellStart"/>
      <w:r w:rsidRPr="007C2309">
        <w:rPr>
          <w:rFonts w:ascii="Times New Roman" w:hAnsi="Times New Roman"/>
          <w:sz w:val="28"/>
          <w:szCs w:val="28"/>
        </w:rPr>
        <w:t>медиа</w:t>
      </w:r>
      <w:proofErr w:type="spellEnd"/>
      <w:r w:rsidRPr="007C2309">
        <w:rPr>
          <w:rFonts w:ascii="Times New Roman" w:hAnsi="Times New Roman"/>
          <w:sz w:val="28"/>
          <w:szCs w:val="28"/>
        </w:rPr>
        <w:t>, а так</w:t>
      </w:r>
      <w:r>
        <w:rPr>
          <w:rFonts w:ascii="Times New Roman" w:hAnsi="Times New Roman"/>
          <w:sz w:val="28"/>
          <w:szCs w:val="28"/>
        </w:rPr>
        <w:t xml:space="preserve">же сектор финансовых услуг. Однако </w:t>
      </w:r>
      <w:r w:rsidRPr="007C2309">
        <w:rPr>
          <w:rFonts w:ascii="Times New Roman" w:hAnsi="Times New Roman"/>
          <w:sz w:val="28"/>
          <w:szCs w:val="28"/>
        </w:rPr>
        <w:t>в 2012 г.</w:t>
      </w:r>
      <w:r>
        <w:rPr>
          <w:rFonts w:ascii="Times New Roman" w:hAnsi="Times New Roman"/>
          <w:sz w:val="28"/>
          <w:szCs w:val="28"/>
        </w:rPr>
        <w:t xml:space="preserve"> особых изменений не произошло (рис. 6),по прежнему четверть от общего количества сделок пришлась на исторически доминирующие сектора</w:t>
      </w:r>
      <w:r w:rsidRPr="007C2309">
        <w:rPr>
          <w:rFonts w:ascii="Times New Roman" w:hAnsi="Times New Roman"/>
          <w:sz w:val="28"/>
          <w:szCs w:val="28"/>
        </w:rPr>
        <w:t xml:space="preserve">, </w:t>
      </w:r>
      <w:r>
        <w:rPr>
          <w:rFonts w:ascii="Times New Roman" w:hAnsi="Times New Roman"/>
          <w:sz w:val="28"/>
          <w:szCs w:val="28"/>
        </w:rPr>
        <w:t xml:space="preserve">но </w:t>
      </w:r>
      <w:r w:rsidRPr="007C2309">
        <w:rPr>
          <w:rFonts w:ascii="Times New Roman" w:hAnsi="Times New Roman"/>
          <w:sz w:val="28"/>
          <w:szCs w:val="28"/>
        </w:rPr>
        <w:t>их доля в об</w:t>
      </w:r>
      <w:r>
        <w:rPr>
          <w:rFonts w:ascii="Times New Roman" w:hAnsi="Times New Roman"/>
          <w:sz w:val="28"/>
          <w:szCs w:val="28"/>
        </w:rPr>
        <w:t>щей сумме сделок снизилась до 30</w:t>
      </w:r>
      <w:r w:rsidRPr="007C2309">
        <w:rPr>
          <w:rFonts w:ascii="Times New Roman" w:hAnsi="Times New Roman"/>
          <w:sz w:val="28"/>
          <w:szCs w:val="28"/>
        </w:rPr>
        <w:t>% (в 2011 г. она составляла 43%).</w:t>
      </w:r>
      <w:r>
        <w:rPr>
          <w:rFonts w:ascii="Times New Roman" w:hAnsi="Times New Roman"/>
          <w:sz w:val="28"/>
          <w:szCs w:val="28"/>
        </w:rPr>
        <w:t xml:space="preserve"> В то время как доли, приходящиеся на сектора телекоммуникаций и финансовых услуг составили по 19% каждый, против 13% и 15% в 2011г</w:t>
      </w:r>
      <w:proofErr w:type="gramStart"/>
      <w:r>
        <w:rPr>
          <w:rFonts w:ascii="Times New Roman" w:hAnsi="Times New Roman"/>
          <w:sz w:val="28"/>
          <w:szCs w:val="28"/>
        </w:rPr>
        <w:t>..</w:t>
      </w:r>
      <w:proofErr w:type="gramEnd"/>
      <w:r w:rsidRPr="007C2309">
        <w:rPr>
          <w:rFonts w:ascii="Times New Roman" w:hAnsi="Times New Roman"/>
          <w:sz w:val="28"/>
          <w:szCs w:val="28"/>
        </w:rPr>
        <w:t>Это преимущественно связано с сохраняющимся отсутствием активности со стороны крупных угледобывающих компаний и интегрированных производителей</w:t>
      </w:r>
      <w:r>
        <w:rPr>
          <w:rFonts w:ascii="Times New Roman" w:hAnsi="Times New Roman"/>
          <w:sz w:val="28"/>
          <w:szCs w:val="28"/>
        </w:rPr>
        <w:t>. Причинами отсутствия интереса стали</w:t>
      </w:r>
      <w:r w:rsidR="00D93F59">
        <w:rPr>
          <w:rFonts w:ascii="Times New Roman" w:hAnsi="Times New Roman"/>
          <w:sz w:val="28"/>
          <w:szCs w:val="28"/>
        </w:rPr>
        <w:t xml:space="preserve"> </w:t>
      </w:r>
      <w:r>
        <w:rPr>
          <w:rFonts w:ascii="Times New Roman" w:hAnsi="Times New Roman"/>
          <w:sz w:val="28"/>
          <w:szCs w:val="28"/>
        </w:rPr>
        <w:t>падение</w:t>
      </w:r>
      <w:r w:rsidRPr="007C2309">
        <w:rPr>
          <w:rFonts w:ascii="Times New Roman" w:hAnsi="Times New Roman"/>
          <w:sz w:val="28"/>
          <w:szCs w:val="28"/>
        </w:rPr>
        <w:t xml:space="preserve"> цен</w:t>
      </w:r>
      <w:r>
        <w:rPr>
          <w:rFonts w:ascii="Times New Roman" w:hAnsi="Times New Roman"/>
          <w:sz w:val="28"/>
          <w:szCs w:val="28"/>
        </w:rPr>
        <w:t xml:space="preserve"> на сырьевые товары и реализация</w:t>
      </w:r>
      <w:r w:rsidRPr="007C2309">
        <w:rPr>
          <w:rFonts w:ascii="Times New Roman" w:hAnsi="Times New Roman"/>
          <w:sz w:val="28"/>
          <w:szCs w:val="28"/>
        </w:rPr>
        <w:t xml:space="preserve"> крупных текущих программ капиталовложений. </w:t>
      </w:r>
    </w:p>
    <w:p w:rsidR="002A2DE3" w:rsidRDefault="002A2DE3" w:rsidP="002A2DE3">
      <w:pPr>
        <w:keepNext/>
        <w:spacing w:line="360" w:lineRule="auto"/>
        <w:jc w:val="center"/>
        <w:rPr>
          <w:rFonts w:ascii="Times New Roman" w:hAnsi="Times New Roman"/>
          <w:sz w:val="28"/>
          <w:szCs w:val="28"/>
        </w:rPr>
      </w:pPr>
      <w:r w:rsidRPr="009E270B">
        <w:rPr>
          <w:rFonts w:ascii="Times New Roman" w:hAnsi="Times New Roman"/>
          <w:noProof/>
          <w:sz w:val="28"/>
          <w:szCs w:val="28"/>
          <w:lang w:eastAsia="ru-RU"/>
        </w:rPr>
        <w:lastRenderedPageBreak/>
        <w:drawing>
          <wp:inline distT="0" distB="0" distL="0" distR="0">
            <wp:extent cx="5760085" cy="2880000"/>
            <wp:effectExtent l="19050" t="0" r="12065"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DE3" w:rsidRDefault="002A2DE3" w:rsidP="002A2DE3">
      <w:pPr>
        <w:keepNext/>
        <w:spacing w:line="360" w:lineRule="auto"/>
        <w:jc w:val="center"/>
        <w:rPr>
          <w:rFonts w:ascii="Times New Roman" w:hAnsi="Times New Roman"/>
          <w:sz w:val="28"/>
          <w:szCs w:val="28"/>
        </w:rPr>
      </w:pPr>
      <w:r>
        <w:rPr>
          <w:rFonts w:ascii="Times New Roman" w:hAnsi="Times New Roman"/>
          <w:sz w:val="28"/>
          <w:szCs w:val="28"/>
        </w:rPr>
        <w:t>Рис. 6 Сумма сделок по отраслям в 2012 (2011) г.</w:t>
      </w:r>
    </w:p>
    <w:p w:rsidR="002A2DE3" w:rsidRDefault="002A2DE3" w:rsidP="002A2DE3">
      <w:pPr>
        <w:keepNext/>
        <w:spacing w:after="0" w:line="360" w:lineRule="auto"/>
        <w:ind w:firstLine="709"/>
        <w:jc w:val="both"/>
        <w:rPr>
          <w:rFonts w:ascii="Times New Roman" w:hAnsi="Times New Roman"/>
          <w:sz w:val="28"/>
          <w:szCs w:val="28"/>
        </w:rPr>
      </w:pPr>
      <w:r w:rsidRPr="007C2309">
        <w:rPr>
          <w:rFonts w:ascii="Times New Roman" w:hAnsi="Times New Roman"/>
          <w:sz w:val="28"/>
          <w:szCs w:val="28"/>
        </w:rPr>
        <w:t>В секторе телеком</w:t>
      </w:r>
      <w:r>
        <w:rPr>
          <w:rFonts w:ascii="Times New Roman" w:hAnsi="Times New Roman"/>
          <w:sz w:val="28"/>
          <w:szCs w:val="28"/>
        </w:rPr>
        <w:t xml:space="preserve">муникаций и </w:t>
      </w:r>
      <w:proofErr w:type="spellStart"/>
      <w:r>
        <w:rPr>
          <w:rFonts w:ascii="Times New Roman" w:hAnsi="Times New Roman"/>
          <w:sz w:val="28"/>
          <w:szCs w:val="28"/>
        </w:rPr>
        <w:t>медиа</w:t>
      </w:r>
      <w:proofErr w:type="spellEnd"/>
      <w:r>
        <w:rPr>
          <w:rFonts w:ascii="Times New Roman" w:hAnsi="Times New Roman"/>
          <w:sz w:val="28"/>
          <w:szCs w:val="28"/>
        </w:rPr>
        <w:t xml:space="preserve"> наблюдается положительная динамика. Данная отрасль набирает обороты и становится более привлекательной для инвесторов. Продолжается консолидация активов в таких сегментах, как телевидение, радиовещание, печатные СМИ, усиливается роль Интернета, что способствует увеличению числа сделок по покупке активов провайдеров интернет – услуг. Также нарастает значимость сегмента программного обеспечения, в данном сегменте заключена пятая часть от общего числа сделок в этой отрасли. </w:t>
      </w:r>
    </w:p>
    <w:p w:rsidR="002A2DE3" w:rsidRDefault="002A2DE3" w:rsidP="002A2DE3">
      <w:pPr>
        <w:keepNext/>
        <w:spacing w:after="0" w:line="360" w:lineRule="auto"/>
        <w:ind w:firstLine="709"/>
        <w:jc w:val="both"/>
        <w:rPr>
          <w:rFonts w:ascii="Times New Roman" w:hAnsi="Times New Roman"/>
          <w:sz w:val="28"/>
          <w:szCs w:val="28"/>
        </w:rPr>
      </w:pPr>
      <w:r>
        <w:rPr>
          <w:rFonts w:ascii="Times New Roman" w:hAnsi="Times New Roman"/>
          <w:sz w:val="28"/>
          <w:szCs w:val="28"/>
        </w:rPr>
        <w:t>Между тем в секторе финансовых услуг, н</w:t>
      </w:r>
      <w:r w:rsidRPr="00CB623A">
        <w:rPr>
          <w:rFonts w:ascii="Times New Roman" w:hAnsi="Times New Roman"/>
          <w:sz w:val="28"/>
          <w:szCs w:val="28"/>
        </w:rPr>
        <w:t>есмотря на общее снижение в</w:t>
      </w:r>
      <w:r>
        <w:rPr>
          <w:rFonts w:ascii="Times New Roman" w:hAnsi="Times New Roman"/>
          <w:sz w:val="28"/>
          <w:szCs w:val="28"/>
        </w:rPr>
        <w:t xml:space="preserve"> 2012 году количества сделок</w:t>
      </w:r>
      <w:r w:rsidRPr="00CB623A">
        <w:rPr>
          <w:rFonts w:ascii="Times New Roman" w:hAnsi="Times New Roman"/>
          <w:sz w:val="28"/>
          <w:szCs w:val="28"/>
        </w:rPr>
        <w:t>, их стоимость</w:t>
      </w:r>
      <w:r w:rsidR="00D93F59">
        <w:rPr>
          <w:rFonts w:ascii="Times New Roman" w:hAnsi="Times New Roman"/>
          <w:sz w:val="28"/>
          <w:szCs w:val="28"/>
        </w:rPr>
        <w:t xml:space="preserve"> </w:t>
      </w:r>
      <w:r w:rsidRPr="00CB623A">
        <w:rPr>
          <w:rFonts w:ascii="Times New Roman" w:hAnsi="Times New Roman"/>
          <w:sz w:val="28"/>
          <w:szCs w:val="28"/>
        </w:rPr>
        <w:t>возро</w:t>
      </w:r>
      <w:r>
        <w:rPr>
          <w:rFonts w:ascii="Times New Roman" w:hAnsi="Times New Roman"/>
          <w:sz w:val="28"/>
          <w:szCs w:val="28"/>
        </w:rPr>
        <w:t>сла до 15,6 млрд. долл</w:t>
      </w:r>
      <w:proofErr w:type="gramStart"/>
      <w:r>
        <w:rPr>
          <w:rFonts w:ascii="Times New Roman" w:hAnsi="Times New Roman"/>
          <w:sz w:val="28"/>
          <w:szCs w:val="28"/>
        </w:rPr>
        <w:t xml:space="preserve">.. </w:t>
      </w:r>
      <w:proofErr w:type="gramEnd"/>
      <w:r>
        <w:rPr>
          <w:rFonts w:ascii="Times New Roman" w:hAnsi="Times New Roman"/>
          <w:sz w:val="28"/>
          <w:szCs w:val="28"/>
        </w:rPr>
        <w:t>Наи</w:t>
      </w:r>
      <w:r w:rsidRPr="00CB623A">
        <w:rPr>
          <w:rFonts w:ascii="Times New Roman" w:hAnsi="Times New Roman"/>
          <w:sz w:val="28"/>
          <w:szCs w:val="28"/>
        </w:rPr>
        <w:t>более крупными стали тр</w:t>
      </w:r>
      <w:r>
        <w:rPr>
          <w:rFonts w:ascii="Times New Roman" w:hAnsi="Times New Roman"/>
          <w:sz w:val="28"/>
          <w:szCs w:val="28"/>
        </w:rPr>
        <w:t xml:space="preserve">и сделки, </w:t>
      </w:r>
      <w:r w:rsidRPr="00CB623A">
        <w:rPr>
          <w:rFonts w:ascii="Times New Roman" w:hAnsi="Times New Roman"/>
          <w:sz w:val="28"/>
          <w:szCs w:val="28"/>
        </w:rPr>
        <w:t>две</w:t>
      </w:r>
      <w:r>
        <w:rPr>
          <w:rFonts w:ascii="Times New Roman" w:hAnsi="Times New Roman"/>
          <w:sz w:val="28"/>
          <w:szCs w:val="28"/>
        </w:rPr>
        <w:t xml:space="preserve"> из которых</w:t>
      </w:r>
      <w:r w:rsidRPr="00CB623A">
        <w:rPr>
          <w:rFonts w:ascii="Times New Roman" w:hAnsi="Times New Roman"/>
          <w:sz w:val="28"/>
          <w:szCs w:val="28"/>
        </w:rPr>
        <w:t xml:space="preserve"> трансграничные.</w:t>
      </w:r>
      <w:r>
        <w:rPr>
          <w:rFonts w:ascii="Times New Roman" w:hAnsi="Times New Roman"/>
          <w:sz w:val="28"/>
          <w:szCs w:val="28"/>
        </w:rPr>
        <w:t xml:space="preserve"> Крупнейшим игроком в данном секторе стал Сбербанк России благодаря вторичному размещению акций и выходу на рынок Турции после приобретения «</w:t>
      </w:r>
      <w:proofErr w:type="spellStart"/>
      <w:r>
        <w:rPr>
          <w:rFonts w:ascii="Times New Roman" w:hAnsi="Times New Roman"/>
          <w:sz w:val="28"/>
          <w:szCs w:val="28"/>
          <w:lang w:val="en-US"/>
        </w:rPr>
        <w:t>Denizbank</w:t>
      </w:r>
      <w:proofErr w:type="spellEnd"/>
      <w:r w:rsidR="00D93F59">
        <w:rPr>
          <w:rFonts w:ascii="Times New Roman" w:hAnsi="Times New Roman"/>
          <w:sz w:val="28"/>
          <w:szCs w:val="28"/>
        </w:rPr>
        <w:t xml:space="preserve"> </w:t>
      </w:r>
      <w:r>
        <w:rPr>
          <w:rFonts w:ascii="Times New Roman" w:hAnsi="Times New Roman"/>
          <w:sz w:val="28"/>
          <w:szCs w:val="28"/>
          <w:lang w:val="en-US"/>
        </w:rPr>
        <w:t>AS</w:t>
      </w:r>
      <w:r>
        <w:rPr>
          <w:rFonts w:ascii="Times New Roman" w:hAnsi="Times New Roman"/>
          <w:sz w:val="28"/>
          <w:szCs w:val="28"/>
        </w:rPr>
        <w:t>». Нельзя не отметить удачное следование своей стратегии развития – увеличение доли рынка акционерного общества</w:t>
      </w:r>
      <w:r w:rsidRPr="002E5F8C">
        <w:rPr>
          <w:rFonts w:ascii="Times New Roman" w:hAnsi="Times New Roman"/>
          <w:sz w:val="28"/>
          <w:szCs w:val="28"/>
        </w:rPr>
        <w:t xml:space="preserve"> «Банк</w:t>
      </w:r>
      <w:r>
        <w:rPr>
          <w:rFonts w:ascii="Times New Roman" w:hAnsi="Times New Roman"/>
          <w:sz w:val="28"/>
          <w:szCs w:val="28"/>
        </w:rPr>
        <w:t xml:space="preserve"> ВТБ». В 2012 г.</w:t>
      </w:r>
      <w:r w:rsidRPr="002E5F8C">
        <w:rPr>
          <w:rFonts w:ascii="Times New Roman" w:hAnsi="Times New Roman"/>
          <w:sz w:val="28"/>
          <w:szCs w:val="28"/>
        </w:rPr>
        <w:t xml:space="preserve"> банк</w:t>
      </w:r>
      <w:r>
        <w:rPr>
          <w:rFonts w:ascii="Times New Roman" w:hAnsi="Times New Roman"/>
          <w:sz w:val="28"/>
          <w:szCs w:val="28"/>
        </w:rPr>
        <w:t>у</w:t>
      </w:r>
      <w:r w:rsidRPr="002E5F8C">
        <w:rPr>
          <w:rFonts w:ascii="Times New Roman" w:hAnsi="Times New Roman"/>
          <w:sz w:val="28"/>
          <w:szCs w:val="28"/>
        </w:rPr>
        <w:t xml:space="preserve"> с госуда</w:t>
      </w:r>
      <w:r>
        <w:rPr>
          <w:rFonts w:ascii="Times New Roman" w:hAnsi="Times New Roman"/>
          <w:sz w:val="28"/>
          <w:szCs w:val="28"/>
        </w:rPr>
        <w:t>рственным участием, удалось увеличить при</w:t>
      </w:r>
      <w:r w:rsidRPr="002E5F8C">
        <w:rPr>
          <w:rFonts w:ascii="Times New Roman" w:hAnsi="Times New Roman"/>
          <w:sz w:val="28"/>
          <w:szCs w:val="28"/>
        </w:rPr>
        <w:t>надлежащий ему пакет акций</w:t>
      </w:r>
      <w:r w:rsidR="00D93F59">
        <w:rPr>
          <w:rFonts w:ascii="Times New Roman" w:hAnsi="Times New Roman"/>
          <w:sz w:val="28"/>
          <w:szCs w:val="28"/>
        </w:rPr>
        <w:t xml:space="preserve"> </w:t>
      </w:r>
      <w:r w:rsidRPr="002E5F8C">
        <w:rPr>
          <w:rFonts w:ascii="Times New Roman" w:hAnsi="Times New Roman"/>
          <w:sz w:val="28"/>
          <w:szCs w:val="28"/>
        </w:rPr>
        <w:t>ОАО «</w:t>
      </w:r>
      <w:proofErr w:type="spellStart"/>
      <w:r w:rsidRPr="002E5F8C">
        <w:rPr>
          <w:rFonts w:ascii="Times New Roman" w:hAnsi="Times New Roman"/>
          <w:sz w:val="28"/>
          <w:szCs w:val="28"/>
        </w:rPr>
        <w:t>ТрансКредитБанк</w:t>
      </w:r>
      <w:proofErr w:type="spellEnd"/>
      <w:r w:rsidRPr="002E5F8C">
        <w:rPr>
          <w:rFonts w:ascii="Times New Roman" w:hAnsi="Times New Roman"/>
          <w:sz w:val="28"/>
          <w:szCs w:val="28"/>
        </w:rPr>
        <w:t>» до 99,6%</w:t>
      </w:r>
      <w:r>
        <w:rPr>
          <w:rFonts w:ascii="Times New Roman" w:hAnsi="Times New Roman"/>
          <w:sz w:val="28"/>
          <w:szCs w:val="28"/>
        </w:rPr>
        <w:t xml:space="preserve">. Это стало результатом </w:t>
      </w:r>
      <w:r w:rsidRPr="002E5F8C">
        <w:rPr>
          <w:rFonts w:ascii="Times New Roman" w:hAnsi="Times New Roman"/>
          <w:sz w:val="28"/>
          <w:szCs w:val="28"/>
        </w:rPr>
        <w:t>двух</w:t>
      </w:r>
      <w:r w:rsidR="00D93F59">
        <w:rPr>
          <w:rFonts w:ascii="Times New Roman" w:hAnsi="Times New Roman"/>
          <w:sz w:val="28"/>
          <w:szCs w:val="28"/>
        </w:rPr>
        <w:t xml:space="preserve"> </w:t>
      </w:r>
      <w:r w:rsidRPr="002E5F8C">
        <w:rPr>
          <w:rFonts w:ascii="Times New Roman" w:hAnsi="Times New Roman"/>
          <w:sz w:val="28"/>
          <w:szCs w:val="28"/>
        </w:rPr>
        <w:t xml:space="preserve">независимых </w:t>
      </w:r>
      <w:r w:rsidRPr="002E5F8C">
        <w:rPr>
          <w:rFonts w:ascii="Times New Roman" w:hAnsi="Times New Roman"/>
          <w:sz w:val="28"/>
          <w:szCs w:val="28"/>
        </w:rPr>
        <w:lastRenderedPageBreak/>
        <w:t>сделок: покупка 21,8% акций у</w:t>
      </w:r>
      <w:r w:rsidR="00D93F59">
        <w:rPr>
          <w:rFonts w:ascii="Times New Roman" w:hAnsi="Times New Roman"/>
          <w:sz w:val="28"/>
          <w:szCs w:val="28"/>
        </w:rPr>
        <w:t xml:space="preserve"> </w:t>
      </w:r>
      <w:r w:rsidRPr="002E5F8C">
        <w:rPr>
          <w:rFonts w:ascii="Times New Roman" w:hAnsi="Times New Roman"/>
          <w:sz w:val="28"/>
          <w:szCs w:val="28"/>
        </w:rPr>
        <w:t>ОАО «РЖД» за 641 млн</w:t>
      </w:r>
      <w:r>
        <w:rPr>
          <w:rFonts w:ascii="Times New Roman" w:hAnsi="Times New Roman"/>
          <w:sz w:val="28"/>
          <w:szCs w:val="28"/>
        </w:rPr>
        <w:t>. долл. и приобретение</w:t>
      </w:r>
      <w:r w:rsidRPr="002E5F8C">
        <w:rPr>
          <w:rFonts w:ascii="Times New Roman" w:hAnsi="Times New Roman"/>
          <w:sz w:val="28"/>
          <w:szCs w:val="28"/>
        </w:rPr>
        <w:t xml:space="preserve"> дополнительно выпущенных</w:t>
      </w:r>
      <w:r w:rsidR="00D93F59">
        <w:rPr>
          <w:rFonts w:ascii="Times New Roman" w:hAnsi="Times New Roman"/>
          <w:sz w:val="28"/>
          <w:szCs w:val="28"/>
        </w:rPr>
        <w:t xml:space="preserve"> </w:t>
      </w:r>
      <w:r w:rsidRPr="002E5F8C">
        <w:rPr>
          <w:rFonts w:ascii="Times New Roman" w:hAnsi="Times New Roman"/>
          <w:sz w:val="28"/>
          <w:szCs w:val="28"/>
        </w:rPr>
        <w:t>ОАО «</w:t>
      </w:r>
      <w:proofErr w:type="spellStart"/>
      <w:r w:rsidRPr="002E5F8C">
        <w:rPr>
          <w:rFonts w:ascii="Times New Roman" w:hAnsi="Times New Roman"/>
          <w:sz w:val="28"/>
          <w:szCs w:val="28"/>
        </w:rPr>
        <w:t>Т</w:t>
      </w:r>
      <w:r>
        <w:rPr>
          <w:rFonts w:ascii="Times New Roman" w:hAnsi="Times New Roman"/>
          <w:sz w:val="28"/>
          <w:szCs w:val="28"/>
        </w:rPr>
        <w:t>рансКредитБанк</w:t>
      </w:r>
      <w:proofErr w:type="spellEnd"/>
      <w:r>
        <w:rPr>
          <w:rFonts w:ascii="Times New Roman" w:hAnsi="Times New Roman"/>
          <w:sz w:val="28"/>
          <w:szCs w:val="28"/>
        </w:rPr>
        <w:t>» акций, составля</w:t>
      </w:r>
      <w:r w:rsidRPr="002E5F8C">
        <w:rPr>
          <w:rFonts w:ascii="Times New Roman" w:hAnsi="Times New Roman"/>
          <w:sz w:val="28"/>
          <w:szCs w:val="28"/>
        </w:rPr>
        <w:t>ющих 3,25% его капитала, за 250 млн</w:t>
      </w:r>
      <w:r>
        <w:rPr>
          <w:rFonts w:ascii="Times New Roman" w:hAnsi="Times New Roman"/>
          <w:sz w:val="28"/>
          <w:szCs w:val="28"/>
        </w:rPr>
        <w:t>. долл</w:t>
      </w:r>
      <w:proofErr w:type="gramStart"/>
      <w:r>
        <w:rPr>
          <w:rFonts w:ascii="Times New Roman" w:hAnsi="Times New Roman"/>
          <w:sz w:val="28"/>
          <w:szCs w:val="28"/>
        </w:rPr>
        <w:t>..</w:t>
      </w:r>
      <w:r>
        <w:rPr>
          <w:rStyle w:val="a5"/>
          <w:rFonts w:ascii="Times New Roman" w:hAnsi="Times New Roman"/>
          <w:sz w:val="28"/>
          <w:szCs w:val="28"/>
        </w:rPr>
        <w:footnoteReference w:id="16"/>
      </w:r>
      <w:proofErr w:type="gramEnd"/>
    </w:p>
    <w:p w:rsidR="002A2DE3" w:rsidRDefault="002A2DE3" w:rsidP="002A2DE3">
      <w:pPr>
        <w:keepNext/>
        <w:spacing w:after="0" w:line="360" w:lineRule="auto"/>
        <w:ind w:firstLine="709"/>
        <w:jc w:val="both"/>
        <w:rPr>
          <w:rFonts w:ascii="Times New Roman" w:hAnsi="Times New Roman"/>
          <w:sz w:val="28"/>
          <w:szCs w:val="28"/>
        </w:rPr>
      </w:pPr>
      <w:r w:rsidRPr="007C2309">
        <w:rPr>
          <w:rFonts w:ascii="Times New Roman" w:hAnsi="Times New Roman"/>
          <w:sz w:val="28"/>
          <w:szCs w:val="28"/>
        </w:rPr>
        <w:t>В отраслях, не связанных с энергетикой и природными ресурсами, только в секторе недвижимости и строительства в 2012 г. наблюдалось снижение общей суммы сделок, хотя их количество осталось неизменным.</w:t>
      </w:r>
    </w:p>
    <w:p w:rsidR="002A2DE3" w:rsidRPr="00BA6C7D" w:rsidRDefault="002A2DE3" w:rsidP="002A2DE3">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 В сводной таблице, предоставленной рейтинговым агентством </w:t>
      </w:r>
      <w:r>
        <w:rPr>
          <w:rFonts w:ascii="Times New Roman" w:hAnsi="Times New Roman"/>
          <w:sz w:val="28"/>
          <w:szCs w:val="28"/>
          <w:lang w:val="en-US"/>
        </w:rPr>
        <w:t>AK</w:t>
      </w:r>
      <w:r w:rsidRPr="007C2309">
        <w:rPr>
          <w:rFonts w:ascii="Times New Roman" w:hAnsi="Times New Roman"/>
          <w:sz w:val="28"/>
          <w:szCs w:val="28"/>
        </w:rPr>
        <w:t>&amp;</w:t>
      </w:r>
      <w:r>
        <w:rPr>
          <w:rFonts w:ascii="Times New Roman" w:hAnsi="Times New Roman"/>
          <w:sz w:val="28"/>
          <w:szCs w:val="28"/>
          <w:lang w:val="en-US"/>
        </w:rPr>
        <w:t>M</w:t>
      </w:r>
      <w:r>
        <w:rPr>
          <w:rFonts w:ascii="Times New Roman" w:hAnsi="Times New Roman"/>
          <w:sz w:val="28"/>
          <w:szCs w:val="28"/>
        </w:rPr>
        <w:t>,представлено десять крупнейших сделок за 2012 год. Следует отметить</w:t>
      </w:r>
      <w:r w:rsidRPr="00BA6C7D">
        <w:rPr>
          <w:rFonts w:ascii="Times New Roman" w:hAnsi="Times New Roman"/>
          <w:sz w:val="28"/>
          <w:szCs w:val="28"/>
        </w:rPr>
        <w:t xml:space="preserve"> большую роль госкомпаний. Несмотря на то, что больше года назад,</w:t>
      </w:r>
      <w:r>
        <w:rPr>
          <w:rFonts w:ascii="Times New Roman" w:hAnsi="Times New Roman"/>
          <w:sz w:val="28"/>
          <w:szCs w:val="28"/>
        </w:rPr>
        <w:t xml:space="preserve"> правительством</w:t>
      </w:r>
      <w:r w:rsidR="00D93F59">
        <w:rPr>
          <w:rFonts w:ascii="Times New Roman" w:hAnsi="Times New Roman"/>
          <w:sz w:val="28"/>
          <w:szCs w:val="28"/>
        </w:rPr>
        <w:t xml:space="preserve"> </w:t>
      </w:r>
      <w:r>
        <w:rPr>
          <w:rFonts w:ascii="Times New Roman" w:hAnsi="Times New Roman"/>
          <w:sz w:val="28"/>
          <w:szCs w:val="28"/>
        </w:rPr>
        <w:t>должны были быть подготовлены предложения, которы</w:t>
      </w:r>
      <w:r w:rsidRPr="00BA6C7D">
        <w:rPr>
          <w:rFonts w:ascii="Times New Roman" w:hAnsi="Times New Roman"/>
          <w:sz w:val="28"/>
          <w:szCs w:val="28"/>
        </w:rPr>
        <w:t>е ограничили бы активность госкомпаний в сфере слияний и поглощений,</w:t>
      </w:r>
      <w:r>
        <w:rPr>
          <w:rFonts w:ascii="Times New Roman" w:hAnsi="Times New Roman"/>
          <w:sz w:val="28"/>
          <w:szCs w:val="28"/>
        </w:rPr>
        <w:t xml:space="preserve"> однако</w:t>
      </w:r>
      <w:r w:rsidRPr="00BA6C7D">
        <w:rPr>
          <w:rFonts w:ascii="Times New Roman" w:hAnsi="Times New Roman"/>
          <w:sz w:val="28"/>
          <w:szCs w:val="28"/>
        </w:rPr>
        <w:t xml:space="preserve"> на примере крупнейших сделок, — таких ограничений не видно.</w:t>
      </w:r>
    </w:p>
    <w:p w:rsidR="002A2DE3" w:rsidRPr="00BA6C7D" w:rsidRDefault="002A2DE3" w:rsidP="002A2DE3">
      <w:pPr>
        <w:keepNext/>
        <w:spacing w:after="0" w:line="360" w:lineRule="auto"/>
        <w:ind w:firstLine="709"/>
        <w:jc w:val="both"/>
        <w:rPr>
          <w:rFonts w:ascii="Times New Roman" w:hAnsi="Times New Roman"/>
          <w:sz w:val="28"/>
          <w:szCs w:val="28"/>
        </w:rPr>
      </w:pPr>
      <w:r w:rsidRPr="00BA6C7D">
        <w:rPr>
          <w:rFonts w:ascii="Times New Roman" w:hAnsi="Times New Roman"/>
          <w:sz w:val="28"/>
          <w:szCs w:val="28"/>
        </w:rPr>
        <w:t>Как и в прошлом году, в рейтинг</w:t>
      </w:r>
      <w:r>
        <w:rPr>
          <w:rFonts w:ascii="Times New Roman" w:hAnsi="Times New Roman"/>
          <w:sz w:val="28"/>
          <w:szCs w:val="28"/>
        </w:rPr>
        <w:t xml:space="preserve"> тридцати крупнейших сделок 2012 года вошло 11 сделок с участием </w:t>
      </w:r>
      <w:r w:rsidRPr="00BA6C7D">
        <w:rPr>
          <w:rFonts w:ascii="Times New Roman" w:hAnsi="Times New Roman"/>
          <w:sz w:val="28"/>
          <w:szCs w:val="28"/>
        </w:rPr>
        <w:t>госуд</w:t>
      </w:r>
      <w:r>
        <w:rPr>
          <w:rFonts w:ascii="Times New Roman" w:hAnsi="Times New Roman"/>
          <w:sz w:val="28"/>
          <w:szCs w:val="28"/>
        </w:rPr>
        <w:t xml:space="preserve">арства или госкомпании </w:t>
      </w:r>
      <w:r w:rsidRPr="00BA6C7D">
        <w:rPr>
          <w:rFonts w:ascii="Times New Roman" w:hAnsi="Times New Roman"/>
          <w:sz w:val="28"/>
          <w:szCs w:val="28"/>
        </w:rPr>
        <w:t>в качестве покуп</w:t>
      </w:r>
      <w:r>
        <w:rPr>
          <w:rFonts w:ascii="Times New Roman" w:hAnsi="Times New Roman"/>
          <w:sz w:val="28"/>
          <w:szCs w:val="28"/>
        </w:rPr>
        <w:t xml:space="preserve">ателей. Общий объем </w:t>
      </w:r>
      <w:r w:rsidRPr="00BA6C7D">
        <w:rPr>
          <w:rFonts w:ascii="Times New Roman" w:hAnsi="Times New Roman"/>
          <w:sz w:val="28"/>
          <w:szCs w:val="28"/>
        </w:rPr>
        <w:t>снизился — на 22%,</w:t>
      </w:r>
      <w:r>
        <w:rPr>
          <w:rFonts w:ascii="Times New Roman" w:hAnsi="Times New Roman"/>
          <w:sz w:val="28"/>
          <w:szCs w:val="28"/>
        </w:rPr>
        <w:t xml:space="preserve"> в стоимостном выражении</w:t>
      </w:r>
      <w:r w:rsidRPr="00BA6C7D">
        <w:rPr>
          <w:rFonts w:ascii="Times New Roman" w:hAnsi="Times New Roman"/>
          <w:sz w:val="28"/>
          <w:szCs w:val="28"/>
        </w:rPr>
        <w:t xml:space="preserve"> до 12,68 млрд</w:t>
      </w:r>
      <w:r>
        <w:rPr>
          <w:rFonts w:ascii="Times New Roman" w:hAnsi="Times New Roman"/>
          <w:sz w:val="28"/>
          <w:szCs w:val="28"/>
        </w:rPr>
        <w:t>.</w:t>
      </w:r>
      <w:r w:rsidRPr="00BA6C7D">
        <w:rPr>
          <w:rFonts w:ascii="Times New Roman" w:hAnsi="Times New Roman"/>
          <w:sz w:val="28"/>
          <w:szCs w:val="28"/>
        </w:rPr>
        <w:t xml:space="preserve"> долл. против 16,27 млрд</w:t>
      </w:r>
      <w:r>
        <w:rPr>
          <w:rFonts w:ascii="Times New Roman" w:hAnsi="Times New Roman"/>
          <w:sz w:val="28"/>
          <w:szCs w:val="28"/>
        </w:rPr>
        <w:t>.</w:t>
      </w:r>
      <w:r w:rsidRPr="00BA6C7D">
        <w:rPr>
          <w:rFonts w:ascii="Times New Roman" w:hAnsi="Times New Roman"/>
          <w:sz w:val="28"/>
          <w:szCs w:val="28"/>
        </w:rPr>
        <w:t xml:space="preserve"> долл. в прошлом году</w:t>
      </w:r>
      <w:r>
        <w:rPr>
          <w:rFonts w:ascii="Times New Roman" w:hAnsi="Times New Roman"/>
          <w:sz w:val="28"/>
          <w:szCs w:val="28"/>
        </w:rPr>
        <w:t xml:space="preserve">. Наиболее активной компанией - </w:t>
      </w:r>
      <w:r w:rsidRPr="00BA6C7D">
        <w:rPr>
          <w:rFonts w:ascii="Times New Roman" w:hAnsi="Times New Roman"/>
          <w:sz w:val="28"/>
          <w:szCs w:val="28"/>
        </w:rPr>
        <w:t xml:space="preserve">покупателем в рейтинге из числа </w:t>
      </w:r>
      <w:r>
        <w:rPr>
          <w:rFonts w:ascii="Times New Roman" w:hAnsi="Times New Roman"/>
          <w:sz w:val="28"/>
          <w:szCs w:val="28"/>
        </w:rPr>
        <w:t>госкомпаний стал</w:t>
      </w:r>
      <w:r w:rsidRPr="00BA6C7D">
        <w:rPr>
          <w:rFonts w:ascii="Times New Roman" w:hAnsi="Times New Roman"/>
          <w:sz w:val="28"/>
          <w:szCs w:val="28"/>
        </w:rPr>
        <w:t xml:space="preserve"> Сбербанк, совершивший 3 сделки на 4,96 млрд</w:t>
      </w:r>
      <w:r>
        <w:rPr>
          <w:rFonts w:ascii="Times New Roman" w:hAnsi="Times New Roman"/>
          <w:sz w:val="28"/>
          <w:szCs w:val="28"/>
        </w:rPr>
        <w:t>.</w:t>
      </w:r>
      <w:r w:rsidRPr="00BA6C7D">
        <w:rPr>
          <w:rFonts w:ascii="Times New Roman" w:hAnsi="Times New Roman"/>
          <w:sz w:val="28"/>
          <w:szCs w:val="28"/>
        </w:rPr>
        <w:t xml:space="preserve"> долл.</w:t>
      </w:r>
    </w:p>
    <w:p w:rsidR="002A2DE3" w:rsidRPr="00D44246" w:rsidRDefault="002A2DE3" w:rsidP="002A2DE3">
      <w:pPr>
        <w:spacing w:after="0" w:line="360" w:lineRule="auto"/>
        <w:ind w:firstLine="709"/>
        <w:jc w:val="right"/>
        <w:rPr>
          <w:rFonts w:ascii="Times New Roman" w:hAnsi="Times New Roman"/>
          <w:sz w:val="28"/>
          <w:szCs w:val="28"/>
          <w:lang w:eastAsia="ru-RU"/>
        </w:rPr>
      </w:pPr>
      <w:r>
        <w:rPr>
          <w:rFonts w:ascii="Times New Roman" w:hAnsi="Times New Roman"/>
          <w:sz w:val="28"/>
          <w:szCs w:val="28"/>
          <w:lang w:eastAsia="ru-RU"/>
        </w:rPr>
        <w:t>Таблица 2</w:t>
      </w:r>
    </w:p>
    <w:p w:rsidR="002A2DE3" w:rsidRPr="00F55C58" w:rsidRDefault="002A2DE3" w:rsidP="002A2DE3">
      <w:pPr>
        <w:spacing w:after="0" w:line="360" w:lineRule="auto"/>
        <w:ind w:firstLine="709"/>
        <w:jc w:val="right"/>
        <w:rPr>
          <w:rFonts w:ascii="Times New Roman" w:hAnsi="Times New Roman"/>
          <w:sz w:val="28"/>
          <w:szCs w:val="28"/>
          <w:lang w:eastAsia="ru-RU"/>
        </w:rPr>
      </w:pPr>
      <w:r w:rsidRPr="0070783B">
        <w:rPr>
          <w:rFonts w:ascii="Times New Roman" w:hAnsi="Times New Roman"/>
          <w:sz w:val="28"/>
          <w:szCs w:val="28"/>
          <w:lang w:eastAsia="ru-RU"/>
        </w:rPr>
        <w:t xml:space="preserve">10-ка крупнейших сделок в 2012 году на российском рынке </w:t>
      </w:r>
      <w:r w:rsidRPr="0070783B">
        <w:rPr>
          <w:rFonts w:ascii="Times New Roman" w:hAnsi="Times New Roman"/>
          <w:sz w:val="28"/>
          <w:szCs w:val="28"/>
          <w:lang w:val="en-US" w:eastAsia="ru-RU"/>
        </w:rPr>
        <w:t>M</w:t>
      </w:r>
      <w:r w:rsidRPr="0070783B">
        <w:rPr>
          <w:rFonts w:ascii="Times New Roman" w:hAnsi="Times New Roman"/>
          <w:sz w:val="28"/>
          <w:szCs w:val="28"/>
          <w:lang w:eastAsia="ru-RU"/>
        </w:rPr>
        <w:t>&amp;</w:t>
      </w:r>
      <w:r w:rsidRPr="0070783B">
        <w:rPr>
          <w:rFonts w:ascii="Times New Roman" w:hAnsi="Times New Roman"/>
          <w:sz w:val="28"/>
          <w:szCs w:val="28"/>
          <w:lang w:val="en-US" w:eastAsia="ru-RU"/>
        </w:rPr>
        <w:t>A</w:t>
      </w:r>
      <w:r>
        <w:rPr>
          <w:rStyle w:val="a5"/>
          <w:rFonts w:ascii="Times New Roman" w:hAnsi="Times New Roman"/>
          <w:sz w:val="28"/>
          <w:szCs w:val="28"/>
          <w:lang w:val="en-US" w:eastAsia="ru-RU"/>
        </w:rPr>
        <w:footnoteReference w:id="17"/>
      </w:r>
    </w:p>
    <w:tbl>
      <w:tblPr>
        <w:tblW w:w="0" w:type="auto"/>
        <w:tblCellSpacing w:w="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99"/>
        <w:gridCol w:w="1594"/>
        <w:gridCol w:w="2320"/>
        <w:gridCol w:w="2090"/>
        <w:gridCol w:w="2103"/>
        <w:gridCol w:w="1358"/>
      </w:tblGrid>
      <w:tr w:rsidR="002A2DE3" w:rsidRPr="006E5639" w:rsidTr="002A3642">
        <w:trPr>
          <w:tblCellSpacing w:w="0" w:type="dxa"/>
        </w:trPr>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w:t>
            </w:r>
          </w:p>
        </w:tc>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ind w:left="-115"/>
              <w:jc w:val="center"/>
              <w:rPr>
                <w:rFonts w:ascii="Times New Roman" w:hAnsi="Times New Roman"/>
                <w:sz w:val="24"/>
                <w:szCs w:val="24"/>
                <w:lang w:eastAsia="ru-RU"/>
              </w:rPr>
            </w:pPr>
            <w:r w:rsidRPr="006E5639">
              <w:rPr>
                <w:rFonts w:ascii="Times New Roman" w:hAnsi="Times New Roman"/>
                <w:sz w:val="24"/>
                <w:szCs w:val="24"/>
                <w:lang w:eastAsia="ru-RU"/>
              </w:rPr>
              <w:t>Отрасль</w:t>
            </w:r>
          </w:p>
        </w:tc>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Актив</w:t>
            </w:r>
          </w:p>
        </w:tc>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Продавец</w:t>
            </w:r>
          </w:p>
        </w:tc>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Покупатель</w:t>
            </w:r>
          </w:p>
        </w:tc>
        <w:tc>
          <w:tcPr>
            <w:tcW w:w="0" w:type="auto"/>
            <w:shd w:val="clear" w:color="auto" w:fill="DADEB9"/>
            <w:tcMar>
              <w:top w:w="75" w:type="dxa"/>
              <w:left w:w="75" w:type="dxa"/>
              <w:bottom w:w="75" w:type="dxa"/>
              <w:right w:w="7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Ст-ть</w:t>
            </w:r>
            <w:proofErr w:type="spellEnd"/>
            <w:r w:rsidRPr="006E5639">
              <w:rPr>
                <w:rFonts w:ascii="Times New Roman" w:hAnsi="Times New Roman"/>
                <w:sz w:val="24"/>
                <w:szCs w:val="24"/>
                <w:lang w:eastAsia="ru-RU"/>
              </w:rPr>
              <w:t xml:space="preserve"> (</w:t>
            </w:r>
            <w:proofErr w:type="spellStart"/>
            <w:r w:rsidRPr="006E5639">
              <w:rPr>
                <w:rFonts w:ascii="Times New Roman" w:hAnsi="Times New Roman"/>
                <w:sz w:val="24"/>
                <w:szCs w:val="24"/>
                <w:lang w:eastAsia="ru-RU"/>
              </w:rPr>
              <w:t>млн</w:t>
            </w:r>
            <w:proofErr w:type="gramStart"/>
            <w:r w:rsidRPr="006E5639">
              <w:rPr>
                <w:rFonts w:ascii="Times New Roman" w:hAnsi="Times New Roman"/>
                <w:sz w:val="24"/>
                <w:szCs w:val="24"/>
                <w:lang w:eastAsia="ru-RU"/>
              </w:rPr>
              <w:t>.д</w:t>
            </w:r>
            <w:proofErr w:type="gramEnd"/>
            <w:r w:rsidRPr="006E5639">
              <w:rPr>
                <w:rFonts w:ascii="Times New Roman" w:hAnsi="Times New Roman"/>
                <w:sz w:val="24"/>
                <w:szCs w:val="24"/>
                <w:lang w:eastAsia="ru-RU"/>
              </w:rPr>
              <w:t>олл</w:t>
            </w:r>
            <w:proofErr w:type="spellEnd"/>
            <w:r w:rsidRPr="006E5639">
              <w:rPr>
                <w:rFonts w:ascii="Times New Roman" w:hAnsi="Times New Roman"/>
                <w:sz w:val="24"/>
                <w:szCs w:val="24"/>
                <w:lang w:eastAsia="ru-RU"/>
              </w:rPr>
              <w:t>)</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Финансовые институты</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Denizbank</w:t>
            </w:r>
            <w:proofErr w:type="spellEnd"/>
            <w:r w:rsidRPr="006E5639">
              <w:rPr>
                <w:rFonts w:ascii="Times New Roman" w:hAnsi="Times New Roman"/>
                <w:sz w:val="24"/>
                <w:szCs w:val="24"/>
                <w:lang w:eastAsia="ru-RU"/>
              </w:rPr>
              <w:t xml:space="preserve"> AS</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Dexia</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Сбербанк</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3 827.5</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2</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Связь</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w:t>
            </w:r>
            <w:proofErr w:type="spellStart"/>
            <w:r w:rsidRPr="006E5639">
              <w:rPr>
                <w:rFonts w:ascii="Times New Roman" w:hAnsi="Times New Roman"/>
                <w:sz w:val="24"/>
                <w:szCs w:val="24"/>
                <w:lang w:eastAsia="ru-RU"/>
              </w:rPr>
              <w:t>МегаФон</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Altimo</w:t>
            </w:r>
            <w:proofErr w:type="spellEnd"/>
            <w:r w:rsidRPr="006E5639">
              <w:rPr>
                <w:rFonts w:ascii="Times New Roman" w:hAnsi="Times New Roman"/>
                <w:sz w:val="24"/>
                <w:szCs w:val="24"/>
                <w:lang w:eastAsia="ru-RU"/>
              </w:rPr>
              <w:t xml:space="preserve">, </w:t>
            </w:r>
            <w:proofErr w:type="spellStart"/>
            <w:r w:rsidRPr="006E5639">
              <w:rPr>
                <w:rFonts w:ascii="Times New Roman" w:hAnsi="Times New Roman"/>
                <w:sz w:val="24"/>
                <w:szCs w:val="24"/>
                <w:lang w:eastAsia="ru-RU"/>
              </w:rPr>
              <w:t>TeliaSonera</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"АФ Телеком"</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2 640.0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3</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Транспорт</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"Аэропорт "Внуково"</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 xml:space="preserve">Правительство </w:t>
            </w:r>
            <w:proofErr w:type="gramStart"/>
            <w:r w:rsidRPr="006E5639">
              <w:rPr>
                <w:rFonts w:ascii="Times New Roman" w:hAnsi="Times New Roman"/>
                <w:sz w:val="24"/>
                <w:szCs w:val="24"/>
                <w:lang w:eastAsia="ru-RU"/>
              </w:rPr>
              <w:t>г</w:t>
            </w:r>
            <w:proofErr w:type="gramEnd"/>
            <w:r w:rsidRPr="006E5639">
              <w:rPr>
                <w:rFonts w:ascii="Times New Roman" w:hAnsi="Times New Roman"/>
                <w:sz w:val="24"/>
                <w:szCs w:val="24"/>
                <w:lang w:eastAsia="ru-RU"/>
              </w:rPr>
              <w:t>. Москвы</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Государство</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1 534.4</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4</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Связь</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ООО "</w:t>
            </w:r>
            <w:proofErr w:type="spellStart"/>
            <w:r w:rsidRPr="006E5639">
              <w:rPr>
                <w:rFonts w:ascii="Times New Roman" w:hAnsi="Times New Roman"/>
                <w:sz w:val="24"/>
                <w:szCs w:val="24"/>
                <w:lang w:eastAsia="ru-RU"/>
              </w:rPr>
              <w:t>Скартел</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 xml:space="preserve">Сергей </w:t>
            </w:r>
            <w:proofErr w:type="spellStart"/>
            <w:r w:rsidRPr="006E5639">
              <w:rPr>
                <w:rFonts w:ascii="Times New Roman" w:hAnsi="Times New Roman"/>
                <w:sz w:val="24"/>
                <w:szCs w:val="24"/>
                <w:lang w:eastAsia="ru-RU"/>
              </w:rPr>
              <w:t>Адоньев</w:t>
            </w:r>
            <w:proofErr w:type="spellEnd"/>
            <w:r w:rsidRPr="006E5639">
              <w:rPr>
                <w:rFonts w:ascii="Times New Roman" w:hAnsi="Times New Roman"/>
                <w:sz w:val="24"/>
                <w:szCs w:val="24"/>
                <w:lang w:eastAsia="ru-RU"/>
              </w:rPr>
              <w:t>, "</w:t>
            </w:r>
            <w:proofErr w:type="spellStart"/>
            <w:r w:rsidRPr="006E5639">
              <w:rPr>
                <w:rFonts w:ascii="Times New Roman" w:hAnsi="Times New Roman"/>
                <w:sz w:val="24"/>
                <w:szCs w:val="24"/>
                <w:lang w:eastAsia="ru-RU"/>
              </w:rPr>
              <w:t>Ростехнологии</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GarsdaleServices</w:t>
            </w:r>
            <w:proofErr w:type="spellEnd"/>
            <w:r w:rsidRPr="006E5639">
              <w:rPr>
                <w:rFonts w:ascii="Times New Roman" w:hAnsi="Times New Roman"/>
                <w:sz w:val="24"/>
                <w:szCs w:val="24"/>
                <w:lang w:eastAsia="ru-RU"/>
              </w:rPr>
              <w:t xml:space="preserve"> ("</w:t>
            </w:r>
            <w:proofErr w:type="spellStart"/>
            <w:r w:rsidRPr="006E5639">
              <w:rPr>
                <w:rFonts w:ascii="Times New Roman" w:hAnsi="Times New Roman"/>
                <w:sz w:val="24"/>
                <w:szCs w:val="24"/>
                <w:lang w:eastAsia="ru-RU"/>
              </w:rPr>
              <w:t>МегаФон</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1 500.0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lastRenderedPageBreak/>
              <w:t>5</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ТЭК</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val="en-US" w:eastAsia="ru-RU"/>
              </w:rPr>
              <w:t>WIEE, WIEH, WINGAS GmbH</w:t>
            </w:r>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BASF SE</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"Газпром"</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1 500.0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6</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ТЭК</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ООО "НГК "</w:t>
            </w:r>
            <w:proofErr w:type="spellStart"/>
            <w:r w:rsidRPr="006E5639">
              <w:rPr>
                <w:rFonts w:ascii="Times New Roman" w:hAnsi="Times New Roman"/>
                <w:sz w:val="24"/>
                <w:szCs w:val="24"/>
                <w:lang w:eastAsia="ru-RU"/>
              </w:rPr>
              <w:t>Итера</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IteraHoldingsLtd</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"Роснефть"</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1 316.0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7</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 xml:space="preserve">Пищевая </w:t>
            </w:r>
            <w:proofErr w:type="spellStart"/>
            <w:r w:rsidRPr="006E5639">
              <w:rPr>
                <w:rFonts w:ascii="Times New Roman" w:hAnsi="Times New Roman"/>
                <w:sz w:val="24"/>
                <w:szCs w:val="24"/>
                <w:lang w:eastAsia="ru-RU"/>
              </w:rPr>
              <w:t>пром-ть</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ООО «</w:t>
            </w:r>
            <w:proofErr w:type="spellStart"/>
            <w:r w:rsidRPr="006E5639">
              <w:rPr>
                <w:rFonts w:ascii="Times New Roman" w:hAnsi="Times New Roman"/>
                <w:sz w:val="24"/>
                <w:szCs w:val="24"/>
                <w:lang w:eastAsia="ru-RU"/>
              </w:rPr>
              <w:t>САБМиллерРУС</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SABMillerPlc</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AnadoluEfes</w:t>
            </w:r>
            <w:proofErr w:type="spellEnd"/>
            <w:r w:rsidRPr="006E5639">
              <w:rPr>
                <w:rFonts w:ascii="Times New Roman" w:hAnsi="Times New Roman"/>
                <w:sz w:val="24"/>
                <w:szCs w:val="24"/>
                <w:lang w:eastAsia="ru-RU"/>
              </w:rPr>
              <w:t xml:space="preserve"> (Турция)</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1 250.0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8</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 xml:space="preserve">Хим. и </w:t>
            </w:r>
            <w:proofErr w:type="spellStart"/>
            <w:r w:rsidRPr="006E5639">
              <w:rPr>
                <w:rFonts w:ascii="Times New Roman" w:hAnsi="Times New Roman"/>
                <w:sz w:val="24"/>
                <w:szCs w:val="24"/>
                <w:lang w:eastAsia="ru-RU"/>
              </w:rPr>
              <w:t>нефтехим</w:t>
            </w:r>
            <w:proofErr w:type="spellEnd"/>
            <w:r w:rsidRPr="006E5639">
              <w:rPr>
                <w:rFonts w:ascii="Times New Roman" w:hAnsi="Times New Roman"/>
                <w:sz w:val="24"/>
                <w:szCs w:val="24"/>
                <w:lang w:eastAsia="ru-RU"/>
              </w:rPr>
              <w:t xml:space="preserve">. </w:t>
            </w:r>
            <w:proofErr w:type="spellStart"/>
            <w:r w:rsidRPr="006E5639">
              <w:rPr>
                <w:rFonts w:ascii="Times New Roman" w:hAnsi="Times New Roman"/>
                <w:sz w:val="24"/>
                <w:szCs w:val="24"/>
                <w:lang w:eastAsia="ru-RU"/>
              </w:rPr>
              <w:t>пром-ть</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Завод по пр-ву аммиачной селитры</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BASF SE</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w:t>
            </w:r>
            <w:proofErr w:type="spellStart"/>
            <w:r w:rsidRPr="006E5639">
              <w:rPr>
                <w:rFonts w:ascii="Times New Roman" w:hAnsi="Times New Roman"/>
                <w:sz w:val="24"/>
                <w:szCs w:val="24"/>
                <w:lang w:eastAsia="ru-RU"/>
              </w:rPr>
              <w:t>Еврохим</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1 108.5</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9</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Торговля</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Торговый центр «Галерея»</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 xml:space="preserve">Группа </w:t>
            </w:r>
            <w:proofErr w:type="spellStart"/>
            <w:r w:rsidRPr="006E5639">
              <w:rPr>
                <w:rFonts w:ascii="Times New Roman" w:hAnsi="Times New Roman"/>
                <w:sz w:val="24"/>
                <w:szCs w:val="24"/>
                <w:lang w:eastAsia="ru-RU"/>
              </w:rPr>
              <w:t>MeridianCapital</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val="en-US" w:eastAsia="ru-RU"/>
              </w:rPr>
            </w:pPr>
            <w:r w:rsidRPr="006E5639">
              <w:rPr>
                <w:rFonts w:ascii="Times New Roman" w:hAnsi="Times New Roman"/>
                <w:sz w:val="24"/>
                <w:szCs w:val="24"/>
                <w:lang w:val="en-US" w:eastAsia="ru-RU"/>
              </w:rPr>
              <w:t>Morgan Stanley Real Estate Fund (</w:t>
            </w:r>
            <w:r w:rsidRPr="006E5639">
              <w:rPr>
                <w:rFonts w:ascii="Times New Roman" w:hAnsi="Times New Roman"/>
                <w:sz w:val="24"/>
                <w:szCs w:val="24"/>
                <w:lang w:eastAsia="ru-RU"/>
              </w:rPr>
              <w:t>США</w:t>
            </w:r>
            <w:r w:rsidRPr="006E5639">
              <w:rPr>
                <w:rFonts w:ascii="Times New Roman" w:hAnsi="Times New Roman"/>
                <w:sz w:val="24"/>
                <w:szCs w:val="24"/>
                <w:lang w:val="en-US"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1 100.0</w:t>
            </w:r>
          </w:p>
        </w:tc>
      </w:tr>
      <w:tr w:rsidR="002A2DE3" w:rsidRPr="006E5639" w:rsidTr="002A3642">
        <w:trPr>
          <w:tblCellSpacing w:w="0" w:type="dxa"/>
        </w:trPr>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10</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Торговля</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w:t>
            </w:r>
            <w:proofErr w:type="spellStart"/>
            <w:r w:rsidRPr="006E5639">
              <w:rPr>
                <w:rFonts w:ascii="Times New Roman" w:hAnsi="Times New Roman"/>
                <w:sz w:val="24"/>
                <w:szCs w:val="24"/>
                <w:lang w:eastAsia="ru-RU"/>
              </w:rPr>
              <w:t>Евросеть</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proofErr w:type="spellStart"/>
            <w:r w:rsidRPr="006E5639">
              <w:rPr>
                <w:rFonts w:ascii="Times New Roman" w:hAnsi="Times New Roman"/>
                <w:sz w:val="24"/>
                <w:szCs w:val="24"/>
                <w:lang w:eastAsia="ru-RU"/>
              </w:rPr>
              <w:t>AlpazoLimited</w:t>
            </w:r>
            <w:proofErr w:type="spellEnd"/>
            <w:r w:rsidRPr="006E5639">
              <w:rPr>
                <w:rFonts w:ascii="Times New Roman" w:hAnsi="Times New Roman"/>
                <w:sz w:val="24"/>
                <w:szCs w:val="24"/>
                <w:lang w:eastAsia="ru-RU"/>
              </w:rPr>
              <w:t xml:space="preserve"> (Александр </w:t>
            </w:r>
            <w:proofErr w:type="spellStart"/>
            <w:r w:rsidRPr="006E5639">
              <w:rPr>
                <w:rFonts w:ascii="Times New Roman" w:hAnsi="Times New Roman"/>
                <w:sz w:val="24"/>
                <w:szCs w:val="24"/>
                <w:lang w:eastAsia="ru-RU"/>
              </w:rPr>
              <w:t>Мамут</w:t>
            </w:r>
            <w:proofErr w:type="spellEnd"/>
            <w:r w:rsidRPr="006E5639">
              <w:rPr>
                <w:rFonts w:ascii="Times New Roman" w:hAnsi="Times New Roman"/>
                <w:sz w:val="24"/>
                <w:szCs w:val="24"/>
                <w:lang w:eastAsia="ru-RU"/>
              </w:rPr>
              <w:t>)</w:t>
            </w:r>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ОАО "</w:t>
            </w:r>
            <w:proofErr w:type="spellStart"/>
            <w:r w:rsidRPr="006E5639">
              <w:rPr>
                <w:rFonts w:ascii="Times New Roman" w:hAnsi="Times New Roman"/>
                <w:sz w:val="24"/>
                <w:szCs w:val="24"/>
                <w:lang w:eastAsia="ru-RU"/>
              </w:rPr>
              <w:t>МегаФон</w:t>
            </w:r>
            <w:proofErr w:type="spellEnd"/>
            <w:r w:rsidRPr="006E5639">
              <w:rPr>
                <w:rFonts w:ascii="Times New Roman" w:hAnsi="Times New Roman"/>
                <w:sz w:val="24"/>
                <w:szCs w:val="24"/>
                <w:lang w:eastAsia="ru-RU"/>
              </w:rPr>
              <w:t xml:space="preserve">", </w:t>
            </w:r>
            <w:proofErr w:type="spellStart"/>
            <w:r w:rsidRPr="006E5639">
              <w:rPr>
                <w:rFonts w:ascii="Times New Roman" w:hAnsi="Times New Roman"/>
                <w:sz w:val="24"/>
                <w:szCs w:val="24"/>
                <w:lang w:eastAsia="ru-RU"/>
              </w:rPr>
              <w:t>GarsdaleServices</w:t>
            </w:r>
            <w:proofErr w:type="spellEnd"/>
          </w:p>
        </w:tc>
        <w:tc>
          <w:tcPr>
            <w:tcW w:w="0" w:type="auto"/>
            <w:shd w:val="clear" w:color="auto" w:fill="auto"/>
            <w:tcMar>
              <w:top w:w="15" w:type="dxa"/>
              <w:left w:w="45" w:type="dxa"/>
              <w:bottom w:w="15" w:type="dxa"/>
              <w:right w:w="45" w:type="dxa"/>
            </w:tcMar>
            <w:vAlign w:val="center"/>
            <w:hideMark/>
          </w:tcPr>
          <w:p w:rsidR="002A2DE3" w:rsidRPr="006E5639" w:rsidRDefault="002A2DE3" w:rsidP="002A3642">
            <w:pPr>
              <w:spacing w:after="0"/>
              <w:jc w:val="center"/>
              <w:rPr>
                <w:rFonts w:ascii="Times New Roman" w:hAnsi="Times New Roman"/>
                <w:sz w:val="24"/>
                <w:szCs w:val="24"/>
                <w:lang w:eastAsia="ru-RU"/>
              </w:rPr>
            </w:pPr>
            <w:r w:rsidRPr="006E5639">
              <w:rPr>
                <w:rFonts w:ascii="Times New Roman" w:hAnsi="Times New Roman"/>
                <w:sz w:val="24"/>
                <w:szCs w:val="24"/>
                <w:lang w:eastAsia="ru-RU"/>
              </w:rPr>
              <w:t>1 070.0</w:t>
            </w:r>
          </w:p>
        </w:tc>
      </w:tr>
    </w:tbl>
    <w:p w:rsidR="002A2DE3" w:rsidRPr="00D93F59" w:rsidRDefault="002A2DE3" w:rsidP="00D93F59">
      <w:pPr>
        <w:spacing w:line="360" w:lineRule="auto"/>
        <w:jc w:val="both"/>
        <w:rPr>
          <w:rFonts w:ascii="Times New Roman" w:hAnsi="Times New Roman"/>
          <w:sz w:val="28"/>
          <w:szCs w:val="28"/>
          <w:lang w:val="en-US"/>
        </w:rPr>
      </w:pPr>
    </w:p>
    <w:p w:rsidR="000F7DFC" w:rsidRDefault="000F7DFC" w:rsidP="002A2DE3">
      <w:pPr>
        <w:spacing w:after="0" w:line="360" w:lineRule="auto"/>
        <w:ind w:firstLine="709"/>
        <w:jc w:val="both"/>
        <w:rPr>
          <w:rFonts w:ascii="Times New Roman" w:hAnsi="Times New Roman"/>
          <w:sz w:val="28"/>
          <w:szCs w:val="28"/>
        </w:rPr>
      </w:pPr>
      <w:r>
        <w:rPr>
          <w:rFonts w:ascii="Times New Roman" w:hAnsi="Times New Roman"/>
          <w:sz w:val="28"/>
          <w:szCs w:val="28"/>
        </w:rPr>
        <w:t>Потребительский сектор и розничная торговля не активны, в частности сделки в пищевой отрасли происходят в последние года все реже. Количество слияний в 2012 году осталось неизменным, однако возросла стоимость сделок. Это можно объяснить тем, что все мелкие активы уже приобретены и на данный момент происходит перераспределение долей участия в уже объединенных крупных компаниях.</w:t>
      </w:r>
      <w:r w:rsidR="001571D1">
        <w:rPr>
          <w:rFonts w:ascii="Times New Roman" w:hAnsi="Times New Roman"/>
          <w:sz w:val="28"/>
          <w:szCs w:val="28"/>
        </w:rPr>
        <w:t xml:space="preserve"> Стоит отметить высокую долю участия иностранных компаний в сделках, которые стремятся путем приобретения российских активов выйти на наши рынки со своими продуктами.</w:t>
      </w:r>
    </w:p>
    <w:p w:rsidR="002A2DE3" w:rsidRPr="00065D65" w:rsidRDefault="000F7DFC"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A2DE3">
        <w:rPr>
          <w:rFonts w:ascii="Times New Roman" w:hAnsi="Times New Roman"/>
          <w:sz w:val="28"/>
          <w:szCs w:val="28"/>
        </w:rPr>
        <w:t xml:space="preserve">Согласно прогнозам российский рынок </w:t>
      </w:r>
      <w:r w:rsidR="002A2DE3">
        <w:rPr>
          <w:rFonts w:ascii="Times New Roman" w:hAnsi="Times New Roman"/>
          <w:sz w:val="28"/>
          <w:szCs w:val="28"/>
          <w:lang w:val="en-US"/>
        </w:rPr>
        <w:t>M</w:t>
      </w:r>
      <w:r w:rsidR="002A2DE3" w:rsidRPr="00EC63FB">
        <w:rPr>
          <w:rFonts w:ascii="Times New Roman" w:hAnsi="Times New Roman"/>
          <w:sz w:val="28"/>
          <w:szCs w:val="28"/>
        </w:rPr>
        <w:t>&amp;</w:t>
      </w:r>
      <w:r w:rsidR="002A2DE3">
        <w:rPr>
          <w:rFonts w:ascii="Times New Roman" w:hAnsi="Times New Roman"/>
          <w:sz w:val="28"/>
          <w:szCs w:val="28"/>
          <w:lang w:val="en-US"/>
        </w:rPr>
        <w:t>A</w:t>
      </w:r>
      <w:r w:rsidR="002A2DE3">
        <w:rPr>
          <w:rFonts w:ascii="Times New Roman" w:hAnsi="Times New Roman"/>
          <w:sz w:val="28"/>
          <w:szCs w:val="28"/>
        </w:rPr>
        <w:t xml:space="preserve"> будет стабильным, и рост продолжится, однако темпы будут значительно меньше </w:t>
      </w:r>
      <w:proofErr w:type="gramStart"/>
      <w:r w:rsidR="002A2DE3">
        <w:rPr>
          <w:rFonts w:ascii="Times New Roman" w:hAnsi="Times New Roman"/>
          <w:sz w:val="28"/>
          <w:szCs w:val="28"/>
        </w:rPr>
        <w:t>показанных</w:t>
      </w:r>
      <w:proofErr w:type="gramEnd"/>
      <w:r w:rsidR="002A2DE3">
        <w:rPr>
          <w:rFonts w:ascii="Times New Roman" w:hAnsi="Times New Roman"/>
          <w:sz w:val="28"/>
          <w:szCs w:val="28"/>
        </w:rPr>
        <w:t xml:space="preserve"> в 2012.  Ожидается увеличение, как числа сделок, так и рост их стоимости. </w:t>
      </w:r>
      <w:r w:rsidR="002A2DE3" w:rsidRPr="00065D65">
        <w:rPr>
          <w:rFonts w:ascii="Times New Roman" w:hAnsi="Times New Roman"/>
          <w:sz w:val="28"/>
          <w:szCs w:val="28"/>
        </w:rPr>
        <w:t>Важную</w:t>
      </w:r>
      <w:r w:rsidR="00D93F59" w:rsidRPr="00D93F59">
        <w:rPr>
          <w:rFonts w:ascii="Times New Roman" w:hAnsi="Times New Roman"/>
          <w:sz w:val="28"/>
          <w:szCs w:val="28"/>
        </w:rPr>
        <w:t xml:space="preserve"> </w:t>
      </w:r>
      <w:r w:rsidR="002A2DE3" w:rsidRPr="00065D65">
        <w:rPr>
          <w:rFonts w:ascii="Times New Roman" w:hAnsi="Times New Roman"/>
          <w:sz w:val="28"/>
          <w:szCs w:val="28"/>
        </w:rPr>
        <w:t>роль продолжат играть секторы, связанные с энергетикой и природными</w:t>
      </w:r>
      <w:r w:rsidR="00D93F59" w:rsidRPr="00D93F59">
        <w:rPr>
          <w:rFonts w:ascii="Times New Roman" w:hAnsi="Times New Roman"/>
          <w:sz w:val="28"/>
          <w:szCs w:val="28"/>
        </w:rPr>
        <w:t xml:space="preserve"> </w:t>
      </w:r>
      <w:r w:rsidR="002A2DE3" w:rsidRPr="00065D65">
        <w:rPr>
          <w:rFonts w:ascii="Times New Roman" w:hAnsi="Times New Roman"/>
          <w:sz w:val="28"/>
          <w:szCs w:val="28"/>
        </w:rPr>
        <w:t>ресурсами, хотя активность в каждом</w:t>
      </w:r>
      <w:r w:rsidR="002A2DE3">
        <w:rPr>
          <w:rFonts w:ascii="Times New Roman" w:hAnsi="Times New Roman"/>
          <w:sz w:val="28"/>
          <w:szCs w:val="28"/>
        </w:rPr>
        <w:t xml:space="preserve"> из них будет вызвана разными факторами</w:t>
      </w:r>
      <w:r w:rsidR="002A2DE3" w:rsidRPr="00065D65">
        <w:rPr>
          <w:rFonts w:ascii="Times New Roman" w:hAnsi="Times New Roman"/>
          <w:sz w:val="28"/>
          <w:szCs w:val="28"/>
        </w:rPr>
        <w:t xml:space="preserve">. </w:t>
      </w:r>
    </w:p>
    <w:p w:rsidR="002A2DE3" w:rsidRPr="00065D65"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Принимая во внимание</w:t>
      </w:r>
      <w:r w:rsidRPr="00065D65">
        <w:rPr>
          <w:rFonts w:ascii="Times New Roman" w:hAnsi="Times New Roman"/>
          <w:sz w:val="28"/>
          <w:szCs w:val="28"/>
        </w:rPr>
        <w:t xml:space="preserve"> прогноз изменения це</w:t>
      </w:r>
      <w:r>
        <w:rPr>
          <w:rFonts w:ascii="Times New Roman" w:hAnsi="Times New Roman"/>
          <w:sz w:val="28"/>
          <w:szCs w:val="28"/>
        </w:rPr>
        <w:t>н на сырьевые товары, ожидается</w:t>
      </w:r>
      <w:r w:rsidRPr="00065D65">
        <w:rPr>
          <w:rFonts w:ascii="Times New Roman" w:hAnsi="Times New Roman"/>
          <w:sz w:val="28"/>
          <w:szCs w:val="28"/>
        </w:rPr>
        <w:t>, что активность</w:t>
      </w:r>
      <w:r w:rsidR="00D93F59" w:rsidRPr="00D93F59">
        <w:rPr>
          <w:rFonts w:ascii="Times New Roman" w:hAnsi="Times New Roman"/>
          <w:sz w:val="28"/>
          <w:szCs w:val="28"/>
        </w:rPr>
        <w:t xml:space="preserve"> </w:t>
      </w:r>
      <w:r w:rsidRPr="00065D65">
        <w:rPr>
          <w:rFonts w:ascii="Times New Roman" w:hAnsi="Times New Roman"/>
          <w:sz w:val="28"/>
          <w:szCs w:val="28"/>
        </w:rPr>
        <w:t>в секторе</w:t>
      </w:r>
      <w:r w:rsidR="00D93F59" w:rsidRPr="00D93F59">
        <w:rPr>
          <w:rFonts w:ascii="Times New Roman" w:hAnsi="Times New Roman"/>
          <w:sz w:val="28"/>
          <w:szCs w:val="28"/>
        </w:rPr>
        <w:t xml:space="preserve"> </w:t>
      </w:r>
      <w:r w:rsidRPr="00065D65">
        <w:rPr>
          <w:rFonts w:ascii="Times New Roman" w:hAnsi="Times New Roman"/>
          <w:sz w:val="28"/>
          <w:szCs w:val="28"/>
        </w:rPr>
        <w:t>металлургии и горнодобывающе</w:t>
      </w:r>
      <w:r>
        <w:rPr>
          <w:rFonts w:ascii="Times New Roman" w:hAnsi="Times New Roman"/>
          <w:sz w:val="28"/>
          <w:szCs w:val="28"/>
        </w:rPr>
        <w:t>й промышленности по-прежнему останется невысокой. Пристальное</w:t>
      </w:r>
      <w:r w:rsidRPr="00065D65">
        <w:rPr>
          <w:rFonts w:ascii="Times New Roman" w:hAnsi="Times New Roman"/>
          <w:sz w:val="28"/>
          <w:szCs w:val="28"/>
        </w:rPr>
        <w:t xml:space="preserve"> </w:t>
      </w:r>
      <w:r w:rsidRPr="00065D65">
        <w:rPr>
          <w:rFonts w:ascii="Times New Roman" w:hAnsi="Times New Roman"/>
          <w:sz w:val="28"/>
          <w:szCs w:val="28"/>
        </w:rPr>
        <w:lastRenderedPageBreak/>
        <w:t>внимание основных игроков сектора будет</w:t>
      </w:r>
      <w:r w:rsidR="00D93F59" w:rsidRPr="00D93F59">
        <w:rPr>
          <w:rFonts w:ascii="Times New Roman" w:hAnsi="Times New Roman"/>
          <w:sz w:val="28"/>
          <w:szCs w:val="28"/>
        </w:rPr>
        <w:t xml:space="preserve"> </w:t>
      </w:r>
      <w:r w:rsidRPr="00065D65">
        <w:rPr>
          <w:rFonts w:ascii="Times New Roman" w:hAnsi="Times New Roman"/>
          <w:sz w:val="28"/>
          <w:szCs w:val="28"/>
        </w:rPr>
        <w:t>сосредоточено на повышении экономической эффективности и тщательной оценке</w:t>
      </w:r>
      <w:r w:rsidR="00D93F59" w:rsidRPr="00D93F59">
        <w:rPr>
          <w:rFonts w:ascii="Times New Roman" w:hAnsi="Times New Roman"/>
          <w:sz w:val="28"/>
          <w:szCs w:val="28"/>
        </w:rPr>
        <w:t xml:space="preserve"> </w:t>
      </w:r>
      <w:r w:rsidRPr="00065D65">
        <w:rPr>
          <w:rFonts w:ascii="Times New Roman" w:hAnsi="Times New Roman"/>
          <w:sz w:val="28"/>
          <w:szCs w:val="28"/>
        </w:rPr>
        <w:t>направления инвестиций в условиях ограничен</w:t>
      </w:r>
      <w:r>
        <w:rPr>
          <w:rFonts w:ascii="Times New Roman" w:hAnsi="Times New Roman"/>
          <w:sz w:val="28"/>
          <w:szCs w:val="28"/>
        </w:rPr>
        <w:t>ности капитала. Крупные нефтега</w:t>
      </w:r>
      <w:r w:rsidRPr="00065D65">
        <w:rPr>
          <w:rFonts w:ascii="Times New Roman" w:hAnsi="Times New Roman"/>
          <w:sz w:val="28"/>
          <w:szCs w:val="28"/>
        </w:rPr>
        <w:t xml:space="preserve">зовые </w:t>
      </w:r>
      <w:proofErr w:type="gramStart"/>
      <w:r w:rsidRPr="00065D65">
        <w:rPr>
          <w:rFonts w:ascii="Times New Roman" w:hAnsi="Times New Roman"/>
          <w:sz w:val="28"/>
          <w:szCs w:val="28"/>
        </w:rPr>
        <w:t>компании</w:t>
      </w:r>
      <w:proofErr w:type="gramEnd"/>
      <w:r w:rsidRPr="00065D65">
        <w:rPr>
          <w:rFonts w:ascii="Times New Roman" w:hAnsi="Times New Roman"/>
          <w:sz w:val="28"/>
          <w:szCs w:val="28"/>
        </w:rPr>
        <w:t xml:space="preserve"> скорее всего продолжат продавать непрофильные активы с целью</w:t>
      </w:r>
      <w:r w:rsidR="00604D40" w:rsidRPr="00604D40">
        <w:rPr>
          <w:rFonts w:ascii="Times New Roman" w:hAnsi="Times New Roman"/>
          <w:sz w:val="28"/>
          <w:szCs w:val="28"/>
        </w:rPr>
        <w:t xml:space="preserve"> </w:t>
      </w:r>
      <w:r w:rsidRPr="00065D65">
        <w:rPr>
          <w:rFonts w:ascii="Times New Roman" w:hAnsi="Times New Roman"/>
          <w:sz w:val="28"/>
          <w:szCs w:val="28"/>
        </w:rPr>
        <w:t>оптимизировать доходность портфеля ак</w:t>
      </w:r>
      <w:r>
        <w:rPr>
          <w:rFonts w:ascii="Times New Roman" w:hAnsi="Times New Roman"/>
          <w:sz w:val="28"/>
          <w:szCs w:val="28"/>
        </w:rPr>
        <w:t xml:space="preserve">тивов, а иностранные компании будут </w:t>
      </w:r>
      <w:r w:rsidRPr="00065D65">
        <w:rPr>
          <w:rFonts w:ascii="Times New Roman" w:hAnsi="Times New Roman"/>
          <w:sz w:val="28"/>
          <w:szCs w:val="28"/>
        </w:rPr>
        <w:t>искать</w:t>
      </w:r>
      <w:r w:rsidR="00604D40" w:rsidRPr="00604D40">
        <w:rPr>
          <w:rFonts w:ascii="Times New Roman" w:hAnsi="Times New Roman"/>
          <w:sz w:val="28"/>
          <w:szCs w:val="28"/>
        </w:rPr>
        <w:t xml:space="preserve"> </w:t>
      </w:r>
      <w:r w:rsidRPr="00065D65">
        <w:rPr>
          <w:rFonts w:ascii="Times New Roman" w:hAnsi="Times New Roman"/>
          <w:sz w:val="28"/>
          <w:szCs w:val="28"/>
        </w:rPr>
        <w:t>возможности для получения доступа к богат</w:t>
      </w:r>
      <w:r>
        <w:rPr>
          <w:rFonts w:ascii="Times New Roman" w:hAnsi="Times New Roman"/>
          <w:sz w:val="28"/>
          <w:szCs w:val="28"/>
        </w:rPr>
        <w:t>ым российским ресурсам либо посред</w:t>
      </w:r>
      <w:r w:rsidRPr="00065D65">
        <w:rPr>
          <w:rFonts w:ascii="Times New Roman" w:hAnsi="Times New Roman"/>
          <w:sz w:val="28"/>
          <w:szCs w:val="28"/>
        </w:rPr>
        <w:t>ством</w:t>
      </w:r>
      <w:r w:rsidR="00604D40" w:rsidRPr="00604D40">
        <w:rPr>
          <w:rFonts w:ascii="Times New Roman" w:hAnsi="Times New Roman"/>
          <w:sz w:val="28"/>
          <w:szCs w:val="28"/>
        </w:rPr>
        <w:t xml:space="preserve"> </w:t>
      </w:r>
      <w:r w:rsidRPr="00065D65">
        <w:rPr>
          <w:rFonts w:ascii="Times New Roman" w:hAnsi="Times New Roman"/>
          <w:sz w:val="28"/>
          <w:szCs w:val="28"/>
        </w:rPr>
        <w:t>приобретений, либо посредством</w:t>
      </w:r>
      <w:r w:rsidR="00604D40" w:rsidRPr="00604D40">
        <w:rPr>
          <w:rFonts w:ascii="Times New Roman" w:hAnsi="Times New Roman"/>
          <w:sz w:val="28"/>
          <w:szCs w:val="28"/>
        </w:rPr>
        <w:t xml:space="preserve"> </w:t>
      </w:r>
      <w:r w:rsidRPr="00065D65">
        <w:rPr>
          <w:rFonts w:ascii="Times New Roman" w:hAnsi="Times New Roman"/>
          <w:sz w:val="28"/>
          <w:szCs w:val="28"/>
        </w:rPr>
        <w:t>соз</w:t>
      </w:r>
      <w:r>
        <w:rPr>
          <w:rFonts w:ascii="Times New Roman" w:hAnsi="Times New Roman"/>
          <w:sz w:val="28"/>
          <w:szCs w:val="28"/>
        </w:rPr>
        <w:t>дания совместных предприятий. Также ожидается дальнейшая консолидация</w:t>
      </w:r>
      <w:r w:rsidRPr="00065D65">
        <w:rPr>
          <w:rFonts w:ascii="Times New Roman" w:hAnsi="Times New Roman"/>
          <w:sz w:val="28"/>
          <w:szCs w:val="28"/>
        </w:rPr>
        <w:t xml:space="preserve"> генерирующих и распределительных активов</w:t>
      </w:r>
      <w:r w:rsidR="00604D40" w:rsidRPr="00604D40">
        <w:rPr>
          <w:rFonts w:ascii="Times New Roman" w:hAnsi="Times New Roman"/>
          <w:sz w:val="28"/>
          <w:szCs w:val="28"/>
        </w:rPr>
        <w:t xml:space="preserve"> </w:t>
      </w:r>
      <w:r w:rsidRPr="00065D65">
        <w:rPr>
          <w:rFonts w:ascii="Times New Roman" w:hAnsi="Times New Roman"/>
          <w:sz w:val="28"/>
          <w:szCs w:val="28"/>
        </w:rPr>
        <w:t>в секторе энергетики и коммунального хозяйства, движущей силой которых станут</w:t>
      </w:r>
      <w:r w:rsidR="00604D40" w:rsidRPr="00604D40">
        <w:rPr>
          <w:rFonts w:ascii="Times New Roman" w:hAnsi="Times New Roman"/>
          <w:sz w:val="28"/>
          <w:szCs w:val="28"/>
        </w:rPr>
        <w:t xml:space="preserve"> </w:t>
      </w:r>
      <w:r w:rsidRPr="00065D65">
        <w:rPr>
          <w:rFonts w:ascii="Times New Roman" w:hAnsi="Times New Roman"/>
          <w:sz w:val="28"/>
          <w:szCs w:val="28"/>
        </w:rPr>
        <w:t>предприятия с участием</w:t>
      </w:r>
      <w:r w:rsidR="00604D40" w:rsidRPr="00604D40">
        <w:rPr>
          <w:rFonts w:ascii="Times New Roman" w:hAnsi="Times New Roman"/>
          <w:sz w:val="28"/>
          <w:szCs w:val="28"/>
        </w:rPr>
        <w:t xml:space="preserve"> </w:t>
      </w:r>
      <w:r w:rsidRPr="00065D65">
        <w:rPr>
          <w:rFonts w:ascii="Times New Roman" w:hAnsi="Times New Roman"/>
          <w:sz w:val="28"/>
          <w:szCs w:val="28"/>
        </w:rPr>
        <w:t>государства.</w:t>
      </w:r>
    </w:p>
    <w:p w:rsidR="002A2DE3" w:rsidRDefault="002A2DE3" w:rsidP="002A2DE3">
      <w:pPr>
        <w:spacing w:after="0" w:line="360" w:lineRule="auto"/>
        <w:ind w:firstLine="709"/>
        <w:jc w:val="both"/>
        <w:rPr>
          <w:rFonts w:ascii="Times New Roman" w:hAnsi="Times New Roman"/>
          <w:sz w:val="28"/>
          <w:szCs w:val="28"/>
        </w:rPr>
      </w:pPr>
      <w:r w:rsidRPr="00065D65">
        <w:rPr>
          <w:rFonts w:ascii="Times New Roman" w:hAnsi="Times New Roman"/>
          <w:sz w:val="28"/>
          <w:szCs w:val="28"/>
        </w:rPr>
        <w:t>В</w:t>
      </w:r>
      <w:r w:rsidR="00604D40" w:rsidRPr="00604D40">
        <w:rPr>
          <w:rFonts w:ascii="Times New Roman" w:hAnsi="Times New Roman"/>
          <w:sz w:val="28"/>
          <w:szCs w:val="28"/>
        </w:rPr>
        <w:t xml:space="preserve"> </w:t>
      </w:r>
      <w:r w:rsidRPr="00065D65">
        <w:rPr>
          <w:rFonts w:ascii="Times New Roman" w:hAnsi="Times New Roman"/>
          <w:sz w:val="28"/>
          <w:szCs w:val="28"/>
        </w:rPr>
        <w:t>сфере телекоммуникаций рост рынка услуг</w:t>
      </w:r>
      <w:r>
        <w:rPr>
          <w:rFonts w:ascii="Times New Roman" w:hAnsi="Times New Roman"/>
          <w:sz w:val="28"/>
          <w:szCs w:val="28"/>
        </w:rPr>
        <w:t xml:space="preserve"> фиксированного доступа по срав</w:t>
      </w:r>
      <w:r w:rsidRPr="00065D65">
        <w:rPr>
          <w:rFonts w:ascii="Times New Roman" w:hAnsi="Times New Roman"/>
          <w:sz w:val="28"/>
          <w:szCs w:val="28"/>
        </w:rPr>
        <w:t>нению</w:t>
      </w:r>
      <w:r w:rsidR="00604D40" w:rsidRPr="00604D40">
        <w:rPr>
          <w:rFonts w:ascii="Times New Roman" w:hAnsi="Times New Roman"/>
          <w:sz w:val="28"/>
          <w:szCs w:val="28"/>
        </w:rPr>
        <w:t xml:space="preserve"> </w:t>
      </w:r>
      <w:r w:rsidRPr="00065D65">
        <w:rPr>
          <w:rFonts w:ascii="Times New Roman" w:hAnsi="Times New Roman"/>
          <w:sz w:val="28"/>
          <w:szCs w:val="28"/>
        </w:rPr>
        <w:t>с рынком</w:t>
      </w:r>
      <w:r w:rsidR="00604D40" w:rsidRPr="00604D40">
        <w:rPr>
          <w:rFonts w:ascii="Times New Roman" w:hAnsi="Times New Roman"/>
          <w:sz w:val="28"/>
          <w:szCs w:val="28"/>
        </w:rPr>
        <w:t xml:space="preserve"> </w:t>
      </w:r>
      <w:r w:rsidRPr="00065D65">
        <w:rPr>
          <w:rFonts w:ascii="Times New Roman" w:hAnsi="Times New Roman"/>
          <w:sz w:val="28"/>
          <w:szCs w:val="28"/>
        </w:rPr>
        <w:t>мобильного доступа замедляется, учитывая высокий уровень</w:t>
      </w:r>
      <w:r w:rsidR="00604D40" w:rsidRPr="00604D40">
        <w:rPr>
          <w:rFonts w:ascii="Times New Roman" w:hAnsi="Times New Roman"/>
          <w:sz w:val="28"/>
          <w:szCs w:val="28"/>
        </w:rPr>
        <w:t xml:space="preserve"> </w:t>
      </w:r>
      <w:r w:rsidRPr="00065D65">
        <w:rPr>
          <w:rFonts w:ascii="Times New Roman" w:hAnsi="Times New Roman"/>
          <w:sz w:val="28"/>
          <w:szCs w:val="28"/>
        </w:rPr>
        <w:t>проникновения, тем</w:t>
      </w:r>
      <w:r w:rsidR="00604D40" w:rsidRPr="00604D40">
        <w:rPr>
          <w:rFonts w:ascii="Times New Roman" w:hAnsi="Times New Roman"/>
          <w:sz w:val="28"/>
          <w:szCs w:val="28"/>
        </w:rPr>
        <w:t xml:space="preserve"> </w:t>
      </w:r>
      <w:r w:rsidRPr="00065D65">
        <w:rPr>
          <w:rFonts w:ascii="Times New Roman" w:hAnsi="Times New Roman"/>
          <w:sz w:val="28"/>
          <w:szCs w:val="28"/>
        </w:rPr>
        <w:t>не</w:t>
      </w:r>
      <w:r w:rsidR="00604D40" w:rsidRPr="00604D40">
        <w:rPr>
          <w:rFonts w:ascii="Times New Roman" w:hAnsi="Times New Roman"/>
          <w:sz w:val="28"/>
          <w:szCs w:val="28"/>
        </w:rPr>
        <w:t xml:space="preserve"> </w:t>
      </w:r>
      <w:r w:rsidRPr="00065D65">
        <w:rPr>
          <w:rFonts w:ascii="Times New Roman" w:hAnsi="Times New Roman"/>
          <w:sz w:val="28"/>
          <w:szCs w:val="28"/>
        </w:rPr>
        <w:t>менее, дальнейшая консолидация региональных операторов</w:t>
      </w:r>
      <w:r w:rsidR="00604D40" w:rsidRPr="00604D40">
        <w:rPr>
          <w:rFonts w:ascii="Times New Roman" w:hAnsi="Times New Roman"/>
          <w:sz w:val="28"/>
          <w:szCs w:val="28"/>
        </w:rPr>
        <w:t xml:space="preserve"> </w:t>
      </w:r>
      <w:r w:rsidRPr="00065D65">
        <w:rPr>
          <w:rFonts w:ascii="Times New Roman" w:hAnsi="Times New Roman"/>
          <w:sz w:val="28"/>
          <w:szCs w:val="28"/>
        </w:rPr>
        <w:t>широкополосной связи в 2013 году продолжится, хотя и значительно</w:t>
      </w:r>
      <w:r w:rsidR="00604D40" w:rsidRPr="00604D40">
        <w:rPr>
          <w:rFonts w:ascii="Times New Roman" w:hAnsi="Times New Roman"/>
          <w:sz w:val="28"/>
          <w:szCs w:val="28"/>
        </w:rPr>
        <w:t xml:space="preserve"> </w:t>
      </w:r>
      <w:r w:rsidRPr="00065D65">
        <w:rPr>
          <w:rFonts w:ascii="Times New Roman" w:hAnsi="Times New Roman"/>
          <w:sz w:val="28"/>
          <w:szCs w:val="28"/>
        </w:rPr>
        <w:t>меньшими</w:t>
      </w:r>
      <w:r w:rsidR="00604D40" w:rsidRPr="00604D40">
        <w:rPr>
          <w:rFonts w:ascii="Times New Roman" w:hAnsi="Times New Roman"/>
          <w:sz w:val="28"/>
          <w:szCs w:val="28"/>
        </w:rPr>
        <w:t xml:space="preserve"> </w:t>
      </w:r>
      <w:r w:rsidRPr="00065D65">
        <w:rPr>
          <w:rFonts w:ascii="Times New Roman" w:hAnsi="Times New Roman"/>
          <w:sz w:val="28"/>
          <w:szCs w:val="28"/>
        </w:rPr>
        <w:t>темпами, чем</w:t>
      </w:r>
      <w:r w:rsidR="00604D40" w:rsidRPr="00604D40">
        <w:rPr>
          <w:rFonts w:ascii="Times New Roman" w:hAnsi="Times New Roman"/>
          <w:sz w:val="28"/>
          <w:szCs w:val="28"/>
        </w:rPr>
        <w:t xml:space="preserve"> </w:t>
      </w:r>
      <w:r w:rsidRPr="00065D65">
        <w:rPr>
          <w:rFonts w:ascii="Times New Roman" w:hAnsi="Times New Roman"/>
          <w:sz w:val="28"/>
          <w:szCs w:val="28"/>
        </w:rPr>
        <w:t>в прошлые годы.</w:t>
      </w:r>
      <w:r>
        <w:rPr>
          <w:rFonts w:ascii="Times New Roman" w:hAnsi="Times New Roman"/>
          <w:sz w:val="28"/>
          <w:szCs w:val="28"/>
        </w:rPr>
        <w:t xml:space="preserve"> В остальных секторах не прогнозируется сильных изменений, наоборот ситуация останется стабильной. </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Только время </w:t>
      </w:r>
      <w:proofErr w:type="gramStart"/>
      <w:r>
        <w:rPr>
          <w:rFonts w:ascii="Times New Roman" w:hAnsi="Times New Roman"/>
          <w:sz w:val="28"/>
          <w:szCs w:val="28"/>
        </w:rPr>
        <w:t>покажет насколько реалистичны</w:t>
      </w:r>
      <w:proofErr w:type="gramEnd"/>
      <w:r>
        <w:rPr>
          <w:rFonts w:ascii="Times New Roman" w:hAnsi="Times New Roman"/>
          <w:sz w:val="28"/>
          <w:szCs w:val="28"/>
        </w:rPr>
        <w:t xml:space="preserve"> данные прогнозы, но то, что 2012 год стал поворотным для отечественного рынка. Произошло увеличение не только числа слияний, но и стоимости заключенных сделок. В то время как мировой рынок показывает снижение по обеим позициям. Еще одним положительным моментом 2012 года стало увеличение активности иностранных игроков. Также произошло некое перераспределение ролей среди секторов рынка </w:t>
      </w:r>
      <w:r>
        <w:rPr>
          <w:rFonts w:ascii="Times New Roman" w:hAnsi="Times New Roman"/>
          <w:sz w:val="28"/>
          <w:szCs w:val="28"/>
          <w:lang w:val="en-US"/>
        </w:rPr>
        <w:t>M</w:t>
      </w:r>
      <w:r w:rsidRPr="00C30C14">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Возрос интерес к компаниям сектора телекоммуникаций и </w:t>
      </w:r>
      <w:proofErr w:type="spellStart"/>
      <w:r>
        <w:rPr>
          <w:rFonts w:ascii="Times New Roman" w:hAnsi="Times New Roman"/>
          <w:sz w:val="28"/>
          <w:szCs w:val="28"/>
        </w:rPr>
        <w:t>медиа</w:t>
      </w:r>
      <w:proofErr w:type="spellEnd"/>
      <w:r>
        <w:rPr>
          <w:rFonts w:ascii="Times New Roman" w:hAnsi="Times New Roman"/>
          <w:sz w:val="28"/>
          <w:szCs w:val="28"/>
        </w:rPr>
        <w:t>, а также к сектору финансовых услуг. Свои позиции сохранили такие отрасли как: металлургия, горнодобывающая промышленность и нефтегазовый сектор.</w:t>
      </w:r>
    </w:p>
    <w:p w:rsidR="002A2DE3" w:rsidRDefault="002A2DE3" w:rsidP="002A2DE3">
      <w:pPr>
        <w:pStyle w:val="a6"/>
        <w:spacing w:before="0" w:beforeAutospacing="0" w:after="0" w:afterAutospacing="0" w:line="360" w:lineRule="auto"/>
        <w:ind w:firstLine="709"/>
        <w:jc w:val="center"/>
        <w:rPr>
          <w:sz w:val="28"/>
          <w:szCs w:val="28"/>
        </w:rPr>
      </w:pPr>
    </w:p>
    <w:p w:rsidR="001571D1" w:rsidRDefault="001571D1" w:rsidP="002A2DE3">
      <w:pPr>
        <w:pStyle w:val="2"/>
        <w:spacing w:before="0" w:beforeAutospacing="0" w:after="0" w:afterAutospacing="0" w:line="360" w:lineRule="auto"/>
        <w:ind w:firstLine="709"/>
        <w:jc w:val="center"/>
        <w:rPr>
          <w:sz w:val="28"/>
          <w:szCs w:val="28"/>
        </w:rPr>
      </w:pPr>
      <w:bookmarkStart w:id="3" w:name="_Toc324507332"/>
    </w:p>
    <w:p w:rsidR="002A2DE3" w:rsidRPr="00E362DE" w:rsidRDefault="002A2DE3" w:rsidP="002A2DE3">
      <w:pPr>
        <w:pStyle w:val="2"/>
        <w:spacing w:before="0" w:beforeAutospacing="0" w:after="0" w:afterAutospacing="0" w:line="360" w:lineRule="auto"/>
        <w:ind w:firstLine="709"/>
        <w:jc w:val="center"/>
        <w:rPr>
          <w:sz w:val="28"/>
          <w:szCs w:val="28"/>
        </w:rPr>
      </w:pPr>
      <w:r w:rsidRPr="00E362DE">
        <w:rPr>
          <w:sz w:val="28"/>
          <w:szCs w:val="28"/>
        </w:rPr>
        <w:lastRenderedPageBreak/>
        <w:t>1.4</w:t>
      </w:r>
      <w:r w:rsidR="00375DD3" w:rsidRPr="00AA5F3D">
        <w:rPr>
          <w:sz w:val="28"/>
          <w:szCs w:val="28"/>
        </w:rPr>
        <w:t>.</w:t>
      </w:r>
      <w:r w:rsidRPr="00E362DE">
        <w:rPr>
          <w:sz w:val="28"/>
          <w:szCs w:val="28"/>
        </w:rPr>
        <w:t xml:space="preserve"> Выводы по главе</w:t>
      </w:r>
      <w:bookmarkEnd w:id="3"/>
    </w:p>
    <w:p w:rsidR="002A2DE3" w:rsidRPr="00B91E76" w:rsidRDefault="002A2DE3" w:rsidP="002036F1">
      <w:pPr>
        <w:spacing w:after="0" w:line="360" w:lineRule="auto"/>
        <w:ind w:firstLine="709"/>
        <w:jc w:val="both"/>
        <w:rPr>
          <w:rFonts w:ascii="Times New Roman" w:hAnsi="Times New Roman"/>
          <w:sz w:val="28"/>
          <w:szCs w:val="28"/>
        </w:rPr>
      </w:pPr>
      <w:r w:rsidRPr="00B91E76">
        <w:rPr>
          <w:rFonts w:ascii="Times New Roman" w:hAnsi="Times New Roman"/>
          <w:sz w:val="28"/>
          <w:szCs w:val="28"/>
        </w:rPr>
        <w:t xml:space="preserve">В данной главе были рассмотрены важные аспекты сделок слияния и поглощения, такие как интерпретация понятий в отечественной литературе и зарубежной, классификация и основные мотивы совершаемых сделок. Также были определены основные тенденции развития российского рынка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rPr>
        <w:t>. Исходя из этого, можно выделить основные черты рынка</w:t>
      </w:r>
      <w:r w:rsidRPr="00B91E76">
        <w:rPr>
          <w:rFonts w:ascii="Times New Roman" w:hAnsi="Times New Roman"/>
          <w:sz w:val="28"/>
          <w:szCs w:val="28"/>
          <w:lang w:eastAsia="ru-RU"/>
        </w:rPr>
        <w:t>.</w:t>
      </w:r>
    </w:p>
    <w:p w:rsidR="002A2DE3" w:rsidRPr="00B91E76" w:rsidRDefault="002A2DE3" w:rsidP="002A2DE3">
      <w:pPr>
        <w:spacing w:after="0" w:line="360" w:lineRule="auto"/>
        <w:ind w:firstLine="709"/>
        <w:jc w:val="both"/>
        <w:rPr>
          <w:rFonts w:ascii="Times New Roman" w:hAnsi="Times New Roman"/>
          <w:sz w:val="28"/>
          <w:szCs w:val="28"/>
          <w:lang w:eastAsia="ru-RU"/>
        </w:rPr>
      </w:pPr>
      <w:r w:rsidRPr="00B91E76">
        <w:rPr>
          <w:rFonts w:ascii="Times New Roman" w:hAnsi="Times New Roman"/>
          <w:sz w:val="28"/>
          <w:szCs w:val="28"/>
          <w:lang w:eastAsia="ru-RU"/>
        </w:rPr>
        <w:t xml:space="preserve">Во-первых, это оживление и повышение активности на рынке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rPr>
        <w:t xml:space="preserve"> после мирового кризиса 2008-2009 гг. В 2012 году рынок продолжил свой рост. В основном за счет увеличения числа мелких и средних внутренних сделок. По прогнозам экспертов рынок в дальнейшем продолжит расти, однако стремительного роста наблюдаться не будет, поскольку во многих отраслях произошло перенасыщения рынка и дальше возможно только осуществление конгломератных слияний.</w:t>
      </w:r>
    </w:p>
    <w:p w:rsidR="002A2DE3" w:rsidRPr="00B91E76" w:rsidRDefault="002A2DE3" w:rsidP="002A2DE3">
      <w:pPr>
        <w:spacing w:after="0" w:line="360" w:lineRule="auto"/>
        <w:ind w:firstLine="709"/>
        <w:jc w:val="both"/>
        <w:rPr>
          <w:rFonts w:ascii="Times New Roman" w:hAnsi="Times New Roman"/>
          <w:sz w:val="28"/>
          <w:szCs w:val="28"/>
        </w:rPr>
      </w:pPr>
      <w:r w:rsidRPr="00B91E76">
        <w:rPr>
          <w:rFonts w:ascii="Times New Roman" w:hAnsi="Times New Roman"/>
          <w:sz w:val="28"/>
          <w:szCs w:val="28"/>
          <w:lang w:eastAsia="ru-RU"/>
        </w:rPr>
        <w:t xml:space="preserve">Во-вторых, преобладание горизонтальных интеграций на рынке. В первую очередь такая тенденция касается нефтегазовой отрасли, которая, скорее всего ещё долго останется лидером на рынке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rPr>
        <w:t xml:space="preserve">. Также стоит отметить повышение интереса к компаниям телекоммуникационной отрасли, которая в настоящее время является одной из перспективных отраслей для заключения сделок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rPr>
        <w:t>.</w:t>
      </w:r>
    </w:p>
    <w:tbl>
      <w:tblPr>
        <w:tblW w:w="4900" w:type="pct"/>
        <w:tblLook w:val="00A0"/>
      </w:tblPr>
      <w:tblGrid>
        <w:gridCol w:w="9100"/>
      </w:tblGrid>
      <w:tr w:rsidR="002A2DE3" w:rsidRPr="00B91E76" w:rsidTr="002A3642">
        <w:tc>
          <w:tcPr>
            <w:tcW w:w="0" w:type="auto"/>
          </w:tcPr>
          <w:p w:rsidR="002A2DE3" w:rsidRPr="00B91E76" w:rsidRDefault="002A2DE3" w:rsidP="002A3642">
            <w:pPr>
              <w:spacing w:after="0" w:line="360" w:lineRule="auto"/>
              <w:ind w:firstLine="709"/>
              <w:jc w:val="both"/>
              <w:rPr>
                <w:rFonts w:ascii="Times New Roman" w:hAnsi="Times New Roman"/>
                <w:sz w:val="28"/>
                <w:szCs w:val="28"/>
                <w:lang w:eastAsia="ru-RU"/>
              </w:rPr>
            </w:pPr>
            <w:r w:rsidRPr="00B91E76">
              <w:rPr>
                <w:rFonts w:ascii="Times New Roman" w:hAnsi="Times New Roman"/>
                <w:sz w:val="28"/>
                <w:szCs w:val="28"/>
              </w:rPr>
              <w:t xml:space="preserve">В-третьих, основные новости о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rPr>
              <w:t xml:space="preserve"> процессах поступают от одних и тех же отраслей, потенциал которых все ещё велик. К таким отраслям относятся нефтегазовая и металлургическая, телекоммуникационная и энергетическая отрасли и машиностроение. </w:t>
            </w:r>
            <w:r w:rsidRPr="00B91E76">
              <w:rPr>
                <w:rFonts w:ascii="Times New Roman" w:hAnsi="Times New Roman"/>
                <w:sz w:val="28"/>
                <w:szCs w:val="28"/>
                <w:lang w:eastAsia="ru-RU"/>
              </w:rPr>
              <w:t>Финансовые возможности, существующие в нефтегазовом секторе и металлургии, привели их к абсолютному лидерству на рынке.</w:t>
            </w:r>
          </w:p>
          <w:p w:rsidR="002A2DE3" w:rsidRPr="00B91E76" w:rsidRDefault="002A2DE3" w:rsidP="002A3642">
            <w:pPr>
              <w:spacing w:after="0" w:line="360" w:lineRule="auto"/>
              <w:ind w:firstLine="709"/>
              <w:jc w:val="both"/>
              <w:rPr>
                <w:rFonts w:ascii="Times New Roman" w:hAnsi="Times New Roman"/>
                <w:sz w:val="28"/>
                <w:szCs w:val="28"/>
                <w:lang w:eastAsia="ru-RU"/>
              </w:rPr>
            </w:pPr>
            <w:r w:rsidRPr="00B91E76">
              <w:rPr>
                <w:rFonts w:ascii="Times New Roman" w:hAnsi="Times New Roman"/>
                <w:sz w:val="28"/>
                <w:szCs w:val="28"/>
                <w:lang w:eastAsia="ru-RU"/>
              </w:rPr>
              <w:t xml:space="preserve">В-четвертых, слияния приобретают стратегический характер, что, безусловно, является положительной тенденцией. В связи с этим происходит рост количества региональных сделок и снижение числа враждебных захватов. Крупнейшие российские компании приобретают </w:t>
            </w:r>
            <w:r w:rsidRPr="00B91E76">
              <w:rPr>
                <w:rFonts w:ascii="Times New Roman" w:hAnsi="Times New Roman"/>
                <w:sz w:val="28"/>
                <w:szCs w:val="28"/>
                <w:lang w:eastAsia="ru-RU"/>
              </w:rPr>
              <w:lastRenderedPageBreak/>
              <w:t>все больше зарубежных активов. Некоторые стремятся расширить ресурсную базу, другие – получить выход на новые рынки, в том числе, на рынки стран СНГ для обеспечения дальнейшего роста.</w:t>
            </w:r>
          </w:p>
          <w:p w:rsidR="002A2DE3" w:rsidRPr="00B91E76" w:rsidRDefault="002A2DE3" w:rsidP="002A3642">
            <w:pPr>
              <w:spacing w:after="0" w:line="360" w:lineRule="auto"/>
              <w:ind w:firstLine="709"/>
              <w:jc w:val="both"/>
              <w:rPr>
                <w:rFonts w:ascii="Times New Roman" w:hAnsi="Times New Roman"/>
                <w:sz w:val="28"/>
                <w:szCs w:val="28"/>
                <w:lang w:eastAsia="ru-RU"/>
              </w:rPr>
            </w:pPr>
            <w:r w:rsidRPr="00B91E76">
              <w:rPr>
                <w:rFonts w:ascii="Times New Roman" w:hAnsi="Times New Roman"/>
                <w:sz w:val="28"/>
                <w:szCs w:val="28"/>
                <w:lang w:eastAsia="ru-RU"/>
              </w:rPr>
              <w:t xml:space="preserve">Также происходит усиление роли государства на рынке M&amp;A, а </w:t>
            </w:r>
            <w:r w:rsidRPr="00B91E76">
              <w:rPr>
                <w:rFonts w:ascii="Times New Roman" w:hAnsi="Times New Roman"/>
                <w:sz w:val="28"/>
                <w:szCs w:val="28"/>
                <w:lang w:eastAsia="ru-RU"/>
              </w:rPr>
              <w:br/>
              <w:t xml:space="preserve">особенности экономики России формируют отдельный путь российского рынка </w:t>
            </w:r>
            <w:r w:rsidRPr="00B91E76">
              <w:rPr>
                <w:rFonts w:ascii="Times New Roman" w:hAnsi="Times New Roman"/>
                <w:sz w:val="28"/>
                <w:szCs w:val="28"/>
                <w:lang w:val="en-US"/>
              </w:rPr>
              <w:t>M</w:t>
            </w:r>
            <w:r w:rsidRPr="00B91E76">
              <w:rPr>
                <w:rFonts w:ascii="Times New Roman" w:hAnsi="Times New Roman"/>
                <w:sz w:val="28"/>
                <w:szCs w:val="28"/>
              </w:rPr>
              <w:t>&amp;</w:t>
            </w:r>
            <w:r w:rsidRPr="00B91E76">
              <w:rPr>
                <w:rFonts w:ascii="Times New Roman" w:hAnsi="Times New Roman"/>
                <w:sz w:val="28"/>
                <w:szCs w:val="28"/>
                <w:lang w:val="en-US"/>
              </w:rPr>
              <w:t>A</w:t>
            </w:r>
            <w:r w:rsidRPr="00B91E76">
              <w:rPr>
                <w:rFonts w:ascii="Times New Roman" w:hAnsi="Times New Roman"/>
                <w:sz w:val="28"/>
                <w:szCs w:val="28"/>
                <w:lang w:eastAsia="ru-RU"/>
              </w:rPr>
              <w:t>, который в ближайшее время не будет подвержен мировым тенденциям и колебаниям.</w:t>
            </w:r>
          </w:p>
        </w:tc>
      </w:tr>
    </w:tbl>
    <w:p w:rsidR="002A2DE3" w:rsidRDefault="002A2DE3" w:rsidP="002A2DE3">
      <w:pPr>
        <w:pStyle w:val="a6"/>
        <w:spacing w:before="0" w:beforeAutospacing="0" w:after="0" w:afterAutospacing="0" w:line="360" w:lineRule="auto"/>
        <w:ind w:firstLine="709"/>
        <w:jc w:val="both"/>
        <w:rPr>
          <w:color w:val="000000"/>
          <w:sz w:val="28"/>
          <w:szCs w:val="28"/>
        </w:rPr>
      </w:pPr>
    </w:p>
    <w:p w:rsidR="002A2DE3" w:rsidRDefault="002A2DE3" w:rsidP="002A2DE3">
      <w:pPr>
        <w:pStyle w:val="a6"/>
        <w:spacing w:before="0" w:beforeAutospacing="0" w:after="0" w:afterAutospacing="0" w:line="360" w:lineRule="auto"/>
        <w:ind w:firstLine="709"/>
        <w:jc w:val="both"/>
        <w:rPr>
          <w:color w:val="000000"/>
          <w:sz w:val="28"/>
          <w:szCs w:val="28"/>
        </w:rPr>
      </w:pPr>
    </w:p>
    <w:p w:rsidR="002A2DE3" w:rsidRDefault="002A2DE3"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1571D1" w:rsidRDefault="001571D1" w:rsidP="002A2DE3">
      <w:pPr>
        <w:pStyle w:val="a6"/>
        <w:spacing w:before="0" w:beforeAutospacing="0" w:after="0" w:afterAutospacing="0" w:line="360" w:lineRule="auto"/>
        <w:ind w:firstLine="709"/>
        <w:jc w:val="both"/>
        <w:rPr>
          <w:color w:val="000000"/>
          <w:sz w:val="28"/>
          <w:szCs w:val="28"/>
        </w:rPr>
      </w:pPr>
    </w:p>
    <w:p w:rsidR="002A2DE3" w:rsidRDefault="002A2DE3" w:rsidP="002A2DE3">
      <w:pPr>
        <w:pStyle w:val="a6"/>
        <w:spacing w:before="0" w:beforeAutospacing="0" w:after="0" w:afterAutospacing="0" w:line="360" w:lineRule="auto"/>
        <w:ind w:firstLine="709"/>
        <w:jc w:val="both"/>
        <w:rPr>
          <w:color w:val="000000"/>
          <w:sz w:val="28"/>
          <w:szCs w:val="28"/>
        </w:rPr>
      </w:pPr>
    </w:p>
    <w:p w:rsidR="002A2DE3" w:rsidRPr="00022438" w:rsidRDefault="002A2DE3" w:rsidP="002A2DE3">
      <w:pPr>
        <w:tabs>
          <w:tab w:val="left" w:pos="3119"/>
        </w:tabs>
        <w:spacing w:line="360" w:lineRule="auto"/>
        <w:jc w:val="center"/>
        <w:rPr>
          <w:rFonts w:ascii="Times New Roman" w:hAnsi="Times New Roman"/>
          <w:b/>
          <w:sz w:val="28"/>
          <w:szCs w:val="28"/>
        </w:rPr>
      </w:pPr>
      <w:r w:rsidRPr="00022438">
        <w:rPr>
          <w:rFonts w:ascii="Times New Roman" w:hAnsi="Times New Roman"/>
          <w:b/>
          <w:sz w:val="28"/>
          <w:szCs w:val="28"/>
        </w:rPr>
        <w:lastRenderedPageBreak/>
        <w:t>Глава 2 Подходы к оценке стоимости компании</w:t>
      </w:r>
      <w:r>
        <w:rPr>
          <w:rFonts w:ascii="Times New Roman" w:hAnsi="Times New Roman"/>
          <w:b/>
          <w:sz w:val="28"/>
          <w:szCs w:val="28"/>
        </w:rPr>
        <w:t xml:space="preserve"> в целях </w:t>
      </w:r>
      <w:r>
        <w:rPr>
          <w:rFonts w:ascii="Times New Roman" w:hAnsi="Times New Roman"/>
          <w:b/>
          <w:sz w:val="28"/>
          <w:szCs w:val="28"/>
          <w:lang w:val="en-US"/>
        </w:rPr>
        <w:t>M</w:t>
      </w:r>
      <w:r w:rsidRPr="003046AE">
        <w:rPr>
          <w:rFonts w:ascii="Times New Roman" w:hAnsi="Times New Roman"/>
          <w:b/>
          <w:sz w:val="28"/>
          <w:szCs w:val="28"/>
        </w:rPr>
        <w:t>&amp;</w:t>
      </w:r>
      <w:r>
        <w:rPr>
          <w:rFonts w:ascii="Times New Roman" w:hAnsi="Times New Roman"/>
          <w:b/>
          <w:sz w:val="28"/>
          <w:szCs w:val="28"/>
          <w:lang w:val="en-US"/>
        </w:rPr>
        <w:t>A</w:t>
      </w:r>
      <w:r w:rsidRPr="00022438">
        <w:rPr>
          <w:rFonts w:ascii="Times New Roman" w:hAnsi="Times New Roman"/>
          <w:b/>
          <w:sz w:val="28"/>
          <w:szCs w:val="28"/>
        </w:rPr>
        <w:t xml:space="preserve"> и синергетического эффекта</w:t>
      </w:r>
    </w:p>
    <w:p w:rsidR="002A2DE3" w:rsidRPr="00E96125" w:rsidRDefault="002A2DE3" w:rsidP="002A2DE3">
      <w:pPr>
        <w:tabs>
          <w:tab w:val="left" w:pos="3119"/>
        </w:tabs>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настоящей главе рассмотрены три подхода к оценке бизнеса, которые в той или иной степени применимы для оценки стоимости компаний в целях слияния и поглощения. В частности доходный подход и метод дисконтированных денежных потоков, затратный подход и метод чистых активов, сравнительный подход и методы сделок, компаний – аналогов.  А так же раскрыто понятие синергетического эффекта и выделены источники его возникновения. Описаны существующие подходы и методики оценки выгод от сделок </w:t>
      </w:r>
      <w:r>
        <w:rPr>
          <w:rFonts w:ascii="Times New Roman" w:hAnsi="Times New Roman"/>
          <w:sz w:val="28"/>
          <w:szCs w:val="28"/>
          <w:lang w:val="en-US"/>
        </w:rPr>
        <w:t>M</w:t>
      </w:r>
      <w:r w:rsidRPr="00E96125">
        <w:rPr>
          <w:rFonts w:ascii="Times New Roman" w:hAnsi="Times New Roman"/>
          <w:sz w:val="28"/>
          <w:szCs w:val="28"/>
        </w:rPr>
        <w:t>&amp;</w:t>
      </w:r>
      <w:r>
        <w:rPr>
          <w:rFonts w:ascii="Times New Roman" w:hAnsi="Times New Roman"/>
          <w:sz w:val="28"/>
          <w:szCs w:val="28"/>
          <w:lang w:val="en-US"/>
        </w:rPr>
        <w:t>A</w:t>
      </w:r>
      <w:r w:rsidRPr="00E96125">
        <w:rPr>
          <w:rFonts w:ascii="Times New Roman" w:hAnsi="Times New Roman"/>
          <w:sz w:val="28"/>
          <w:szCs w:val="28"/>
        </w:rPr>
        <w:t xml:space="preserve">. </w:t>
      </w:r>
    </w:p>
    <w:p w:rsidR="002A2DE3" w:rsidRPr="003046AE" w:rsidRDefault="002A2DE3" w:rsidP="002A2DE3">
      <w:pPr>
        <w:tabs>
          <w:tab w:val="left" w:pos="3119"/>
        </w:tabs>
        <w:spacing w:line="360" w:lineRule="auto"/>
        <w:jc w:val="center"/>
        <w:rPr>
          <w:rFonts w:ascii="Times New Roman" w:hAnsi="Times New Roman"/>
          <w:b/>
          <w:sz w:val="28"/>
          <w:szCs w:val="28"/>
        </w:rPr>
      </w:pPr>
      <w:r w:rsidRPr="003046AE">
        <w:rPr>
          <w:rFonts w:ascii="Times New Roman" w:hAnsi="Times New Roman"/>
          <w:b/>
          <w:sz w:val="28"/>
          <w:szCs w:val="28"/>
        </w:rPr>
        <w:t>2.1. Оценка компании при слияниях и поглощениях</w:t>
      </w:r>
    </w:p>
    <w:p w:rsidR="002A2DE3" w:rsidRPr="00DF1F7B" w:rsidRDefault="002A2DE3" w:rsidP="002A2DE3">
      <w:pPr>
        <w:tabs>
          <w:tab w:val="left" w:pos="3119"/>
        </w:tabs>
        <w:spacing w:after="0" w:line="360" w:lineRule="auto"/>
        <w:ind w:firstLine="709"/>
        <w:jc w:val="both"/>
        <w:rPr>
          <w:rFonts w:ascii="Times New Roman" w:hAnsi="Times New Roman"/>
          <w:sz w:val="28"/>
          <w:szCs w:val="28"/>
        </w:rPr>
      </w:pPr>
      <w:r w:rsidRPr="00DF1F7B">
        <w:rPr>
          <w:rFonts w:ascii="Times New Roman" w:hAnsi="Times New Roman"/>
          <w:sz w:val="28"/>
          <w:szCs w:val="28"/>
        </w:rPr>
        <w:t>В</w:t>
      </w:r>
      <w:r w:rsidR="00375DD3">
        <w:rPr>
          <w:rFonts w:ascii="Times New Roman" w:hAnsi="Times New Roman"/>
          <w:sz w:val="28"/>
          <w:szCs w:val="28"/>
        </w:rPr>
        <w:t xml:space="preserve"> </w:t>
      </w:r>
      <w:r w:rsidRPr="00DF1F7B">
        <w:rPr>
          <w:rFonts w:ascii="Times New Roman" w:hAnsi="Times New Roman"/>
          <w:sz w:val="28"/>
          <w:szCs w:val="28"/>
        </w:rPr>
        <w:t>первую очередь, говоря об оценке любого ак</w:t>
      </w:r>
      <w:r>
        <w:rPr>
          <w:rFonts w:ascii="Times New Roman" w:hAnsi="Times New Roman"/>
          <w:sz w:val="28"/>
          <w:szCs w:val="28"/>
        </w:rPr>
        <w:t xml:space="preserve">тива, необходимо определиться с </w:t>
      </w:r>
      <w:r w:rsidRPr="00DF1F7B">
        <w:rPr>
          <w:rFonts w:ascii="Times New Roman" w:hAnsi="Times New Roman"/>
          <w:sz w:val="28"/>
          <w:szCs w:val="28"/>
        </w:rPr>
        <w:t xml:space="preserve">тем, </w:t>
      </w:r>
      <w:r>
        <w:rPr>
          <w:rFonts w:ascii="Times New Roman" w:hAnsi="Times New Roman"/>
          <w:sz w:val="28"/>
          <w:szCs w:val="28"/>
        </w:rPr>
        <w:t>какова цель оценки. И, исходя именно предполагаемой цели, выбрать какой вид стоимости предстоит определя</w:t>
      </w:r>
      <w:r w:rsidRPr="00DF1F7B">
        <w:rPr>
          <w:rFonts w:ascii="Times New Roman" w:hAnsi="Times New Roman"/>
          <w:sz w:val="28"/>
          <w:szCs w:val="28"/>
        </w:rPr>
        <w:t>т</w:t>
      </w:r>
      <w:r>
        <w:rPr>
          <w:rFonts w:ascii="Times New Roman" w:hAnsi="Times New Roman"/>
          <w:sz w:val="28"/>
          <w:szCs w:val="28"/>
        </w:rPr>
        <w:t>ь. В нашем случае цель – сделка слияния и поглощения. Поэтому, в соответствии с российскими стандартами будет определяться рыночная или инвестиционная стоимость.</w:t>
      </w:r>
      <w:r>
        <w:rPr>
          <w:rStyle w:val="a5"/>
          <w:rFonts w:ascii="Times New Roman" w:hAnsi="Times New Roman"/>
          <w:sz w:val="28"/>
          <w:szCs w:val="28"/>
        </w:rPr>
        <w:footnoteReference w:id="18"/>
      </w:r>
    </w:p>
    <w:p w:rsidR="002A2DE3" w:rsidRPr="00DF1F7B" w:rsidRDefault="002A2DE3" w:rsidP="002A2DE3">
      <w:pPr>
        <w:tabs>
          <w:tab w:val="left" w:pos="3119"/>
        </w:tabs>
        <w:spacing w:after="0" w:line="360" w:lineRule="auto"/>
        <w:ind w:firstLine="709"/>
        <w:jc w:val="both"/>
        <w:rPr>
          <w:rFonts w:ascii="Times New Roman" w:hAnsi="Times New Roman"/>
          <w:sz w:val="28"/>
          <w:szCs w:val="28"/>
        </w:rPr>
      </w:pPr>
      <w:r w:rsidRPr="00DF1F7B">
        <w:rPr>
          <w:rFonts w:ascii="Times New Roman" w:hAnsi="Times New Roman"/>
          <w:sz w:val="28"/>
          <w:szCs w:val="28"/>
        </w:rPr>
        <w:t xml:space="preserve">• Рыночная стоимость объекта оценки </w:t>
      </w:r>
      <w:proofErr w:type="gramStart"/>
      <w:r>
        <w:rPr>
          <w:rFonts w:ascii="Times New Roman" w:hAnsi="Times New Roman"/>
          <w:sz w:val="28"/>
          <w:szCs w:val="28"/>
        </w:rPr>
        <w:t>–э</w:t>
      </w:r>
      <w:proofErr w:type="gramEnd"/>
      <w:r>
        <w:rPr>
          <w:rFonts w:ascii="Times New Roman" w:hAnsi="Times New Roman"/>
          <w:sz w:val="28"/>
          <w:szCs w:val="28"/>
        </w:rPr>
        <w:t xml:space="preserve">то </w:t>
      </w:r>
      <w:r w:rsidRPr="00DF1F7B">
        <w:rPr>
          <w:rFonts w:ascii="Times New Roman" w:hAnsi="Times New Roman"/>
          <w:sz w:val="28"/>
          <w:szCs w:val="28"/>
        </w:rPr>
        <w:t>наиболее вероятная цена, по которой</w:t>
      </w:r>
      <w:r>
        <w:rPr>
          <w:rFonts w:ascii="Times New Roman" w:hAnsi="Times New Roman"/>
          <w:sz w:val="28"/>
          <w:szCs w:val="28"/>
        </w:rPr>
        <w:t xml:space="preserve"> оцениваемый объект</w:t>
      </w:r>
      <w:r w:rsidRPr="00DF1F7B">
        <w:rPr>
          <w:rFonts w:ascii="Times New Roman" w:hAnsi="Times New Roman"/>
          <w:sz w:val="28"/>
          <w:szCs w:val="28"/>
        </w:rPr>
        <w:t xml:space="preserve"> может быть отчужден на открытом</w:t>
      </w:r>
      <w:r>
        <w:rPr>
          <w:rFonts w:ascii="Times New Roman" w:hAnsi="Times New Roman"/>
          <w:sz w:val="28"/>
          <w:szCs w:val="28"/>
        </w:rPr>
        <w:t xml:space="preserve"> рынке в условиях конкуренции. Вместе с этим </w:t>
      </w:r>
      <w:r w:rsidRPr="00DF1F7B">
        <w:rPr>
          <w:rFonts w:ascii="Times New Roman" w:hAnsi="Times New Roman"/>
          <w:sz w:val="28"/>
          <w:szCs w:val="28"/>
        </w:rPr>
        <w:t>стороны сделки действуют разум</w:t>
      </w:r>
      <w:r>
        <w:rPr>
          <w:rFonts w:ascii="Times New Roman" w:hAnsi="Times New Roman"/>
          <w:sz w:val="28"/>
          <w:szCs w:val="28"/>
        </w:rPr>
        <w:t xml:space="preserve">но и располагают всей необходимой </w:t>
      </w:r>
      <w:r w:rsidRPr="00DF1F7B">
        <w:rPr>
          <w:rFonts w:ascii="Times New Roman" w:hAnsi="Times New Roman"/>
          <w:sz w:val="28"/>
          <w:szCs w:val="28"/>
        </w:rPr>
        <w:t>информацией, а на величине цены сделки не отр</w:t>
      </w:r>
      <w:r>
        <w:rPr>
          <w:rFonts w:ascii="Times New Roman" w:hAnsi="Times New Roman"/>
          <w:sz w:val="28"/>
          <w:szCs w:val="28"/>
        </w:rPr>
        <w:t xml:space="preserve">ажаются какие-либо чрезвычайные </w:t>
      </w:r>
      <w:r w:rsidRPr="00DF1F7B">
        <w:rPr>
          <w:rFonts w:ascii="Times New Roman" w:hAnsi="Times New Roman"/>
          <w:sz w:val="28"/>
          <w:szCs w:val="28"/>
        </w:rPr>
        <w:t>обстоятельства;</w:t>
      </w:r>
      <w:r>
        <w:rPr>
          <w:rStyle w:val="a5"/>
          <w:rFonts w:ascii="Times New Roman" w:hAnsi="Times New Roman"/>
          <w:sz w:val="28"/>
          <w:szCs w:val="28"/>
        </w:rPr>
        <w:footnoteReference w:id="19"/>
      </w:r>
    </w:p>
    <w:p w:rsidR="002A2DE3" w:rsidRPr="00DF1F7B" w:rsidRDefault="002A2DE3" w:rsidP="002A2DE3">
      <w:pPr>
        <w:tabs>
          <w:tab w:val="left" w:pos="3119"/>
        </w:tabs>
        <w:spacing w:after="0" w:line="360" w:lineRule="auto"/>
        <w:ind w:firstLine="709"/>
        <w:jc w:val="both"/>
        <w:rPr>
          <w:rFonts w:ascii="Times New Roman" w:hAnsi="Times New Roman"/>
          <w:sz w:val="28"/>
          <w:szCs w:val="28"/>
        </w:rPr>
      </w:pPr>
      <w:r w:rsidRPr="00DF1F7B">
        <w:rPr>
          <w:rFonts w:ascii="Times New Roman" w:hAnsi="Times New Roman"/>
          <w:sz w:val="28"/>
          <w:szCs w:val="28"/>
        </w:rPr>
        <w:t>• Инвести</w:t>
      </w:r>
      <w:r>
        <w:rPr>
          <w:rFonts w:ascii="Times New Roman" w:hAnsi="Times New Roman"/>
          <w:sz w:val="28"/>
          <w:szCs w:val="28"/>
        </w:rPr>
        <w:t>ционная стоимость</w:t>
      </w:r>
      <w:r w:rsidRPr="00DF1F7B">
        <w:rPr>
          <w:rFonts w:ascii="Times New Roman" w:hAnsi="Times New Roman"/>
          <w:sz w:val="28"/>
          <w:szCs w:val="28"/>
        </w:rPr>
        <w:t xml:space="preserve"> - стоимость объекта оценки, определяемая исходя из его доходности для конкретного лица при</w:t>
      </w:r>
      <w:r w:rsidR="001571D1">
        <w:rPr>
          <w:rFonts w:ascii="Times New Roman" w:hAnsi="Times New Roman"/>
          <w:sz w:val="28"/>
          <w:szCs w:val="28"/>
        </w:rPr>
        <w:t xml:space="preserve"> </w:t>
      </w:r>
      <w:r w:rsidRPr="00DF1F7B">
        <w:rPr>
          <w:rFonts w:ascii="Times New Roman" w:hAnsi="Times New Roman"/>
          <w:sz w:val="28"/>
          <w:szCs w:val="28"/>
        </w:rPr>
        <w:lastRenderedPageBreak/>
        <w:t>заданных</w:t>
      </w:r>
      <w:r w:rsidR="00375DD3">
        <w:rPr>
          <w:rFonts w:ascii="Times New Roman" w:hAnsi="Times New Roman"/>
          <w:sz w:val="28"/>
          <w:szCs w:val="28"/>
        </w:rPr>
        <w:t xml:space="preserve"> </w:t>
      </w:r>
      <w:r w:rsidRPr="00DF1F7B">
        <w:rPr>
          <w:rFonts w:ascii="Times New Roman" w:hAnsi="Times New Roman"/>
          <w:sz w:val="28"/>
          <w:szCs w:val="28"/>
        </w:rPr>
        <w:t>инвестиционных целях</w:t>
      </w:r>
      <w:r>
        <w:rPr>
          <w:rFonts w:ascii="Times New Roman" w:hAnsi="Times New Roman"/>
          <w:sz w:val="28"/>
          <w:szCs w:val="28"/>
        </w:rPr>
        <w:t>.</w:t>
      </w:r>
      <w:r>
        <w:rPr>
          <w:rStyle w:val="a5"/>
          <w:rFonts w:ascii="Times New Roman" w:hAnsi="Times New Roman"/>
          <w:sz w:val="28"/>
          <w:szCs w:val="28"/>
        </w:rPr>
        <w:footnoteReference w:id="20"/>
      </w:r>
      <w:proofErr w:type="gramStart"/>
      <w:r>
        <w:rPr>
          <w:rFonts w:ascii="Times New Roman" w:hAnsi="Times New Roman"/>
          <w:sz w:val="28"/>
          <w:szCs w:val="28"/>
        </w:rPr>
        <w:t>Данный вид стоимости более конкретен в отличие от рыночной и связан с определенным проектом</w:t>
      </w:r>
      <w:r w:rsidRPr="00DF1F7B">
        <w:rPr>
          <w:rFonts w:ascii="Times New Roman" w:hAnsi="Times New Roman"/>
          <w:sz w:val="28"/>
          <w:szCs w:val="28"/>
        </w:rPr>
        <w:t xml:space="preserve">; </w:t>
      </w:r>
      <w:proofErr w:type="gramEnd"/>
    </w:p>
    <w:p w:rsidR="002A2DE3" w:rsidRPr="00CE7643" w:rsidRDefault="002A2DE3"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Наиболее используемым видом стоимости при</w:t>
      </w:r>
      <w:r w:rsidRPr="00CE7643">
        <w:rPr>
          <w:rFonts w:ascii="Times New Roman" w:hAnsi="Times New Roman"/>
          <w:sz w:val="28"/>
          <w:szCs w:val="28"/>
        </w:rPr>
        <w:t xml:space="preserve"> оценке активов является</w:t>
      </w:r>
      <w:r w:rsidR="000D10CB">
        <w:rPr>
          <w:rFonts w:ascii="Times New Roman" w:hAnsi="Times New Roman"/>
          <w:sz w:val="28"/>
          <w:szCs w:val="28"/>
        </w:rPr>
        <w:t xml:space="preserve"> </w:t>
      </w:r>
      <w:r w:rsidRPr="00CE7643">
        <w:rPr>
          <w:rFonts w:ascii="Times New Roman" w:hAnsi="Times New Roman"/>
          <w:sz w:val="28"/>
          <w:szCs w:val="28"/>
        </w:rPr>
        <w:t>рыночная</w:t>
      </w:r>
      <w:r>
        <w:rPr>
          <w:rFonts w:ascii="Times New Roman" w:hAnsi="Times New Roman"/>
          <w:sz w:val="28"/>
          <w:szCs w:val="28"/>
        </w:rPr>
        <w:t xml:space="preserve"> стоимость</w:t>
      </w:r>
      <w:r w:rsidRPr="00CE7643">
        <w:rPr>
          <w:rFonts w:ascii="Times New Roman" w:hAnsi="Times New Roman"/>
          <w:sz w:val="28"/>
          <w:szCs w:val="28"/>
        </w:rPr>
        <w:t>. Данный вид стоимости характеризуется н</w:t>
      </w:r>
      <w:r>
        <w:rPr>
          <w:rFonts w:ascii="Times New Roman" w:hAnsi="Times New Roman"/>
          <w:sz w:val="28"/>
          <w:szCs w:val="28"/>
        </w:rPr>
        <w:t xml:space="preserve">аличием открытого конкурентного </w:t>
      </w:r>
      <w:r w:rsidRPr="00CE7643">
        <w:rPr>
          <w:rFonts w:ascii="Times New Roman" w:hAnsi="Times New Roman"/>
          <w:sz w:val="28"/>
          <w:szCs w:val="28"/>
        </w:rPr>
        <w:t>рынка, полного объема информации и отсутствием чрезв</w:t>
      </w:r>
      <w:r>
        <w:rPr>
          <w:rFonts w:ascii="Times New Roman" w:hAnsi="Times New Roman"/>
          <w:sz w:val="28"/>
          <w:szCs w:val="28"/>
        </w:rPr>
        <w:t>ычайных обстоятельств. Однако при M&amp;A</w:t>
      </w:r>
      <w:r w:rsidRPr="00CE7643">
        <w:rPr>
          <w:rFonts w:ascii="Times New Roman" w:hAnsi="Times New Roman"/>
          <w:sz w:val="28"/>
          <w:szCs w:val="28"/>
        </w:rPr>
        <w:t xml:space="preserve"> возникают ситуации с отсутст</w:t>
      </w:r>
      <w:r>
        <w:rPr>
          <w:rFonts w:ascii="Times New Roman" w:hAnsi="Times New Roman"/>
          <w:sz w:val="28"/>
          <w:szCs w:val="28"/>
        </w:rPr>
        <w:t xml:space="preserve">вием конкуренции за продаваемый </w:t>
      </w:r>
      <w:r w:rsidRPr="00CE7643">
        <w:rPr>
          <w:rFonts w:ascii="Times New Roman" w:hAnsi="Times New Roman"/>
          <w:sz w:val="28"/>
          <w:szCs w:val="28"/>
        </w:rPr>
        <w:t>актив, а в качестве</w:t>
      </w:r>
      <w:r>
        <w:rPr>
          <w:rFonts w:ascii="Times New Roman" w:hAnsi="Times New Roman"/>
          <w:sz w:val="28"/>
          <w:szCs w:val="28"/>
        </w:rPr>
        <w:t xml:space="preserve"> чрезвычайных обстоятельств могут выступать такие факторы, как: различная мотивация </w:t>
      </w:r>
      <w:r w:rsidRPr="00CE7643">
        <w:rPr>
          <w:rFonts w:ascii="Times New Roman" w:hAnsi="Times New Roman"/>
          <w:sz w:val="28"/>
          <w:szCs w:val="28"/>
        </w:rPr>
        <w:t>покупателей, особенности при образовании синерги</w:t>
      </w:r>
      <w:r>
        <w:rPr>
          <w:rFonts w:ascii="Times New Roman" w:hAnsi="Times New Roman"/>
          <w:sz w:val="28"/>
          <w:szCs w:val="28"/>
        </w:rPr>
        <w:t xml:space="preserve">и и другие. Перечисленные факторы делают </w:t>
      </w:r>
      <w:r w:rsidRPr="00CE7643">
        <w:rPr>
          <w:rFonts w:ascii="Times New Roman" w:hAnsi="Times New Roman"/>
          <w:sz w:val="28"/>
          <w:szCs w:val="28"/>
        </w:rPr>
        <w:t>актив не одинаково привлекательным для различ</w:t>
      </w:r>
      <w:r>
        <w:rPr>
          <w:rFonts w:ascii="Times New Roman" w:hAnsi="Times New Roman"/>
          <w:sz w:val="28"/>
          <w:szCs w:val="28"/>
        </w:rPr>
        <w:t xml:space="preserve">ных групп потенциальных покупателей. </w:t>
      </w:r>
      <w:r w:rsidRPr="00CE7643">
        <w:rPr>
          <w:rFonts w:ascii="Times New Roman" w:hAnsi="Times New Roman"/>
          <w:sz w:val="28"/>
          <w:szCs w:val="28"/>
        </w:rPr>
        <w:t xml:space="preserve">Соответственно данный вид стоимости не </w:t>
      </w:r>
      <w:r>
        <w:rPr>
          <w:rFonts w:ascii="Times New Roman" w:hAnsi="Times New Roman"/>
          <w:sz w:val="28"/>
          <w:szCs w:val="28"/>
        </w:rPr>
        <w:t xml:space="preserve">всегда </w:t>
      </w:r>
      <w:r w:rsidRPr="00CE7643">
        <w:rPr>
          <w:rFonts w:ascii="Times New Roman" w:hAnsi="Times New Roman"/>
          <w:sz w:val="28"/>
          <w:szCs w:val="28"/>
        </w:rPr>
        <w:t>может применяться для</w:t>
      </w:r>
      <w:r>
        <w:rPr>
          <w:rFonts w:ascii="Times New Roman" w:hAnsi="Times New Roman"/>
          <w:sz w:val="28"/>
          <w:szCs w:val="28"/>
        </w:rPr>
        <w:t xml:space="preserve"> сделок</w:t>
      </w:r>
      <w:r w:rsidRPr="00CE7643">
        <w:rPr>
          <w:rFonts w:ascii="Times New Roman" w:hAnsi="Times New Roman"/>
          <w:sz w:val="28"/>
          <w:szCs w:val="28"/>
        </w:rPr>
        <w:t xml:space="preserve"> M&amp;A. </w:t>
      </w:r>
    </w:p>
    <w:p w:rsidR="002A2DE3" w:rsidRPr="00CE7643" w:rsidRDefault="002A2DE3"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Другие виды</w:t>
      </w:r>
      <w:r w:rsidRPr="00CE7643">
        <w:rPr>
          <w:rFonts w:ascii="Times New Roman" w:hAnsi="Times New Roman"/>
          <w:sz w:val="28"/>
          <w:szCs w:val="28"/>
        </w:rPr>
        <w:t xml:space="preserve"> стоимости, которые возможно использовать для целей M&amp;A </w:t>
      </w:r>
      <w:r>
        <w:rPr>
          <w:rFonts w:ascii="Times New Roman" w:hAnsi="Times New Roman"/>
          <w:sz w:val="28"/>
          <w:szCs w:val="28"/>
        </w:rPr>
        <w:t xml:space="preserve">- это </w:t>
      </w:r>
      <w:r w:rsidRPr="00CE7643">
        <w:rPr>
          <w:rFonts w:ascii="Times New Roman" w:hAnsi="Times New Roman"/>
          <w:sz w:val="28"/>
          <w:szCs w:val="28"/>
        </w:rPr>
        <w:t>стоимость воспроиз</w:t>
      </w:r>
      <w:r>
        <w:rPr>
          <w:rFonts w:ascii="Times New Roman" w:hAnsi="Times New Roman"/>
          <w:sz w:val="28"/>
          <w:szCs w:val="28"/>
        </w:rPr>
        <w:t>водства и стоимость замещения. Они рассматривают бизнес как совокупность</w:t>
      </w:r>
      <w:r w:rsidRPr="00CE7643">
        <w:rPr>
          <w:rFonts w:ascii="Times New Roman" w:hAnsi="Times New Roman"/>
          <w:sz w:val="28"/>
          <w:szCs w:val="28"/>
        </w:rPr>
        <w:t xml:space="preserve"> принадлежащих ему активов, которые </w:t>
      </w:r>
      <w:r>
        <w:rPr>
          <w:rFonts w:ascii="Times New Roman" w:hAnsi="Times New Roman"/>
          <w:sz w:val="28"/>
          <w:szCs w:val="28"/>
        </w:rPr>
        <w:t xml:space="preserve">при необходимости </w:t>
      </w:r>
      <w:r w:rsidRPr="00CE7643">
        <w:rPr>
          <w:rFonts w:ascii="Times New Roman" w:hAnsi="Times New Roman"/>
          <w:sz w:val="28"/>
          <w:szCs w:val="28"/>
        </w:rPr>
        <w:t xml:space="preserve">могут </w:t>
      </w:r>
      <w:r>
        <w:rPr>
          <w:rFonts w:ascii="Times New Roman" w:hAnsi="Times New Roman"/>
          <w:sz w:val="28"/>
          <w:szCs w:val="28"/>
        </w:rPr>
        <w:t>быть проданы по отдельности. Однако в</w:t>
      </w:r>
      <w:r w:rsidRPr="00CE7643">
        <w:rPr>
          <w:rFonts w:ascii="Times New Roman" w:hAnsi="Times New Roman"/>
          <w:sz w:val="28"/>
          <w:szCs w:val="28"/>
        </w:rPr>
        <w:t xml:space="preserve"> большинстве случаев эти виды стоимости также неприменимы для</w:t>
      </w:r>
      <w:r>
        <w:rPr>
          <w:rFonts w:ascii="Times New Roman" w:hAnsi="Times New Roman"/>
          <w:sz w:val="28"/>
          <w:szCs w:val="28"/>
        </w:rPr>
        <w:t xml:space="preserve"> целей M&amp;A. С другой стороны, многие сдел</w:t>
      </w:r>
      <w:r w:rsidRPr="00CE7643">
        <w:rPr>
          <w:rFonts w:ascii="Times New Roman" w:hAnsi="Times New Roman"/>
          <w:sz w:val="28"/>
          <w:szCs w:val="28"/>
        </w:rPr>
        <w:t>к</w:t>
      </w:r>
      <w:r>
        <w:rPr>
          <w:rFonts w:ascii="Times New Roman" w:hAnsi="Times New Roman"/>
          <w:sz w:val="28"/>
          <w:szCs w:val="28"/>
        </w:rPr>
        <w:t>и</w:t>
      </w:r>
      <w:r w:rsidRPr="00CE7643">
        <w:rPr>
          <w:rFonts w:ascii="Times New Roman" w:hAnsi="Times New Roman"/>
          <w:sz w:val="28"/>
          <w:szCs w:val="28"/>
        </w:rPr>
        <w:t xml:space="preserve"> соверш</w:t>
      </w:r>
      <w:r>
        <w:rPr>
          <w:rFonts w:ascii="Times New Roman" w:hAnsi="Times New Roman"/>
          <w:sz w:val="28"/>
          <w:szCs w:val="28"/>
        </w:rPr>
        <w:t xml:space="preserve">аются с использованием заемного </w:t>
      </w:r>
      <w:r w:rsidRPr="00CE7643">
        <w:rPr>
          <w:rFonts w:ascii="Times New Roman" w:hAnsi="Times New Roman"/>
          <w:sz w:val="28"/>
          <w:szCs w:val="28"/>
        </w:rPr>
        <w:t>финансирован</w:t>
      </w:r>
      <w:r>
        <w:rPr>
          <w:rFonts w:ascii="Times New Roman" w:hAnsi="Times New Roman"/>
          <w:sz w:val="28"/>
          <w:szCs w:val="28"/>
        </w:rPr>
        <w:t xml:space="preserve">ия. Например, синдицированного кредита, в связи, с чем кредиторы </w:t>
      </w:r>
      <w:r w:rsidRPr="00CE7643">
        <w:rPr>
          <w:rFonts w:ascii="Times New Roman" w:hAnsi="Times New Roman"/>
          <w:sz w:val="28"/>
          <w:szCs w:val="28"/>
        </w:rPr>
        <w:t>интересуются возможностью реализации активов приобр</w:t>
      </w:r>
      <w:r>
        <w:rPr>
          <w:rFonts w:ascii="Times New Roman" w:hAnsi="Times New Roman"/>
          <w:sz w:val="28"/>
          <w:szCs w:val="28"/>
        </w:rPr>
        <w:t xml:space="preserve">етаемой компании в том случае, если </w:t>
      </w:r>
      <w:r w:rsidRPr="00CE7643">
        <w:rPr>
          <w:rFonts w:ascii="Times New Roman" w:hAnsi="Times New Roman"/>
          <w:sz w:val="28"/>
          <w:szCs w:val="28"/>
        </w:rPr>
        <w:t xml:space="preserve">прогнозы </w:t>
      </w:r>
      <w:r>
        <w:rPr>
          <w:rFonts w:ascii="Times New Roman" w:hAnsi="Times New Roman"/>
          <w:sz w:val="28"/>
          <w:szCs w:val="28"/>
        </w:rPr>
        <w:t>компании – покупателя не оправдаются. В эт</w:t>
      </w:r>
      <w:r w:rsidRPr="00CE7643">
        <w:rPr>
          <w:rFonts w:ascii="Times New Roman" w:hAnsi="Times New Roman"/>
          <w:sz w:val="28"/>
          <w:szCs w:val="28"/>
        </w:rPr>
        <w:t>ом случае</w:t>
      </w:r>
      <w:r>
        <w:rPr>
          <w:rFonts w:ascii="Times New Roman" w:hAnsi="Times New Roman"/>
          <w:sz w:val="28"/>
          <w:szCs w:val="28"/>
        </w:rPr>
        <w:t xml:space="preserve"> указанные виды стоимости будут основными</w:t>
      </w:r>
      <w:r w:rsidRPr="00CE7643">
        <w:rPr>
          <w:rFonts w:ascii="Times New Roman" w:hAnsi="Times New Roman"/>
          <w:sz w:val="28"/>
          <w:szCs w:val="28"/>
        </w:rPr>
        <w:t xml:space="preserve">. </w:t>
      </w:r>
    </w:p>
    <w:p w:rsidR="002A2DE3" w:rsidRPr="008868EA" w:rsidRDefault="002A2DE3"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Главным</w:t>
      </w:r>
      <w:r w:rsidRPr="00CE7643">
        <w:rPr>
          <w:rFonts w:ascii="Times New Roman" w:hAnsi="Times New Roman"/>
          <w:sz w:val="28"/>
          <w:szCs w:val="28"/>
        </w:rPr>
        <w:t xml:space="preserve"> же видом стоимости,</w:t>
      </w:r>
      <w:r>
        <w:rPr>
          <w:rFonts w:ascii="Times New Roman" w:hAnsi="Times New Roman"/>
          <w:sz w:val="28"/>
          <w:szCs w:val="28"/>
        </w:rPr>
        <w:t xml:space="preserve"> который используется</w:t>
      </w:r>
      <w:r w:rsidRPr="00CE7643">
        <w:rPr>
          <w:rFonts w:ascii="Times New Roman" w:hAnsi="Times New Roman"/>
          <w:sz w:val="28"/>
          <w:szCs w:val="28"/>
        </w:rPr>
        <w:t xml:space="preserve"> для </w:t>
      </w:r>
      <w:r>
        <w:rPr>
          <w:rFonts w:ascii="Times New Roman" w:hAnsi="Times New Roman"/>
          <w:sz w:val="28"/>
          <w:szCs w:val="28"/>
        </w:rPr>
        <w:t>сделок слияния</w:t>
      </w:r>
      <w:r w:rsidRPr="00CE7643">
        <w:rPr>
          <w:rFonts w:ascii="Times New Roman" w:hAnsi="Times New Roman"/>
          <w:sz w:val="28"/>
          <w:szCs w:val="28"/>
        </w:rPr>
        <w:t>, является</w:t>
      </w:r>
      <w:r w:rsidR="00E564B4">
        <w:rPr>
          <w:rFonts w:ascii="Times New Roman" w:hAnsi="Times New Roman"/>
          <w:sz w:val="28"/>
          <w:szCs w:val="28"/>
        </w:rPr>
        <w:t xml:space="preserve"> </w:t>
      </w:r>
      <w:r w:rsidRPr="00CE7643">
        <w:rPr>
          <w:rFonts w:ascii="Times New Roman" w:hAnsi="Times New Roman"/>
          <w:sz w:val="28"/>
          <w:szCs w:val="28"/>
        </w:rPr>
        <w:t>инвестиционн</w:t>
      </w:r>
      <w:r>
        <w:rPr>
          <w:rFonts w:ascii="Times New Roman" w:hAnsi="Times New Roman"/>
          <w:sz w:val="28"/>
          <w:szCs w:val="28"/>
        </w:rPr>
        <w:t xml:space="preserve">ая стоимость. Так, согласно стандартам оценки, данная </w:t>
      </w:r>
      <w:r w:rsidRPr="00CE7643">
        <w:rPr>
          <w:rFonts w:ascii="Times New Roman" w:hAnsi="Times New Roman"/>
          <w:sz w:val="28"/>
          <w:szCs w:val="28"/>
        </w:rPr>
        <w:t>стоимость будет различной для разных покупателей о</w:t>
      </w:r>
      <w:r>
        <w:rPr>
          <w:rFonts w:ascii="Times New Roman" w:hAnsi="Times New Roman"/>
          <w:sz w:val="28"/>
          <w:szCs w:val="28"/>
        </w:rPr>
        <w:t xml:space="preserve">бъекта, так как исходит из индивидуальных требований каждого инвестора. При определении стоимости в целях </w:t>
      </w:r>
      <w:r>
        <w:rPr>
          <w:rFonts w:ascii="Times New Roman" w:hAnsi="Times New Roman"/>
          <w:sz w:val="28"/>
          <w:szCs w:val="28"/>
          <w:lang w:val="en-US"/>
        </w:rPr>
        <w:t>M</w:t>
      </w:r>
      <w:r w:rsidRPr="00FD540B">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данные различия </w:t>
      </w:r>
      <w:r>
        <w:rPr>
          <w:rFonts w:ascii="Times New Roman" w:hAnsi="Times New Roman"/>
          <w:sz w:val="28"/>
          <w:szCs w:val="28"/>
        </w:rPr>
        <w:lastRenderedPageBreak/>
        <w:t>обусловлены</w:t>
      </w:r>
      <w:r w:rsidRPr="00CE7643">
        <w:rPr>
          <w:rFonts w:ascii="Times New Roman" w:hAnsi="Times New Roman"/>
          <w:sz w:val="28"/>
          <w:szCs w:val="28"/>
        </w:rPr>
        <w:t xml:space="preserve"> наличием синергии</w:t>
      </w:r>
      <w:r w:rsidRPr="00FD540B">
        <w:rPr>
          <w:rFonts w:ascii="Times New Roman" w:hAnsi="Times New Roman"/>
          <w:sz w:val="28"/>
          <w:szCs w:val="28"/>
        </w:rPr>
        <w:t xml:space="preserve"> (</w:t>
      </w:r>
      <w:r>
        <w:rPr>
          <w:rFonts w:ascii="Times New Roman" w:hAnsi="Times New Roman"/>
          <w:sz w:val="28"/>
          <w:szCs w:val="28"/>
        </w:rPr>
        <w:t>выгоды)</w:t>
      </w:r>
      <w:r w:rsidRPr="00CE7643">
        <w:rPr>
          <w:rFonts w:ascii="Times New Roman" w:hAnsi="Times New Roman"/>
          <w:sz w:val="28"/>
          <w:szCs w:val="28"/>
        </w:rPr>
        <w:t>, которая для каждо</w:t>
      </w:r>
      <w:r>
        <w:rPr>
          <w:rFonts w:ascii="Times New Roman" w:hAnsi="Times New Roman"/>
          <w:sz w:val="28"/>
          <w:szCs w:val="28"/>
        </w:rPr>
        <w:t xml:space="preserve">го конкретного покупателя будет </w:t>
      </w:r>
      <w:r w:rsidRPr="00CE7643">
        <w:rPr>
          <w:rFonts w:ascii="Times New Roman" w:hAnsi="Times New Roman"/>
          <w:sz w:val="28"/>
          <w:szCs w:val="28"/>
        </w:rPr>
        <w:t>своя. Соответственно наибольшая инвестиционная сто</w:t>
      </w:r>
      <w:r>
        <w:rPr>
          <w:rFonts w:ascii="Times New Roman" w:hAnsi="Times New Roman"/>
          <w:sz w:val="28"/>
          <w:szCs w:val="28"/>
        </w:rPr>
        <w:t xml:space="preserve">имость оцениваемого объекта будет для покупателя, который ожидает </w:t>
      </w:r>
      <w:r w:rsidRPr="00CE7643">
        <w:rPr>
          <w:rFonts w:ascii="Times New Roman" w:hAnsi="Times New Roman"/>
          <w:sz w:val="28"/>
          <w:szCs w:val="28"/>
        </w:rPr>
        <w:t>получить наибо</w:t>
      </w:r>
      <w:r>
        <w:rPr>
          <w:rFonts w:ascii="Times New Roman" w:hAnsi="Times New Roman"/>
          <w:sz w:val="28"/>
          <w:szCs w:val="28"/>
        </w:rPr>
        <w:t>льшие синергетические выгоды от объединения компаний. Важно отметить</w:t>
      </w:r>
      <w:r w:rsidRPr="00CE7643">
        <w:rPr>
          <w:rFonts w:ascii="Times New Roman" w:hAnsi="Times New Roman"/>
          <w:sz w:val="28"/>
          <w:szCs w:val="28"/>
        </w:rPr>
        <w:t>, что инвестиционна</w:t>
      </w:r>
      <w:r>
        <w:rPr>
          <w:rFonts w:ascii="Times New Roman" w:hAnsi="Times New Roman"/>
          <w:sz w:val="28"/>
          <w:szCs w:val="28"/>
        </w:rPr>
        <w:t xml:space="preserve">я стоимость, по сути являющаяся </w:t>
      </w:r>
      <w:r w:rsidRPr="00CE7643">
        <w:rPr>
          <w:rFonts w:ascii="Times New Roman" w:hAnsi="Times New Roman"/>
          <w:sz w:val="28"/>
          <w:szCs w:val="28"/>
        </w:rPr>
        <w:t>максимальной суммой, которую экономически опр</w:t>
      </w:r>
      <w:r>
        <w:rPr>
          <w:rFonts w:ascii="Times New Roman" w:hAnsi="Times New Roman"/>
          <w:sz w:val="28"/>
          <w:szCs w:val="28"/>
        </w:rPr>
        <w:t xml:space="preserve">авдано и целесообразно заплатить за компанию – цель, </w:t>
      </w:r>
      <w:r w:rsidRPr="00CE7643">
        <w:rPr>
          <w:rFonts w:ascii="Times New Roman" w:hAnsi="Times New Roman"/>
          <w:sz w:val="28"/>
          <w:szCs w:val="28"/>
        </w:rPr>
        <w:t>будет отличаться от рыночной стоимости на</w:t>
      </w:r>
      <w:r>
        <w:rPr>
          <w:rFonts w:ascii="Times New Roman" w:hAnsi="Times New Roman"/>
          <w:sz w:val="28"/>
          <w:szCs w:val="28"/>
        </w:rPr>
        <w:t xml:space="preserve"> величину синергии, возникающей при слиянии, за минус</w:t>
      </w:r>
      <w:r w:rsidRPr="00CE7643">
        <w:rPr>
          <w:rFonts w:ascii="Times New Roman" w:hAnsi="Times New Roman"/>
          <w:sz w:val="28"/>
          <w:szCs w:val="28"/>
        </w:rPr>
        <w:t>ом затрат на интеграцию.</w:t>
      </w:r>
      <w:r w:rsidR="001571D1">
        <w:rPr>
          <w:rFonts w:ascii="Times New Roman" w:hAnsi="Times New Roman"/>
          <w:sz w:val="28"/>
          <w:szCs w:val="28"/>
        </w:rPr>
        <w:t xml:space="preserve"> </w:t>
      </w:r>
      <w:r w:rsidRPr="00CE7643">
        <w:rPr>
          <w:rFonts w:ascii="Times New Roman" w:hAnsi="Times New Roman"/>
          <w:sz w:val="28"/>
          <w:szCs w:val="28"/>
        </w:rPr>
        <w:t>Таким образом, процедуру оценки для целей с</w:t>
      </w:r>
      <w:r>
        <w:rPr>
          <w:rFonts w:ascii="Times New Roman" w:hAnsi="Times New Roman"/>
          <w:sz w:val="28"/>
          <w:szCs w:val="28"/>
        </w:rPr>
        <w:t xml:space="preserve">лияний можно представить в виде </w:t>
      </w:r>
      <w:r w:rsidRPr="00CE7643">
        <w:rPr>
          <w:rFonts w:ascii="Times New Roman" w:hAnsi="Times New Roman"/>
          <w:sz w:val="28"/>
          <w:szCs w:val="28"/>
        </w:rPr>
        <w:t>следующей схемы</w:t>
      </w:r>
      <w:r>
        <w:rPr>
          <w:rFonts w:ascii="Times New Roman" w:hAnsi="Times New Roman"/>
          <w:sz w:val="28"/>
          <w:szCs w:val="28"/>
        </w:rPr>
        <w:t xml:space="preserve"> (рис. 7)</w:t>
      </w:r>
      <w:r w:rsidRPr="00CE7643">
        <w:rPr>
          <w:rFonts w:ascii="Times New Roman" w:hAnsi="Times New Roman"/>
          <w:sz w:val="28"/>
          <w:szCs w:val="28"/>
        </w:rPr>
        <w:t>:</w:t>
      </w:r>
    </w:p>
    <w:p w:rsidR="002A2DE3" w:rsidRDefault="002A2DE3" w:rsidP="002A2DE3">
      <w:pPr>
        <w:tabs>
          <w:tab w:val="left" w:pos="3119"/>
        </w:tabs>
        <w:spacing w:line="360" w:lineRule="auto"/>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486400" cy="3060000"/>
            <wp:effectExtent l="0" t="19050" r="0" b="2610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A2DE3" w:rsidRPr="002036F1" w:rsidRDefault="002A2DE3" w:rsidP="002A2DE3">
      <w:pPr>
        <w:tabs>
          <w:tab w:val="left" w:pos="3119"/>
        </w:tabs>
        <w:spacing w:line="240" w:lineRule="auto"/>
        <w:jc w:val="center"/>
        <w:rPr>
          <w:rFonts w:ascii="Times New Roman" w:hAnsi="Times New Roman"/>
          <w:sz w:val="28"/>
          <w:szCs w:val="28"/>
        </w:rPr>
      </w:pPr>
      <w:r>
        <w:rPr>
          <w:rFonts w:ascii="Times New Roman" w:hAnsi="Times New Roman"/>
          <w:sz w:val="28"/>
          <w:szCs w:val="28"/>
        </w:rPr>
        <w:t>Рис. 7 Алгоритм расчета инвестиционной стоимости компании</w:t>
      </w:r>
      <w:r w:rsidR="00375DD3">
        <w:rPr>
          <w:rStyle w:val="a5"/>
          <w:rFonts w:ascii="Times New Roman" w:hAnsi="Times New Roman"/>
          <w:sz w:val="28"/>
          <w:szCs w:val="28"/>
        </w:rPr>
        <w:footnoteReference w:id="21"/>
      </w:r>
    </w:p>
    <w:p w:rsidR="002A2DE3" w:rsidRPr="00EE6FE0" w:rsidRDefault="002A2DE3" w:rsidP="002A2DE3">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Теперь перейдем к оценке. В современной теории и практике оценки бизнеса существует три масштабно используемых подхода к оценке, которые представлены в таблице 3, это: д</w:t>
      </w:r>
      <w:r w:rsidRPr="002358EF">
        <w:rPr>
          <w:rFonts w:ascii="Times New Roman" w:hAnsi="Times New Roman"/>
          <w:sz w:val="28"/>
          <w:szCs w:val="28"/>
        </w:rPr>
        <w:t>оходный</w:t>
      </w:r>
      <w:r>
        <w:rPr>
          <w:rFonts w:ascii="Times New Roman" w:hAnsi="Times New Roman"/>
          <w:sz w:val="28"/>
          <w:szCs w:val="28"/>
        </w:rPr>
        <w:t>, з</w:t>
      </w:r>
      <w:r w:rsidRPr="002358EF">
        <w:rPr>
          <w:rFonts w:ascii="Times New Roman" w:hAnsi="Times New Roman"/>
          <w:sz w:val="28"/>
          <w:szCs w:val="28"/>
        </w:rPr>
        <w:t>атратный</w:t>
      </w:r>
      <w:r>
        <w:rPr>
          <w:rFonts w:ascii="Times New Roman" w:hAnsi="Times New Roman"/>
          <w:sz w:val="28"/>
          <w:szCs w:val="28"/>
        </w:rPr>
        <w:t xml:space="preserve"> (п</w:t>
      </w:r>
      <w:r w:rsidRPr="002358EF">
        <w:rPr>
          <w:rFonts w:ascii="Times New Roman" w:hAnsi="Times New Roman"/>
          <w:sz w:val="28"/>
          <w:szCs w:val="28"/>
        </w:rPr>
        <w:t>одход по активам)</w:t>
      </w:r>
      <w:r>
        <w:rPr>
          <w:rFonts w:ascii="Times New Roman" w:hAnsi="Times New Roman"/>
          <w:sz w:val="28"/>
          <w:szCs w:val="28"/>
        </w:rPr>
        <w:t xml:space="preserve"> и с</w:t>
      </w:r>
      <w:r w:rsidRPr="002358EF">
        <w:rPr>
          <w:rFonts w:ascii="Times New Roman" w:hAnsi="Times New Roman"/>
          <w:sz w:val="28"/>
          <w:szCs w:val="28"/>
        </w:rPr>
        <w:t>равнительный</w:t>
      </w:r>
      <w:r>
        <w:rPr>
          <w:rFonts w:ascii="Times New Roman" w:hAnsi="Times New Roman"/>
          <w:sz w:val="28"/>
          <w:szCs w:val="28"/>
        </w:rPr>
        <w:t xml:space="preserve"> (р</w:t>
      </w:r>
      <w:r w:rsidRPr="002358EF">
        <w:rPr>
          <w:rFonts w:ascii="Times New Roman" w:hAnsi="Times New Roman"/>
          <w:sz w:val="28"/>
          <w:szCs w:val="28"/>
        </w:rPr>
        <w:t>ыночный подход)</w:t>
      </w:r>
      <w:r>
        <w:rPr>
          <w:rFonts w:ascii="Times New Roman" w:hAnsi="Times New Roman"/>
          <w:sz w:val="28"/>
          <w:szCs w:val="28"/>
        </w:rPr>
        <w:t xml:space="preserve"> подходы. В них выделены методы, которые применяются при оценке в целях </w:t>
      </w:r>
      <w:r>
        <w:rPr>
          <w:rFonts w:ascii="Times New Roman" w:hAnsi="Times New Roman"/>
          <w:sz w:val="28"/>
          <w:szCs w:val="28"/>
          <w:lang w:val="en-US"/>
        </w:rPr>
        <w:t>M</w:t>
      </w:r>
      <w:r w:rsidRPr="00EE6FE0">
        <w:rPr>
          <w:rFonts w:ascii="Times New Roman" w:hAnsi="Times New Roman"/>
          <w:sz w:val="28"/>
          <w:szCs w:val="28"/>
        </w:rPr>
        <w:t>&amp;</w:t>
      </w:r>
      <w:r>
        <w:rPr>
          <w:rFonts w:ascii="Times New Roman" w:hAnsi="Times New Roman"/>
          <w:sz w:val="28"/>
          <w:szCs w:val="28"/>
          <w:lang w:val="en-US"/>
        </w:rPr>
        <w:t>A</w:t>
      </w:r>
      <w:r w:rsidRPr="00EE6FE0">
        <w:rPr>
          <w:rFonts w:ascii="Times New Roman" w:hAnsi="Times New Roman"/>
          <w:sz w:val="28"/>
          <w:szCs w:val="28"/>
        </w:rPr>
        <w:t>.</w:t>
      </w:r>
    </w:p>
    <w:p w:rsidR="002A2DE3" w:rsidRDefault="002A2DE3" w:rsidP="004843D8">
      <w:pPr>
        <w:tabs>
          <w:tab w:val="left" w:pos="3119"/>
        </w:tabs>
        <w:spacing w:after="0"/>
        <w:ind w:firstLine="709"/>
        <w:jc w:val="right"/>
        <w:rPr>
          <w:rFonts w:ascii="Times New Roman" w:hAnsi="Times New Roman"/>
          <w:sz w:val="28"/>
          <w:szCs w:val="28"/>
        </w:rPr>
      </w:pPr>
      <w:r>
        <w:rPr>
          <w:rFonts w:ascii="Times New Roman" w:hAnsi="Times New Roman"/>
          <w:sz w:val="28"/>
          <w:szCs w:val="28"/>
        </w:rPr>
        <w:lastRenderedPageBreak/>
        <w:t>Таблица 3.</w:t>
      </w:r>
    </w:p>
    <w:p w:rsidR="002A2DE3" w:rsidRDefault="002A2DE3" w:rsidP="004843D8">
      <w:pPr>
        <w:tabs>
          <w:tab w:val="left" w:pos="3119"/>
        </w:tabs>
        <w:spacing w:after="0"/>
        <w:ind w:firstLine="709"/>
        <w:jc w:val="right"/>
        <w:rPr>
          <w:rFonts w:ascii="Times New Roman" w:hAnsi="Times New Roman"/>
          <w:sz w:val="28"/>
          <w:szCs w:val="28"/>
        </w:rPr>
      </w:pPr>
      <w:r>
        <w:rPr>
          <w:rFonts w:ascii="Times New Roman" w:hAnsi="Times New Roman"/>
          <w:sz w:val="28"/>
          <w:szCs w:val="28"/>
        </w:rPr>
        <w:t>Подходы и методы оценки компаний.</w:t>
      </w:r>
    </w:p>
    <w:tbl>
      <w:tblPr>
        <w:tblStyle w:val="ab"/>
        <w:tblW w:w="0" w:type="auto"/>
        <w:tblLook w:val="04A0"/>
      </w:tblPr>
      <w:tblGrid>
        <w:gridCol w:w="3118"/>
        <w:gridCol w:w="3077"/>
        <w:gridCol w:w="3091"/>
      </w:tblGrid>
      <w:tr w:rsidR="002A2DE3" w:rsidTr="002A3642">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Доходный</w:t>
            </w:r>
          </w:p>
        </w:tc>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Сравнительный</w:t>
            </w:r>
          </w:p>
        </w:tc>
        <w:tc>
          <w:tcPr>
            <w:tcW w:w="319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Затратный</w:t>
            </w:r>
          </w:p>
        </w:tc>
      </w:tr>
      <w:tr w:rsidR="002A2DE3" w:rsidTr="002A3642">
        <w:tc>
          <w:tcPr>
            <w:tcW w:w="3190" w:type="dxa"/>
            <w:vAlign w:val="center"/>
          </w:tcPr>
          <w:p w:rsidR="002A2DE3" w:rsidRPr="00ED09B4"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 xml:space="preserve">Метод дисконтированных денежных потоков </w:t>
            </w:r>
          </w:p>
        </w:tc>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компаний - аналогов</w:t>
            </w:r>
          </w:p>
        </w:tc>
        <w:tc>
          <w:tcPr>
            <w:tcW w:w="319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ликвидационной стоимости</w:t>
            </w:r>
          </w:p>
        </w:tc>
      </w:tr>
      <w:tr w:rsidR="002A2DE3" w:rsidTr="002A3642">
        <w:tc>
          <w:tcPr>
            <w:tcW w:w="3190" w:type="dxa"/>
            <w:vAlign w:val="center"/>
          </w:tcPr>
          <w:p w:rsidR="002A2DE3" w:rsidRPr="002358EF"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капитализации доходов</w:t>
            </w:r>
          </w:p>
        </w:tc>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сделок</w:t>
            </w:r>
          </w:p>
        </w:tc>
        <w:tc>
          <w:tcPr>
            <w:tcW w:w="319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чистых активов</w:t>
            </w:r>
          </w:p>
        </w:tc>
      </w:tr>
      <w:tr w:rsidR="002A2DE3" w:rsidTr="002A3642">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p>
        </w:tc>
        <w:tc>
          <w:tcPr>
            <w:tcW w:w="3190"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Метод отраслевых коэффициентов</w:t>
            </w:r>
          </w:p>
        </w:tc>
        <w:tc>
          <w:tcPr>
            <w:tcW w:w="3191" w:type="dxa"/>
            <w:vAlign w:val="center"/>
          </w:tcPr>
          <w:p w:rsidR="002A2DE3" w:rsidRDefault="002A2DE3" w:rsidP="002A3642">
            <w:pPr>
              <w:tabs>
                <w:tab w:val="left" w:pos="3119"/>
              </w:tabs>
              <w:spacing w:line="276" w:lineRule="auto"/>
              <w:jc w:val="center"/>
              <w:rPr>
                <w:rFonts w:ascii="Times New Roman" w:hAnsi="Times New Roman"/>
                <w:sz w:val="28"/>
                <w:szCs w:val="28"/>
              </w:rPr>
            </w:pPr>
          </w:p>
        </w:tc>
      </w:tr>
    </w:tbl>
    <w:p w:rsidR="002A2DE3" w:rsidRPr="002358EF" w:rsidRDefault="002A2DE3" w:rsidP="002A2DE3">
      <w:pPr>
        <w:tabs>
          <w:tab w:val="left" w:pos="3119"/>
        </w:tabs>
        <w:spacing w:after="0" w:line="360" w:lineRule="auto"/>
        <w:ind w:firstLine="709"/>
        <w:jc w:val="right"/>
        <w:rPr>
          <w:rFonts w:ascii="Times New Roman" w:hAnsi="Times New Roman"/>
          <w:sz w:val="28"/>
          <w:szCs w:val="28"/>
        </w:rPr>
      </w:pPr>
    </w:p>
    <w:p w:rsidR="002A2DE3" w:rsidRDefault="002A2DE3" w:rsidP="002A2DE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При анализе подходов и методов к оценке сделок </w:t>
      </w:r>
      <w:r>
        <w:rPr>
          <w:rFonts w:ascii="Times New Roman" w:hAnsi="Times New Roman"/>
          <w:sz w:val="28"/>
          <w:szCs w:val="28"/>
          <w:lang w:val="en-US"/>
        </w:rPr>
        <w:t>M</w:t>
      </w:r>
      <w:r w:rsidRPr="009D2713">
        <w:rPr>
          <w:rFonts w:ascii="Times New Roman" w:hAnsi="Times New Roman"/>
          <w:sz w:val="28"/>
          <w:szCs w:val="28"/>
        </w:rPr>
        <w:t>&amp;</w:t>
      </w:r>
      <w:proofErr w:type="gramStart"/>
      <w:r>
        <w:rPr>
          <w:rFonts w:ascii="Times New Roman" w:hAnsi="Times New Roman"/>
          <w:sz w:val="28"/>
          <w:szCs w:val="28"/>
          <w:lang w:val="en-US"/>
        </w:rPr>
        <w:t>A</w:t>
      </w:r>
      <w:proofErr w:type="gramEnd"/>
      <w:r>
        <w:rPr>
          <w:rFonts w:ascii="Times New Roman" w:hAnsi="Times New Roman"/>
          <w:sz w:val="28"/>
          <w:szCs w:val="28"/>
        </w:rPr>
        <w:t xml:space="preserve">выделяют перспективную и ретроспективную оценки. Перспективная оценка предполагает прогнозирование на будущее и оценку инвестиционной стоимости компании до осуществления сделки. Ретроспективная оценка наоборот дает возможность оценить целесообразность сделки, достижение запланированной синергии и сделать выводы о потере или приобретении в стоимости компании после сделки </w:t>
      </w:r>
      <w:r>
        <w:rPr>
          <w:rFonts w:ascii="Times New Roman" w:hAnsi="Times New Roman"/>
          <w:sz w:val="28"/>
          <w:szCs w:val="28"/>
          <w:lang w:val="en-US"/>
        </w:rPr>
        <w:t>M</w:t>
      </w:r>
      <w:r w:rsidRPr="009D2713">
        <w:rPr>
          <w:rFonts w:ascii="Times New Roman" w:hAnsi="Times New Roman"/>
          <w:sz w:val="28"/>
          <w:szCs w:val="28"/>
        </w:rPr>
        <w:t>&amp;</w:t>
      </w:r>
      <w:r>
        <w:rPr>
          <w:rFonts w:ascii="Times New Roman" w:hAnsi="Times New Roman"/>
          <w:sz w:val="28"/>
          <w:szCs w:val="28"/>
          <w:lang w:val="en-US"/>
        </w:rPr>
        <w:t>A</w:t>
      </w:r>
      <w:r w:rsidRPr="009D2713">
        <w:rPr>
          <w:rFonts w:ascii="Times New Roman" w:hAnsi="Times New Roman"/>
          <w:sz w:val="28"/>
          <w:szCs w:val="28"/>
        </w:rPr>
        <w:t>.</w:t>
      </w:r>
    </w:p>
    <w:p w:rsidR="002A2DE3" w:rsidRDefault="002A2DE3" w:rsidP="002A2DE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Перейдем к подробному рассмотрению каждого из подходов, нужно отметить, что данные подходы могут использоваться в целях и перспективной, и ретроспективной оценки. Начнем с наиболее редко используемых и по некоторым причинам наименее объективных подходов.</w:t>
      </w:r>
    </w:p>
    <w:p w:rsidR="002A2DE3" w:rsidRPr="00022438" w:rsidRDefault="002A2DE3" w:rsidP="002A2DE3">
      <w:pPr>
        <w:tabs>
          <w:tab w:val="left" w:pos="3119"/>
        </w:tabs>
        <w:spacing w:after="0" w:line="360" w:lineRule="auto"/>
        <w:ind w:left="357" w:firstLine="709"/>
        <w:jc w:val="both"/>
        <w:rPr>
          <w:rFonts w:ascii="Times New Roman" w:hAnsi="Times New Roman"/>
          <w:sz w:val="28"/>
          <w:szCs w:val="28"/>
        </w:rPr>
      </w:pPr>
      <w:r w:rsidRPr="00B41A6D">
        <w:rPr>
          <w:rFonts w:ascii="Times New Roman" w:hAnsi="Times New Roman"/>
          <w:sz w:val="28"/>
          <w:szCs w:val="28"/>
        </w:rPr>
        <w:t xml:space="preserve">Затратный подход включает в себя совокупность методов оценки стоимости поглощаемой компании целиком или отдельных ее активов, которые являются объектом </w:t>
      </w:r>
      <w:r w:rsidRPr="00B41A6D">
        <w:rPr>
          <w:rFonts w:ascii="Times New Roman" w:hAnsi="Times New Roman"/>
          <w:sz w:val="28"/>
          <w:szCs w:val="28"/>
          <w:lang w:val="en-US"/>
        </w:rPr>
        <w:t>M</w:t>
      </w:r>
      <w:r w:rsidRPr="00B41A6D">
        <w:rPr>
          <w:rFonts w:ascii="Times New Roman" w:hAnsi="Times New Roman"/>
          <w:sz w:val="28"/>
          <w:szCs w:val="28"/>
        </w:rPr>
        <w:t>&amp;</w:t>
      </w:r>
      <w:r w:rsidRPr="00B41A6D">
        <w:rPr>
          <w:rFonts w:ascii="Times New Roman" w:hAnsi="Times New Roman"/>
          <w:sz w:val="28"/>
          <w:szCs w:val="28"/>
          <w:lang w:val="en-US"/>
        </w:rPr>
        <w:t>A</w:t>
      </w:r>
      <w:r w:rsidRPr="00B41A6D">
        <w:rPr>
          <w:rFonts w:ascii="Times New Roman" w:hAnsi="Times New Roman"/>
          <w:sz w:val="28"/>
          <w:szCs w:val="28"/>
        </w:rPr>
        <w:t>. Методы основаны на определении затрат, необходимых для восстановления либо замещения объекта поглощения за вычетом накопленного износа. Наиболее часто он применяется для анализа предприятий с высоким удельным весом основных фондов в стоимости бизнеса. Что же касается использования данного подхода для целей слияний</w:t>
      </w:r>
      <w:r w:rsidR="00375DD3">
        <w:rPr>
          <w:rFonts w:ascii="Times New Roman" w:hAnsi="Times New Roman"/>
          <w:sz w:val="28"/>
          <w:szCs w:val="28"/>
        </w:rPr>
        <w:t xml:space="preserve"> </w:t>
      </w:r>
      <w:r>
        <w:rPr>
          <w:rFonts w:ascii="Times New Roman" w:hAnsi="Times New Roman"/>
          <w:sz w:val="28"/>
          <w:szCs w:val="28"/>
        </w:rPr>
        <w:t xml:space="preserve">по многим причинам он не имеет широкого распространения на практике, в основном </w:t>
      </w:r>
      <w:proofErr w:type="gramStart"/>
      <w:r>
        <w:rPr>
          <w:rFonts w:ascii="Times New Roman" w:hAnsi="Times New Roman"/>
          <w:sz w:val="28"/>
          <w:szCs w:val="28"/>
        </w:rPr>
        <w:t>из</w:t>
      </w:r>
      <w:proofErr w:type="gramEnd"/>
      <w:r>
        <w:rPr>
          <w:rFonts w:ascii="Times New Roman" w:hAnsi="Times New Roman"/>
          <w:sz w:val="28"/>
          <w:szCs w:val="28"/>
        </w:rPr>
        <w:t xml:space="preserve"> – </w:t>
      </w:r>
      <w:proofErr w:type="gramStart"/>
      <w:r>
        <w:rPr>
          <w:rFonts w:ascii="Times New Roman" w:hAnsi="Times New Roman"/>
          <w:sz w:val="28"/>
          <w:szCs w:val="28"/>
        </w:rPr>
        <w:t>за</w:t>
      </w:r>
      <w:proofErr w:type="gramEnd"/>
      <w:r>
        <w:rPr>
          <w:rFonts w:ascii="Times New Roman" w:hAnsi="Times New Roman"/>
          <w:sz w:val="28"/>
          <w:szCs w:val="28"/>
        </w:rPr>
        <w:t xml:space="preserve"> того, что в </w:t>
      </w:r>
      <w:r>
        <w:rPr>
          <w:rFonts w:ascii="Times New Roman" w:hAnsi="Times New Roman"/>
          <w:sz w:val="28"/>
          <w:szCs w:val="28"/>
        </w:rPr>
        <w:lastRenderedPageBreak/>
        <w:t>результате оценки не учитывается синергетический эффект. Он применяется в случаях, когда главной задачей покупателя является приобретение определенных материальных или нематериальных активов или же когда стоимость приобретаемого объекта определяется лишь стоимостью ее активов ввиду неспособности бизнеса генерировать адекватную нематериальную стоимость.</w:t>
      </w:r>
      <w:r w:rsidR="00375DD3">
        <w:rPr>
          <w:rStyle w:val="a5"/>
          <w:rFonts w:ascii="Times New Roman" w:hAnsi="Times New Roman"/>
          <w:sz w:val="28"/>
          <w:szCs w:val="28"/>
        </w:rPr>
        <w:footnoteReference w:id="22"/>
      </w:r>
      <w:r>
        <w:rPr>
          <w:rFonts w:ascii="Times New Roman" w:hAnsi="Times New Roman"/>
          <w:sz w:val="28"/>
          <w:szCs w:val="28"/>
        </w:rPr>
        <w:t xml:space="preserve"> </w:t>
      </w:r>
    </w:p>
    <w:p w:rsidR="002A2DE3" w:rsidRDefault="002A2DE3" w:rsidP="002A2DE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В ходе оценки данным методом определяется либо справедливая рыночная стоимость, либо ликвидационная. На начальном этапе, вне зависимости от определяемой стоимости необходимо трансформировать </w:t>
      </w:r>
      <w:proofErr w:type="spellStart"/>
      <w:proofErr w:type="gramStart"/>
      <w:r>
        <w:rPr>
          <w:rFonts w:ascii="Times New Roman" w:hAnsi="Times New Roman"/>
          <w:sz w:val="28"/>
          <w:szCs w:val="28"/>
        </w:rPr>
        <w:t>учётно</w:t>
      </w:r>
      <w:proofErr w:type="spellEnd"/>
      <w:r>
        <w:rPr>
          <w:rFonts w:ascii="Times New Roman" w:hAnsi="Times New Roman"/>
          <w:sz w:val="28"/>
          <w:szCs w:val="28"/>
        </w:rPr>
        <w:t xml:space="preserve"> – балансовую</w:t>
      </w:r>
      <w:proofErr w:type="gramEnd"/>
      <w:r>
        <w:rPr>
          <w:rFonts w:ascii="Times New Roman" w:hAnsi="Times New Roman"/>
          <w:sz w:val="28"/>
          <w:szCs w:val="28"/>
        </w:rPr>
        <w:t xml:space="preserve"> стоимость статей балансового отчета, основанного на бухгалтерских расчетах, в рыночную стоимость путем добавления не отраженных активов или удаления статей не имеющих рыночной стоимости. Например, удаление безнадежных долгов в статье дебиторская задолженность. Далее переводятся в текущую стоимость обязательства </w:t>
      </w:r>
      <w:proofErr w:type="gramStart"/>
      <w:r>
        <w:rPr>
          <w:rFonts w:ascii="Times New Roman" w:hAnsi="Times New Roman"/>
          <w:sz w:val="28"/>
          <w:szCs w:val="28"/>
        </w:rPr>
        <w:t>компании</w:t>
      </w:r>
      <w:proofErr w:type="gramEnd"/>
      <w:r>
        <w:rPr>
          <w:rFonts w:ascii="Times New Roman" w:hAnsi="Times New Roman"/>
          <w:sz w:val="28"/>
          <w:szCs w:val="28"/>
        </w:rPr>
        <w:t xml:space="preserve"> и определяется стоимость предприятия (собственного капитала) по формуле: </w:t>
      </w:r>
    </w:p>
    <w:p w:rsidR="002A2DE3" w:rsidRDefault="002A2DE3" w:rsidP="000D10CB">
      <w:pPr>
        <w:tabs>
          <w:tab w:val="left" w:pos="3119"/>
        </w:tabs>
        <w:spacing w:after="0" w:line="360" w:lineRule="auto"/>
        <w:ind w:left="357" w:firstLine="709"/>
        <w:jc w:val="right"/>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 xml:space="preserve">К = </w:t>
      </w:r>
      <w:r>
        <w:rPr>
          <w:rFonts w:ascii="Times New Roman" w:hAnsi="Times New Roman"/>
          <w:sz w:val="28"/>
          <w:szCs w:val="28"/>
          <w:lang w:val="en-US"/>
        </w:rPr>
        <w:t>A</w:t>
      </w:r>
      <w:proofErr w:type="spellStart"/>
      <w:r w:rsidRPr="00A404B3">
        <w:rPr>
          <w:rFonts w:ascii="Times New Roman" w:hAnsi="Times New Roman"/>
          <w:sz w:val="28"/>
          <w:szCs w:val="28"/>
          <w:vertAlign w:val="subscript"/>
        </w:rPr>
        <w:t>р</w:t>
      </w:r>
      <w:proofErr w:type="spellEnd"/>
      <w:r>
        <w:rPr>
          <w:rFonts w:ascii="Times New Roman" w:hAnsi="Times New Roman"/>
          <w:sz w:val="28"/>
          <w:szCs w:val="28"/>
        </w:rPr>
        <w:t xml:space="preserve"> - </w:t>
      </w:r>
      <w:r>
        <w:rPr>
          <w:rFonts w:ascii="Times New Roman" w:hAnsi="Times New Roman"/>
          <w:sz w:val="28"/>
          <w:szCs w:val="28"/>
          <w:lang w:val="en-US"/>
        </w:rPr>
        <w:t>O</w:t>
      </w:r>
      <w:r w:rsidRPr="00A404B3">
        <w:rPr>
          <w:rFonts w:ascii="Times New Roman" w:hAnsi="Times New Roman"/>
          <w:sz w:val="28"/>
          <w:szCs w:val="28"/>
          <w:vertAlign w:val="subscript"/>
        </w:rPr>
        <w:t>т</w:t>
      </w:r>
      <w:r>
        <w:rPr>
          <w:rFonts w:ascii="Times New Roman" w:hAnsi="Times New Roman"/>
          <w:sz w:val="28"/>
          <w:szCs w:val="28"/>
        </w:rPr>
        <w:t>,</w:t>
      </w:r>
      <w:r w:rsidR="000D10CB">
        <w:rPr>
          <w:rFonts w:ascii="Times New Roman" w:hAnsi="Times New Roman"/>
          <w:sz w:val="28"/>
          <w:szCs w:val="28"/>
        </w:rPr>
        <w:t xml:space="preserve">                                          (2.1.)</w:t>
      </w:r>
    </w:p>
    <w:p w:rsidR="002A2DE3" w:rsidRPr="007433BF" w:rsidRDefault="002A2DE3" w:rsidP="002A2DE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где </w:t>
      </w:r>
      <w:proofErr w:type="gramStart"/>
      <w:r>
        <w:rPr>
          <w:rFonts w:ascii="Times New Roman" w:hAnsi="Times New Roman"/>
          <w:sz w:val="28"/>
          <w:szCs w:val="28"/>
          <w:lang w:val="en-US"/>
        </w:rPr>
        <w:t>A</w:t>
      </w:r>
      <w:proofErr w:type="spellStart"/>
      <w:proofErr w:type="gramEnd"/>
      <w:r w:rsidRPr="00DD0C7F">
        <w:rPr>
          <w:rFonts w:ascii="Times New Roman" w:hAnsi="Times New Roman"/>
          <w:sz w:val="28"/>
          <w:szCs w:val="28"/>
          <w:vertAlign w:val="subscript"/>
        </w:rPr>
        <w:t>р</w:t>
      </w:r>
      <w:proofErr w:type="spellEnd"/>
      <w:r>
        <w:rPr>
          <w:rFonts w:ascii="Times New Roman" w:hAnsi="Times New Roman"/>
          <w:sz w:val="28"/>
          <w:szCs w:val="28"/>
        </w:rPr>
        <w:t xml:space="preserve"> – рыночная стоимость активов компании, а </w:t>
      </w:r>
      <w:r>
        <w:rPr>
          <w:rFonts w:ascii="Times New Roman" w:hAnsi="Times New Roman"/>
          <w:sz w:val="28"/>
          <w:szCs w:val="28"/>
          <w:lang w:val="en-US"/>
        </w:rPr>
        <w:t>O</w:t>
      </w:r>
      <w:r w:rsidRPr="00DD0C7F">
        <w:rPr>
          <w:rFonts w:ascii="Times New Roman" w:hAnsi="Times New Roman"/>
          <w:sz w:val="28"/>
          <w:szCs w:val="28"/>
          <w:vertAlign w:val="subscript"/>
        </w:rPr>
        <w:t>т</w:t>
      </w:r>
      <w:r>
        <w:rPr>
          <w:rFonts w:ascii="Times New Roman" w:hAnsi="Times New Roman"/>
          <w:sz w:val="28"/>
          <w:szCs w:val="28"/>
        </w:rPr>
        <w:t xml:space="preserve"> – текущая стоимость обязательств компании.</w:t>
      </w:r>
    </w:p>
    <w:p w:rsidR="002A2DE3" w:rsidRPr="00047591" w:rsidRDefault="002A2DE3" w:rsidP="002A2DE3">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Сравнительный или рыночный подход базируется на принципе замещения, который звучит следующим образом: «за объект заплатят не больше, чем стоит приобретение заменителя, обладающего эквивалентной полезностью». Данный подход очень эффективен в случае существования активного и открытого рынка сопоставимых объектов. Соответственно, при применении данного подхода стоимость приобретаемой компании определяется на основе цен, уплаченных за схожие или аналогичные объекты на соответствующем рынке. Экспертным суждением определяется то, какие компании принимать за </w:t>
      </w:r>
      <w:r w:rsidRPr="00047591">
        <w:rPr>
          <w:rFonts w:ascii="Times New Roman" w:hAnsi="Times New Roman"/>
          <w:sz w:val="28"/>
          <w:szCs w:val="28"/>
        </w:rPr>
        <w:lastRenderedPageBreak/>
        <w:t>схожие (</w:t>
      </w:r>
      <w:r w:rsidRPr="00047591">
        <w:rPr>
          <w:rFonts w:ascii="Times New Roman" w:hAnsi="Times New Roman"/>
          <w:sz w:val="28"/>
          <w:szCs w:val="28"/>
          <w:lang w:val="en-US"/>
        </w:rPr>
        <w:t>similar</w:t>
      </w:r>
      <w:r w:rsidRPr="00047591">
        <w:rPr>
          <w:rFonts w:ascii="Times New Roman" w:hAnsi="Times New Roman"/>
          <w:sz w:val="28"/>
          <w:szCs w:val="28"/>
        </w:rPr>
        <w:t>) оцениваемому объекту, а рынки считать соответствующими (</w:t>
      </w:r>
      <w:r w:rsidRPr="00047591">
        <w:rPr>
          <w:rFonts w:ascii="Times New Roman" w:hAnsi="Times New Roman"/>
          <w:sz w:val="28"/>
          <w:szCs w:val="28"/>
          <w:lang w:val="en-US"/>
        </w:rPr>
        <w:t>relevant</w:t>
      </w:r>
      <w:r w:rsidRPr="00047591">
        <w:rPr>
          <w:rFonts w:ascii="Times New Roman" w:hAnsi="Times New Roman"/>
          <w:sz w:val="28"/>
          <w:szCs w:val="28"/>
        </w:rPr>
        <w:t xml:space="preserve">). Также с помощью экспертного суждения определяется мультипликатор наилучшим образом подходящий для измерения результатов деятельности компании. Однозначно у подхода имеются неоспоримые достоинства: </w:t>
      </w:r>
      <w:proofErr w:type="gramStart"/>
      <w:r w:rsidRPr="00047591">
        <w:rPr>
          <w:rFonts w:ascii="Times New Roman" w:hAnsi="Times New Roman"/>
          <w:sz w:val="28"/>
          <w:szCs w:val="28"/>
        </w:rPr>
        <w:t>нетрудоемкий</w:t>
      </w:r>
      <w:proofErr w:type="gramEnd"/>
      <w:r w:rsidRPr="00047591">
        <w:rPr>
          <w:rFonts w:ascii="Times New Roman" w:hAnsi="Times New Roman"/>
          <w:sz w:val="28"/>
          <w:szCs w:val="28"/>
        </w:rPr>
        <w:t xml:space="preserve"> и применяется для первоначальной оценки </w:t>
      </w:r>
      <w:r w:rsidRPr="00047591">
        <w:rPr>
          <w:rFonts w:ascii="Times New Roman" w:hAnsi="Times New Roman"/>
          <w:sz w:val="28"/>
          <w:szCs w:val="28"/>
          <w:lang w:val="en-US"/>
        </w:rPr>
        <w:t>M</w:t>
      </w:r>
      <w:r w:rsidRPr="00047591">
        <w:rPr>
          <w:rFonts w:ascii="Times New Roman" w:hAnsi="Times New Roman"/>
          <w:caps/>
          <w:sz w:val="28"/>
          <w:szCs w:val="28"/>
        </w:rPr>
        <w:t>&amp;</w:t>
      </w:r>
      <w:r w:rsidRPr="00047591">
        <w:rPr>
          <w:rFonts w:ascii="Times New Roman" w:hAnsi="Times New Roman"/>
          <w:caps/>
          <w:sz w:val="28"/>
          <w:szCs w:val="28"/>
          <w:lang w:val="en-US"/>
        </w:rPr>
        <w:t>A</w:t>
      </w:r>
      <w:r w:rsidRPr="00047591">
        <w:rPr>
          <w:rFonts w:ascii="Times New Roman" w:hAnsi="Times New Roman"/>
          <w:sz w:val="28"/>
          <w:szCs w:val="28"/>
        </w:rPr>
        <w:t>, однако имеются и значительные недостатки. Например:</w:t>
      </w:r>
    </w:p>
    <w:p w:rsidR="002A2DE3" w:rsidRPr="00047591" w:rsidRDefault="002A2DE3" w:rsidP="002A2DE3">
      <w:pPr>
        <w:pStyle w:val="af"/>
        <w:numPr>
          <w:ilvl w:val="0"/>
          <w:numId w:val="6"/>
        </w:numPr>
        <w:tabs>
          <w:tab w:val="left" w:pos="3119"/>
        </w:tabs>
        <w:spacing w:after="0" w:line="360" w:lineRule="auto"/>
        <w:jc w:val="both"/>
        <w:rPr>
          <w:rFonts w:ascii="Times New Roman" w:hAnsi="Times New Roman" w:cs="Times New Roman"/>
          <w:caps/>
          <w:sz w:val="28"/>
          <w:szCs w:val="28"/>
        </w:rPr>
      </w:pPr>
      <w:r w:rsidRPr="00047591">
        <w:rPr>
          <w:rFonts w:ascii="Times New Roman" w:hAnsi="Times New Roman" w:cs="Times New Roman"/>
          <w:sz w:val="28"/>
          <w:szCs w:val="28"/>
        </w:rPr>
        <w:t>сложность в подборе объектов – аналогов, так как рынок сопоставимых объектов собственности в России является недостаточно развитым и закрытым;</w:t>
      </w:r>
    </w:p>
    <w:p w:rsidR="002A2DE3" w:rsidRPr="00047591" w:rsidRDefault="002A2DE3" w:rsidP="002A2DE3">
      <w:pPr>
        <w:pStyle w:val="af"/>
        <w:numPr>
          <w:ilvl w:val="0"/>
          <w:numId w:val="6"/>
        </w:numPr>
        <w:tabs>
          <w:tab w:val="left" w:pos="3119"/>
        </w:tabs>
        <w:spacing w:after="0" w:line="360" w:lineRule="auto"/>
        <w:jc w:val="both"/>
        <w:rPr>
          <w:rFonts w:ascii="Times New Roman" w:hAnsi="Times New Roman" w:cs="Times New Roman"/>
          <w:caps/>
          <w:sz w:val="28"/>
          <w:szCs w:val="28"/>
        </w:rPr>
      </w:pPr>
      <w:r w:rsidRPr="00047591">
        <w:rPr>
          <w:rFonts w:ascii="Times New Roman" w:hAnsi="Times New Roman" w:cs="Times New Roman"/>
          <w:sz w:val="28"/>
          <w:szCs w:val="28"/>
        </w:rPr>
        <w:t>использование усредняющих коэффициентов и как следствие неточность расчетов;</w:t>
      </w:r>
    </w:p>
    <w:p w:rsidR="002A2DE3" w:rsidRPr="00047591" w:rsidRDefault="002A2DE3" w:rsidP="002A2DE3">
      <w:pPr>
        <w:pStyle w:val="af"/>
        <w:numPr>
          <w:ilvl w:val="0"/>
          <w:numId w:val="6"/>
        </w:numPr>
        <w:tabs>
          <w:tab w:val="left" w:pos="3119"/>
        </w:tabs>
        <w:spacing w:after="0" w:line="360" w:lineRule="auto"/>
        <w:jc w:val="both"/>
        <w:rPr>
          <w:rFonts w:ascii="Times New Roman" w:hAnsi="Times New Roman" w:cs="Times New Roman"/>
          <w:caps/>
          <w:sz w:val="28"/>
          <w:szCs w:val="28"/>
        </w:rPr>
      </w:pPr>
      <w:r w:rsidRPr="00047591">
        <w:rPr>
          <w:rFonts w:ascii="Times New Roman" w:hAnsi="Times New Roman" w:cs="Times New Roman"/>
          <w:sz w:val="28"/>
          <w:szCs w:val="28"/>
        </w:rPr>
        <w:t xml:space="preserve"> невозможность выявления и оценки всех потенциальных источников синергии. </w:t>
      </w:r>
    </w:p>
    <w:p w:rsidR="002A2DE3" w:rsidRPr="00047591" w:rsidRDefault="002A2DE3" w:rsidP="002A2DE3">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В методологии рыночного подхода, применяемого для оценки </w:t>
      </w:r>
      <w:r w:rsidRPr="00047591">
        <w:rPr>
          <w:rFonts w:ascii="Times New Roman" w:hAnsi="Times New Roman"/>
          <w:sz w:val="28"/>
          <w:szCs w:val="28"/>
          <w:lang w:val="en-US"/>
        </w:rPr>
        <w:t>M</w:t>
      </w:r>
      <w:r w:rsidRPr="00047591">
        <w:rPr>
          <w:rFonts w:ascii="Times New Roman" w:hAnsi="Times New Roman"/>
          <w:sz w:val="28"/>
          <w:szCs w:val="28"/>
        </w:rPr>
        <w:t>&amp;</w:t>
      </w:r>
      <w:r w:rsidRPr="00047591">
        <w:rPr>
          <w:rFonts w:ascii="Times New Roman" w:hAnsi="Times New Roman"/>
          <w:sz w:val="28"/>
          <w:szCs w:val="28"/>
          <w:lang w:val="en-US"/>
        </w:rPr>
        <w:t>A</w:t>
      </w:r>
      <w:r w:rsidRPr="00047591">
        <w:rPr>
          <w:rFonts w:ascii="Times New Roman" w:hAnsi="Times New Roman"/>
          <w:sz w:val="28"/>
          <w:szCs w:val="28"/>
        </w:rPr>
        <w:t xml:space="preserve">, выделяют методы: публичной компании – аналога и сделок </w:t>
      </w:r>
      <w:r w:rsidRPr="00047591">
        <w:rPr>
          <w:rFonts w:ascii="Times New Roman" w:hAnsi="Times New Roman"/>
          <w:sz w:val="28"/>
          <w:szCs w:val="28"/>
          <w:lang w:val="en-US"/>
        </w:rPr>
        <w:t>M</w:t>
      </w:r>
      <w:r w:rsidRPr="00047591">
        <w:rPr>
          <w:rFonts w:ascii="Times New Roman" w:hAnsi="Times New Roman"/>
          <w:sz w:val="28"/>
          <w:szCs w:val="28"/>
        </w:rPr>
        <w:t>&amp;</w:t>
      </w:r>
      <w:r w:rsidRPr="00047591">
        <w:rPr>
          <w:rFonts w:ascii="Times New Roman" w:hAnsi="Times New Roman"/>
          <w:sz w:val="28"/>
          <w:szCs w:val="28"/>
          <w:lang w:val="en-US"/>
        </w:rPr>
        <w:t>A</w:t>
      </w:r>
      <w:r w:rsidRPr="00047591">
        <w:rPr>
          <w:rFonts w:ascii="Times New Roman" w:hAnsi="Times New Roman"/>
          <w:sz w:val="28"/>
          <w:szCs w:val="28"/>
        </w:rPr>
        <w:t xml:space="preserve">. Данные методы используются в зависимости от видов совершаемых сделок и дают различные результаты. Так метод сделок на рынке </w:t>
      </w:r>
      <w:r w:rsidRPr="00047591">
        <w:rPr>
          <w:rFonts w:ascii="Times New Roman" w:hAnsi="Times New Roman"/>
          <w:sz w:val="28"/>
          <w:szCs w:val="28"/>
          <w:lang w:val="en-US"/>
        </w:rPr>
        <w:t>M</w:t>
      </w:r>
      <w:r w:rsidRPr="00047591">
        <w:rPr>
          <w:rFonts w:ascii="Times New Roman" w:hAnsi="Times New Roman"/>
          <w:sz w:val="28"/>
          <w:szCs w:val="28"/>
        </w:rPr>
        <w:t>&amp;</w:t>
      </w:r>
      <w:r w:rsidRPr="00047591">
        <w:rPr>
          <w:rFonts w:ascii="Times New Roman" w:hAnsi="Times New Roman"/>
          <w:sz w:val="28"/>
          <w:szCs w:val="28"/>
          <w:lang w:val="en-US"/>
        </w:rPr>
        <w:t>A</w:t>
      </w:r>
      <w:r w:rsidRPr="00047591">
        <w:rPr>
          <w:rFonts w:ascii="Times New Roman" w:hAnsi="Times New Roman"/>
          <w:sz w:val="28"/>
          <w:szCs w:val="28"/>
        </w:rPr>
        <w:t xml:space="preserve"> рассматривает цены, которые обычно уплачиваются публичными компаниями за приобретение контроля над бизнесом. Данные сделки в основном носят стратегический характер, поэтому уплачиваемая цена зачастую отражает инвестиционную стоимость. Вместе с этим, чтобы метод давал достоверный результат необходимо, чтобы данные о завершенных сделках содержали информацию о компаниях, которые сходны с компанией – целью, также компании – аналоги должны иметь схожие ожидаемые синергетические эффекты от поглощения. В свою очередь метод компании – аналога оценивает объект, исходя из цены, по которой подобные публичные компании торгуются на публичных фондовых биржах. Как и в методе сделок используются коэффициенты, сравнивающие цену сделки с </w:t>
      </w:r>
      <w:r w:rsidRPr="00047591">
        <w:rPr>
          <w:rFonts w:ascii="Times New Roman" w:hAnsi="Times New Roman"/>
          <w:sz w:val="28"/>
          <w:szCs w:val="28"/>
        </w:rPr>
        <w:lastRenderedPageBreak/>
        <w:t xml:space="preserve">показателями результатов деятельности или финансового состояния компании. </w:t>
      </w:r>
    </w:p>
    <w:p w:rsidR="002A2DE3" w:rsidRPr="00047591" w:rsidRDefault="002A2DE3" w:rsidP="002A2DE3">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Однако в большинстве случаев использования данного подхода подбираются непосредственно аналоги для предприятия, что не совсем верно, на наш взгляд для целей слияний и поглощений. В целях </w:t>
      </w:r>
      <w:r w:rsidRPr="00047591">
        <w:rPr>
          <w:rFonts w:ascii="Times New Roman" w:hAnsi="Times New Roman"/>
          <w:sz w:val="28"/>
          <w:szCs w:val="28"/>
          <w:lang w:val="en-US"/>
        </w:rPr>
        <w:t>M</w:t>
      </w:r>
      <w:r w:rsidRPr="00047591">
        <w:rPr>
          <w:rFonts w:ascii="Times New Roman" w:hAnsi="Times New Roman"/>
          <w:sz w:val="28"/>
          <w:szCs w:val="28"/>
        </w:rPr>
        <w:t>&amp;</w:t>
      </w:r>
      <w:r w:rsidRPr="00047591">
        <w:rPr>
          <w:rFonts w:ascii="Times New Roman" w:hAnsi="Times New Roman"/>
          <w:sz w:val="28"/>
          <w:szCs w:val="28"/>
          <w:lang w:val="en-US"/>
        </w:rPr>
        <w:t>A</w:t>
      </w:r>
      <w:r w:rsidRPr="00047591">
        <w:rPr>
          <w:rFonts w:ascii="Times New Roman" w:hAnsi="Times New Roman"/>
          <w:sz w:val="28"/>
          <w:szCs w:val="28"/>
        </w:rPr>
        <w:t xml:space="preserve"> целесообразно анализировать именно аналогичные сделки. Таким образом, процесс оценки можно разделить на следующие этапы: </w:t>
      </w:r>
    </w:p>
    <w:p w:rsidR="002A2DE3" w:rsidRPr="00047591" w:rsidRDefault="002A2DE3" w:rsidP="002A2DE3">
      <w:pPr>
        <w:pStyle w:val="af"/>
        <w:numPr>
          <w:ilvl w:val="0"/>
          <w:numId w:val="7"/>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 xml:space="preserve">Первоначальный отбор. Выбор аналогичных сделок за последние 1,5 – 2 года по таким параметрам, как отрасль участвующих в сделке компаний, их размер, источник финансирования сделки; </w:t>
      </w:r>
    </w:p>
    <w:p w:rsidR="002A2DE3" w:rsidRPr="00047591" w:rsidRDefault="002A2DE3" w:rsidP="002A2DE3">
      <w:pPr>
        <w:pStyle w:val="af"/>
        <w:numPr>
          <w:ilvl w:val="0"/>
          <w:numId w:val="7"/>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Анализ сделок, в которых компании имели схожие показатели с участниками рассматриваемой предполагаемой сделки. В том числе схожие по структуре балансы и другие формы бухгалтерской отчетности, схожее качество менеджмента и т. д. При этом отбираются только сделки с тем же источником финансирования, что и в планируемой сделке;</w:t>
      </w:r>
    </w:p>
    <w:p w:rsidR="002A2DE3" w:rsidRPr="00047591" w:rsidRDefault="002A2DE3" w:rsidP="002A2DE3">
      <w:pPr>
        <w:pStyle w:val="af"/>
        <w:numPr>
          <w:ilvl w:val="0"/>
          <w:numId w:val="7"/>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 xml:space="preserve">Анализ потенциальных выгод и эффективности сделок. В дальнейшем процессе оценки желательно использовать компании – аналоги со схожей структурой источников синергетических выгод, что и в предполагаемой сделке. </w:t>
      </w:r>
    </w:p>
    <w:p w:rsidR="002A2DE3" w:rsidRPr="00047591" w:rsidRDefault="002A2DE3" w:rsidP="002A2DE3">
      <w:pPr>
        <w:pStyle w:val="af"/>
        <w:numPr>
          <w:ilvl w:val="0"/>
          <w:numId w:val="7"/>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 xml:space="preserve">Расчет оценочных мультипликаторов и коэффициентов. </w:t>
      </w:r>
    </w:p>
    <w:p w:rsidR="002A2DE3" w:rsidRPr="00047591" w:rsidRDefault="002A2DE3" w:rsidP="002A2DE3">
      <w:pPr>
        <w:tabs>
          <w:tab w:val="left" w:pos="3119"/>
        </w:tabs>
        <w:spacing w:after="0" w:line="360" w:lineRule="auto"/>
        <w:ind w:firstLine="709"/>
        <w:jc w:val="both"/>
        <w:rPr>
          <w:rFonts w:ascii="Times New Roman" w:hAnsi="Times New Roman"/>
          <w:sz w:val="28"/>
          <w:szCs w:val="28"/>
        </w:rPr>
      </w:pPr>
      <w:r w:rsidRPr="00047591">
        <w:rPr>
          <w:rFonts w:ascii="Times New Roman" w:hAnsi="Times New Roman"/>
          <w:sz w:val="28"/>
          <w:szCs w:val="28"/>
        </w:rPr>
        <w:t xml:space="preserve">При определении стоимости для </w:t>
      </w:r>
      <w:r w:rsidRPr="00047591">
        <w:rPr>
          <w:rFonts w:ascii="Times New Roman" w:hAnsi="Times New Roman"/>
          <w:sz w:val="28"/>
          <w:szCs w:val="28"/>
          <w:lang w:val="en-US"/>
        </w:rPr>
        <w:t>M</w:t>
      </w:r>
      <w:r w:rsidRPr="00047591">
        <w:rPr>
          <w:rFonts w:ascii="Times New Roman" w:hAnsi="Times New Roman"/>
          <w:sz w:val="28"/>
          <w:szCs w:val="28"/>
        </w:rPr>
        <w:t>&amp;</w:t>
      </w:r>
      <w:r w:rsidRPr="00047591">
        <w:rPr>
          <w:rFonts w:ascii="Times New Roman" w:hAnsi="Times New Roman"/>
          <w:sz w:val="28"/>
          <w:szCs w:val="28"/>
          <w:lang w:val="en-US"/>
        </w:rPr>
        <w:t>A</w:t>
      </w:r>
      <w:r w:rsidRPr="00047591">
        <w:rPr>
          <w:rFonts w:ascii="Times New Roman" w:hAnsi="Times New Roman"/>
          <w:sz w:val="28"/>
          <w:szCs w:val="28"/>
        </w:rPr>
        <w:t xml:space="preserve"> чаще всего используются следующие мультипликаторы</w:t>
      </w:r>
      <w:r>
        <w:rPr>
          <w:rStyle w:val="a5"/>
          <w:rFonts w:ascii="Times New Roman" w:hAnsi="Times New Roman"/>
          <w:sz w:val="28"/>
          <w:szCs w:val="28"/>
        </w:rPr>
        <w:footnoteReference w:id="23"/>
      </w:r>
      <w:r w:rsidRPr="00047591">
        <w:rPr>
          <w:rFonts w:ascii="Times New Roman" w:hAnsi="Times New Roman"/>
          <w:sz w:val="28"/>
          <w:szCs w:val="28"/>
        </w:rPr>
        <w:t>:</w:t>
      </w:r>
    </w:p>
    <w:p w:rsidR="002A2DE3" w:rsidRPr="00047591" w:rsidRDefault="002A2DE3" w:rsidP="002A2DE3">
      <w:pPr>
        <w:pStyle w:val="af"/>
        <w:numPr>
          <w:ilvl w:val="0"/>
          <w:numId w:val="4"/>
        </w:numPr>
        <w:tabs>
          <w:tab w:val="left" w:pos="3119"/>
        </w:tabs>
        <w:spacing w:after="0" w:line="360" w:lineRule="auto"/>
        <w:ind w:left="1077" w:hanging="357"/>
        <w:contextualSpacing w:val="0"/>
        <w:jc w:val="both"/>
        <w:rPr>
          <w:rFonts w:ascii="Times New Roman" w:hAnsi="Times New Roman" w:cs="Times New Roman"/>
          <w:sz w:val="28"/>
          <w:szCs w:val="28"/>
        </w:rPr>
      </w:pPr>
      <w:r w:rsidRPr="00047591">
        <w:rPr>
          <w:rFonts w:ascii="Times New Roman" w:hAnsi="Times New Roman" w:cs="Times New Roman"/>
          <w:sz w:val="28"/>
          <w:szCs w:val="28"/>
          <w:lang w:val="en-US"/>
        </w:rPr>
        <w:t>P</w:t>
      </w:r>
      <w:r w:rsidRPr="00047591">
        <w:rPr>
          <w:rFonts w:ascii="Times New Roman" w:hAnsi="Times New Roman" w:cs="Times New Roman"/>
          <w:sz w:val="28"/>
          <w:szCs w:val="28"/>
        </w:rPr>
        <w:t>/</w:t>
      </w:r>
      <w:r w:rsidRPr="00047591">
        <w:rPr>
          <w:rFonts w:ascii="Times New Roman" w:hAnsi="Times New Roman" w:cs="Times New Roman"/>
          <w:sz w:val="28"/>
          <w:szCs w:val="28"/>
          <w:lang w:val="en-US"/>
        </w:rPr>
        <w:t>E</w:t>
      </w:r>
      <w:r w:rsidRPr="00047591">
        <w:rPr>
          <w:rFonts w:ascii="Times New Roman" w:hAnsi="Times New Roman" w:cs="Times New Roman"/>
          <w:sz w:val="28"/>
          <w:szCs w:val="28"/>
        </w:rPr>
        <w:t xml:space="preserve"> – цена/прибыль – данный мультипликатор используется большинством прибыльных компаний со стабильной структурой </w:t>
      </w:r>
      <w:r w:rsidRPr="00047591">
        <w:rPr>
          <w:rFonts w:ascii="Times New Roman" w:hAnsi="Times New Roman" w:cs="Times New Roman"/>
          <w:sz w:val="28"/>
          <w:szCs w:val="28"/>
        </w:rPr>
        <w:lastRenderedPageBreak/>
        <w:t>капитала и позволяет напрямую оценить стоимость собственного капитала.</w:t>
      </w:r>
    </w:p>
    <w:p w:rsidR="002A2DE3" w:rsidRPr="00047591" w:rsidRDefault="002A2DE3" w:rsidP="002A2DE3">
      <w:pPr>
        <w:pStyle w:val="af"/>
        <w:numPr>
          <w:ilvl w:val="0"/>
          <w:numId w:val="4"/>
        </w:numPr>
        <w:tabs>
          <w:tab w:val="left" w:pos="3119"/>
        </w:tabs>
        <w:spacing w:after="0" w:line="360" w:lineRule="auto"/>
        <w:ind w:left="1077" w:hanging="357"/>
        <w:contextualSpacing w:val="0"/>
        <w:jc w:val="both"/>
        <w:rPr>
          <w:rFonts w:ascii="Times New Roman" w:hAnsi="Times New Roman" w:cs="Times New Roman"/>
          <w:sz w:val="28"/>
          <w:szCs w:val="28"/>
        </w:rPr>
      </w:pPr>
      <w:r w:rsidRPr="00047591">
        <w:rPr>
          <w:rFonts w:ascii="Times New Roman" w:hAnsi="Times New Roman" w:cs="Times New Roman"/>
          <w:sz w:val="28"/>
          <w:szCs w:val="28"/>
          <w:lang w:val="en-US"/>
        </w:rPr>
        <w:t>P</w:t>
      </w:r>
      <w:r w:rsidRPr="00047591">
        <w:rPr>
          <w:rFonts w:ascii="Times New Roman" w:hAnsi="Times New Roman" w:cs="Times New Roman"/>
          <w:sz w:val="28"/>
          <w:szCs w:val="28"/>
        </w:rPr>
        <w:t>/</w:t>
      </w:r>
      <w:r w:rsidRPr="00047591">
        <w:rPr>
          <w:rFonts w:ascii="Times New Roman" w:hAnsi="Times New Roman" w:cs="Times New Roman"/>
          <w:sz w:val="28"/>
          <w:szCs w:val="28"/>
          <w:lang w:val="en-US"/>
        </w:rPr>
        <w:t>R</w:t>
      </w:r>
      <w:r w:rsidRPr="00047591">
        <w:rPr>
          <w:rFonts w:ascii="Times New Roman" w:hAnsi="Times New Roman" w:cs="Times New Roman"/>
          <w:sz w:val="28"/>
          <w:szCs w:val="28"/>
        </w:rPr>
        <w:t xml:space="preserve"> – цена/выручка – не менее популярный коэффициент, но дающий сбивающие с толку результаты, так как числитель – мера собственного капитала, а знаменатель – доход на заемный и собственный капитал. Корректнее будет вместо цены использовать показатель рыночной стоимости инвестированного капитала (</w:t>
      </w:r>
      <w:r w:rsidRPr="00047591">
        <w:rPr>
          <w:rFonts w:ascii="Times New Roman" w:hAnsi="Times New Roman" w:cs="Times New Roman"/>
          <w:sz w:val="28"/>
          <w:szCs w:val="28"/>
          <w:lang w:val="en-US"/>
        </w:rPr>
        <w:t>MVIC</w:t>
      </w:r>
      <w:r w:rsidRPr="00047591">
        <w:rPr>
          <w:rFonts w:ascii="Times New Roman" w:hAnsi="Times New Roman" w:cs="Times New Roman"/>
          <w:sz w:val="28"/>
          <w:szCs w:val="28"/>
        </w:rPr>
        <w:t>), в результате получится стоимость инвестированного капитала.</w:t>
      </w:r>
    </w:p>
    <w:p w:rsidR="002A2DE3" w:rsidRPr="00047591" w:rsidRDefault="002A2DE3" w:rsidP="002A2DE3">
      <w:pPr>
        <w:pStyle w:val="af"/>
        <w:numPr>
          <w:ilvl w:val="0"/>
          <w:numId w:val="4"/>
        </w:numPr>
        <w:tabs>
          <w:tab w:val="left" w:pos="3119"/>
        </w:tabs>
        <w:spacing w:after="0" w:line="360" w:lineRule="auto"/>
        <w:ind w:left="1077" w:hanging="357"/>
        <w:contextualSpacing w:val="0"/>
        <w:jc w:val="both"/>
        <w:rPr>
          <w:rFonts w:ascii="Times New Roman" w:hAnsi="Times New Roman" w:cs="Times New Roman"/>
          <w:sz w:val="28"/>
          <w:szCs w:val="28"/>
        </w:rPr>
      </w:pPr>
      <w:r w:rsidRPr="00047591">
        <w:rPr>
          <w:rFonts w:ascii="Times New Roman" w:hAnsi="Times New Roman" w:cs="Times New Roman"/>
          <w:sz w:val="28"/>
          <w:szCs w:val="28"/>
          <w:lang w:val="en-US"/>
        </w:rPr>
        <w:t>MVIC</w:t>
      </w:r>
      <w:r w:rsidRPr="00047591">
        <w:rPr>
          <w:rFonts w:ascii="Times New Roman" w:hAnsi="Times New Roman" w:cs="Times New Roman"/>
          <w:sz w:val="28"/>
          <w:szCs w:val="28"/>
        </w:rPr>
        <w:t>/</w:t>
      </w:r>
      <w:r w:rsidRPr="00047591">
        <w:rPr>
          <w:rFonts w:ascii="Times New Roman" w:hAnsi="Times New Roman" w:cs="Times New Roman"/>
          <w:sz w:val="28"/>
          <w:szCs w:val="28"/>
          <w:lang w:val="en-US"/>
        </w:rPr>
        <w:t>EBIT</w:t>
      </w:r>
      <w:r w:rsidRPr="00047591">
        <w:rPr>
          <w:rFonts w:ascii="Times New Roman" w:hAnsi="Times New Roman" w:cs="Times New Roman"/>
          <w:sz w:val="28"/>
          <w:szCs w:val="28"/>
        </w:rPr>
        <w:t xml:space="preserve"> или </w:t>
      </w:r>
      <w:r w:rsidRPr="00047591">
        <w:rPr>
          <w:rFonts w:ascii="Times New Roman" w:hAnsi="Times New Roman" w:cs="Times New Roman"/>
          <w:sz w:val="28"/>
          <w:szCs w:val="28"/>
          <w:lang w:val="en-US"/>
        </w:rPr>
        <w:t>MVIC</w:t>
      </w:r>
      <w:r w:rsidRPr="00047591">
        <w:rPr>
          <w:rFonts w:ascii="Times New Roman" w:hAnsi="Times New Roman" w:cs="Times New Roman"/>
          <w:sz w:val="28"/>
          <w:szCs w:val="28"/>
        </w:rPr>
        <w:t>/</w:t>
      </w:r>
      <w:r w:rsidRPr="00047591">
        <w:rPr>
          <w:rFonts w:ascii="Times New Roman" w:hAnsi="Times New Roman" w:cs="Times New Roman"/>
          <w:sz w:val="28"/>
          <w:szCs w:val="28"/>
          <w:lang w:val="en-US"/>
        </w:rPr>
        <w:t>EBITDA</w:t>
      </w:r>
      <w:r w:rsidRPr="00047591">
        <w:rPr>
          <w:rFonts w:ascii="Times New Roman" w:hAnsi="Times New Roman" w:cs="Times New Roman"/>
          <w:sz w:val="28"/>
          <w:szCs w:val="28"/>
        </w:rPr>
        <w:t xml:space="preserve"> – рыночная стоимость инвестированного капитала/прибыль до уплаты процентов и налогов (или прибыль до уплаты процентов, налогов и вычета амортизации) – </w:t>
      </w:r>
      <w:r>
        <w:rPr>
          <w:rFonts w:ascii="Times New Roman" w:hAnsi="Times New Roman" w:cs="Times New Roman"/>
          <w:sz w:val="28"/>
          <w:szCs w:val="28"/>
        </w:rPr>
        <w:t xml:space="preserve">широко применяется про </w:t>
      </w:r>
      <w:r>
        <w:rPr>
          <w:rFonts w:ascii="Times New Roman" w:hAnsi="Times New Roman" w:cs="Times New Roman"/>
          <w:sz w:val="28"/>
          <w:szCs w:val="28"/>
          <w:lang w:val="en-US"/>
        </w:rPr>
        <w:t>M</w:t>
      </w:r>
      <w:r w:rsidRPr="00A06A96">
        <w:rPr>
          <w:rFonts w:ascii="Times New Roman" w:hAnsi="Times New Roman" w:cs="Times New Roman"/>
          <w:sz w:val="28"/>
          <w:szCs w:val="28"/>
        </w:rPr>
        <w:t>&amp;</w:t>
      </w:r>
      <w:r>
        <w:rPr>
          <w:rFonts w:ascii="Times New Roman" w:hAnsi="Times New Roman" w:cs="Times New Roman"/>
          <w:sz w:val="28"/>
          <w:szCs w:val="28"/>
          <w:lang w:val="en-US"/>
        </w:rPr>
        <w:t>A</w:t>
      </w:r>
      <w:r w:rsidRPr="00A06A96">
        <w:rPr>
          <w:rFonts w:ascii="Times New Roman" w:hAnsi="Times New Roman" w:cs="Times New Roman"/>
          <w:sz w:val="28"/>
          <w:szCs w:val="28"/>
        </w:rPr>
        <w:t>.</w:t>
      </w:r>
      <w:r>
        <w:rPr>
          <w:rFonts w:ascii="Times New Roman" w:hAnsi="Times New Roman" w:cs="Times New Roman"/>
          <w:sz w:val="28"/>
          <w:szCs w:val="28"/>
        </w:rPr>
        <w:t xml:space="preserve"> Показатели прибыли включают процентные затраты, но являются расчетными показателями и требуют особого внимания.</w:t>
      </w:r>
    </w:p>
    <w:p w:rsidR="002A2DE3" w:rsidRPr="00047591" w:rsidRDefault="002A2DE3" w:rsidP="002A2DE3">
      <w:pPr>
        <w:pStyle w:val="af"/>
        <w:numPr>
          <w:ilvl w:val="0"/>
          <w:numId w:val="8"/>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Следующий этап, после расчета соответствующих мультипликаторов – это первоначальная оценка инвестиционной стоимости объекта;</w:t>
      </w:r>
    </w:p>
    <w:p w:rsidR="002A2DE3" w:rsidRPr="00047591" w:rsidRDefault="002A2DE3" w:rsidP="002A2DE3">
      <w:pPr>
        <w:pStyle w:val="af"/>
        <w:numPr>
          <w:ilvl w:val="0"/>
          <w:numId w:val="8"/>
        </w:numPr>
        <w:tabs>
          <w:tab w:val="left" w:pos="3119"/>
        </w:tabs>
        <w:spacing w:after="0" w:line="360" w:lineRule="auto"/>
        <w:jc w:val="both"/>
        <w:rPr>
          <w:rFonts w:ascii="Times New Roman" w:hAnsi="Times New Roman" w:cs="Times New Roman"/>
          <w:sz w:val="28"/>
          <w:szCs w:val="28"/>
        </w:rPr>
      </w:pPr>
      <w:r w:rsidRPr="00047591">
        <w:rPr>
          <w:rFonts w:ascii="Times New Roman" w:hAnsi="Times New Roman" w:cs="Times New Roman"/>
          <w:sz w:val="28"/>
          <w:szCs w:val="28"/>
        </w:rPr>
        <w:t xml:space="preserve">Заключительный этап – определение справедливой цены. Первоначальная оценка корректируется с учетом специфики проводимых сделок, в том числе производится учет премий за контроль, скидок или надбавок за ликвидность и др. </w:t>
      </w:r>
    </w:p>
    <w:p w:rsidR="002A2DE3" w:rsidRPr="00047591" w:rsidRDefault="002A2DE3" w:rsidP="004843D8">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В результате выполнения перечисленных выше этапов оценки можно с достаточно высокой вероятностью определить инвестиционную стоимость сделки. К тому же полученная стоимость будет включать в себя не только внутреннюю стоимость присоединяемой компании и возможные синергетические эффекты. Она также будет учитывать конъюнктуру рынка, на котором функционирует компания – цель. Таким образом, данный подход может быть </w:t>
      </w:r>
      <w:r w:rsidRPr="00047591">
        <w:rPr>
          <w:rFonts w:ascii="Times New Roman" w:hAnsi="Times New Roman"/>
          <w:sz w:val="28"/>
          <w:szCs w:val="28"/>
        </w:rPr>
        <w:lastRenderedPageBreak/>
        <w:t xml:space="preserve">достаточно эффективным. Однако для этого необходимо выполнение нескольких условий: </w:t>
      </w:r>
    </w:p>
    <w:p w:rsidR="002A2DE3" w:rsidRPr="00047591" w:rsidRDefault="002A2DE3" w:rsidP="004843D8">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а) должно существовать достаточное число компаний, сходных по своим характеристикам с поглощаемой компанией; </w:t>
      </w:r>
    </w:p>
    <w:p w:rsidR="002A2DE3" w:rsidRPr="00047591" w:rsidRDefault="002A2DE3" w:rsidP="004843D8">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 xml:space="preserve">б) недостаточно только большого числа компаний – аналогов, ещё необходимо  хорошее развитие рынка корпоративного контроля в целом. Рынка с большим количеством дифференцированных сделок для составления репрезентативной выборки. </w:t>
      </w:r>
    </w:p>
    <w:p w:rsidR="002A2DE3" w:rsidRPr="00047591" w:rsidRDefault="002A2DE3" w:rsidP="004843D8">
      <w:pPr>
        <w:tabs>
          <w:tab w:val="left" w:pos="3119"/>
        </w:tabs>
        <w:spacing w:after="0" w:line="360" w:lineRule="auto"/>
        <w:ind w:left="357" w:firstLine="709"/>
        <w:jc w:val="both"/>
        <w:rPr>
          <w:rFonts w:ascii="Times New Roman" w:hAnsi="Times New Roman"/>
          <w:sz w:val="28"/>
          <w:szCs w:val="28"/>
        </w:rPr>
      </w:pPr>
      <w:r w:rsidRPr="00047591">
        <w:rPr>
          <w:rFonts w:ascii="Times New Roman" w:hAnsi="Times New Roman"/>
          <w:sz w:val="28"/>
          <w:szCs w:val="28"/>
        </w:rPr>
        <w:t>В российских условиях выполнение пункта</w:t>
      </w:r>
      <w:proofErr w:type="gramStart"/>
      <w:r w:rsidRPr="00047591">
        <w:rPr>
          <w:rFonts w:ascii="Times New Roman" w:hAnsi="Times New Roman"/>
          <w:sz w:val="28"/>
          <w:szCs w:val="28"/>
        </w:rPr>
        <w:t xml:space="preserve"> Б</w:t>
      </w:r>
      <w:proofErr w:type="gramEnd"/>
      <w:r w:rsidRPr="00047591">
        <w:rPr>
          <w:rFonts w:ascii="Times New Roman" w:hAnsi="Times New Roman"/>
          <w:sz w:val="28"/>
          <w:szCs w:val="28"/>
        </w:rPr>
        <w:t xml:space="preserve"> крайне сильно ограничивает и осложняет использование данного подхода. </w:t>
      </w:r>
      <w:proofErr w:type="gramStart"/>
      <w:r w:rsidRPr="00047591">
        <w:rPr>
          <w:rFonts w:ascii="Times New Roman" w:hAnsi="Times New Roman"/>
          <w:sz w:val="28"/>
          <w:szCs w:val="28"/>
        </w:rPr>
        <w:t xml:space="preserve">Рынок слияний растет и число сделок с каждым годом увеличивается, однако из – за их недостаточного количества и закрытой информации по большинству из них все еще сложно подобрать хотя бы несколько аналогов. </w:t>
      </w:r>
      <w:proofErr w:type="gramEnd"/>
    </w:p>
    <w:p w:rsidR="002A2DE3" w:rsidRDefault="002A2DE3" w:rsidP="004843D8">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При расчете стоимости компании для целей слияний и поглощения чаще других применяется доходный подход, так как он универсален, то есть подходит для оценки бизнеса приносящего положительный доход и лучше всего отражает ожидания инвестора. В рамках данного подхода стоимость бизнеса определяется на основе ожидаемых будущих доходов оцениваемого объекта. </w:t>
      </w:r>
    </w:p>
    <w:p w:rsidR="002A2DE3" w:rsidRDefault="002A2DE3" w:rsidP="004843D8">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В доходном подходе обычно используется многолетний прогноз, однако может применяться и прогноз на один год. Разница во временном периоде прогнозирования является основным различием между двумя методами данного подхода: методом капитализации результатов одного периода и методом дисконтирования результатов нескольких периодов.</w:t>
      </w:r>
    </w:p>
    <w:p w:rsidR="00375DD3" w:rsidRDefault="002A2DE3" w:rsidP="00375DD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Метод дисконтированных денежных потоков (</w:t>
      </w:r>
      <w:r>
        <w:rPr>
          <w:rFonts w:ascii="Times New Roman" w:hAnsi="Times New Roman"/>
          <w:sz w:val="28"/>
          <w:szCs w:val="28"/>
          <w:lang w:val="en-US"/>
        </w:rPr>
        <w:t>DCF</w:t>
      </w:r>
      <w:r w:rsidRPr="00A06A96">
        <w:rPr>
          <w:rFonts w:ascii="Times New Roman" w:hAnsi="Times New Roman"/>
          <w:sz w:val="28"/>
          <w:szCs w:val="28"/>
        </w:rPr>
        <w:t xml:space="preserve">) </w:t>
      </w:r>
      <w:r>
        <w:rPr>
          <w:rFonts w:ascii="Times New Roman" w:hAnsi="Times New Roman"/>
          <w:sz w:val="28"/>
          <w:szCs w:val="28"/>
        </w:rPr>
        <w:t xml:space="preserve">является наиболее приемлемым для учета инвестиционных мотивов, а слияния и </w:t>
      </w:r>
      <w:r w:rsidR="004E7274">
        <w:rPr>
          <w:rFonts w:ascii="Times New Roman" w:hAnsi="Times New Roman"/>
          <w:sz w:val="28"/>
          <w:szCs w:val="28"/>
        </w:rPr>
        <w:t>поглощения,</w:t>
      </w:r>
      <w:r>
        <w:rPr>
          <w:rFonts w:ascii="Times New Roman" w:hAnsi="Times New Roman"/>
          <w:sz w:val="28"/>
          <w:szCs w:val="28"/>
        </w:rPr>
        <w:t xml:space="preserve"> </w:t>
      </w:r>
      <w:r w:rsidR="004E7274">
        <w:rPr>
          <w:rFonts w:ascii="Times New Roman" w:hAnsi="Times New Roman"/>
          <w:sz w:val="28"/>
          <w:szCs w:val="28"/>
        </w:rPr>
        <w:t>несомненно,</w:t>
      </w:r>
      <w:r>
        <w:rPr>
          <w:rFonts w:ascii="Times New Roman" w:hAnsi="Times New Roman"/>
          <w:sz w:val="28"/>
          <w:szCs w:val="28"/>
        </w:rPr>
        <w:t xml:space="preserve"> относятся к данным мотивам. Любой инвестор хочет приобрести актив, который будет приносить доход в </w:t>
      </w:r>
      <w:r>
        <w:rPr>
          <w:rFonts w:ascii="Times New Roman" w:hAnsi="Times New Roman"/>
          <w:sz w:val="28"/>
          <w:szCs w:val="28"/>
        </w:rPr>
        <w:lastRenderedPageBreak/>
        <w:t xml:space="preserve">будущем, который в свою очередь не только окупит начальные вложения, но повысит благосостояние субъекта. Итак, ключевым требованием для применения метода </w:t>
      </w:r>
      <w:r>
        <w:rPr>
          <w:rFonts w:ascii="Times New Roman" w:hAnsi="Times New Roman"/>
          <w:sz w:val="28"/>
          <w:szCs w:val="28"/>
          <w:lang w:val="en-US"/>
        </w:rPr>
        <w:t>DCF</w:t>
      </w:r>
      <w:r w:rsidR="004E7274">
        <w:rPr>
          <w:rFonts w:ascii="Times New Roman" w:hAnsi="Times New Roman"/>
          <w:sz w:val="28"/>
          <w:szCs w:val="28"/>
        </w:rPr>
        <w:t xml:space="preserve"> </w:t>
      </w:r>
      <w:r>
        <w:rPr>
          <w:rFonts w:ascii="Times New Roman" w:hAnsi="Times New Roman"/>
          <w:sz w:val="28"/>
          <w:szCs w:val="28"/>
        </w:rPr>
        <w:t>является положительное (прибыльное) функционирование предприятия и наличие ретроспективных данных.</w:t>
      </w:r>
    </w:p>
    <w:p w:rsidR="002A2DE3" w:rsidRDefault="002A2DE3" w:rsidP="00375DD3">
      <w:pPr>
        <w:tabs>
          <w:tab w:val="left" w:pos="3119"/>
        </w:tabs>
        <w:spacing w:after="0" w:line="360" w:lineRule="auto"/>
        <w:ind w:left="357" w:firstLine="709"/>
        <w:jc w:val="both"/>
        <w:rPr>
          <w:rFonts w:ascii="Times New Roman" w:hAnsi="Times New Roman"/>
          <w:sz w:val="28"/>
          <w:szCs w:val="28"/>
        </w:rPr>
      </w:pPr>
      <w:r>
        <w:rPr>
          <w:rFonts w:ascii="Times New Roman" w:hAnsi="Times New Roman"/>
          <w:sz w:val="28"/>
          <w:szCs w:val="28"/>
        </w:rPr>
        <w:t>Оценка по данному этапу проводится в соответствии со следующими этапами</w:t>
      </w:r>
      <w:r>
        <w:rPr>
          <w:rStyle w:val="a5"/>
          <w:rFonts w:ascii="Times New Roman" w:hAnsi="Times New Roman"/>
          <w:sz w:val="28"/>
          <w:szCs w:val="28"/>
        </w:rPr>
        <w:footnoteReference w:id="24"/>
      </w:r>
      <w:r>
        <w:rPr>
          <w:rFonts w:ascii="Times New Roman" w:hAnsi="Times New Roman"/>
          <w:sz w:val="28"/>
          <w:szCs w:val="28"/>
        </w:rPr>
        <w:t>:</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выбор модели денежного потока (</w:t>
      </w:r>
      <w:r>
        <w:rPr>
          <w:rFonts w:ascii="Times New Roman" w:hAnsi="Times New Roman" w:cs="Times New Roman"/>
          <w:sz w:val="28"/>
          <w:szCs w:val="28"/>
          <w:lang w:val="en-US"/>
        </w:rPr>
        <w:t>CF</w:t>
      </w:r>
      <w:r w:rsidRPr="00311B95">
        <w:rPr>
          <w:rFonts w:ascii="Times New Roman" w:hAnsi="Times New Roman" w:cs="Times New Roman"/>
          <w:sz w:val="28"/>
          <w:szCs w:val="28"/>
        </w:rPr>
        <w:t>)</w:t>
      </w:r>
      <w:r>
        <w:rPr>
          <w:rFonts w:ascii="Times New Roman" w:hAnsi="Times New Roman" w:cs="Times New Roman"/>
          <w:sz w:val="28"/>
          <w:szCs w:val="28"/>
        </w:rPr>
        <w:t>: для собственного капитала или для инвестированного;</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определение прогнозного периода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 10 лет);</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проведение анализа ретроспективной выручки и прогноз;</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изучение расходов предприятия и прогноз;</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анализ и прогноз инвестиций</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прогнозирование денежного потока для каждого года прогнозного периода. Осуществляется по трем возможным сценариям: наиболее вероятному, пессимистическому и оптимистическому;</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определение и расчет ставки дисконтирования;</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расчет приведённого значения </w:t>
      </w:r>
      <w:r w:rsidRPr="00624D2A">
        <w:rPr>
          <w:rFonts w:ascii="Times New Roman" w:hAnsi="Times New Roman" w:cs="Times New Roman"/>
          <w:sz w:val="28"/>
          <w:szCs w:val="28"/>
        </w:rPr>
        <w:t xml:space="preserve">– </w:t>
      </w:r>
      <w:r>
        <w:rPr>
          <w:rFonts w:ascii="Times New Roman" w:hAnsi="Times New Roman" w:cs="Times New Roman"/>
          <w:sz w:val="28"/>
          <w:szCs w:val="28"/>
          <w:lang w:val="en-US"/>
        </w:rPr>
        <w:t>DCF</w:t>
      </w:r>
      <w:r>
        <w:rPr>
          <w:rFonts w:ascii="Times New Roman" w:hAnsi="Times New Roman" w:cs="Times New Roman"/>
          <w:sz w:val="28"/>
          <w:szCs w:val="28"/>
        </w:rPr>
        <w:t xml:space="preserve"> и оценка </w:t>
      </w:r>
      <w:proofErr w:type="spellStart"/>
      <w:r>
        <w:rPr>
          <w:rFonts w:ascii="Times New Roman" w:hAnsi="Times New Roman" w:cs="Times New Roman"/>
          <w:sz w:val="28"/>
          <w:szCs w:val="28"/>
        </w:rPr>
        <w:t>постпрогнозной</w:t>
      </w:r>
      <w:proofErr w:type="spellEnd"/>
      <w:r>
        <w:rPr>
          <w:rFonts w:ascii="Times New Roman" w:hAnsi="Times New Roman" w:cs="Times New Roman"/>
          <w:sz w:val="28"/>
          <w:szCs w:val="28"/>
        </w:rPr>
        <w:t xml:space="preserve"> стоимости</w:t>
      </w:r>
    </w:p>
    <w:p w:rsidR="002A2DE3" w:rsidRDefault="002A2DE3" w:rsidP="002A2DE3">
      <w:pPr>
        <w:pStyle w:val="af"/>
        <w:numPr>
          <w:ilvl w:val="0"/>
          <w:numId w:val="9"/>
        </w:numPr>
        <w:tabs>
          <w:tab w:val="left" w:pos="3119"/>
        </w:tabs>
        <w:spacing w:after="120" w:line="360" w:lineRule="auto"/>
        <w:ind w:left="1423" w:hanging="357"/>
        <w:contextualSpacing w:val="0"/>
        <w:jc w:val="both"/>
        <w:rPr>
          <w:rFonts w:ascii="Times New Roman" w:hAnsi="Times New Roman" w:cs="Times New Roman"/>
          <w:sz w:val="28"/>
          <w:szCs w:val="28"/>
        </w:rPr>
      </w:pPr>
      <w:r>
        <w:rPr>
          <w:rFonts w:ascii="Times New Roman" w:hAnsi="Times New Roman" w:cs="Times New Roman"/>
          <w:sz w:val="28"/>
          <w:szCs w:val="28"/>
        </w:rPr>
        <w:t>распределение весовых коэффициентов между сценариями и расчет итоговой стоимости компании. Внесение поправок.</w:t>
      </w:r>
    </w:p>
    <w:p w:rsidR="002A2DE3" w:rsidRDefault="002A2DE3" w:rsidP="004843D8">
      <w:pPr>
        <w:tabs>
          <w:tab w:val="left" w:pos="3119"/>
        </w:tabs>
        <w:spacing w:before="120" w:after="120" w:line="360" w:lineRule="auto"/>
        <w:ind w:firstLine="709"/>
        <w:jc w:val="both"/>
        <w:rPr>
          <w:rFonts w:ascii="Times New Roman" w:hAnsi="Times New Roman"/>
          <w:sz w:val="28"/>
          <w:szCs w:val="28"/>
        </w:rPr>
      </w:pPr>
      <w:r>
        <w:rPr>
          <w:rFonts w:ascii="Times New Roman" w:hAnsi="Times New Roman"/>
          <w:sz w:val="28"/>
          <w:szCs w:val="28"/>
        </w:rPr>
        <w:t xml:space="preserve">На первом этапе происходит выбор модели денежного потока. Порядок расчета по каждой из моделей приведен в табл. 4. Применяя модель для собственного капитала, рассчитывается рыночная стоимость акционерного капитала компании. </w:t>
      </w:r>
    </w:p>
    <w:p w:rsidR="002A2DE3" w:rsidRDefault="002A2DE3" w:rsidP="000D10CB">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модели для инвестированного капитала условно можно не различать собственные и заемные средства и рассчитывать совокупный денежный поток. Итогом расчета является рыночная стоимость вложенного капитала.</w:t>
      </w:r>
    </w:p>
    <w:p w:rsidR="002A2DE3" w:rsidRDefault="002A2DE3" w:rsidP="002A2DE3">
      <w:pPr>
        <w:tabs>
          <w:tab w:val="left" w:pos="3119"/>
        </w:tabs>
        <w:spacing w:after="0"/>
        <w:ind w:left="357" w:firstLine="709"/>
        <w:jc w:val="right"/>
        <w:rPr>
          <w:rFonts w:ascii="Times New Roman" w:hAnsi="Times New Roman"/>
          <w:sz w:val="28"/>
          <w:szCs w:val="28"/>
        </w:rPr>
      </w:pPr>
      <w:r>
        <w:rPr>
          <w:rFonts w:ascii="Times New Roman" w:hAnsi="Times New Roman"/>
          <w:sz w:val="28"/>
          <w:szCs w:val="28"/>
        </w:rPr>
        <w:t>Таблица 4</w:t>
      </w:r>
    </w:p>
    <w:p w:rsidR="002A2DE3" w:rsidRPr="00095545" w:rsidRDefault="002A2DE3" w:rsidP="002A2DE3">
      <w:pPr>
        <w:tabs>
          <w:tab w:val="left" w:pos="3119"/>
        </w:tabs>
        <w:spacing w:after="0"/>
        <w:ind w:left="357" w:firstLine="709"/>
        <w:jc w:val="right"/>
        <w:rPr>
          <w:rFonts w:ascii="Times New Roman" w:hAnsi="Times New Roman"/>
          <w:sz w:val="28"/>
          <w:szCs w:val="28"/>
        </w:rPr>
      </w:pPr>
      <w:r>
        <w:rPr>
          <w:rFonts w:ascii="Times New Roman" w:hAnsi="Times New Roman"/>
          <w:sz w:val="28"/>
          <w:szCs w:val="28"/>
        </w:rPr>
        <w:t>Модели денежного потока по видам капитала</w:t>
      </w:r>
    </w:p>
    <w:tbl>
      <w:tblPr>
        <w:tblStyle w:val="ab"/>
        <w:tblW w:w="0" w:type="auto"/>
        <w:tblInd w:w="357" w:type="dxa"/>
        <w:tblLook w:val="04A0"/>
      </w:tblPr>
      <w:tblGrid>
        <w:gridCol w:w="2221"/>
        <w:gridCol w:w="2241"/>
        <w:gridCol w:w="2222"/>
        <w:gridCol w:w="2245"/>
      </w:tblGrid>
      <w:tr w:rsidR="002A2DE3" w:rsidTr="002A3642">
        <w:tc>
          <w:tcPr>
            <w:tcW w:w="4606" w:type="dxa"/>
            <w:gridSpan w:val="2"/>
          </w:tcPr>
          <w:p w:rsidR="002A2DE3" w:rsidRPr="00451734"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 xml:space="preserve">Модель </w:t>
            </w:r>
            <w:r>
              <w:rPr>
                <w:rFonts w:ascii="Times New Roman" w:hAnsi="Times New Roman"/>
                <w:sz w:val="28"/>
                <w:szCs w:val="28"/>
                <w:lang w:val="en-US"/>
              </w:rPr>
              <w:t>CF</w:t>
            </w:r>
            <w:r>
              <w:rPr>
                <w:rFonts w:ascii="Times New Roman" w:hAnsi="Times New Roman"/>
                <w:sz w:val="28"/>
                <w:szCs w:val="28"/>
              </w:rPr>
              <w:t xml:space="preserve"> для собств</w:t>
            </w:r>
            <w:proofErr w:type="gramStart"/>
            <w:r>
              <w:rPr>
                <w:rFonts w:ascii="Times New Roman" w:hAnsi="Times New Roman"/>
                <w:sz w:val="28"/>
                <w:szCs w:val="28"/>
              </w:rPr>
              <w:t>.к</w:t>
            </w:r>
            <w:proofErr w:type="gramEnd"/>
            <w:r>
              <w:rPr>
                <w:rFonts w:ascii="Times New Roman" w:hAnsi="Times New Roman"/>
                <w:sz w:val="28"/>
                <w:szCs w:val="28"/>
              </w:rPr>
              <w:t>апитала</w:t>
            </w:r>
          </w:p>
        </w:tc>
        <w:tc>
          <w:tcPr>
            <w:tcW w:w="4608" w:type="dxa"/>
            <w:gridSpan w:val="2"/>
          </w:tcPr>
          <w:p w:rsidR="002A2DE3" w:rsidRPr="00451734"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 xml:space="preserve">Модель </w:t>
            </w:r>
            <w:r>
              <w:rPr>
                <w:rFonts w:ascii="Times New Roman" w:hAnsi="Times New Roman"/>
                <w:sz w:val="28"/>
                <w:szCs w:val="28"/>
                <w:lang w:val="en-US"/>
              </w:rPr>
              <w:t>CF</w:t>
            </w:r>
            <w:r>
              <w:rPr>
                <w:rFonts w:ascii="Times New Roman" w:hAnsi="Times New Roman"/>
                <w:sz w:val="28"/>
                <w:szCs w:val="28"/>
              </w:rPr>
              <w:t xml:space="preserve"> для </w:t>
            </w:r>
            <w:proofErr w:type="spellStart"/>
            <w:r>
              <w:rPr>
                <w:rFonts w:ascii="Times New Roman" w:hAnsi="Times New Roman"/>
                <w:sz w:val="28"/>
                <w:szCs w:val="28"/>
              </w:rPr>
              <w:t>инвест</w:t>
            </w:r>
            <w:proofErr w:type="spellEnd"/>
            <w:r>
              <w:rPr>
                <w:rFonts w:ascii="Times New Roman" w:hAnsi="Times New Roman"/>
                <w:sz w:val="28"/>
                <w:szCs w:val="28"/>
              </w:rPr>
              <w:t>. капитала</w:t>
            </w:r>
          </w:p>
        </w:tc>
      </w:tr>
      <w:tr w:rsidR="002A2DE3" w:rsidTr="002A3642">
        <w:tc>
          <w:tcPr>
            <w:tcW w:w="2302"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действие</w:t>
            </w:r>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показатель</w:t>
            </w:r>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действие</w:t>
            </w:r>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Показатель</w:t>
            </w:r>
          </w:p>
        </w:tc>
      </w:tr>
      <w:tr w:rsidR="002A2DE3" w:rsidTr="002A3642">
        <w:tc>
          <w:tcPr>
            <w:tcW w:w="2302" w:type="dxa"/>
          </w:tcPr>
          <w:p w:rsidR="002A2DE3" w:rsidRDefault="002A2DE3" w:rsidP="002A3642">
            <w:pPr>
              <w:tabs>
                <w:tab w:val="left" w:pos="3119"/>
              </w:tabs>
              <w:spacing w:line="360" w:lineRule="auto"/>
              <w:jc w:val="both"/>
              <w:rPr>
                <w:rFonts w:ascii="Times New Roman" w:hAnsi="Times New Roman"/>
                <w:sz w:val="28"/>
                <w:szCs w:val="28"/>
              </w:rPr>
            </w:pP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r>
              <w:rPr>
                <w:rFonts w:ascii="Times New Roman" w:hAnsi="Times New Roman"/>
                <w:sz w:val="28"/>
                <w:szCs w:val="28"/>
                <w:lang w:val="en-US"/>
              </w:rPr>
              <w:t>NOI</w:t>
            </w:r>
          </w:p>
        </w:tc>
        <w:tc>
          <w:tcPr>
            <w:tcW w:w="2304" w:type="dxa"/>
          </w:tcPr>
          <w:p w:rsidR="002A2DE3" w:rsidRDefault="002A2DE3" w:rsidP="002A3642">
            <w:pPr>
              <w:tabs>
                <w:tab w:val="left" w:pos="3119"/>
              </w:tabs>
              <w:spacing w:line="360" w:lineRule="auto"/>
              <w:jc w:val="both"/>
              <w:rPr>
                <w:rFonts w:ascii="Times New Roman" w:hAnsi="Times New Roman"/>
                <w:sz w:val="28"/>
                <w:szCs w:val="28"/>
              </w:rPr>
            </w:pP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r>
              <w:rPr>
                <w:rFonts w:ascii="Times New Roman" w:hAnsi="Times New Roman"/>
                <w:sz w:val="28"/>
                <w:szCs w:val="28"/>
                <w:lang w:val="en-US"/>
              </w:rPr>
              <w:t>EBIT</w:t>
            </w:r>
          </w:p>
        </w:tc>
      </w:tr>
      <w:tr w:rsidR="002A2DE3" w:rsidTr="002A3642">
        <w:tc>
          <w:tcPr>
            <w:tcW w:w="2302" w:type="dxa"/>
          </w:tcPr>
          <w:p w:rsidR="002A2DE3" w:rsidRPr="00F55602" w:rsidRDefault="002A2DE3" w:rsidP="002A3642">
            <w:pPr>
              <w:tabs>
                <w:tab w:val="left" w:pos="3119"/>
              </w:tabs>
              <w:spacing w:line="360" w:lineRule="auto"/>
              <w:jc w:val="center"/>
              <w:rPr>
                <w:rFonts w:ascii="Times New Roman" w:hAnsi="Times New Roman"/>
                <w:sz w:val="28"/>
                <w:szCs w:val="28"/>
              </w:rPr>
            </w:pPr>
            <w:r w:rsidRPr="00F55602">
              <w:rPr>
                <w:rFonts w:ascii="Times New Roman" w:hAnsi="Times New Roman"/>
                <w:sz w:val="28"/>
                <w:szCs w:val="28"/>
              </w:rPr>
              <w:t>+</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Dep</w:t>
            </w:r>
            <w:proofErr w:type="spellEnd"/>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r>
              <w:rPr>
                <w:rFonts w:ascii="Times New Roman" w:hAnsi="Times New Roman"/>
                <w:sz w:val="28"/>
                <w:szCs w:val="28"/>
                <w:lang w:val="en-US"/>
              </w:rPr>
              <w:t>Taxes</w:t>
            </w:r>
          </w:p>
        </w:tc>
      </w:tr>
      <w:tr w:rsidR="002A2DE3" w:rsidTr="002A3642">
        <w:tc>
          <w:tcPr>
            <w:tcW w:w="2302" w:type="dxa"/>
          </w:tcPr>
          <w:p w:rsidR="002A2DE3" w:rsidRPr="00F55602" w:rsidRDefault="002A2DE3" w:rsidP="002A3642">
            <w:pPr>
              <w:tabs>
                <w:tab w:val="left" w:pos="3119"/>
              </w:tabs>
              <w:spacing w:line="360" w:lineRule="auto"/>
              <w:jc w:val="center"/>
              <w:rPr>
                <w:rFonts w:ascii="Times New Roman" w:hAnsi="Times New Roman"/>
                <w:sz w:val="28"/>
                <w:szCs w:val="28"/>
              </w:rPr>
            </w:pPr>
            <w:r w:rsidRPr="00F55602">
              <w:rPr>
                <w:rFonts w:ascii="Times New Roman" w:hAnsi="Times New Roman"/>
                <w:sz w:val="28"/>
                <w:szCs w:val="28"/>
              </w:rPr>
              <w:t>+ / -</w:t>
            </w:r>
          </w:p>
        </w:tc>
        <w:tc>
          <w:tcPr>
            <w:tcW w:w="2304" w:type="dxa"/>
          </w:tcPr>
          <w:p w:rsidR="002A2DE3" w:rsidRDefault="002A2DE3" w:rsidP="002A3642">
            <w:pPr>
              <w:tabs>
                <w:tab w:val="left" w:pos="3119"/>
              </w:tabs>
              <w:spacing w:line="360" w:lineRule="auto"/>
              <w:jc w:val="both"/>
              <w:rPr>
                <w:rFonts w:ascii="Times New Roman" w:hAnsi="Times New Roman"/>
                <w:sz w:val="28"/>
                <w:szCs w:val="28"/>
              </w:rPr>
            </w:pPr>
            <w:r>
              <w:rPr>
                <w:rFonts w:ascii="Times New Roman" w:hAnsi="Times New Roman"/>
                <w:sz w:val="28"/>
                <w:szCs w:val="28"/>
                <w:lang w:val="en-US"/>
              </w:rPr>
              <w:t>∆ NWC</w:t>
            </w:r>
          </w:p>
        </w:tc>
        <w:tc>
          <w:tcPr>
            <w:tcW w:w="2304" w:type="dxa"/>
          </w:tcPr>
          <w:p w:rsidR="002A2DE3" w:rsidRPr="00F55602"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Dep</w:t>
            </w:r>
            <w:proofErr w:type="spellEnd"/>
          </w:p>
        </w:tc>
      </w:tr>
      <w:tr w:rsidR="002A2DE3" w:rsidTr="002A3642">
        <w:tc>
          <w:tcPr>
            <w:tcW w:w="2302" w:type="dxa"/>
          </w:tcPr>
          <w:p w:rsidR="002A2DE3" w:rsidRPr="00F55602" w:rsidRDefault="002A2DE3" w:rsidP="002A3642">
            <w:pPr>
              <w:tabs>
                <w:tab w:val="left" w:pos="3119"/>
              </w:tabs>
              <w:spacing w:line="360" w:lineRule="auto"/>
              <w:jc w:val="center"/>
              <w:rPr>
                <w:rFonts w:ascii="Times New Roman" w:hAnsi="Times New Roman"/>
                <w:sz w:val="28"/>
                <w:szCs w:val="28"/>
              </w:rPr>
            </w:pPr>
            <w:r w:rsidRPr="00F55602">
              <w:rPr>
                <w:rFonts w:ascii="Times New Roman" w:hAnsi="Times New Roman"/>
                <w:sz w:val="28"/>
                <w:szCs w:val="28"/>
              </w:rPr>
              <w:t>+ / -</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Capex</w:t>
            </w:r>
            <w:proofErr w:type="spellEnd"/>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 / -</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r>
              <w:rPr>
                <w:rFonts w:ascii="Times New Roman" w:hAnsi="Times New Roman"/>
                <w:sz w:val="28"/>
                <w:szCs w:val="28"/>
                <w:lang w:val="en-US"/>
              </w:rPr>
              <w:t>∆ NWC</w:t>
            </w:r>
          </w:p>
        </w:tc>
      </w:tr>
      <w:tr w:rsidR="002A2DE3" w:rsidTr="002A3642">
        <w:tc>
          <w:tcPr>
            <w:tcW w:w="2302" w:type="dxa"/>
          </w:tcPr>
          <w:p w:rsidR="002A2DE3" w:rsidRPr="00F55602" w:rsidRDefault="002A2DE3" w:rsidP="002A3642">
            <w:pPr>
              <w:tabs>
                <w:tab w:val="left" w:pos="3119"/>
              </w:tabs>
              <w:spacing w:line="360" w:lineRule="auto"/>
              <w:jc w:val="center"/>
              <w:rPr>
                <w:rFonts w:ascii="Times New Roman" w:hAnsi="Times New Roman"/>
                <w:sz w:val="28"/>
                <w:szCs w:val="28"/>
              </w:rPr>
            </w:pPr>
            <w:r w:rsidRPr="00F55602">
              <w:rPr>
                <w:rFonts w:ascii="Times New Roman" w:hAnsi="Times New Roman"/>
                <w:sz w:val="28"/>
                <w:szCs w:val="28"/>
              </w:rPr>
              <w:t>+ / -</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 xml:space="preserve"> Debt</w:t>
            </w:r>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 / -</w:t>
            </w:r>
          </w:p>
        </w:tc>
        <w:tc>
          <w:tcPr>
            <w:tcW w:w="2304" w:type="dxa"/>
          </w:tcPr>
          <w:p w:rsidR="002A2DE3" w:rsidRPr="00F55602" w:rsidRDefault="002A2DE3" w:rsidP="002A3642">
            <w:pPr>
              <w:tabs>
                <w:tab w:val="left" w:pos="3119"/>
              </w:tabs>
              <w:spacing w:line="360" w:lineRule="auto"/>
              <w:jc w:val="both"/>
              <w:rPr>
                <w:rFonts w:ascii="Times New Roman" w:hAnsi="Times New Roman"/>
                <w:sz w:val="28"/>
                <w:szCs w:val="28"/>
              </w:rPr>
            </w:pPr>
            <w:proofErr w:type="spellStart"/>
            <w:r>
              <w:rPr>
                <w:rFonts w:ascii="Times New Roman" w:hAnsi="Times New Roman"/>
                <w:sz w:val="28"/>
                <w:szCs w:val="28"/>
                <w:lang w:val="en-US"/>
              </w:rPr>
              <w:t>Capex</w:t>
            </w:r>
            <w:proofErr w:type="spellEnd"/>
          </w:p>
        </w:tc>
      </w:tr>
      <w:tr w:rsidR="002A2DE3" w:rsidTr="002A3642">
        <w:tc>
          <w:tcPr>
            <w:tcW w:w="2302" w:type="dxa"/>
          </w:tcPr>
          <w:p w:rsidR="002A2DE3" w:rsidRPr="00F55602" w:rsidRDefault="002A2DE3" w:rsidP="002A3642">
            <w:pPr>
              <w:tabs>
                <w:tab w:val="left" w:pos="3119"/>
              </w:tabs>
              <w:spacing w:line="360" w:lineRule="auto"/>
              <w:jc w:val="center"/>
              <w:rPr>
                <w:rFonts w:ascii="Times New Roman" w:hAnsi="Times New Roman"/>
                <w:sz w:val="28"/>
                <w:szCs w:val="28"/>
              </w:rPr>
            </w:pPr>
            <w:r w:rsidRPr="00F55602">
              <w:rPr>
                <w:rFonts w:ascii="Times New Roman" w:hAnsi="Times New Roman"/>
                <w:sz w:val="28"/>
                <w:szCs w:val="28"/>
              </w:rPr>
              <w:t>=</w:t>
            </w:r>
          </w:p>
        </w:tc>
        <w:tc>
          <w:tcPr>
            <w:tcW w:w="2304" w:type="dxa"/>
          </w:tcPr>
          <w:p w:rsidR="002A2DE3" w:rsidRPr="00451734"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lang w:val="en-US"/>
              </w:rPr>
              <w:t>CF</w:t>
            </w:r>
            <w:r w:rsidRPr="00451734">
              <w:rPr>
                <w:rFonts w:ascii="Times New Roman" w:hAnsi="Times New Roman"/>
                <w:sz w:val="28"/>
                <w:szCs w:val="28"/>
                <w:vertAlign w:val="subscript"/>
              </w:rPr>
              <w:t>СК</w:t>
            </w:r>
          </w:p>
        </w:tc>
        <w:tc>
          <w:tcPr>
            <w:tcW w:w="2304" w:type="dxa"/>
          </w:tcPr>
          <w:p w:rsidR="002A2DE3"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rPr>
              <w:t>=</w:t>
            </w:r>
          </w:p>
        </w:tc>
        <w:tc>
          <w:tcPr>
            <w:tcW w:w="2304" w:type="dxa"/>
          </w:tcPr>
          <w:p w:rsidR="002A2DE3" w:rsidRPr="00F55602" w:rsidRDefault="002A2DE3" w:rsidP="002A3642">
            <w:pPr>
              <w:tabs>
                <w:tab w:val="left" w:pos="3119"/>
              </w:tabs>
              <w:spacing w:line="360" w:lineRule="auto"/>
              <w:jc w:val="center"/>
              <w:rPr>
                <w:rFonts w:ascii="Times New Roman" w:hAnsi="Times New Roman"/>
                <w:sz w:val="28"/>
                <w:szCs w:val="28"/>
              </w:rPr>
            </w:pPr>
            <w:r>
              <w:rPr>
                <w:rFonts w:ascii="Times New Roman" w:hAnsi="Times New Roman"/>
                <w:sz w:val="28"/>
                <w:szCs w:val="28"/>
                <w:lang w:val="en-US"/>
              </w:rPr>
              <w:t>CF</w:t>
            </w:r>
            <w:proofErr w:type="spellStart"/>
            <w:r w:rsidRPr="00F55602">
              <w:rPr>
                <w:rFonts w:ascii="Times New Roman" w:hAnsi="Times New Roman"/>
                <w:sz w:val="28"/>
                <w:szCs w:val="28"/>
                <w:vertAlign w:val="subscript"/>
              </w:rPr>
              <w:t>ИнвК</w:t>
            </w:r>
            <w:proofErr w:type="spellEnd"/>
          </w:p>
        </w:tc>
      </w:tr>
    </w:tbl>
    <w:p w:rsidR="002A2DE3" w:rsidRDefault="002A2DE3" w:rsidP="002A2DE3">
      <w:pPr>
        <w:tabs>
          <w:tab w:val="left" w:pos="3119"/>
        </w:tabs>
        <w:spacing w:after="0" w:line="360" w:lineRule="auto"/>
        <w:ind w:left="357" w:firstLine="709"/>
        <w:jc w:val="both"/>
        <w:rPr>
          <w:rFonts w:ascii="Times New Roman" w:hAnsi="Times New Roman"/>
          <w:sz w:val="28"/>
          <w:szCs w:val="28"/>
        </w:rPr>
      </w:pPr>
    </w:p>
    <w:p w:rsidR="002A2DE3" w:rsidRDefault="002A2DE3" w:rsidP="004843D8">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следующем этапе определяется длительность прогнозного периода, так как рассчитываемая по методу стоимость базируется на будущих потоках денежных средств. Оптимальная продолжительность прогнозного периода пять лет, так как в более длительный период труднее прогнозировать конкретные значения выручки, расходов, темпов роста отрасли, инфляции и соответственно денежных потоков. </w:t>
      </w:r>
    </w:p>
    <w:p w:rsidR="002A2DE3" w:rsidRDefault="002A2DE3" w:rsidP="004843D8">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проводится ретроспективный анализ выручки, расходов, инвестиций. А также прогнозирование их темпов роста или конкретных значений в будущем. Прогноз должен быть небезосновательным, а логически совместимым и подкреплённым ретроспективными показателями функционирования компании и в целом отрасли. </w:t>
      </w:r>
    </w:p>
    <w:p w:rsidR="002A2DE3" w:rsidRDefault="002A2DE3" w:rsidP="004843D8">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Затем, на следующей ступени оценивания рассчитываются денежные потоки для каждого года прогнозного периода в соответствии со сценариями развития предприятия. Так пессимистический прогноз предполагает отсутствие или снижение роста объемов производства, </w:t>
      </w:r>
      <w:r>
        <w:rPr>
          <w:rFonts w:ascii="Times New Roman" w:hAnsi="Times New Roman"/>
          <w:sz w:val="28"/>
          <w:szCs w:val="28"/>
        </w:rPr>
        <w:lastRenderedPageBreak/>
        <w:t>стабильность цен на продукцию и себестоимость на уровне 30% от цен продукта. Оптимистический же допускает существенный рост объемов (более 5%) и цен (более 7%) при себестоимости на уровне 20%.</w:t>
      </w:r>
    </w:p>
    <w:p w:rsidR="002A2DE3" w:rsidRDefault="002A2DE3" w:rsidP="004843D8">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Ключевым этапом является расчет ставки дисконтирования. Существует несколько моделей для определения ставки, основными и часто используемыми из которых являются:</w:t>
      </w:r>
    </w:p>
    <w:p w:rsidR="002A2DE3" w:rsidRDefault="002A2DE3" w:rsidP="002A2DE3">
      <w:pPr>
        <w:pStyle w:val="af"/>
        <w:numPr>
          <w:ilvl w:val="0"/>
          <w:numId w:val="10"/>
        </w:numPr>
        <w:tabs>
          <w:tab w:val="left" w:pos="311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модель </w:t>
      </w:r>
      <w:r>
        <w:rPr>
          <w:rFonts w:ascii="Times New Roman" w:hAnsi="Times New Roman" w:cs="Times New Roman"/>
          <w:sz w:val="28"/>
          <w:szCs w:val="28"/>
          <w:lang w:val="en-US"/>
        </w:rPr>
        <w:t xml:space="preserve">WACC </w:t>
      </w:r>
      <w:r>
        <w:rPr>
          <w:rFonts w:ascii="Times New Roman" w:hAnsi="Times New Roman" w:cs="Times New Roman"/>
          <w:sz w:val="28"/>
          <w:szCs w:val="28"/>
        </w:rPr>
        <w:t>– средневзвешенная стоимость капитала</w:t>
      </w:r>
    </w:p>
    <w:p w:rsidR="000D10CB" w:rsidRDefault="002A2DE3" w:rsidP="000D10CB">
      <w:pPr>
        <w:pStyle w:val="af"/>
        <w:tabs>
          <w:tab w:val="left" w:pos="3119"/>
        </w:tabs>
        <w:spacing w:after="0" w:line="360" w:lineRule="auto"/>
        <w:ind w:left="1786"/>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WACC=</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e</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E</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+E</m:t>
            </m:r>
          </m:den>
        </m:f>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d</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1-t*</m:t>
            </m:r>
            <m:f>
              <m:fPr>
                <m:ctrlPr>
                  <w:rPr>
                    <w:rFonts w:ascii="Cambria Math" w:hAnsi="Cambria Math" w:cs="Times New Roman"/>
                    <w:sz w:val="28"/>
                    <w:szCs w:val="28"/>
                  </w:rPr>
                </m:ctrlPr>
              </m:fPr>
              <m:num>
                <m:r>
                  <m:rPr>
                    <m:sty m:val="p"/>
                  </m:rPr>
                  <w:rPr>
                    <w:rFonts w:ascii="Cambria Math" w:hAnsi="Cambria Math" w:cs="Times New Roman"/>
                    <w:sz w:val="28"/>
                    <w:szCs w:val="28"/>
                  </w:rPr>
                  <m:t>k*</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d</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d</m:t>
                    </m:r>
                  </m:sub>
                </m:sSub>
              </m:den>
            </m:f>
          </m:e>
        </m:d>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t</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+E</m:t>
            </m:r>
          </m:den>
        </m:f>
        <m:r>
          <m:rPr>
            <m:sty m:val="p"/>
          </m:rPr>
          <w:rPr>
            <w:rFonts w:ascii="Cambria Math" w:hAnsi="Cambria Math" w:cs="Times New Roman"/>
            <w:sz w:val="28"/>
            <w:szCs w:val="28"/>
          </w:rPr>
          <m:t xml:space="preserve"> </m:t>
        </m:r>
      </m:oMath>
      <w:r w:rsidR="000D10CB">
        <w:rPr>
          <w:rFonts w:ascii="Times New Roman" w:eastAsiaTheme="minorEastAsia" w:hAnsi="Times New Roman" w:cs="Times New Roman"/>
          <w:sz w:val="28"/>
          <w:szCs w:val="28"/>
        </w:rPr>
        <w:t xml:space="preserve">       </w:t>
      </w:r>
      <w:r w:rsidR="000D10CB" w:rsidRPr="000D10CB">
        <w:rPr>
          <w:rFonts w:ascii="Times New Roman" w:eastAsiaTheme="minorEastAsia" w:hAnsi="Times New Roman" w:cs="Times New Roman"/>
          <w:sz w:val="28"/>
          <w:szCs w:val="28"/>
        </w:rPr>
        <w:t xml:space="preserve">(2.2) </w:t>
      </w:r>
    </w:p>
    <w:p w:rsidR="002A2DE3" w:rsidRPr="000D10CB" w:rsidRDefault="002A2DE3" w:rsidP="000D10CB">
      <w:pPr>
        <w:pStyle w:val="af"/>
        <w:tabs>
          <w:tab w:val="left" w:pos="3119"/>
        </w:tabs>
        <w:spacing w:after="0" w:line="360" w:lineRule="auto"/>
        <w:ind w:left="1786"/>
        <w:jc w:val="both"/>
        <w:rPr>
          <w:rFonts w:ascii="Times New Roman" w:eastAsiaTheme="minorEastAsia" w:hAnsi="Times New Roman" w:cs="Times New Roman"/>
          <w:sz w:val="28"/>
          <w:szCs w:val="28"/>
        </w:rPr>
      </w:pPr>
      <w:r w:rsidRPr="000D10CB">
        <w:rPr>
          <w:rFonts w:ascii="Times New Roman" w:eastAsiaTheme="minorEastAsia" w:hAnsi="Times New Roman" w:cs="Times New Roman"/>
          <w:sz w:val="28"/>
          <w:szCs w:val="28"/>
        </w:rPr>
        <w:t xml:space="preserve">где </w:t>
      </w:r>
      <w:r w:rsidRPr="000D10CB">
        <w:rPr>
          <w:rFonts w:ascii="Times New Roman" w:eastAsiaTheme="minorEastAsia" w:hAnsi="Times New Roman" w:cs="Times New Roman"/>
          <w:sz w:val="28"/>
          <w:szCs w:val="28"/>
          <w:lang w:val="en-US"/>
        </w:rPr>
        <w:t>E</w:t>
      </w:r>
      <w:r w:rsidRPr="000D10CB">
        <w:rPr>
          <w:rFonts w:ascii="Times New Roman" w:eastAsiaTheme="minorEastAsia" w:hAnsi="Times New Roman" w:cs="Times New Roman"/>
          <w:sz w:val="28"/>
          <w:szCs w:val="28"/>
        </w:rPr>
        <w:t xml:space="preserve"> – собственный капитал; </w:t>
      </w:r>
      <w:proofErr w:type="spellStart"/>
      <w:r w:rsidRPr="000D10CB">
        <w:rPr>
          <w:rFonts w:ascii="Times New Roman" w:eastAsiaTheme="minorEastAsia" w:hAnsi="Times New Roman" w:cs="Times New Roman"/>
          <w:sz w:val="28"/>
          <w:szCs w:val="28"/>
          <w:lang w:val="en-US"/>
        </w:rPr>
        <w:t>D</w:t>
      </w:r>
      <w:r w:rsidRPr="000D10CB">
        <w:rPr>
          <w:rFonts w:ascii="Times New Roman" w:eastAsiaTheme="minorEastAsia" w:hAnsi="Times New Roman" w:cs="Times New Roman"/>
          <w:sz w:val="28"/>
          <w:szCs w:val="28"/>
          <w:vertAlign w:val="subscript"/>
          <w:lang w:val="en-US"/>
        </w:rPr>
        <w:t>t</w:t>
      </w:r>
      <w:proofErr w:type="spellEnd"/>
      <w:r w:rsidRPr="000D10CB">
        <w:rPr>
          <w:rFonts w:ascii="Times New Roman" w:eastAsiaTheme="minorEastAsia" w:hAnsi="Times New Roman" w:cs="Times New Roman"/>
          <w:sz w:val="28"/>
          <w:szCs w:val="28"/>
        </w:rPr>
        <w:t xml:space="preserve"> – заёмный капитал; </w:t>
      </w:r>
      <w:r w:rsidRPr="000D10CB">
        <w:rPr>
          <w:rFonts w:ascii="Times New Roman" w:eastAsiaTheme="minorEastAsia" w:hAnsi="Times New Roman" w:cs="Times New Roman"/>
          <w:sz w:val="28"/>
          <w:szCs w:val="28"/>
          <w:lang w:val="en-US"/>
        </w:rPr>
        <w:t>r</w:t>
      </w:r>
      <w:r w:rsidRPr="000D10CB">
        <w:rPr>
          <w:rFonts w:ascii="Times New Roman" w:eastAsiaTheme="minorEastAsia" w:hAnsi="Times New Roman" w:cs="Times New Roman"/>
          <w:sz w:val="28"/>
          <w:szCs w:val="28"/>
          <w:vertAlign w:val="subscript"/>
          <w:lang w:val="en-US"/>
        </w:rPr>
        <w:t>e</w:t>
      </w:r>
      <w:r w:rsidRPr="000D10CB">
        <w:rPr>
          <w:rFonts w:ascii="Times New Roman" w:eastAsiaTheme="minorEastAsia" w:hAnsi="Times New Roman" w:cs="Times New Roman"/>
          <w:sz w:val="28"/>
          <w:szCs w:val="28"/>
        </w:rPr>
        <w:t xml:space="preserve"> – стоимость СК;</w:t>
      </w:r>
      <w:r w:rsidRPr="000D10CB">
        <w:rPr>
          <w:rFonts w:ascii="Times New Roman" w:eastAsiaTheme="minorEastAsia" w:hAnsi="Times New Roman" w:cs="Times New Roman"/>
          <w:sz w:val="28"/>
          <w:szCs w:val="28"/>
          <w:lang w:val="en-US"/>
        </w:rPr>
        <w:t>r</w:t>
      </w:r>
      <w:r w:rsidRPr="000D10CB">
        <w:rPr>
          <w:rFonts w:ascii="Times New Roman" w:eastAsiaTheme="minorEastAsia" w:hAnsi="Times New Roman" w:cs="Times New Roman"/>
          <w:sz w:val="28"/>
          <w:szCs w:val="28"/>
          <w:vertAlign w:val="subscript"/>
          <w:lang w:val="en-US"/>
        </w:rPr>
        <w:t>d</w:t>
      </w:r>
      <w:r w:rsidRPr="000D10CB">
        <w:rPr>
          <w:rFonts w:ascii="Times New Roman" w:eastAsiaTheme="minorEastAsia" w:hAnsi="Times New Roman" w:cs="Times New Roman"/>
          <w:sz w:val="28"/>
          <w:szCs w:val="28"/>
        </w:rPr>
        <w:t xml:space="preserve"> – стоимость ЗК;</w:t>
      </w:r>
      <w:r w:rsidRPr="000D10CB">
        <w:rPr>
          <w:rFonts w:ascii="Times New Roman" w:eastAsiaTheme="minorEastAsia" w:hAnsi="Times New Roman" w:cs="Times New Roman"/>
          <w:sz w:val="28"/>
          <w:szCs w:val="28"/>
          <w:lang w:val="en-US"/>
        </w:rPr>
        <w:t>t</w:t>
      </w:r>
      <w:r w:rsidRPr="000D10CB">
        <w:rPr>
          <w:rFonts w:ascii="Times New Roman" w:eastAsiaTheme="minorEastAsia" w:hAnsi="Times New Roman" w:cs="Times New Roman"/>
          <w:sz w:val="28"/>
          <w:szCs w:val="28"/>
        </w:rPr>
        <w:t xml:space="preserve"> – ставка налога на прибыль;</w:t>
      </w:r>
      <w:r w:rsidRPr="000D10CB">
        <w:rPr>
          <w:rFonts w:ascii="Times New Roman" w:eastAsiaTheme="minorEastAsia" w:hAnsi="Times New Roman" w:cs="Times New Roman"/>
          <w:sz w:val="28"/>
          <w:szCs w:val="28"/>
          <w:lang w:val="en-US"/>
        </w:rPr>
        <w:t>k</w:t>
      </w:r>
      <w:r w:rsidRPr="000D10CB">
        <w:rPr>
          <w:rFonts w:ascii="Times New Roman" w:eastAsiaTheme="minorEastAsia" w:hAnsi="Times New Roman" w:cs="Times New Roman"/>
          <w:sz w:val="28"/>
          <w:szCs w:val="28"/>
        </w:rPr>
        <w:t xml:space="preserve"> – коэффициент уменьшения доходов (=1,8*</w:t>
      </w:r>
      <w:proofErr w:type="spellStart"/>
      <w:r w:rsidRPr="000D10CB">
        <w:rPr>
          <w:rFonts w:ascii="Times New Roman" w:eastAsiaTheme="minorEastAsia" w:hAnsi="Times New Roman" w:cs="Times New Roman"/>
          <w:sz w:val="28"/>
          <w:szCs w:val="28"/>
        </w:rPr>
        <w:t>ст-ка</w:t>
      </w:r>
      <w:proofErr w:type="spellEnd"/>
      <w:r w:rsidRPr="000D10CB">
        <w:rPr>
          <w:rFonts w:ascii="Times New Roman" w:eastAsiaTheme="minorEastAsia" w:hAnsi="Times New Roman" w:cs="Times New Roman"/>
          <w:sz w:val="28"/>
          <w:szCs w:val="28"/>
        </w:rPr>
        <w:t xml:space="preserve"> рефинансирования)</w:t>
      </w:r>
    </w:p>
    <w:p w:rsidR="002A2DE3" w:rsidRPr="000A415D" w:rsidRDefault="002A2DE3" w:rsidP="002A2DE3">
      <w:pPr>
        <w:pStyle w:val="af"/>
        <w:numPr>
          <w:ilvl w:val="0"/>
          <w:numId w:val="10"/>
        </w:numPr>
        <w:tabs>
          <w:tab w:val="left" w:pos="3119"/>
        </w:tabs>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модель </w:t>
      </w:r>
      <w:r>
        <w:rPr>
          <w:rFonts w:ascii="Times New Roman" w:eastAsiaTheme="minorEastAsia" w:hAnsi="Times New Roman" w:cs="Times New Roman"/>
          <w:sz w:val="28"/>
          <w:szCs w:val="28"/>
          <w:lang w:val="en-US"/>
        </w:rPr>
        <w:t>CAPM</w:t>
      </w:r>
      <w:r>
        <w:rPr>
          <w:rFonts w:ascii="Times New Roman" w:eastAsiaTheme="minorEastAsia" w:hAnsi="Times New Roman" w:cs="Times New Roman"/>
          <w:sz w:val="28"/>
          <w:szCs w:val="28"/>
        </w:rPr>
        <w:t xml:space="preserve"> – капитализации активов</w:t>
      </w:r>
    </w:p>
    <w:p w:rsidR="002A2DE3" w:rsidRPr="000D10CB" w:rsidRDefault="002A2DE3" w:rsidP="000D10CB">
      <w:pPr>
        <w:pStyle w:val="af"/>
        <w:tabs>
          <w:tab w:val="left" w:pos="3119"/>
        </w:tabs>
        <w:spacing w:after="0" w:line="360" w:lineRule="auto"/>
        <w:ind w:left="1786"/>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CAPM=</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lang w:val="en-US"/>
              </w:rPr>
              <m:t>rf</m:t>
            </m:r>
          </m:sub>
        </m:sSub>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β</m:t>
        </m:r>
        <m:r>
          <m:rPr>
            <m:sty m:val="p"/>
          </m:rPr>
          <w:rPr>
            <w:rFonts w:ascii="Cambria Math" w:hAnsi="Cambria Math" w:cs="Times New Roman"/>
            <w:sz w:val="28"/>
            <w:szCs w:val="28"/>
          </w:rPr>
          <m:t>*</m:t>
        </m:r>
        <m:d>
          <m:dPr>
            <m:ctrlPr>
              <w:rPr>
                <w:rFonts w:ascii="Cambria Math" w:hAnsi="Cambria Math" w:cs="Times New Roman"/>
                <w:sz w:val="28"/>
                <w:szCs w:val="28"/>
                <w:lang w:val="en-US"/>
              </w:rPr>
            </m:ctrlPr>
          </m:dPr>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lang w:val="en-US"/>
                  </w:rPr>
                  <m:t>m</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lang w:val="en-US"/>
                  </w:rPr>
                  <m:t>rf</m:t>
                </m:r>
              </m:sub>
            </m:sSub>
          </m:e>
        </m:d>
        <m:r>
          <m:rPr>
            <m:sty m:val="p"/>
          </m:rPr>
          <w:rPr>
            <w:rFonts w:ascii="Cambria Math" w:hAnsi="Cambria Math" w:cs="Times New Roman"/>
            <w:sz w:val="28"/>
            <w:szCs w:val="28"/>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oMath>
      <w:r w:rsidR="000D10CB">
        <w:rPr>
          <w:rFonts w:ascii="Times New Roman" w:eastAsiaTheme="minorEastAsia" w:hAnsi="Times New Roman" w:cs="Times New Roman"/>
          <w:sz w:val="28"/>
          <w:szCs w:val="28"/>
        </w:rPr>
        <w:t xml:space="preserve">          (2.3)</w:t>
      </w:r>
    </w:p>
    <w:p w:rsidR="002A2DE3" w:rsidRDefault="002A2DE3" w:rsidP="002A2DE3">
      <w:pPr>
        <w:pStyle w:val="af"/>
        <w:tabs>
          <w:tab w:val="left" w:pos="3119"/>
        </w:tabs>
        <w:spacing w:after="0" w:line="360" w:lineRule="auto"/>
        <w:ind w:left="178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roofErr w:type="spellStart"/>
      <w:r>
        <w:rPr>
          <w:rFonts w:ascii="Times New Roman" w:eastAsiaTheme="minorEastAsia" w:hAnsi="Times New Roman" w:cs="Times New Roman"/>
          <w:sz w:val="28"/>
          <w:szCs w:val="28"/>
          <w:lang w:val="en-US"/>
        </w:rPr>
        <w:t>r</w:t>
      </w:r>
      <w:r w:rsidRPr="000A415D">
        <w:rPr>
          <w:rFonts w:ascii="Times New Roman" w:eastAsiaTheme="minorEastAsia" w:hAnsi="Times New Roman" w:cs="Times New Roman"/>
          <w:sz w:val="28"/>
          <w:szCs w:val="28"/>
          <w:vertAlign w:val="subscript"/>
          <w:lang w:val="en-US"/>
        </w:rPr>
        <w:t>rf</w:t>
      </w:r>
      <w:proofErr w:type="spellEnd"/>
      <w:r w:rsidRPr="000A415D">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безрисковая</w:t>
      </w:r>
      <w:proofErr w:type="spellEnd"/>
      <w:r>
        <w:rPr>
          <w:rFonts w:ascii="Times New Roman" w:eastAsiaTheme="minorEastAsia" w:hAnsi="Times New Roman" w:cs="Times New Roman"/>
          <w:sz w:val="28"/>
          <w:szCs w:val="28"/>
        </w:rPr>
        <w:t xml:space="preserve"> ставка; β – рискованность актива; </w:t>
      </w:r>
      <w:proofErr w:type="spellStart"/>
      <w:r>
        <w:rPr>
          <w:rFonts w:ascii="Times New Roman" w:eastAsiaTheme="minorEastAsia" w:hAnsi="Times New Roman" w:cs="Times New Roman"/>
          <w:sz w:val="28"/>
          <w:szCs w:val="28"/>
          <w:lang w:val="en-US"/>
        </w:rPr>
        <w:t>r</w:t>
      </w:r>
      <w:r w:rsidRPr="000A415D">
        <w:rPr>
          <w:rFonts w:ascii="Times New Roman" w:eastAsiaTheme="minorEastAsia" w:hAnsi="Times New Roman" w:cs="Times New Roman"/>
          <w:sz w:val="28"/>
          <w:szCs w:val="28"/>
          <w:vertAlign w:val="subscript"/>
          <w:lang w:val="en-US"/>
        </w:rPr>
        <w:t>m</w:t>
      </w:r>
      <w:proofErr w:type="spellEnd"/>
      <w:r>
        <w:rPr>
          <w:rFonts w:ascii="Times New Roman" w:eastAsiaTheme="minorEastAsia" w:hAnsi="Times New Roman" w:cs="Times New Roman"/>
          <w:sz w:val="28"/>
          <w:szCs w:val="28"/>
        </w:rPr>
        <w:t xml:space="preserve"> – среднерыночная доходность;</w:t>
      </w:r>
      <w:r>
        <w:rPr>
          <w:rFonts w:ascii="Times New Roman" w:eastAsiaTheme="minorEastAsia" w:hAnsi="Times New Roman" w:cs="Times New Roman"/>
          <w:sz w:val="28"/>
          <w:szCs w:val="28"/>
          <w:lang w:val="en-US"/>
        </w:rPr>
        <w:t>S</w:t>
      </w:r>
      <w:r w:rsidRPr="000A415D">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 риск компании; </w:t>
      </w:r>
      <w:r>
        <w:rPr>
          <w:rFonts w:ascii="Times New Roman" w:eastAsiaTheme="minorEastAsia" w:hAnsi="Times New Roman" w:cs="Times New Roman"/>
          <w:sz w:val="28"/>
          <w:szCs w:val="28"/>
          <w:lang w:val="en-US"/>
        </w:rPr>
        <w:t>S</w:t>
      </w:r>
      <w:r w:rsidRPr="000A415D">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 премия отраслевого характера;</w:t>
      </w: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страновой</w:t>
      </w:r>
      <w:proofErr w:type="spellEnd"/>
      <w:r>
        <w:rPr>
          <w:rFonts w:ascii="Times New Roman" w:eastAsiaTheme="minorEastAsia" w:hAnsi="Times New Roman" w:cs="Times New Roman"/>
          <w:sz w:val="28"/>
          <w:szCs w:val="28"/>
        </w:rPr>
        <w:t xml:space="preserve"> риск</w:t>
      </w:r>
    </w:p>
    <w:p w:rsidR="002A2DE3" w:rsidRPr="00960AB4"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Далее дисконтируются рассчитанные ранее денежные потоки, то есть будущая стоимость </w:t>
      </w:r>
      <w:proofErr w:type="gramStart"/>
      <w:r>
        <w:rPr>
          <w:rFonts w:ascii="Times New Roman" w:hAnsi="Times New Roman"/>
          <w:sz w:val="28"/>
          <w:szCs w:val="28"/>
        </w:rPr>
        <w:t>переводится</w:t>
      </w:r>
      <w:proofErr w:type="gramEnd"/>
      <w:r>
        <w:rPr>
          <w:rFonts w:ascii="Times New Roman" w:hAnsi="Times New Roman"/>
          <w:sz w:val="28"/>
          <w:szCs w:val="28"/>
        </w:rPr>
        <w:t xml:space="preserve"> в стоимость этих потоков на момент оценки. </w:t>
      </w:r>
    </w:p>
    <w:p w:rsidR="002A2DE3" w:rsidRPr="000D10CB" w:rsidRDefault="005C5A41" w:rsidP="000D10CB">
      <w:pPr>
        <w:tabs>
          <w:tab w:val="left" w:pos="3119"/>
        </w:tabs>
        <w:spacing w:after="0" w:line="360" w:lineRule="auto"/>
        <w:ind w:firstLine="709"/>
        <w:jc w:val="right"/>
        <w:rPr>
          <w:rFonts w:ascii="Times New Roman" w:hAnsi="Times New Roman"/>
          <w:sz w:val="28"/>
          <w:szCs w:val="28"/>
        </w:rPr>
      </w:pPr>
      <m:oMath>
        <m:sSub>
          <m:sSubPr>
            <m:ctrlPr>
              <w:rPr>
                <w:rFonts w:ascii="Cambria Math" w:hAnsi="Times New Roman" w:cs="Times New Roman"/>
                <w:sz w:val="30"/>
                <w:szCs w:val="30"/>
                <w:lang w:val="en-US"/>
              </w:rPr>
            </m:ctrlPr>
          </m:sSubPr>
          <m:e>
            <m:r>
              <m:rPr>
                <m:sty m:val="p"/>
              </m:rPr>
              <w:rPr>
                <w:rFonts w:ascii="Cambria Math" w:hAnsi="Times New Roman" w:cs="Times New Roman"/>
                <w:sz w:val="30"/>
                <w:szCs w:val="30"/>
                <w:lang w:val="en-US"/>
              </w:rPr>
              <m:t>DCF</m:t>
            </m:r>
          </m:e>
          <m:sub>
            <m:r>
              <m:rPr>
                <m:sty m:val="p"/>
              </m:rPr>
              <w:rPr>
                <w:rFonts w:ascii="Cambria Math" w:hAnsi="Times New Roman" w:cs="Times New Roman"/>
                <w:sz w:val="30"/>
                <w:szCs w:val="30"/>
                <w:lang w:val="en-US"/>
              </w:rPr>
              <m:t>t</m:t>
            </m:r>
          </m:sub>
        </m:sSub>
        <m:r>
          <m:rPr>
            <m:sty m:val="p"/>
          </m:rPr>
          <w:rPr>
            <w:rFonts w:ascii="Cambria Math" w:hAnsi="Times New Roman" w:cs="Times New Roman"/>
            <w:sz w:val="30"/>
            <w:szCs w:val="30"/>
          </w:rPr>
          <m:t>=</m:t>
        </m:r>
        <m:nary>
          <m:naryPr>
            <m:chr m:val="∑"/>
            <m:limLoc m:val="undOvr"/>
            <m:ctrlPr>
              <w:rPr>
                <w:rFonts w:ascii="Cambria Math" w:hAnsi="Times New Roman" w:cs="Times New Roman"/>
                <w:sz w:val="30"/>
                <w:szCs w:val="30"/>
                <w:lang w:val="en-US"/>
              </w:rPr>
            </m:ctrlPr>
          </m:naryPr>
          <m:sub>
            <m:r>
              <m:rPr>
                <m:sty m:val="p"/>
              </m:rPr>
              <w:rPr>
                <w:rFonts w:ascii="Cambria Math" w:hAnsi="Times New Roman" w:cs="Times New Roman"/>
                <w:sz w:val="30"/>
                <w:szCs w:val="30"/>
                <w:lang w:val="en-US"/>
              </w:rPr>
              <m:t>t</m:t>
            </m:r>
            <m:r>
              <m:rPr>
                <m:sty m:val="p"/>
              </m:rPr>
              <w:rPr>
                <w:rFonts w:ascii="Cambria Math" w:hAnsi="Times New Roman" w:cs="Times New Roman"/>
                <w:sz w:val="30"/>
                <w:szCs w:val="30"/>
              </w:rPr>
              <m:t>=0</m:t>
            </m:r>
          </m:sub>
          <m:sup>
            <m:r>
              <m:rPr>
                <m:sty m:val="p"/>
              </m:rPr>
              <w:rPr>
                <w:rFonts w:ascii="Cambria Math" w:hAnsi="Times New Roman" w:cs="Times New Roman"/>
                <w:sz w:val="30"/>
                <w:szCs w:val="30"/>
                <w:lang w:val="en-US"/>
              </w:rPr>
              <m:t>n</m:t>
            </m:r>
          </m:sup>
          <m:e>
            <m:f>
              <m:fPr>
                <m:ctrlPr>
                  <w:rPr>
                    <w:rFonts w:ascii="Cambria Math" w:hAnsi="Times New Roman" w:cs="Times New Roman"/>
                    <w:sz w:val="30"/>
                    <w:szCs w:val="30"/>
                    <w:lang w:val="en-US"/>
                  </w:rPr>
                </m:ctrlPr>
              </m:fPr>
              <m:num>
                <m:sSub>
                  <m:sSubPr>
                    <m:ctrlPr>
                      <w:rPr>
                        <w:rFonts w:ascii="Cambria Math" w:hAnsi="Times New Roman" w:cs="Times New Roman"/>
                        <w:sz w:val="30"/>
                        <w:szCs w:val="30"/>
                        <w:lang w:val="en-US"/>
                      </w:rPr>
                    </m:ctrlPr>
                  </m:sSubPr>
                  <m:e>
                    <m:r>
                      <m:rPr>
                        <m:sty m:val="p"/>
                      </m:rPr>
                      <w:rPr>
                        <w:rFonts w:ascii="Cambria Math" w:hAnsi="Times New Roman" w:cs="Times New Roman"/>
                        <w:sz w:val="30"/>
                        <w:szCs w:val="30"/>
                        <w:lang w:val="en-US"/>
                      </w:rPr>
                      <m:t>CF</m:t>
                    </m:r>
                  </m:e>
                  <m:sub>
                    <m:r>
                      <m:rPr>
                        <m:sty m:val="p"/>
                      </m:rPr>
                      <w:rPr>
                        <w:rFonts w:ascii="Cambria Math" w:hAnsi="Times New Roman" w:cs="Times New Roman"/>
                        <w:sz w:val="30"/>
                        <w:szCs w:val="30"/>
                        <w:lang w:val="en-US"/>
                      </w:rPr>
                      <m:t>t</m:t>
                    </m:r>
                  </m:sub>
                </m:sSub>
              </m:num>
              <m:den>
                <m:sSup>
                  <m:sSupPr>
                    <m:ctrlPr>
                      <w:rPr>
                        <w:rFonts w:ascii="Cambria Math" w:hAnsi="Times New Roman" w:cs="Times New Roman"/>
                        <w:sz w:val="30"/>
                        <w:szCs w:val="30"/>
                        <w:lang w:val="en-US"/>
                      </w:rPr>
                    </m:ctrlPr>
                  </m:sSupPr>
                  <m:e>
                    <m:r>
                      <m:rPr>
                        <m:sty m:val="p"/>
                      </m:rPr>
                      <w:rPr>
                        <w:rFonts w:ascii="Cambria Math" w:hAnsi="Times New Roman" w:cs="Times New Roman"/>
                        <w:sz w:val="30"/>
                        <w:szCs w:val="30"/>
                      </w:rPr>
                      <m:t>(1+</m:t>
                    </m:r>
                    <m:r>
                      <m:rPr>
                        <m:sty m:val="p"/>
                      </m:rPr>
                      <w:rPr>
                        <w:rFonts w:ascii="Cambria Math" w:hAnsi="Times New Roman" w:cs="Times New Roman"/>
                        <w:sz w:val="30"/>
                        <w:szCs w:val="30"/>
                        <w:lang w:val="en-US"/>
                      </w:rPr>
                      <m:t>WACC</m:t>
                    </m:r>
                    <m:r>
                      <m:rPr>
                        <m:sty m:val="p"/>
                      </m:rPr>
                      <w:rPr>
                        <w:rFonts w:ascii="Cambria Math" w:hAnsi="Times New Roman" w:cs="Times New Roman"/>
                        <w:sz w:val="30"/>
                        <w:szCs w:val="30"/>
                      </w:rPr>
                      <m:t>)</m:t>
                    </m:r>
                  </m:e>
                  <m:sup>
                    <m:r>
                      <m:rPr>
                        <m:sty m:val="p"/>
                      </m:rPr>
                      <w:rPr>
                        <w:rFonts w:ascii="Cambria Math" w:hAnsi="Times New Roman" w:cs="Times New Roman"/>
                        <w:sz w:val="30"/>
                        <w:szCs w:val="30"/>
                        <w:lang w:val="en-US"/>
                      </w:rPr>
                      <m:t>t</m:t>
                    </m:r>
                  </m:sup>
                </m:sSup>
              </m:den>
            </m:f>
          </m:e>
        </m:nary>
      </m:oMath>
      <w:r w:rsidR="000D10CB">
        <w:rPr>
          <w:rFonts w:ascii="Times New Roman" w:eastAsiaTheme="minorEastAsia" w:hAnsi="Times New Roman"/>
          <w:sz w:val="28"/>
          <w:szCs w:val="28"/>
        </w:rPr>
        <w:t xml:space="preserve">                                      (2.4)</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определяется </w:t>
      </w:r>
      <w:proofErr w:type="spellStart"/>
      <w:r>
        <w:rPr>
          <w:rFonts w:ascii="Times New Roman" w:hAnsi="Times New Roman"/>
          <w:sz w:val="28"/>
          <w:szCs w:val="28"/>
        </w:rPr>
        <w:t>постпрогнозная</w:t>
      </w:r>
      <w:proofErr w:type="spellEnd"/>
      <w:r>
        <w:rPr>
          <w:rFonts w:ascii="Times New Roman" w:hAnsi="Times New Roman"/>
          <w:sz w:val="28"/>
          <w:szCs w:val="28"/>
        </w:rPr>
        <w:t xml:space="preserve"> стоимость объекта оценки. В целях </w:t>
      </w:r>
      <w:r>
        <w:rPr>
          <w:rFonts w:ascii="Times New Roman" w:hAnsi="Times New Roman"/>
          <w:sz w:val="28"/>
          <w:szCs w:val="28"/>
          <w:lang w:val="en-US"/>
        </w:rPr>
        <w:t>M</w:t>
      </w:r>
      <w:r w:rsidRPr="00174139">
        <w:rPr>
          <w:rFonts w:ascii="Times New Roman" w:hAnsi="Times New Roman"/>
          <w:sz w:val="28"/>
          <w:szCs w:val="28"/>
        </w:rPr>
        <w:t>&amp;</w:t>
      </w:r>
      <w:proofErr w:type="gramStart"/>
      <w:r>
        <w:rPr>
          <w:rFonts w:ascii="Times New Roman" w:hAnsi="Times New Roman"/>
          <w:sz w:val="28"/>
          <w:szCs w:val="28"/>
          <w:lang w:val="en-US"/>
        </w:rPr>
        <w:t>A</w:t>
      </w:r>
      <w:proofErr w:type="gramEnd"/>
      <w:r>
        <w:rPr>
          <w:rFonts w:ascii="Times New Roman" w:hAnsi="Times New Roman"/>
          <w:sz w:val="28"/>
          <w:szCs w:val="28"/>
        </w:rPr>
        <w:t>наиболее подходящей является модель Гордона.</w:t>
      </w:r>
    </w:p>
    <w:p w:rsidR="002A2DE3" w:rsidRPr="000D10CB" w:rsidRDefault="005C5A41" w:rsidP="000D10CB">
      <w:pPr>
        <w:tabs>
          <w:tab w:val="left" w:pos="3119"/>
        </w:tabs>
        <w:spacing w:after="0" w:line="360" w:lineRule="auto"/>
        <w:ind w:firstLine="709"/>
        <w:jc w:val="right"/>
        <w:rPr>
          <w:rFonts w:ascii="Times New Roman" w:eastAsiaTheme="minorEastAsia" w:hAnsi="Times New Roman"/>
          <w:sz w:val="28"/>
          <w:szCs w:val="28"/>
        </w:rPr>
      </w:pPr>
      <m:oMath>
        <m:sSub>
          <m:sSubPr>
            <m:ctrlPr>
              <w:rPr>
                <w:rFonts w:ascii="Cambria Math" w:hAnsi="Times New Roman" w:cs="Times New Roman"/>
                <w:sz w:val="30"/>
                <w:szCs w:val="30"/>
                <w:lang w:val="en-US"/>
              </w:rPr>
            </m:ctrlPr>
          </m:sSubPr>
          <m:e>
            <m:r>
              <m:rPr>
                <m:sty m:val="p"/>
              </m:rPr>
              <w:rPr>
                <w:rFonts w:ascii="Cambria Math" w:hAnsi="Times New Roman" w:cs="Times New Roman"/>
                <w:sz w:val="30"/>
                <w:szCs w:val="30"/>
                <w:lang w:val="en-US"/>
              </w:rPr>
              <m:t>V</m:t>
            </m:r>
          </m:e>
          <m:sub>
            <m:r>
              <m:rPr>
                <m:sty m:val="p"/>
              </m:rPr>
              <w:rPr>
                <w:rFonts w:ascii="Cambria Math" w:hAnsi="Times New Roman" w:cs="Times New Roman"/>
                <w:sz w:val="30"/>
                <w:szCs w:val="30"/>
                <w:lang w:val="en-US"/>
              </w:rPr>
              <m:t>term</m:t>
            </m:r>
          </m:sub>
        </m:sSub>
        <m:r>
          <m:rPr>
            <m:sty m:val="p"/>
          </m:rPr>
          <w:rPr>
            <w:rFonts w:ascii="Cambria Math" w:hAnsi="Times New Roman" w:cs="Times New Roman"/>
            <w:sz w:val="30"/>
            <w:szCs w:val="30"/>
          </w:rPr>
          <m:t>=</m:t>
        </m:r>
        <m:f>
          <m:fPr>
            <m:ctrlPr>
              <w:rPr>
                <w:rFonts w:ascii="Cambria Math" w:hAnsi="Times New Roman" w:cs="Times New Roman"/>
                <w:sz w:val="30"/>
                <w:szCs w:val="30"/>
                <w:lang w:val="en-US"/>
              </w:rPr>
            </m:ctrlPr>
          </m:fPr>
          <m:num>
            <m:sSub>
              <m:sSubPr>
                <m:ctrlPr>
                  <w:rPr>
                    <w:rFonts w:ascii="Cambria Math" w:hAnsi="Times New Roman" w:cs="Times New Roman"/>
                    <w:sz w:val="30"/>
                    <w:szCs w:val="30"/>
                    <w:lang w:val="en-US"/>
                  </w:rPr>
                </m:ctrlPr>
              </m:sSubPr>
              <m:e>
                <m:r>
                  <m:rPr>
                    <m:sty m:val="p"/>
                  </m:rPr>
                  <w:rPr>
                    <w:rFonts w:ascii="Cambria Math" w:hAnsi="Times New Roman" w:cs="Times New Roman"/>
                    <w:sz w:val="30"/>
                    <w:szCs w:val="30"/>
                    <w:lang w:val="en-US"/>
                  </w:rPr>
                  <m:t>CF</m:t>
                </m:r>
              </m:e>
              <m:sub>
                <m:r>
                  <m:rPr>
                    <m:sty m:val="p"/>
                  </m:rPr>
                  <w:rPr>
                    <w:rFonts w:ascii="Cambria Math" w:hAnsi="Times New Roman" w:cs="Times New Roman"/>
                    <w:sz w:val="30"/>
                    <w:szCs w:val="30"/>
                    <w:lang w:val="en-US"/>
                  </w:rPr>
                  <m:t>n</m:t>
                </m:r>
              </m:sub>
            </m:sSub>
            <m:r>
              <m:rPr>
                <m:sty m:val="p"/>
              </m:rPr>
              <w:rPr>
                <w:rFonts w:ascii="Times New Roman" w:hAnsi="Cambria Math" w:cs="Times New Roman"/>
                <w:sz w:val="30"/>
                <w:szCs w:val="30"/>
              </w:rPr>
              <m:t>*</m:t>
            </m:r>
            <m:r>
              <m:rPr>
                <m:sty m:val="p"/>
              </m:rPr>
              <w:rPr>
                <w:rFonts w:ascii="Cambria Math" w:hAnsi="Times New Roman" w:cs="Times New Roman"/>
                <w:sz w:val="30"/>
                <w:szCs w:val="30"/>
              </w:rPr>
              <m:t>(1+</m:t>
            </m:r>
            <m:r>
              <m:rPr>
                <m:sty m:val="p"/>
              </m:rPr>
              <w:rPr>
                <w:rFonts w:ascii="Cambria Math" w:hAnsi="Times New Roman" w:cs="Times New Roman"/>
                <w:sz w:val="30"/>
                <w:szCs w:val="30"/>
                <w:lang w:val="en-US"/>
              </w:rPr>
              <m:t>g</m:t>
            </m:r>
            <m:r>
              <m:rPr>
                <m:sty m:val="p"/>
              </m:rPr>
              <w:rPr>
                <w:rFonts w:ascii="Cambria Math" w:hAnsi="Times New Roman" w:cs="Times New Roman"/>
                <w:sz w:val="30"/>
                <w:szCs w:val="30"/>
              </w:rPr>
              <m:t>)</m:t>
            </m:r>
          </m:num>
          <m:den>
            <m:r>
              <m:rPr>
                <m:sty m:val="p"/>
              </m:rPr>
              <w:rPr>
                <w:rFonts w:ascii="Cambria Math" w:hAnsi="Times New Roman" w:cs="Times New Roman"/>
                <w:sz w:val="30"/>
                <w:szCs w:val="30"/>
                <w:lang w:val="en-US"/>
              </w:rPr>
              <m:t>WACC</m:t>
            </m:r>
            <m:r>
              <m:rPr>
                <m:sty m:val="p"/>
              </m:rPr>
              <w:rPr>
                <w:rFonts w:ascii="Times New Roman" w:hAnsi="Times New Roman" w:cs="Times New Roman"/>
                <w:sz w:val="30"/>
                <w:szCs w:val="30"/>
              </w:rPr>
              <m:t>-</m:t>
            </m:r>
            <m:r>
              <m:rPr>
                <m:sty m:val="p"/>
              </m:rPr>
              <w:rPr>
                <w:rFonts w:ascii="Cambria Math" w:hAnsi="Times New Roman" w:cs="Times New Roman"/>
                <w:sz w:val="30"/>
                <w:szCs w:val="30"/>
                <w:lang w:val="en-US"/>
              </w:rPr>
              <m:t>g</m:t>
            </m:r>
          </m:den>
        </m:f>
      </m:oMath>
      <w:r w:rsidR="000D10CB">
        <w:rPr>
          <w:rFonts w:ascii="Times New Roman" w:eastAsiaTheme="minorEastAsia" w:hAnsi="Times New Roman"/>
          <w:sz w:val="28"/>
          <w:szCs w:val="28"/>
        </w:rPr>
        <w:t xml:space="preserve">                                               (2.5)</w:t>
      </w:r>
    </w:p>
    <w:p w:rsidR="002A2DE3" w:rsidRDefault="002A2DE3" w:rsidP="002A2DE3">
      <w:pPr>
        <w:tabs>
          <w:tab w:val="left" w:pos="3119"/>
        </w:tabs>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где </w:t>
      </w:r>
      <w:proofErr w:type="spellStart"/>
      <w:r>
        <w:rPr>
          <w:rFonts w:ascii="Times New Roman" w:eastAsiaTheme="minorEastAsia" w:hAnsi="Times New Roman"/>
          <w:sz w:val="28"/>
          <w:szCs w:val="28"/>
          <w:lang w:val="en-US"/>
        </w:rPr>
        <w:t>V</w:t>
      </w:r>
      <w:r w:rsidRPr="00174139">
        <w:rPr>
          <w:rFonts w:ascii="Times New Roman" w:eastAsiaTheme="minorEastAsia" w:hAnsi="Times New Roman"/>
          <w:sz w:val="28"/>
          <w:szCs w:val="28"/>
          <w:vertAlign w:val="subscript"/>
          <w:lang w:val="en-US"/>
        </w:rPr>
        <w:t>term</w:t>
      </w:r>
      <w:proofErr w:type="spellEnd"/>
      <w:r w:rsidRPr="00174139">
        <w:rPr>
          <w:rFonts w:ascii="Times New Roman" w:eastAsiaTheme="minorEastAsia" w:hAnsi="Times New Roman"/>
          <w:sz w:val="28"/>
          <w:szCs w:val="28"/>
        </w:rPr>
        <w:t xml:space="preserve"> – </w:t>
      </w:r>
      <w:r>
        <w:rPr>
          <w:rFonts w:ascii="Times New Roman" w:eastAsiaTheme="minorEastAsia" w:hAnsi="Times New Roman"/>
          <w:sz w:val="28"/>
          <w:szCs w:val="28"/>
        </w:rPr>
        <w:t xml:space="preserve">стоимость в </w:t>
      </w:r>
      <w:proofErr w:type="spellStart"/>
      <w:r>
        <w:rPr>
          <w:rFonts w:ascii="Times New Roman" w:eastAsiaTheme="minorEastAsia" w:hAnsi="Times New Roman"/>
          <w:sz w:val="28"/>
          <w:szCs w:val="28"/>
        </w:rPr>
        <w:t>постпрогнозе</w:t>
      </w:r>
      <w:proofErr w:type="spellEnd"/>
      <w:r>
        <w:rPr>
          <w:rFonts w:ascii="Times New Roman" w:eastAsiaTheme="minorEastAsia" w:hAnsi="Times New Roman"/>
          <w:sz w:val="28"/>
          <w:szCs w:val="28"/>
        </w:rPr>
        <w:t>;</w:t>
      </w:r>
      <w:proofErr w:type="spellStart"/>
      <w:r>
        <w:rPr>
          <w:rFonts w:ascii="Times New Roman" w:eastAsiaTheme="minorEastAsia" w:hAnsi="Times New Roman"/>
          <w:sz w:val="28"/>
          <w:szCs w:val="28"/>
          <w:lang w:val="en-US"/>
        </w:rPr>
        <w:t>CF</w:t>
      </w:r>
      <w:r w:rsidRPr="00174139">
        <w:rPr>
          <w:rFonts w:ascii="Times New Roman" w:eastAsiaTheme="minorEastAsia" w:hAnsi="Times New Roman"/>
          <w:sz w:val="28"/>
          <w:szCs w:val="28"/>
          <w:vertAlign w:val="subscript"/>
          <w:lang w:val="en-US"/>
        </w:rPr>
        <w:t>n</w:t>
      </w:r>
      <w:proofErr w:type="spellEnd"/>
      <w:r>
        <w:rPr>
          <w:rFonts w:ascii="Times New Roman" w:eastAsiaTheme="minorEastAsia" w:hAnsi="Times New Roman"/>
          <w:sz w:val="28"/>
          <w:szCs w:val="28"/>
        </w:rPr>
        <w:t xml:space="preserve"> – денежный поток последнего года прогнозного периода;</w:t>
      </w:r>
      <w:r>
        <w:rPr>
          <w:rFonts w:ascii="Times New Roman" w:eastAsiaTheme="minorEastAsia" w:hAnsi="Times New Roman"/>
          <w:sz w:val="28"/>
          <w:szCs w:val="28"/>
          <w:lang w:val="en-US"/>
        </w:rPr>
        <w:t>WACC</w:t>
      </w:r>
      <w:r>
        <w:rPr>
          <w:rFonts w:ascii="Times New Roman" w:eastAsiaTheme="minorEastAsia" w:hAnsi="Times New Roman"/>
          <w:sz w:val="28"/>
          <w:szCs w:val="28"/>
        </w:rPr>
        <w:t xml:space="preserve"> – ставка дисконтирования;</w:t>
      </w:r>
      <w:r>
        <w:rPr>
          <w:rFonts w:ascii="Times New Roman" w:eastAsiaTheme="minorEastAsia" w:hAnsi="Times New Roman"/>
          <w:sz w:val="28"/>
          <w:szCs w:val="28"/>
          <w:lang w:val="en-US"/>
        </w:rPr>
        <w:t>g</w:t>
      </w:r>
      <w:r>
        <w:rPr>
          <w:rFonts w:ascii="Times New Roman" w:eastAsiaTheme="minorEastAsia" w:hAnsi="Times New Roman"/>
          <w:sz w:val="28"/>
          <w:szCs w:val="28"/>
        </w:rPr>
        <w:t xml:space="preserve"> – долгосрочный темп роста компании в </w:t>
      </w:r>
      <w:proofErr w:type="spellStart"/>
      <w:r>
        <w:rPr>
          <w:rFonts w:ascii="Times New Roman" w:eastAsiaTheme="minorEastAsia" w:hAnsi="Times New Roman"/>
          <w:sz w:val="28"/>
          <w:szCs w:val="28"/>
        </w:rPr>
        <w:t>постпрогнозе</w:t>
      </w:r>
      <w:proofErr w:type="spellEnd"/>
      <w:r>
        <w:rPr>
          <w:rFonts w:ascii="Times New Roman" w:eastAsiaTheme="minorEastAsia" w:hAnsi="Times New Roman"/>
          <w:sz w:val="28"/>
          <w:szCs w:val="28"/>
        </w:rPr>
        <w:t>.</w:t>
      </w:r>
    </w:p>
    <w:p w:rsidR="002A2DE3" w:rsidRDefault="002A2DE3" w:rsidP="002A2DE3">
      <w:pPr>
        <w:tabs>
          <w:tab w:val="left" w:pos="3119"/>
        </w:tabs>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lastRenderedPageBreak/>
        <w:t>На заключительном этапе рассчитывается итоговая стоимость объекта.</w:t>
      </w:r>
    </w:p>
    <w:p w:rsidR="002A2DE3" w:rsidRDefault="002A2DE3" w:rsidP="000D10CB">
      <w:pPr>
        <w:tabs>
          <w:tab w:val="left" w:pos="3119"/>
        </w:tabs>
        <w:spacing w:after="0" w:line="360" w:lineRule="auto"/>
        <w:ind w:firstLine="709"/>
        <w:jc w:val="right"/>
        <w:rPr>
          <w:rFonts w:ascii="Times New Roman" w:eastAsiaTheme="minorEastAsia" w:hAnsi="Times New Roman"/>
          <w:sz w:val="28"/>
          <w:szCs w:val="28"/>
        </w:rPr>
      </w:pPr>
      <m:oMath>
        <m:r>
          <m:rPr>
            <m:sty m:val="p"/>
          </m:rPr>
          <w:rPr>
            <w:rFonts w:ascii="Cambria Math" w:eastAsiaTheme="minorEastAsia" w:hAnsi="Times New Roman" w:cs="Times New Roman"/>
            <w:sz w:val="30"/>
            <w:szCs w:val="30"/>
          </w:rPr>
          <m:t xml:space="preserve">Value= </m:t>
        </m:r>
        <m:nary>
          <m:naryPr>
            <m:chr m:val="∑"/>
            <m:limLoc m:val="undOvr"/>
            <m:ctrlPr>
              <w:rPr>
                <w:rFonts w:ascii="Cambria Math" w:eastAsiaTheme="minorEastAsia" w:hAnsi="Times New Roman" w:cs="Times New Roman"/>
                <w:sz w:val="30"/>
                <w:szCs w:val="30"/>
              </w:rPr>
            </m:ctrlPr>
          </m:naryPr>
          <m:sub>
            <m:r>
              <m:rPr>
                <m:sty m:val="p"/>
              </m:rPr>
              <w:rPr>
                <w:rFonts w:ascii="Cambria Math" w:eastAsiaTheme="minorEastAsia" w:hAnsi="Times New Roman" w:cs="Times New Roman"/>
                <w:sz w:val="30"/>
                <w:szCs w:val="30"/>
              </w:rPr>
              <m:t>t=0</m:t>
            </m:r>
          </m:sub>
          <m:sup>
            <m:r>
              <m:rPr>
                <m:sty m:val="p"/>
              </m:rPr>
              <w:rPr>
                <w:rFonts w:ascii="Cambria Math" w:eastAsiaTheme="minorEastAsia" w:hAnsi="Times New Roman" w:cs="Times New Roman"/>
                <w:sz w:val="30"/>
                <w:szCs w:val="30"/>
              </w:rPr>
              <m:t>n</m:t>
            </m:r>
          </m:sup>
          <m:e>
            <m:sSub>
              <m:sSubPr>
                <m:ctrlPr>
                  <w:rPr>
                    <w:rFonts w:ascii="Cambria Math" w:eastAsiaTheme="minorEastAsia" w:hAnsi="Times New Roman" w:cs="Times New Roman"/>
                    <w:sz w:val="30"/>
                    <w:szCs w:val="30"/>
                  </w:rPr>
                </m:ctrlPr>
              </m:sSubPr>
              <m:e>
                <m:r>
                  <m:rPr>
                    <m:sty m:val="p"/>
                  </m:rPr>
                  <w:rPr>
                    <w:rFonts w:ascii="Cambria Math" w:eastAsiaTheme="minorEastAsia" w:hAnsi="Times New Roman" w:cs="Times New Roman"/>
                    <w:sz w:val="30"/>
                    <w:szCs w:val="30"/>
                  </w:rPr>
                  <m:t>DCF</m:t>
                </m:r>
              </m:e>
              <m:sub>
                <m:r>
                  <m:rPr>
                    <m:sty m:val="p"/>
                  </m:rPr>
                  <w:rPr>
                    <w:rFonts w:ascii="Cambria Math" w:eastAsiaTheme="minorEastAsia" w:hAnsi="Times New Roman" w:cs="Times New Roman"/>
                    <w:sz w:val="30"/>
                    <w:szCs w:val="30"/>
                  </w:rPr>
                  <m:t>t</m:t>
                </m:r>
              </m:sub>
            </m:sSub>
            <m:r>
              <m:rPr>
                <m:sty m:val="p"/>
              </m:rPr>
              <w:rPr>
                <w:rFonts w:ascii="Cambria Math" w:eastAsiaTheme="minorEastAsia" w:hAnsi="Times New Roman" w:cs="Times New Roman"/>
                <w:sz w:val="30"/>
                <w:szCs w:val="30"/>
              </w:rPr>
              <m:t>+</m:t>
            </m:r>
          </m:e>
        </m:nary>
        <m:sSub>
          <m:sSubPr>
            <m:ctrlPr>
              <w:rPr>
                <w:rFonts w:ascii="Cambria Math" w:eastAsiaTheme="minorEastAsia" w:hAnsi="Times New Roman" w:cs="Times New Roman"/>
                <w:sz w:val="30"/>
                <w:szCs w:val="30"/>
              </w:rPr>
            </m:ctrlPr>
          </m:sSubPr>
          <m:e>
            <m:r>
              <m:rPr>
                <m:sty m:val="p"/>
              </m:rPr>
              <w:rPr>
                <w:rFonts w:ascii="Cambria Math" w:eastAsiaTheme="minorEastAsia" w:hAnsi="Times New Roman" w:cs="Times New Roman"/>
                <w:sz w:val="30"/>
                <w:szCs w:val="30"/>
              </w:rPr>
              <m:t>V</m:t>
            </m:r>
          </m:e>
          <m:sub>
            <m:r>
              <m:rPr>
                <m:sty m:val="p"/>
              </m:rPr>
              <w:rPr>
                <w:rFonts w:ascii="Cambria Math" w:eastAsiaTheme="minorEastAsia" w:hAnsi="Times New Roman" w:cs="Times New Roman"/>
                <w:sz w:val="30"/>
                <w:szCs w:val="30"/>
              </w:rPr>
              <m:t>term</m:t>
            </m:r>
          </m:sub>
        </m:sSub>
      </m:oMath>
      <w:r w:rsidR="000D10CB" w:rsidRPr="000D10CB">
        <w:rPr>
          <w:rFonts w:ascii="Times New Roman" w:eastAsiaTheme="minorEastAsia" w:hAnsi="Times New Roman" w:cs="Times New Roman"/>
          <w:sz w:val="30"/>
          <w:szCs w:val="30"/>
        </w:rPr>
        <w:t xml:space="preserve"> </w:t>
      </w:r>
      <w:r w:rsidR="000D10CB">
        <w:rPr>
          <w:rFonts w:ascii="Times New Roman" w:eastAsiaTheme="minorEastAsia" w:hAnsi="Times New Roman"/>
          <w:sz w:val="28"/>
          <w:szCs w:val="28"/>
        </w:rPr>
        <w:t xml:space="preserve">                           (2.6)</w:t>
      </w:r>
    </w:p>
    <w:p w:rsidR="002A2DE3" w:rsidRPr="00210539" w:rsidRDefault="002A2DE3" w:rsidP="00F35C52">
      <w:pPr>
        <w:tabs>
          <w:tab w:val="left" w:pos="3119"/>
        </w:tabs>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Полученная стоимость объекта может корректироваться внесением поправок. Например, поправка на величину неучтенных активов (часто недвижимость, машины и оборудование) или корректировка величины собственного оборотного капитала (избыток прибавляется, а дефицит вычитается из стоимости).</w:t>
      </w:r>
    </w:p>
    <w:p w:rsidR="001571D1" w:rsidRDefault="001571D1" w:rsidP="002A2DE3">
      <w:pPr>
        <w:tabs>
          <w:tab w:val="left" w:pos="3119"/>
        </w:tabs>
        <w:spacing w:line="360" w:lineRule="auto"/>
        <w:ind w:left="357" w:firstLine="851"/>
        <w:jc w:val="center"/>
        <w:rPr>
          <w:rFonts w:ascii="Times New Roman" w:hAnsi="Times New Roman"/>
          <w:b/>
          <w:sz w:val="28"/>
          <w:szCs w:val="28"/>
        </w:rPr>
      </w:pPr>
    </w:p>
    <w:p w:rsidR="002A2DE3" w:rsidRPr="00ED03D6" w:rsidRDefault="002A2DE3" w:rsidP="002A2DE3">
      <w:pPr>
        <w:tabs>
          <w:tab w:val="left" w:pos="3119"/>
        </w:tabs>
        <w:spacing w:line="360" w:lineRule="auto"/>
        <w:ind w:left="357" w:firstLine="851"/>
        <w:jc w:val="center"/>
        <w:rPr>
          <w:rFonts w:ascii="Times New Roman" w:hAnsi="Times New Roman"/>
          <w:b/>
          <w:sz w:val="28"/>
          <w:szCs w:val="28"/>
        </w:rPr>
      </w:pPr>
      <w:r w:rsidRPr="00ED03D6">
        <w:rPr>
          <w:rFonts w:ascii="Times New Roman" w:hAnsi="Times New Roman"/>
          <w:b/>
          <w:sz w:val="28"/>
          <w:szCs w:val="28"/>
        </w:rPr>
        <w:t>2.2</w:t>
      </w:r>
      <w:r w:rsidR="000D10CB">
        <w:rPr>
          <w:rFonts w:ascii="Times New Roman" w:hAnsi="Times New Roman"/>
          <w:b/>
          <w:sz w:val="28"/>
          <w:szCs w:val="28"/>
        </w:rPr>
        <w:t>.</w:t>
      </w:r>
      <w:r w:rsidRPr="00ED03D6">
        <w:rPr>
          <w:rFonts w:ascii="Times New Roman" w:hAnsi="Times New Roman"/>
          <w:b/>
          <w:sz w:val="28"/>
          <w:szCs w:val="28"/>
        </w:rPr>
        <w:t xml:space="preserve"> Оценка синергетического эффекта</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Синергетический эффект – один из сильнейших факторов, мотивирующих к заключению сделок  слияний и поглощений. </w:t>
      </w:r>
      <w:r w:rsidRPr="00BF6BDD">
        <w:rPr>
          <w:rFonts w:ascii="Times New Roman" w:hAnsi="Times New Roman"/>
          <w:sz w:val="28"/>
          <w:szCs w:val="28"/>
        </w:rPr>
        <w:t>Мировой опыт сви</w:t>
      </w:r>
      <w:r>
        <w:rPr>
          <w:rFonts w:ascii="Times New Roman" w:hAnsi="Times New Roman"/>
          <w:sz w:val="28"/>
          <w:szCs w:val="28"/>
        </w:rPr>
        <w:t>детельствует, что лишь около половины</w:t>
      </w:r>
      <w:r w:rsidR="004E7274">
        <w:rPr>
          <w:rFonts w:ascii="Times New Roman" w:hAnsi="Times New Roman"/>
          <w:sz w:val="28"/>
          <w:szCs w:val="28"/>
        </w:rPr>
        <w:t xml:space="preserve"> </w:t>
      </w:r>
      <w:r>
        <w:rPr>
          <w:rFonts w:ascii="Times New Roman" w:hAnsi="Times New Roman"/>
          <w:sz w:val="28"/>
          <w:szCs w:val="28"/>
        </w:rPr>
        <w:t>сделок оказываются успешными. О</w:t>
      </w:r>
      <w:r w:rsidRPr="00BF6BDD">
        <w:rPr>
          <w:rFonts w:ascii="Times New Roman" w:hAnsi="Times New Roman"/>
          <w:sz w:val="28"/>
          <w:szCs w:val="28"/>
        </w:rPr>
        <w:t xml:space="preserve">сновной причиной неудачи </w:t>
      </w:r>
      <w:r>
        <w:rPr>
          <w:rFonts w:ascii="Times New Roman" w:hAnsi="Times New Roman"/>
          <w:sz w:val="28"/>
          <w:szCs w:val="28"/>
        </w:rPr>
        <w:t xml:space="preserve">становится неверная оценка </w:t>
      </w:r>
      <w:r w:rsidRPr="00BF6BDD">
        <w:rPr>
          <w:rFonts w:ascii="Times New Roman" w:hAnsi="Times New Roman"/>
          <w:sz w:val="28"/>
          <w:szCs w:val="28"/>
        </w:rPr>
        <w:t>компанией</w:t>
      </w:r>
      <w:r>
        <w:rPr>
          <w:rFonts w:ascii="Times New Roman" w:hAnsi="Times New Roman"/>
          <w:sz w:val="28"/>
          <w:szCs w:val="28"/>
        </w:rPr>
        <w:t xml:space="preserve"> – покупателем привлекательности компании – цели</w:t>
      </w:r>
      <w:r w:rsidRPr="00BF6BDD">
        <w:rPr>
          <w:rFonts w:ascii="Times New Roman" w:hAnsi="Times New Roman"/>
          <w:sz w:val="28"/>
          <w:szCs w:val="28"/>
        </w:rPr>
        <w:t>.</w:t>
      </w:r>
      <w:r>
        <w:rPr>
          <w:rFonts w:ascii="Times New Roman" w:hAnsi="Times New Roman"/>
          <w:sz w:val="28"/>
          <w:szCs w:val="28"/>
        </w:rPr>
        <w:t xml:space="preserve"> Зачастую происходит переоценка из – </w:t>
      </w:r>
      <w:proofErr w:type="gramStart"/>
      <w:r>
        <w:rPr>
          <w:rFonts w:ascii="Times New Roman" w:hAnsi="Times New Roman"/>
          <w:sz w:val="28"/>
          <w:szCs w:val="28"/>
        </w:rPr>
        <w:t>за</w:t>
      </w:r>
      <w:proofErr w:type="gramEnd"/>
      <w:r>
        <w:rPr>
          <w:rFonts w:ascii="Times New Roman" w:hAnsi="Times New Roman"/>
          <w:sz w:val="28"/>
          <w:szCs w:val="28"/>
        </w:rPr>
        <w:t xml:space="preserve"> больших предполагаемых выгод.</w:t>
      </w:r>
      <w:r w:rsidRPr="00BF6BDD">
        <w:rPr>
          <w:rFonts w:ascii="Times New Roman" w:hAnsi="Times New Roman"/>
          <w:sz w:val="28"/>
          <w:szCs w:val="28"/>
        </w:rPr>
        <w:t xml:space="preserve"> Так, Ф. Эванс и Д. Бишоп утверждают, что</w:t>
      </w:r>
      <w:r>
        <w:rPr>
          <w:rFonts w:ascii="Times New Roman" w:hAnsi="Times New Roman"/>
          <w:sz w:val="28"/>
          <w:szCs w:val="28"/>
        </w:rPr>
        <w:t xml:space="preserve"> синергетическая выгода создается покупателем</w:t>
      </w:r>
      <w:r w:rsidRPr="00BF6BDD">
        <w:rPr>
          <w:rFonts w:ascii="Times New Roman" w:hAnsi="Times New Roman"/>
          <w:sz w:val="28"/>
          <w:szCs w:val="28"/>
        </w:rPr>
        <w:t>.</w:t>
      </w:r>
      <w:r>
        <w:rPr>
          <w:rFonts w:ascii="Times New Roman" w:hAnsi="Times New Roman"/>
          <w:sz w:val="28"/>
          <w:szCs w:val="28"/>
        </w:rPr>
        <w:t xml:space="preserve"> Отсюда необходимость точного понимания и оценки выгод от сделки и вероятности достижения предсказанных эффектов.</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Откуда же берутся синергетические выгоды? Согласно Эвансу и Бишопу есть четыре потенциальных источника:</w:t>
      </w:r>
    </w:p>
    <w:p w:rsidR="002A2DE3" w:rsidRPr="004206C4" w:rsidRDefault="002A2DE3" w:rsidP="002A2DE3">
      <w:pPr>
        <w:pStyle w:val="af"/>
        <w:numPr>
          <w:ilvl w:val="0"/>
          <w:numId w:val="5"/>
        </w:numPr>
        <w:tabs>
          <w:tab w:val="left" w:pos="3119"/>
        </w:tabs>
        <w:spacing w:after="0" w:line="360" w:lineRule="auto"/>
        <w:ind w:firstLine="709"/>
        <w:jc w:val="both"/>
        <w:rPr>
          <w:rFonts w:ascii="Times New Roman" w:hAnsi="Times New Roman" w:cs="Times New Roman"/>
          <w:sz w:val="28"/>
          <w:szCs w:val="28"/>
        </w:rPr>
      </w:pPr>
      <w:r w:rsidRPr="004206C4">
        <w:rPr>
          <w:rFonts w:ascii="Times New Roman" w:hAnsi="Times New Roman" w:cs="Times New Roman"/>
          <w:sz w:val="28"/>
          <w:szCs w:val="28"/>
        </w:rPr>
        <w:t>Увеличение доходов</w:t>
      </w:r>
    </w:p>
    <w:p w:rsidR="002A2DE3" w:rsidRDefault="002A2DE3" w:rsidP="002A2DE3">
      <w:pPr>
        <w:pStyle w:val="af"/>
        <w:numPr>
          <w:ilvl w:val="0"/>
          <w:numId w:val="5"/>
        </w:numPr>
        <w:tabs>
          <w:tab w:val="left" w:pos="31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расходов</w:t>
      </w:r>
    </w:p>
    <w:p w:rsidR="002A2DE3" w:rsidRDefault="002A2DE3" w:rsidP="002A2DE3">
      <w:pPr>
        <w:pStyle w:val="af"/>
        <w:numPr>
          <w:ilvl w:val="0"/>
          <w:numId w:val="5"/>
        </w:numPr>
        <w:tabs>
          <w:tab w:val="left" w:pos="31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Усовершенствование процессов</w:t>
      </w:r>
    </w:p>
    <w:p w:rsidR="002A2DE3" w:rsidRDefault="002A2DE3" w:rsidP="002A2DE3">
      <w:pPr>
        <w:pStyle w:val="af"/>
        <w:numPr>
          <w:ilvl w:val="0"/>
          <w:numId w:val="5"/>
        </w:numPr>
        <w:tabs>
          <w:tab w:val="left" w:pos="31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Финансовая экономия</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Увеличение доходов возникает при продаже большего числа единиц продукции и услуг, что достигается за счет обслуживания более широкого рынка или предложения расширенного ассортимента продукции, возможно из-за применения того и другого в совокупности объединенной компанией. </w:t>
      </w:r>
      <w:r>
        <w:rPr>
          <w:rFonts w:ascii="Times New Roman" w:hAnsi="Times New Roman"/>
          <w:sz w:val="28"/>
          <w:szCs w:val="28"/>
        </w:rPr>
        <w:lastRenderedPageBreak/>
        <w:t>Также рост доходов может быть обусловлен увеличением цен на отдельные продукты компании, особенно в ситуации, когда предприятие в результате объединения стало единственным поставщиком услуги или продукта.</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Оценка второго источника синергетических выгод более надежна и предсказуема, чем оценка роста доходов. За счет консолидации функций устраняются дублирующие должности, сходные основные фонды, накладные расходы. Максимизация величины этой выгоды возможна, когда приобретаемая компания схожа по размеру операций и обслуживаемых рынков с компанией – покупателем.</w:t>
      </w:r>
    </w:p>
    <w:p w:rsidR="002A2DE3"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Усовершенствование процессов происходит в том случае, если объединенная компания применяет наиболее работоспособные и эффективные методы, которыми пользовалась до объединения компания – цель или – покупатель. Эти улучшения часто возникают в результате распространения более совершенных технологий или процессов в расширившейся среде созданной компании. Повышение доходов или сокращение расходов может быть следствием усовершенствования, а также повышение эффективности производственных процессов, более действенный маркетинг и дистрибуцию.</w:t>
      </w:r>
    </w:p>
    <w:p w:rsidR="00964201" w:rsidRDefault="002A2DE3" w:rsidP="00F35C5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Автор статьи «Анализ эффективности слияний и поглощений» выделяет сначала сферы, в которых возможно получение выгод, а затем определяет основные источники в каждой из них. Наглядно данную классификацию можно видеть в таблице 5.</w:t>
      </w:r>
      <w:r>
        <w:rPr>
          <w:rStyle w:val="a5"/>
          <w:rFonts w:ascii="Times New Roman" w:hAnsi="Times New Roman"/>
          <w:sz w:val="28"/>
          <w:szCs w:val="28"/>
        </w:rPr>
        <w:footnoteReference w:id="25"/>
      </w:r>
      <w:r>
        <w:rPr>
          <w:rFonts w:ascii="Times New Roman" w:hAnsi="Times New Roman"/>
          <w:sz w:val="28"/>
          <w:szCs w:val="28"/>
        </w:rPr>
        <w:t xml:space="preserve"> Каждый источник оценивается и тем самым получается диапазон, в котором будет колебаться значение синергии.</w:t>
      </w:r>
    </w:p>
    <w:p w:rsidR="00964201" w:rsidRDefault="00964201" w:rsidP="002A2DE3">
      <w:pPr>
        <w:tabs>
          <w:tab w:val="left" w:pos="3119"/>
        </w:tabs>
        <w:spacing w:after="0"/>
        <w:ind w:firstLine="709"/>
        <w:jc w:val="right"/>
        <w:rPr>
          <w:rFonts w:ascii="Times New Roman" w:hAnsi="Times New Roman"/>
          <w:sz w:val="28"/>
          <w:szCs w:val="28"/>
        </w:rPr>
      </w:pPr>
    </w:p>
    <w:p w:rsidR="001571D1" w:rsidRDefault="001571D1" w:rsidP="002A2DE3">
      <w:pPr>
        <w:tabs>
          <w:tab w:val="left" w:pos="3119"/>
        </w:tabs>
        <w:spacing w:after="0"/>
        <w:ind w:firstLine="709"/>
        <w:jc w:val="right"/>
        <w:rPr>
          <w:rFonts w:ascii="Times New Roman" w:hAnsi="Times New Roman"/>
          <w:sz w:val="28"/>
          <w:szCs w:val="28"/>
        </w:rPr>
      </w:pPr>
    </w:p>
    <w:p w:rsidR="001571D1" w:rsidRDefault="001571D1" w:rsidP="002A2DE3">
      <w:pPr>
        <w:tabs>
          <w:tab w:val="left" w:pos="3119"/>
        </w:tabs>
        <w:spacing w:after="0"/>
        <w:ind w:firstLine="709"/>
        <w:jc w:val="right"/>
        <w:rPr>
          <w:rFonts w:ascii="Times New Roman" w:hAnsi="Times New Roman"/>
          <w:sz w:val="28"/>
          <w:szCs w:val="28"/>
        </w:rPr>
      </w:pPr>
    </w:p>
    <w:p w:rsidR="001571D1" w:rsidRDefault="001571D1" w:rsidP="002A2DE3">
      <w:pPr>
        <w:tabs>
          <w:tab w:val="left" w:pos="3119"/>
        </w:tabs>
        <w:spacing w:after="0"/>
        <w:ind w:firstLine="709"/>
        <w:jc w:val="right"/>
        <w:rPr>
          <w:rFonts w:ascii="Times New Roman" w:hAnsi="Times New Roman"/>
          <w:sz w:val="28"/>
          <w:szCs w:val="28"/>
        </w:rPr>
      </w:pPr>
    </w:p>
    <w:p w:rsidR="002A2DE3" w:rsidRDefault="002A2DE3" w:rsidP="002A2DE3">
      <w:pPr>
        <w:tabs>
          <w:tab w:val="left" w:pos="3119"/>
        </w:tabs>
        <w:spacing w:after="0"/>
        <w:ind w:firstLine="709"/>
        <w:jc w:val="right"/>
        <w:rPr>
          <w:rFonts w:ascii="Times New Roman" w:hAnsi="Times New Roman"/>
          <w:sz w:val="28"/>
          <w:szCs w:val="28"/>
        </w:rPr>
      </w:pPr>
      <w:r>
        <w:rPr>
          <w:rFonts w:ascii="Times New Roman" w:hAnsi="Times New Roman"/>
          <w:sz w:val="28"/>
          <w:szCs w:val="28"/>
        </w:rPr>
        <w:lastRenderedPageBreak/>
        <w:t>Таблица 5</w:t>
      </w:r>
    </w:p>
    <w:p w:rsidR="002A2DE3" w:rsidRDefault="002A2DE3" w:rsidP="002A2DE3">
      <w:pPr>
        <w:tabs>
          <w:tab w:val="left" w:pos="3119"/>
        </w:tabs>
        <w:spacing w:after="0"/>
        <w:ind w:firstLine="709"/>
        <w:jc w:val="right"/>
        <w:rPr>
          <w:rFonts w:ascii="Times New Roman" w:hAnsi="Times New Roman"/>
          <w:sz w:val="28"/>
          <w:szCs w:val="28"/>
        </w:rPr>
      </w:pPr>
      <w:r>
        <w:rPr>
          <w:rFonts w:ascii="Times New Roman" w:hAnsi="Times New Roman"/>
          <w:sz w:val="28"/>
          <w:szCs w:val="28"/>
        </w:rPr>
        <w:t>Источники синергетического эффекта</w:t>
      </w:r>
    </w:p>
    <w:tbl>
      <w:tblPr>
        <w:tblStyle w:val="ab"/>
        <w:tblW w:w="9549" w:type="dxa"/>
        <w:tblLayout w:type="fixed"/>
        <w:tblLook w:val="04A0"/>
      </w:tblPr>
      <w:tblGrid>
        <w:gridCol w:w="1668"/>
        <w:gridCol w:w="3742"/>
        <w:gridCol w:w="2098"/>
        <w:gridCol w:w="2041"/>
      </w:tblGrid>
      <w:tr w:rsidR="002A2DE3" w:rsidTr="002A3642">
        <w:tc>
          <w:tcPr>
            <w:tcW w:w="1668" w:type="dxa"/>
            <w:vAlign w:val="center"/>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Сфера</w:t>
            </w:r>
          </w:p>
        </w:tc>
        <w:tc>
          <w:tcPr>
            <w:tcW w:w="3742"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Источники синергетического эффекта</w:t>
            </w:r>
          </w:p>
        </w:tc>
        <w:tc>
          <w:tcPr>
            <w:tcW w:w="2098"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Диапазон синергетического эффекта, %</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База</w:t>
            </w:r>
          </w:p>
        </w:tc>
      </w:tr>
      <w:tr w:rsidR="002A2DE3" w:rsidTr="002A3642">
        <w:tc>
          <w:tcPr>
            <w:tcW w:w="1668" w:type="dxa"/>
          </w:tcPr>
          <w:p w:rsidR="002A2DE3" w:rsidRDefault="002A2DE3" w:rsidP="002A3642">
            <w:pPr>
              <w:tabs>
                <w:tab w:val="left" w:pos="3119"/>
              </w:tabs>
              <w:spacing w:line="276" w:lineRule="auto"/>
              <w:jc w:val="both"/>
              <w:rPr>
                <w:rFonts w:ascii="Times New Roman" w:hAnsi="Times New Roman"/>
                <w:sz w:val="28"/>
                <w:szCs w:val="28"/>
              </w:rPr>
            </w:pPr>
            <w:r>
              <w:rPr>
                <w:rFonts w:ascii="Times New Roman" w:hAnsi="Times New Roman"/>
                <w:sz w:val="28"/>
                <w:szCs w:val="28"/>
              </w:rPr>
              <w:t>Закупки</w:t>
            </w:r>
          </w:p>
        </w:tc>
        <w:tc>
          <w:tcPr>
            <w:tcW w:w="3742" w:type="dxa"/>
            <w:vAlign w:val="bottom"/>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w:t>
            </w:r>
            <w:r w:rsidRPr="00880F31">
              <w:rPr>
                <w:rFonts w:ascii="Times New Roman" w:hAnsi="Times New Roman"/>
                <w:sz w:val="28"/>
                <w:szCs w:val="28"/>
              </w:rPr>
              <w:t>эфф</w:t>
            </w:r>
            <w:r>
              <w:rPr>
                <w:rFonts w:ascii="Times New Roman" w:hAnsi="Times New Roman"/>
                <w:sz w:val="28"/>
                <w:szCs w:val="28"/>
              </w:rPr>
              <w:t>ект масштаба в переговорах</w:t>
            </w:r>
          </w:p>
          <w:p w:rsidR="002A2DE3" w:rsidRPr="00880F31"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-обмен лучшей практикой</w:t>
            </w:r>
          </w:p>
        </w:tc>
        <w:tc>
          <w:tcPr>
            <w:tcW w:w="2098" w:type="dxa"/>
            <w:vAlign w:val="center"/>
          </w:tcPr>
          <w:p w:rsidR="002A2DE3" w:rsidRDefault="002A2DE3" w:rsidP="002A3642">
            <w:pPr>
              <w:tabs>
                <w:tab w:val="left" w:pos="3119"/>
              </w:tabs>
              <w:spacing w:line="276" w:lineRule="auto"/>
              <w:ind w:firstLine="259"/>
              <w:jc w:val="center"/>
              <w:rPr>
                <w:rFonts w:ascii="Times New Roman" w:hAnsi="Times New Roman"/>
                <w:sz w:val="28"/>
                <w:szCs w:val="28"/>
              </w:rPr>
            </w:pPr>
            <w:r>
              <w:rPr>
                <w:rFonts w:ascii="Times New Roman" w:hAnsi="Times New Roman"/>
                <w:sz w:val="28"/>
                <w:szCs w:val="28"/>
              </w:rPr>
              <w:t>1,5 – 5</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Затраты на закупку материалов и оборудования</w:t>
            </w:r>
          </w:p>
        </w:tc>
      </w:tr>
      <w:tr w:rsidR="002A2DE3" w:rsidTr="002A3642">
        <w:tc>
          <w:tcPr>
            <w:tcW w:w="1668" w:type="dxa"/>
          </w:tcPr>
          <w:p w:rsidR="002A2DE3" w:rsidRDefault="002A2DE3" w:rsidP="002A3642">
            <w:pPr>
              <w:tabs>
                <w:tab w:val="left" w:pos="3119"/>
              </w:tabs>
              <w:spacing w:line="276" w:lineRule="auto"/>
              <w:jc w:val="both"/>
              <w:rPr>
                <w:rFonts w:ascii="Times New Roman" w:hAnsi="Times New Roman"/>
                <w:sz w:val="28"/>
                <w:szCs w:val="28"/>
              </w:rPr>
            </w:pPr>
            <w:r>
              <w:rPr>
                <w:rFonts w:ascii="Times New Roman" w:hAnsi="Times New Roman"/>
                <w:sz w:val="28"/>
                <w:szCs w:val="28"/>
              </w:rPr>
              <w:t>Логистика</w:t>
            </w:r>
          </w:p>
        </w:tc>
        <w:tc>
          <w:tcPr>
            <w:tcW w:w="3742" w:type="dxa"/>
            <w:vAlign w:val="bottom"/>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-использование лучших условий</w:t>
            </w:r>
          </w:p>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-оптимизация потоков</w:t>
            </w:r>
          </w:p>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-снижение цен на перевозки</w:t>
            </w:r>
          </w:p>
        </w:tc>
        <w:tc>
          <w:tcPr>
            <w:tcW w:w="2098"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1 – 10</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Затраты на логистику</w:t>
            </w:r>
          </w:p>
        </w:tc>
      </w:tr>
      <w:tr w:rsidR="002A2DE3" w:rsidTr="002A3642">
        <w:tc>
          <w:tcPr>
            <w:tcW w:w="1668" w:type="dxa"/>
          </w:tcPr>
          <w:p w:rsidR="002A2DE3" w:rsidRDefault="002A2DE3" w:rsidP="002A3642">
            <w:pPr>
              <w:tabs>
                <w:tab w:val="left" w:pos="3119"/>
              </w:tabs>
              <w:spacing w:line="276" w:lineRule="auto"/>
              <w:jc w:val="both"/>
              <w:rPr>
                <w:rFonts w:ascii="Times New Roman" w:hAnsi="Times New Roman"/>
                <w:sz w:val="28"/>
                <w:szCs w:val="28"/>
              </w:rPr>
            </w:pPr>
            <w:r>
              <w:rPr>
                <w:rFonts w:ascii="Times New Roman" w:hAnsi="Times New Roman"/>
                <w:sz w:val="28"/>
                <w:szCs w:val="28"/>
              </w:rPr>
              <w:t>Производство</w:t>
            </w:r>
          </w:p>
        </w:tc>
        <w:tc>
          <w:tcPr>
            <w:tcW w:w="3742" w:type="dxa"/>
            <w:vAlign w:val="bottom"/>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-оптимизация загрузки мощностей</w:t>
            </w:r>
          </w:p>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-обмен лучшей практикой</w:t>
            </w:r>
          </w:p>
        </w:tc>
        <w:tc>
          <w:tcPr>
            <w:tcW w:w="2098"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1 – 5</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Себестоимость продукции</w:t>
            </w:r>
          </w:p>
        </w:tc>
      </w:tr>
      <w:tr w:rsidR="002A2DE3" w:rsidTr="002A3642">
        <w:tc>
          <w:tcPr>
            <w:tcW w:w="1668" w:type="dxa"/>
          </w:tcPr>
          <w:p w:rsidR="002A2DE3" w:rsidRDefault="002A2DE3" w:rsidP="002A3642">
            <w:pPr>
              <w:tabs>
                <w:tab w:val="left" w:pos="3119"/>
              </w:tabs>
              <w:spacing w:line="276" w:lineRule="auto"/>
              <w:jc w:val="both"/>
              <w:rPr>
                <w:rFonts w:ascii="Times New Roman" w:hAnsi="Times New Roman"/>
                <w:sz w:val="28"/>
                <w:szCs w:val="28"/>
              </w:rPr>
            </w:pPr>
            <w:r>
              <w:rPr>
                <w:rFonts w:ascii="Times New Roman" w:hAnsi="Times New Roman"/>
                <w:sz w:val="28"/>
                <w:szCs w:val="28"/>
              </w:rPr>
              <w:t>Сбыт</w:t>
            </w:r>
          </w:p>
        </w:tc>
        <w:tc>
          <w:tcPr>
            <w:tcW w:w="3742" w:type="dxa"/>
            <w:vAlign w:val="bottom"/>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-перекрёстные продажи</w:t>
            </w:r>
          </w:p>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-уход от конкуренции за единых покупателей</w:t>
            </w:r>
          </w:p>
        </w:tc>
        <w:tc>
          <w:tcPr>
            <w:tcW w:w="2098"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2 – 3</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Объем продаж</w:t>
            </w:r>
          </w:p>
        </w:tc>
      </w:tr>
      <w:tr w:rsidR="002A2DE3" w:rsidTr="002A3642">
        <w:tc>
          <w:tcPr>
            <w:tcW w:w="1668" w:type="dxa"/>
          </w:tcPr>
          <w:p w:rsidR="002A2DE3" w:rsidRDefault="002A2DE3" w:rsidP="002A3642">
            <w:pPr>
              <w:tabs>
                <w:tab w:val="left" w:pos="3119"/>
              </w:tabs>
              <w:spacing w:line="276" w:lineRule="auto"/>
              <w:jc w:val="both"/>
              <w:rPr>
                <w:rFonts w:ascii="Times New Roman" w:hAnsi="Times New Roman"/>
                <w:sz w:val="28"/>
                <w:szCs w:val="28"/>
              </w:rPr>
            </w:pPr>
            <w:r>
              <w:rPr>
                <w:rFonts w:ascii="Times New Roman" w:hAnsi="Times New Roman"/>
                <w:sz w:val="28"/>
                <w:szCs w:val="28"/>
              </w:rPr>
              <w:t>Финансы</w:t>
            </w:r>
          </w:p>
        </w:tc>
        <w:tc>
          <w:tcPr>
            <w:tcW w:w="3742" w:type="dxa"/>
            <w:vAlign w:val="bottom"/>
          </w:tcPr>
          <w:p w:rsidR="002A2DE3" w:rsidRDefault="002A2DE3" w:rsidP="002A3642">
            <w:pPr>
              <w:tabs>
                <w:tab w:val="left" w:pos="3119"/>
              </w:tabs>
              <w:spacing w:line="276" w:lineRule="auto"/>
              <w:rPr>
                <w:rFonts w:ascii="Times New Roman" w:hAnsi="Times New Roman"/>
                <w:sz w:val="28"/>
                <w:szCs w:val="28"/>
              </w:rPr>
            </w:pPr>
            <w:r>
              <w:rPr>
                <w:rFonts w:ascii="Times New Roman" w:hAnsi="Times New Roman"/>
                <w:sz w:val="28"/>
                <w:szCs w:val="28"/>
              </w:rPr>
              <w:t>-снижение стоимости капитала</w:t>
            </w:r>
          </w:p>
        </w:tc>
        <w:tc>
          <w:tcPr>
            <w:tcW w:w="2098"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0,5 – 3</w:t>
            </w:r>
          </w:p>
        </w:tc>
        <w:tc>
          <w:tcPr>
            <w:tcW w:w="2041" w:type="dxa"/>
            <w:vAlign w:val="center"/>
          </w:tcPr>
          <w:p w:rsidR="002A2DE3" w:rsidRDefault="002A2DE3" w:rsidP="002A3642">
            <w:pPr>
              <w:tabs>
                <w:tab w:val="left" w:pos="3119"/>
              </w:tabs>
              <w:spacing w:line="276" w:lineRule="auto"/>
              <w:jc w:val="center"/>
              <w:rPr>
                <w:rFonts w:ascii="Times New Roman" w:hAnsi="Times New Roman"/>
                <w:sz w:val="28"/>
                <w:szCs w:val="28"/>
              </w:rPr>
            </w:pPr>
            <w:r>
              <w:rPr>
                <w:rFonts w:ascii="Times New Roman" w:hAnsi="Times New Roman"/>
                <w:sz w:val="28"/>
                <w:szCs w:val="28"/>
              </w:rPr>
              <w:t>Стоимость капитала</w:t>
            </w:r>
          </w:p>
        </w:tc>
      </w:tr>
    </w:tbl>
    <w:p w:rsidR="002A2DE3" w:rsidRPr="004206C4" w:rsidRDefault="002A2DE3" w:rsidP="002A2DE3">
      <w:pPr>
        <w:tabs>
          <w:tab w:val="left" w:pos="3119"/>
        </w:tabs>
        <w:spacing w:after="0" w:line="360" w:lineRule="auto"/>
        <w:ind w:firstLine="709"/>
        <w:jc w:val="both"/>
        <w:rPr>
          <w:rFonts w:ascii="Times New Roman" w:hAnsi="Times New Roman"/>
          <w:sz w:val="28"/>
          <w:szCs w:val="28"/>
        </w:rPr>
      </w:pP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Универсальная методика</w:t>
      </w:r>
      <w:r w:rsidRPr="00BF6BDD">
        <w:rPr>
          <w:rFonts w:ascii="Times New Roman" w:hAnsi="Times New Roman"/>
          <w:sz w:val="28"/>
          <w:szCs w:val="28"/>
        </w:rPr>
        <w:t xml:space="preserve"> оценки эффекта синергии</w:t>
      </w:r>
      <w:r>
        <w:rPr>
          <w:rFonts w:ascii="Times New Roman" w:hAnsi="Times New Roman"/>
          <w:sz w:val="28"/>
          <w:szCs w:val="28"/>
        </w:rPr>
        <w:t xml:space="preserve"> отсутствует, поэтому рассмотрим </w:t>
      </w:r>
      <w:r w:rsidRPr="004F0CCD">
        <w:rPr>
          <w:rFonts w:ascii="Times New Roman" w:hAnsi="Times New Roman"/>
          <w:sz w:val="28"/>
          <w:szCs w:val="28"/>
        </w:rPr>
        <w:t>возможность</w:t>
      </w:r>
      <w:r>
        <w:rPr>
          <w:rFonts w:ascii="Times New Roman" w:hAnsi="Times New Roman"/>
          <w:sz w:val="28"/>
          <w:szCs w:val="28"/>
        </w:rPr>
        <w:t xml:space="preserve"> применения доходного, сравнительного</w:t>
      </w:r>
      <w:r w:rsidRPr="004F0CCD">
        <w:rPr>
          <w:rFonts w:ascii="Times New Roman" w:hAnsi="Times New Roman"/>
          <w:sz w:val="28"/>
          <w:szCs w:val="28"/>
        </w:rPr>
        <w:t xml:space="preserve"> и затратного стоимостных подходов</w:t>
      </w:r>
      <w:r>
        <w:rPr>
          <w:rFonts w:ascii="Times New Roman" w:hAnsi="Times New Roman"/>
          <w:sz w:val="28"/>
          <w:szCs w:val="28"/>
        </w:rPr>
        <w:t>.</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помощью сравнительного </w:t>
      </w:r>
      <w:r w:rsidRPr="004F0CCD">
        <w:rPr>
          <w:rFonts w:ascii="Times New Roman" w:hAnsi="Times New Roman"/>
          <w:sz w:val="28"/>
          <w:szCs w:val="28"/>
        </w:rPr>
        <w:t xml:space="preserve">подхода эффект синергии можно оценить </w:t>
      </w:r>
      <w:r>
        <w:rPr>
          <w:rFonts w:ascii="Times New Roman" w:hAnsi="Times New Roman"/>
          <w:sz w:val="28"/>
          <w:szCs w:val="28"/>
        </w:rPr>
        <w:t>основываясь на прогнозируемых значениях</w:t>
      </w:r>
      <w:r w:rsidRPr="004F0CCD">
        <w:rPr>
          <w:rFonts w:ascii="Times New Roman" w:hAnsi="Times New Roman"/>
          <w:sz w:val="28"/>
          <w:szCs w:val="28"/>
        </w:rPr>
        <w:t xml:space="preserve"> прироста курсовой стоимости акций объединяемых компаний. </w:t>
      </w:r>
      <w:r>
        <w:rPr>
          <w:rFonts w:ascii="Times New Roman" w:hAnsi="Times New Roman"/>
          <w:sz w:val="28"/>
          <w:szCs w:val="28"/>
        </w:rPr>
        <w:t xml:space="preserve">Однако такая оценка </w:t>
      </w:r>
      <w:r w:rsidRPr="004F0CCD">
        <w:rPr>
          <w:rFonts w:ascii="Times New Roman" w:hAnsi="Times New Roman"/>
          <w:sz w:val="28"/>
          <w:szCs w:val="28"/>
        </w:rPr>
        <w:t xml:space="preserve">представляется проблематичной. </w:t>
      </w:r>
      <w:r>
        <w:rPr>
          <w:rFonts w:ascii="Times New Roman" w:hAnsi="Times New Roman"/>
          <w:sz w:val="28"/>
          <w:szCs w:val="28"/>
        </w:rPr>
        <w:t>Ведь неизвестно, будут ли достигнуты ожидания, основанные на оценке перспектив самостоятельного развития компаний</w:t>
      </w:r>
      <w:r w:rsidRPr="004F0CCD">
        <w:rPr>
          <w:rFonts w:ascii="Times New Roman" w:hAnsi="Times New Roman"/>
          <w:sz w:val="28"/>
          <w:szCs w:val="28"/>
        </w:rPr>
        <w:t xml:space="preserve">. </w:t>
      </w:r>
      <w:r>
        <w:rPr>
          <w:rFonts w:ascii="Times New Roman" w:hAnsi="Times New Roman"/>
          <w:sz w:val="28"/>
          <w:szCs w:val="28"/>
        </w:rPr>
        <w:t>Еще одним спорным моментом является прогноз изменения</w:t>
      </w:r>
      <w:r w:rsidRPr="004F0CCD">
        <w:rPr>
          <w:rFonts w:ascii="Times New Roman" w:hAnsi="Times New Roman"/>
          <w:sz w:val="28"/>
          <w:szCs w:val="28"/>
        </w:rPr>
        <w:t xml:space="preserve"> курса акций </w:t>
      </w:r>
      <w:r>
        <w:rPr>
          <w:rFonts w:ascii="Times New Roman" w:hAnsi="Times New Roman"/>
          <w:sz w:val="28"/>
          <w:szCs w:val="28"/>
        </w:rPr>
        <w:t xml:space="preserve">компании – цели </w:t>
      </w:r>
      <w:r w:rsidRPr="004F0CCD">
        <w:rPr>
          <w:rFonts w:ascii="Times New Roman" w:hAnsi="Times New Roman"/>
          <w:sz w:val="28"/>
          <w:szCs w:val="28"/>
        </w:rPr>
        <w:t>и покупателя</w:t>
      </w:r>
      <w:r>
        <w:rPr>
          <w:rFonts w:ascii="Times New Roman" w:hAnsi="Times New Roman"/>
          <w:sz w:val="28"/>
          <w:szCs w:val="28"/>
        </w:rPr>
        <w:t>. Это связано</w:t>
      </w:r>
      <w:r w:rsidR="001571D1">
        <w:rPr>
          <w:rFonts w:ascii="Times New Roman" w:hAnsi="Times New Roman"/>
          <w:sz w:val="28"/>
          <w:szCs w:val="28"/>
        </w:rPr>
        <w:t xml:space="preserve"> </w:t>
      </w:r>
      <w:r>
        <w:rPr>
          <w:rFonts w:ascii="Times New Roman" w:hAnsi="Times New Roman"/>
          <w:sz w:val="28"/>
          <w:szCs w:val="28"/>
        </w:rPr>
        <w:t xml:space="preserve">с тем, что многие сделки осуществляются непублично и просто отсутствует необходимая и подробная информация по ним. Сложность представляет также и подбор аналога, а если удается, то он попросту может  отсутствовать </w:t>
      </w:r>
      <w:r w:rsidRPr="004F0CCD">
        <w:rPr>
          <w:rFonts w:ascii="Times New Roman" w:hAnsi="Times New Roman"/>
          <w:sz w:val="28"/>
          <w:szCs w:val="28"/>
        </w:rPr>
        <w:t xml:space="preserve">на ММВБ и в </w:t>
      </w:r>
      <w:r w:rsidRPr="004F0CCD">
        <w:rPr>
          <w:rFonts w:ascii="Times New Roman" w:hAnsi="Times New Roman"/>
          <w:sz w:val="28"/>
          <w:szCs w:val="28"/>
        </w:rPr>
        <w:lastRenderedPageBreak/>
        <w:t xml:space="preserve">РТС. </w:t>
      </w:r>
      <w:r>
        <w:rPr>
          <w:rFonts w:ascii="Times New Roman" w:hAnsi="Times New Roman"/>
          <w:sz w:val="28"/>
          <w:szCs w:val="28"/>
        </w:rPr>
        <w:t>Тем более н</w:t>
      </w:r>
      <w:r w:rsidRPr="004F0CCD">
        <w:rPr>
          <w:rFonts w:ascii="Times New Roman" w:hAnsi="Times New Roman"/>
          <w:sz w:val="28"/>
          <w:szCs w:val="28"/>
        </w:rPr>
        <w:t>е бывает дв</w:t>
      </w:r>
      <w:r>
        <w:rPr>
          <w:rFonts w:ascii="Times New Roman" w:hAnsi="Times New Roman"/>
          <w:sz w:val="28"/>
          <w:szCs w:val="28"/>
        </w:rPr>
        <w:t>ух абсолютно идентичных слияний. В</w:t>
      </w:r>
      <w:r w:rsidRPr="004F0CCD">
        <w:rPr>
          <w:rFonts w:ascii="Times New Roman" w:hAnsi="Times New Roman"/>
          <w:sz w:val="28"/>
          <w:szCs w:val="28"/>
        </w:rPr>
        <w:t xml:space="preserve"> расчетах используются усред</w:t>
      </w:r>
      <w:r>
        <w:rPr>
          <w:rFonts w:ascii="Times New Roman" w:hAnsi="Times New Roman"/>
          <w:sz w:val="28"/>
          <w:szCs w:val="28"/>
        </w:rPr>
        <w:t>ненные рыночные мультипликаторы. Вместе с этим,</w:t>
      </w:r>
      <w:r w:rsidR="00AC6010">
        <w:rPr>
          <w:rFonts w:ascii="Times New Roman" w:hAnsi="Times New Roman"/>
          <w:sz w:val="28"/>
          <w:szCs w:val="28"/>
        </w:rPr>
        <w:t xml:space="preserve"> </w:t>
      </w:r>
      <w:r>
        <w:rPr>
          <w:rFonts w:ascii="Times New Roman" w:hAnsi="Times New Roman"/>
          <w:sz w:val="28"/>
          <w:szCs w:val="28"/>
        </w:rPr>
        <w:t xml:space="preserve">при использовании </w:t>
      </w:r>
      <w:r w:rsidRPr="004F0CCD">
        <w:rPr>
          <w:rFonts w:ascii="Times New Roman" w:hAnsi="Times New Roman"/>
          <w:sz w:val="28"/>
          <w:szCs w:val="28"/>
        </w:rPr>
        <w:t>сравнител</w:t>
      </w:r>
      <w:r>
        <w:rPr>
          <w:rFonts w:ascii="Times New Roman" w:hAnsi="Times New Roman"/>
          <w:sz w:val="28"/>
          <w:szCs w:val="28"/>
        </w:rPr>
        <w:t xml:space="preserve">ьного подхода не удается выявить </w:t>
      </w:r>
      <w:r w:rsidRPr="004F0CCD">
        <w:rPr>
          <w:rFonts w:ascii="Times New Roman" w:hAnsi="Times New Roman"/>
          <w:sz w:val="28"/>
          <w:szCs w:val="28"/>
        </w:rPr>
        <w:t>все поте</w:t>
      </w:r>
      <w:r>
        <w:rPr>
          <w:rFonts w:ascii="Times New Roman" w:hAnsi="Times New Roman"/>
          <w:sz w:val="28"/>
          <w:szCs w:val="28"/>
        </w:rPr>
        <w:t>нциальные источники синергетических выгод</w:t>
      </w:r>
      <w:r w:rsidRPr="004F0CCD">
        <w:rPr>
          <w:rFonts w:ascii="Times New Roman" w:hAnsi="Times New Roman"/>
          <w:sz w:val="28"/>
          <w:szCs w:val="28"/>
        </w:rPr>
        <w:t>. Поэтому, на наш взгляд, на основе данного подхода можно получить лишь приблизительное значение эффекта синергии.</w:t>
      </w:r>
    </w:p>
    <w:p w:rsidR="002A2DE3"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Наиболее часто в практике оценки исполь</w:t>
      </w:r>
      <w:r>
        <w:rPr>
          <w:rFonts w:ascii="Times New Roman" w:hAnsi="Times New Roman"/>
          <w:sz w:val="28"/>
          <w:szCs w:val="28"/>
        </w:rPr>
        <w:t xml:space="preserve">зуются методы доходного подхода. Данные методы, в частности метод </w:t>
      </w:r>
      <w:r>
        <w:rPr>
          <w:rFonts w:ascii="Times New Roman" w:hAnsi="Times New Roman"/>
          <w:sz w:val="28"/>
          <w:szCs w:val="28"/>
          <w:lang w:val="en-US"/>
        </w:rPr>
        <w:t>DCF</w:t>
      </w:r>
      <w:r>
        <w:rPr>
          <w:rFonts w:ascii="Times New Roman" w:hAnsi="Times New Roman"/>
          <w:sz w:val="28"/>
          <w:szCs w:val="28"/>
        </w:rPr>
        <w:t xml:space="preserve"> учитывают</w:t>
      </w:r>
      <w:r w:rsidRPr="004F0CCD">
        <w:rPr>
          <w:rFonts w:ascii="Times New Roman" w:hAnsi="Times New Roman"/>
          <w:sz w:val="28"/>
          <w:szCs w:val="28"/>
        </w:rPr>
        <w:t xml:space="preserve"> проявление эффекта синергии как прирост дисконтируемых денеж</w:t>
      </w:r>
      <w:r>
        <w:rPr>
          <w:rFonts w:ascii="Times New Roman" w:hAnsi="Times New Roman"/>
          <w:sz w:val="28"/>
          <w:szCs w:val="28"/>
        </w:rPr>
        <w:t>ных потоков. А</w:t>
      </w:r>
      <w:r w:rsidRPr="004F0CCD">
        <w:rPr>
          <w:rFonts w:ascii="Times New Roman" w:hAnsi="Times New Roman"/>
          <w:sz w:val="28"/>
          <w:szCs w:val="28"/>
        </w:rPr>
        <w:t>нализ</w:t>
      </w:r>
      <w:r>
        <w:rPr>
          <w:rFonts w:ascii="Times New Roman" w:hAnsi="Times New Roman"/>
          <w:sz w:val="28"/>
          <w:szCs w:val="28"/>
        </w:rPr>
        <w:t xml:space="preserve"> эффектов синергии проводится</w:t>
      </w:r>
      <w:r w:rsidRPr="004F0CCD">
        <w:rPr>
          <w:rFonts w:ascii="Times New Roman" w:hAnsi="Times New Roman"/>
          <w:sz w:val="28"/>
          <w:szCs w:val="28"/>
        </w:rPr>
        <w:t xml:space="preserve"> с качественной и </w:t>
      </w:r>
      <w:r>
        <w:rPr>
          <w:rFonts w:ascii="Times New Roman" w:hAnsi="Times New Roman"/>
          <w:sz w:val="28"/>
          <w:szCs w:val="28"/>
        </w:rPr>
        <w:t xml:space="preserve">с </w:t>
      </w:r>
      <w:r w:rsidRPr="004F0CCD">
        <w:rPr>
          <w:rFonts w:ascii="Times New Roman" w:hAnsi="Times New Roman"/>
          <w:sz w:val="28"/>
          <w:szCs w:val="28"/>
        </w:rPr>
        <w:t xml:space="preserve">количественной стороны. Качественный анализ </w:t>
      </w:r>
      <w:r>
        <w:rPr>
          <w:rFonts w:ascii="Times New Roman" w:hAnsi="Times New Roman"/>
          <w:sz w:val="28"/>
          <w:szCs w:val="28"/>
        </w:rPr>
        <w:t xml:space="preserve">как бы создаёт «список заявок» на эффекты. В дальнейшем, конкретизируя сделку, отбирает наиболее вероятные </w:t>
      </w:r>
      <w:r w:rsidRPr="004F0CCD">
        <w:rPr>
          <w:rFonts w:ascii="Times New Roman" w:hAnsi="Times New Roman"/>
          <w:sz w:val="28"/>
          <w:szCs w:val="28"/>
        </w:rPr>
        <w:t>причин</w:t>
      </w:r>
      <w:r>
        <w:rPr>
          <w:rFonts w:ascii="Times New Roman" w:hAnsi="Times New Roman"/>
          <w:sz w:val="28"/>
          <w:szCs w:val="28"/>
        </w:rPr>
        <w:t>ы их возникновения</w:t>
      </w:r>
      <w:r w:rsidRPr="004F0CCD">
        <w:rPr>
          <w:rFonts w:ascii="Times New Roman" w:hAnsi="Times New Roman"/>
          <w:sz w:val="28"/>
          <w:szCs w:val="28"/>
        </w:rPr>
        <w:t xml:space="preserve">. При количественной оценке </w:t>
      </w:r>
      <w:r>
        <w:rPr>
          <w:rFonts w:ascii="Times New Roman" w:hAnsi="Times New Roman"/>
          <w:sz w:val="28"/>
          <w:szCs w:val="28"/>
        </w:rPr>
        <w:t xml:space="preserve">же </w:t>
      </w:r>
      <w:r w:rsidRPr="004F0CCD">
        <w:rPr>
          <w:rFonts w:ascii="Times New Roman" w:hAnsi="Times New Roman"/>
          <w:sz w:val="28"/>
          <w:szCs w:val="28"/>
        </w:rPr>
        <w:t>определяются прогнозные приросты</w:t>
      </w:r>
      <w:r>
        <w:rPr>
          <w:rFonts w:ascii="Times New Roman" w:hAnsi="Times New Roman"/>
          <w:sz w:val="28"/>
          <w:szCs w:val="28"/>
        </w:rPr>
        <w:t xml:space="preserve"> следующих параметров: </w:t>
      </w:r>
      <w:r w:rsidRPr="004F0CCD">
        <w:rPr>
          <w:rFonts w:ascii="Times New Roman" w:hAnsi="Times New Roman"/>
          <w:sz w:val="28"/>
          <w:szCs w:val="28"/>
        </w:rPr>
        <w:t>рост</w:t>
      </w:r>
      <w:r>
        <w:rPr>
          <w:rFonts w:ascii="Times New Roman" w:hAnsi="Times New Roman"/>
          <w:sz w:val="28"/>
          <w:szCs w:val="28"/>
        </w:rPr>
        <w:t xml:space="preserve"> выручки за счет увеличения объё</w:t>
      </w:r>
      <w:r w:rsidRPr="004F0CCD">
        <w:rPr>
          <w:rFonts w:ascii="Times New Roman" w:hAnsi="Times New Roman"/>
          <w:sz w:val="28"/>
          <w:szCs w:val="28"/>
        </w:rPr>
        <w:t>ма продаж</w:t>
      </w:r>
      <w:r>
        <w:rPr>
          <w:rFonts w:ascii="Times New Roman" w:hAnsi="Times New Roman"/>
          <w:sz w:val="28"/>
          <w:szCs w:val="28"/>
        </w:rPr>
        <w:t xml:space="preserve">, улучшения качества продукции или </w:t>
      </w:r>
      <w:r w:rsidRPr="004F0CCD">
        <w:rPr>
          <w:rFonts w:ascii="Times New Roman" w:hAnsi="Times New Roman"/>
          <w:sz w:val="28"/>
          <w:szCs w:val="28"/>
        </w:rPr>
        <w:t>усиления конкурентной позиции к</w:t>
      </w:r>
      <w:r>
        <w:rPr>
          <w:rFonts w:ascii="Times New Roman" w:hAnsi="Times New Roman"/>
          <w:sz w:val="28"/>
          <w:szCs w:val="28"/>
        </w:rPr>
        <w:t>омпании. Принимается во внимание также</w:t>
      </w:r>
      <w:r w:rsidRPr="004F0CCD">
        <w:rPr>
          <w:rFonts w:ascii="Times New Roman" w:hAnsi="Times New Roman"/>
          <w:sz w:val="28"/>
          <w:szCs w:val="28"/>
        </w:rPr>
        <w:t xml:space="preserve"> снижение затрат и ускорение роста продаж за счет экономии на масштабах вып</w:t>
      </w:r>
      <w:r>
        <w:rPr>
          <w:rFonts w:ascii="Times New Roman" w:hAnsi="Times New Roman"/>
          <w:sz w:val="28"/>
          <w:szCs w:val="28"/>
        </w:rPr>
        <w:t>уска и новых возможностей роста.</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Итак, при доходном подходе базовой моделью расчета эффекта синергии о</w:t>
      </w:r>
      <w:r>
        <w:rPr>
          <w:rFonts w:ascii="Times New Roman" w:hAnsi="Times New Roman"/>
          <w:sz w:val="28"/>
          <w:szCs w:val="28"/>
        </w:rPr>
        <w:t xml:space="preserve">т сделок M&amp;A выступает метод </w:t>
      </w:r>
      <w:r>
        <w:rPr>
          <w:rFonts w:ascii="Times New Roman" w:hAnsi="Times New Roman"/>
          <w:sz w:val="28"/>
          <w:szCs w:val="28"/>
          <w:lang w:val="en-US"/>
        </w:rPr>
        <w:t>DCF</w:t>
      </w:r>
      <w:r w:rsidRPr="004F0CCD">
        <w:rPr>
          <w:rFonts w:ascii="Times New Roman" w:hAnsi="Times New Roman"/>
          <w:sz w:val="28"/>
          <w:szCs w:val="28"/>
        </w:rPr>
        <w:t>, так как он является единственным методом, позволяющим учитывать будущие изменения д</w:t>
      </w:r>
      <w:r>
        <w:rPr>
          <w:rFonts w:ascii="Times New Roman" w:hAnsi="Times New Roman"/>
          <w:sz w:val="28"/>
          <w:szCs w:val="28"/>
        </w:rPr>
        <w:t>енежных потоков предприятия. Метод</w:t>
      </w:r>
      <w:r w:rsidR="00F35C52">
        <w:rPr>
          <w:rFonts w:ascii="Times New Roman" w:hAnsi="Times New Roman"/>
          <w:sz w:val="28"/>
          <w:szCs w:val="28"/>
        </w:rPr>
        <w:t xml:space="preserve"> </w:t>
      </w:r>
      <w:r>
        <w:rPr>
          <w:rFonts w:ascii="Times New Roman" w:hAnsi="Times New Roman"/>
          <w:sz w:val="28"/>
          <w:szCs w:val="28"/>
          <w:lang w:val="en-US"/>
        </w:rPr>
        <w:t>DCF</w:t>
      </w:r>
      <w:r w:rsidRPr="004F0CCD">
        <w:rPr>
          <w:rFonts w:ascii="Times New Roman" w:hAnsi="Times New Roman"/>
          <w:sz w:val="28"/>
          <w:szCs w:val="28"/>
        </w:rPr>
        <w:t xml:space="preserve"> позволяет наиболее точно оценить каждый из источников синергии и затраты на интеграцию. </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В некоторых случаях эффект синергии оценивается на основе затратного подхода как увеличение стоимости имущественного комплекса по мере его комплектования создаваемыми либо приобретаемыми материальными и нематериальными активами до возникновения способности выпускать имеющую спрос рентабельную продукцию. Синерг</w:t>
      </w:r>
      <w:r>
        <w:rPr>
          <w:rFonts w:ascii="Times New Roman" w:hAnsi="Times New Roman"/>
          <w:sz w:val="28"/>
          <w:szCs w:val="28"/>
        </w:rPr>
        <w:t xml:space="preserve">етический эффект в этом случае </w:t>
      </w:r>
      <w:r w:rsidRPr="004F0CCD">
        <w:rPr>
          <w:rFonts w:ascii="Times New Roman" w:hAnsi="Times New Roman"/>
          <w:sz w:val="28"/>
          <w:szCs w:val="28"/>
        </w:rPr>
        <w:t>проявляется в на</w:t>
      </w:r>
      <w:r>
        <w:rPr>
          <w:rFonts w:ascii="Times New Roman" w:hAnsi="Times New Roman"/>
          <w:sz w:val="28"/>
          <w:szCs w:val="28"/>
        </w:rPr>
        <w:t>ращивании стоимости активов</w:t>
      </w:r>
      <w:r w:rsidRPr="004F0CCD">
        <w:rPr>
          <w:rFonts w:ascii="Times New Roman" w:hAnsi="Times New Roman"/>
          <w:sz w:val="28"/>
          <w:szCs w:val="28"/>
        </w:rPr>
        <w:t xml:space="preserve">. На наш взгляд, данный подход к оценке эффекта </w:t>
      </w:r>
      <w:r w:rsidRPr="004F0CCD">
        <w:rPr>
          <w:rFonts w:ascii="Times New Roman" w:hAnsi="Times New Roman"/>
          <w:sz w:val="28"/>
          <w:szCs w:val="28"/>
        </w:rPr>
        <w:lastRenderedPageBreak/>
        <w:t>синергии позволяет учесть (и то частично) лишь одну форму его проя</w:t>
      </w:r>
      <w:r w:rsidR="00BB1853">
        <w:rPr>
          <w:rFonts w:ascii="Times New Roman" w:hAnsi="Times New Roman"/>
          <w:sz w:val="28"/>
          <w:szCs w:val="28"/>
        </w:rPr>
        <w:t>вления – операционную синергию. З</w:t>
      </w:r>
      <w:r w:rsidRPr="004F0CCD">
        <w:rPr>
          <w:rFonts w:ascii="Times New Roman" w:hAnsi="Times New Roman"/>
          <w:sz w:val="28"/>
          <w:szCs w:val="28"/>
        </w:rPr>
        <w:t>ачастую покупается бизнес, а не набор активов, следовательно, затратный подход имеет ограниченное применение, так как не учитываются нематериальные активы, присущие бизнесу в целом и отсутствующие у ка</w:t>
      </w:r>
      <w:r>
        <w:rPr>
          <w:rFonts w:ascii="Times New Roman" w:hAnsi="Times New Roman"/>
          <w:sz w:val="28"/>
          <w:szCs w:val="28"/>
        </w:rPr>
        <w:t>ждого индивидуального актива</w:t>
      </w:r>
      <w:r w:rsidRPr="004F0CCD">
        <w:rPr>
          <w:rFonts w:ascii="Times New Roman" w:hAnsi="Times New Roman"/>
          <w:sz w:val="28"/>
          <w:szCs w:val="28"/>
        </w:rPr>
        <w:t>. Поэтому эффект синергии, оцененный на основе данного подхода, окажется значительно заниженным.</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Итак, сравнительный анализ подходов и методов оценки эффекта синергии от M&amp;A показал, что существующие в настоящее время модели оценки имеют существенные недостатки.</w:t>
      </w:r>
    </w:p>
    <w:p w:rsidR="002A2DE3"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Во-первых, в большинстве моделей оценки эффекта синергии учитываются лишь выгоды, которые получит покупател</w:t>
      </w:r>
      <w:r>
        <w:rPr>
          <w:rFonts w:ascii="Times New Roman" w:hAnsi="Times New Roman"/>
          <w:sz w:val="28"/>
          <w:szCs w:val="28"/>
        </w:rPr>
        <w:t xml:space="preserve">ь от приобретения компании – цели. Но </w:t>
      </w:r>
      <w:r w:rsidRPr="004F0CCD">
        <w:rPr>
          <w:rFonts w:ascii="Times New Roman" w:hAnsi="Times New Roman"/>
          <w:sz w:val="28"/>
          <w:szCs w:val="28"/>
        </w:rPr>
        <w:t>не учитываются затраты, понесенные во время осущ</w:t>
      </w:r>
      <w:r>
        <w:rPr>
          <w:rFonts w:ascii="Times New Roman" w:hAnsi="Times New Roman"/>
          <w:sz w:val="28"/>
          <w:szCs w:val="28"/>
        </w:rPr>
        <w:t>ествления сделки: премия акционерам покупаемой компании, выплачиваемая на акции</w:t>
      </w:r>
      <w:r w:rsidRPr="004F0CCD">
        <w:rPr>
          <w:rFonts w:ascii="Times New Roman" w:hAnsi="Times New Roman"/>
          <w:sz w:val="28"/>
          <w:szCs w:val="28"/>
        </w:rPr>
        <w:t>, дополните</w:t>
      </w:r>
      <w:r>
        <w:rPr>
          <w:rFonts w:ascii="Times New Roman" w:hAnsi="Times New Roman"/>
          <w:sz w:val="28"/>
          <w:szCs w:val="28"/>
        </w:rPr>
        <w:t xml:space="preserve">льные затраты </w:t>
      </w:r>
      <w:r w:rsidRPr="004F0CCD">
        <w:rPr>
          <w:rFonts w:ascii="Times New Roman" w:hAnsi="Times New Roman"/>
          <w:sz w:val="28"/>
          <w:szCs w:val="28"/>
        </w:rPr>
        <w:t>на реструктурирование</w:t>
      </w:r>
      <w:r>
        <w:rPr>
          <w:rFonts w:ascii="Times New Roman" w:hAnsi="Times New Roman"/>
          <w:sz w:val="28"/>
          <w:szCs w:val="28"/>
        </w:rPr>
        <w:t>. Под затратами на реструктурирование понимаются издержки на модернизацию, оплату</w:t>
      </w:r>
      <w:r w:rsidRPr="004F0CCD">
        <w:rPr>
          <w:rFonts w:ascii="Times New Roman" w:hAnsi="Times New Roman"/>
          <w:sz w:val="28"/>
          <w:szCs w:val="28"/>
        </w:rPr>
        <w:t xml:space="preserve"> долгов приобретенной компании, расходы по в</w:t>
      </w:r>
      <w:r>
        <w:rPr>
          <w:rFonts w:ascii="Times New Roman" w:hAnsi="Times New Roman"/>
          <w:sz w:val="28"/>
          <w:szCs w:val="28"/>
        </w:rPr>
        <w:t>ыводу ее из финансового кризиса. Также часто остаются неучтенными</w:t>
      </w:r>
      <w:r w:rsidRPr="004F0CCD">
        <w:rPr>
          <w:rFonts w:ascii="Times New Roman" w:hAnsi="Times New Roman"/>
          <w:sz w:val="28"/>
          <w:szCs w:val="28"/>
        </w:rPr>
        <w:t xml:space="preserve"> и затраты, понесенные в ходе поглощения. </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Во-вторых, большинство моделей предлагают рассчитывать</w:t>
      </w:r>
      <w:r>
        <w:rPr>
          <w:rFonts w:ascii="Times New Roman" w:hAnsi="Times New Roman"/>
          <w:sz w:val="28"/>
          <w:szCs w:val="28"/>
        </w:rPr>
        <w:t xml:space="preserve"> единовременный эффект синергии. Однако это является неуместным, так как невозможно единовременно достигнуть всех выгод. Эффект от объединения буде</w:t>
      </w:r>
      <w:r w:rsidRPr="004F0CCD">
        <w:rPr>
          <w:rFonts w:ascii="Times New Roman" w:hAnsi="Times New Roman"/>
          <w:sz w:val="28"/>
          <w:szCs w:val="28"/>
        </w:rPr>
        <w:t>т проявляться не сразу</w:t>
      </w:r>
      <w:r>
        <w:rPr>
          <w:rFonts w:ascii="Times New Roman" w:hAnsi="Times New Roman"/>
          <w:sz w:val="28"/>
          <w:szCs w:val="28"/>
        </w:rPr>
        <w:t>, а в течение нескольких лет. П</w:t>
      </w:r>
      <w:r w:rsidRPr="004F0CCD">
        <w:rPr>
          <w:rFonts w:ascii="Times New Roman" w:hAnsi="Times New Roman"/>
          <w:sz w:val="28"/>
          <w:szCs w:val="28"/>
        </w:rPr>
        <w:t>оэтому</w:t>
      </w:r>
      <w:r>
        <w:rPr>
          <w:rFonts w:ascii="Times New Roman" w:hAnsi="Times New Roman"/>
          <w:sz w:val="28"/>
          <w:szCs w:val="28"/>
        </w:rPr>
        <w:t xml:space="preserve"> следует</w:t>
      </w:r>
      <w:r w:rsidRPr="004F0CCD">
        <w:rPr>
          <w:rFonts w:ascii="Times New Roman" w:hAnsi="Times New Roman"/>
          <w:sz w:val="28"/>
          <w:szCs w:val="28"/>
        </w:rPr>
        <w:t xml:space="preserve"> пр</w:t>
      </w:r>
      <w:r>
        <w:rPr>
          <w:rFonts w:ascii="Times New Roman" w:hAnsi="Times New Roman"/>
          <w:sz w:val="28"/>
          <w:szCs w:val="28"/>
        </w:rPr>
        <w:t xml:space="preserve">и оценке синергии </w:t>
      </w:r>
      <w:r w:rsidRPr="004F0CCD">
        <w:rPr>
          <w:rFonts w:ascii="Times New Roman" w:hAnsi="Times New Roman"/>
          <w:sz w:val="28"/>
          <w:szCs w:val="28"/>
        </w:rPr>
        <w:t xml:space="preserve">рассматривать денежные потоки за ряд последующих лет, </w:t>
      </w:r>
      <w:r>
        <w:rPr>
          <w:rFonts w:ascii="Times New Roman" w:hAnsi="Times New Roman"/>
          <w:sz w:val="28"/>
          <w:szCs w:val="28"/>
        </w:rPr>
        <w:t xml:space="preserve">дисконтируя их, тем самым </w:t>
      </w:r>
      <w:r w:rsidRPr="004F0CCD">
        <w:rPr>
          <w:rFonts w:ascii="Times New Roman" w:hAnsi="Times New Roman"/>
          <w:sz w:val="28"/>
          <w:szCs w:val="28"/>
        </w:rPr>
        <w:t>приводя их величину к текущему моменту.</w:t>
      </w:r>
    </w:p>
    <w:p w:rsidR="002A2DE3" w:rsidRDefault="002A2DE3" w:rsidP="00964201">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 xml:space="preserve">В-третьих, </w:t>
      </w:r>
      <w:r>
        <w:rPr>
          <w:rFonts w:ascii="Times New Roman" w:hAnsi="Times New Roman"/>
          <w:sz w:val="28"/>
          <w:szCs w:val="28"/>
        </w:rPr>
        <w:t>в предлагаемых моделях</w:t>
      </w:r>
      <w:r w:rsidRPr="004F0CCD">
        <w:rPr>
          <w:rFonts w:ascii="Times New Roman" w:hAnsi="Times New Roman"/>
          <w:sz w:val="28"/>
          <w:szCs w:val="28"/>
        </w:rPr>
        <w:t xml:space="preserve"> оценки </w:t>
      </w:r>
      <w:r>
        <w:rPr>
          <w:rFonts w:ascii="Times New Roman" w:hAnsi="Times New Roman"/>
          <w:sz w:val="28"/>
          <w:szCs w:val="28"/>
        </w:rPr>
        <w:t>рассматриваются и оцениваются лишь количественные факторы и не учитываются качественные преимущества слияний. Например,</w:t>
      </w:r>
      <w:r w:rsidRPr="004F0CCD">
        <w:rPr>
          <w:rFonts w:ascii="Times New Roman" w:hAnsi="Times New Roman"/>
          <w:sz w:val="28"/>
          <w:szCs w:val="28"/>
        </w:rPr>
        <w:t xml:space="preserve"> эффект командной </w:t>
      </w:r>
      <w:r w:rsidRPr="004F0CCD">
        <w:rPr>
          <w:rFonts w:ascii="Times New Roman" w:hAnsi="Times New Roman"/>
          <w:sz w:val="28"/>
          <w:szCs w:val="28"/>
        </w:rPr>
        <w:lastRenderedPageBreak/>
        <w:t xml:space="preserve">синергии как результат объединения управленческих способностей менеджеров или профессиональных навыков сотрудников. </w:t>
      </w:r>
    </w:p>
    <w:p w:rsidR="002A2DE3" w:rsidRPr="004F0CCD" w:rsidRDefault="002A2DE3" w:rsidP="00964201">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С учетом вышеизложенного,</w:t>
      </w:r>
      <w:r w:rsidRPr="004F0CCD">
        <w:rPr>
          <w:rFonts w:ascii="Times New Roman" w:hAnsi="Times New Roman"/>
          <w:sz w:val="28"/>
          <w:szCs w:val="28"/>
        </w:rPr>
        <w:t xml:space="preserve"> представляется целесообразным использовать в качестве модели оценки эффекта синергии от</w:t>
      </w:r>
      <w:r>
        <w:rPr>
          <w:rFonts w:ascii="Times New Roman" w:hAnsi="Times New Roman"/>
          <w:sz w:val="28"/>
          <w:szCs w:val="28"/>
        </w:rPr>
        <w:t xml:space="preserve"> сделок </w:t>
      </w:r>
      <w:r>
        <w:rPr>
          <w:rFonts w:ascii="Times New Roman" w:hAnsi="Times New Roman"/>
          <w:sz w:val="28"/>
          <w:szCs w:val="28"/>
          <w:lang w:val="en-US"/>
        </w:rPr>
        <w:t>M</w:t>
      </w:r>
      <w:r w:rsidRPr="005D1219">
        <w:rPr>
          <w:rFonts w:ascii="Times New Roman" w:hAnsi="Times New Roman"/>
          <w:sz w:val="28"/>
          <w:szCs w:val="28"/>
        </w:rPr>
        <w:t>&amp;</w:t>
      </w:r>
      <w:r>
        <w:rPr>
          <w:rFonts w:ascii="Times New Roman" w:hAnsi="Times New Roman"/>
          <w:sz w:val="28"/>
          <w:szCs w:val="28"/>
          <w:lang w:val="en-US"/>
        </w:rPr>
        <w:t>A</w:t>
      </w:r>
      <w:r w:rsidRPr="004F0CCD">
        <w:rPr>
          <w:rFonts w:ascii="Times New Roman" w:hAnsi="Times New Roman"/>
          <w:sz w:val="28"/>
          <w:szCs w:val="28"/>
        </w:rPr>
        <w:t xml:space="preserve"> модель дисконтировани</w:t>
      </w:r>
      <w:r>
        <w:rPr>
          <w:rFonts w:ascii="Times New Roman" w:hAnsi="Times New Roman"/>
          <w:sz w:val="28"/>
          <w:szCs w:val="28"/>
        </w:rPr>
        <w:t>я денежных потоков</w:t>
      </w:r>
      <w:r w:rsidRPr="00C42567">
        <w:rPr>
          <w:rFonts w:ascii="Times New Roman" w:hAnsi="Times New Roman"/>
          <w:sz w:val="28"/>
          <w:szCs w:val="28"/>
        </w:rPr>
        <w:t xml:space="preserve">. </w:t>
      </w:r>
      <w:r w:rsidRPr="004F0CCD">
        <w:rPr>
          <w:rFonts w:ascii="Times New Roman" w:hAnsi="Times New Roman"/>
          <w:sz w:val="28"/>
          <w:szCs w:val="28"/>
        </w:rPr>
        <w:t>Итак, более достоверно величину эффекта синергии можно рассчитать на основе показателя «чистый приведенный эффект синергии» (NPVS</w:t>
      </w:r>
      <w:r>
        <w:rPr>
          <w:rFonts w:ascii="Times New Roman" w:hAnsi="Times New Roman"/>
          <w:sz w:val="28"/>
          <w:szCs w:val="28"/>
        </w:rPr>
        <w:t xml:space="preserve"> – </w:t>
      </w:r>
      <w:proofErr w:type="spellStart"/>
      <w:r>
        <w:rPr>
          <w:rFonts w:ascii="Times New Roman" w:hAnsi="Times New Roman"/>
          <w:sz w:val="28"/>
          <w:szCs w:val="28"/>
          <w:lang w:val="en-US"/>
        </w:rPr>
        <w:t>netpresentvaluesynergies</w:t>
      </w:r>
      <w:proofErr w:type="spellEnd"/>
      <w:r w:rsidRPr="004F0CCD">
        <w:rPr>
          <w:rFonts w:ascii="Times New Roman" w:hAnsi="Times New Roman"/>
          <w:sz w:val="28"/>
          <w:szCs w:val="28"/>
        </w:rPr>
        <w:t>).</w:t>
      </w:r>
      <w:r>
        <w:rPr>
          <w:rStyle w:val="a5"/>
          <w:rFonts w:ascii="Times New Roman" w:hAnsi="Times New Roman"/>
          <w:sz w:val="28"/>
          <w:szCs w:val="28"/>
        </w:rPr>
        <w:footnoteReference w:id="26"/>
      </w:r>
      <w:r w:rsidRPr="004F0CCD">
        <w:rPr>
          <w:rFonts w:ascii="Times New Roman" w:hAnsi="Times New Roman"/>
          <w:sz w:val="28"/>
          <w:szCs w:val="28"/>
        </w:rPr>
        <w:t xml:space="preserve"> Предлагаемая формула расчета выглядит следующим образом:</w:t>
      </w:r>
    </w:p>
    <w:p w:rsidR="002A2DE3" w:rsidRPr="00572775" w:rsidRDefault="002A2DE3" w:rsidP="00F35C52">
      <w:pPr>
        <w:tabs>
          <w:tab w:val="left" w:pos="3119"/>
        </w:tabs>
        <w:spacing w:line="360" w:lineRule="auto"/>
        <w:ind w:left="357" w:firstLine="851"/>
        <w:jc w:val="right"/>
        <w:rPr>
          <w:rFonts w:ascii="Times New Roman" w:hAnsi="Times New Roman"/>
          <w:sz w:val="28"/>
          <w:szCs w:val="28"/>
        </w:rPr>
      </w:pPr>
      <m:oMath>
        <m:r>
          <m:rPr>
            <m:sty m:val="p"/>
          </m:rPr>
          <w:rPr>
            <w:rFonts w:ascii="Cambria Math" w:hAnsi="Cambria Math"/>
            <w:sz w:val="28"/>
            <w:szCs w:val="28"/>
          </w:rPr>
          <m:t>NPVS=</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f>
              <m:fPr>
                <m:ctrlPr>
                  <w:rPr>
                    <w:rFonts w:ascii="Cambria Math" w:hAnsi="Cambria Math"/>
                    <w:sz w:val="28"/>
                    <w:szCs w:val="28"/>
                  </w:rPr>
                </m:ctrlPr>
              </m:fPr>
              <m:num>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FCF</m:t>
                    </m:r>
                  </m:e>
                  <m:sub>
                    <m:r>
                      <m:rPr>
                        <m:sty m:val="p"/>
                      </m:rPr>
                      <w:rPr>
                        <w:rFonts w:ascii="Cambria Math" w:hAnsi="Cambria Math"/>
                        <w:sz w:val="28"/>
                        <w:szCs w:val="28"/>
                      </w:rPr>
                      <m:t>i</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e</m:t>
                            </m:r>
                          </m:sub>
                        </m:sSub>
                      </m:e>
                    </m:d>
                  </m:e>
                  <m:sup>
                    <m:r>
                      <m:rPr>
                        <m:sty m:val="p"/>
                      </m:rPr>
                      <w:rPr>
                        <w:rFonts w:ascii="Cambria Math" w:hAnsi="Cambria Math"/>
                        <w:sz w:val="28"/>
                        <w:szCs w:val="28"/>
                      </w:rPr>
                      <m:t>i</m:t>
                    </m:r>
                  </m:sup>
                </m:sSup>
              </m:den>
            </m:f>
          </m:e>
        </m:nary>
        <m:r>
          <m:rPr>
            <m:sty m:val="p"/>
          </m:rPr>
          <w:rPr>
            <w:rFonts w:ascii="Cambria Math" w:hAnsi="Cambria Math"/>
            <w:sz w:val="28"/>
            <w:szCs w:val="28"/>
          </w:rPr>
          <m:t>- P-E</m:t>
        </m:r>
      </m:oMath>
      <w:r w:rsidR="00F35C52">
        <w:rPr>
          <w:rFonts w:ascii="Times New Roman" w:eastAsiaTheme="minorEastAsia" w:hAnsi="Times New Roman"/>
          <w:sz w:val="28"/>
          <w:szCs w:val="28"/>
        </w:rPr>
        <w:t xml:space="preserve">                                (2.7)</w:t>
      </w:r>
    </w:p>
    <w:p w:rsidR="002A2DE3" w:rsidRPr="00C42567" w:rsidRDefault="005C5A41" w:rsidP="002A2DE3">
      <w:pPr>
        <w:tabs>
          <w:tab w:val="left" w:pos="3119"/>
        </w:tabs>
        <w:spacing w:line="360" w:lineRule="auto"/>
        <w:ind w:left="357" w:firstLine="851"/>
        <w:jc w:val="both"/>
        <w:rPr>
          <w:rFonts w:ascii="Times New Roman" w:hAnsi="Times New Roman"/>
          <w:sz w:val="28"/>
          <w:szCs w:val="28"/>
        </w:rPr>
      </w:pPr>
      <m:oMathPara>
        <m:oMath>
          <m:sSub>
            <m:sSubPr>
              <m:ctrlPr>
                <w:rPr>
                  <w:rFonts w:ascii="Cambria Math" w:hAnsi="Cambria Math"/>
                  <w:sz w:val="28"/>
                  <w:szCs w:val="28"/>
                  <w:lang w:val="en-US"/>
                </w:rPr>
              </m:ctrlPr>
            </m:sSubPr>
            <m:e>
              <m:r>
                <m:rPr>
                  <m:sty m:val="p"/>
                </m:rPr>
                <w:rPr>
                  <w:rFonts w:ascii="Cambria Math" w:hAnsi="Cambria Math"/>
                  <w:sz w:val="28"/>
                  <w:szCs w:val="28"/>
                </w:rPr>
                <m:t>∆</m:t>
              </m:r>
              <m:r>
                <m:rPr>
                  <m:sty m:val="p"/>
                </m:rPr>
                <w:rPr>
                  <w:rFonts w:ascii="Cambria Math" w:hAnsi="Cambria Math"/>
                  <w:sz w:val="28"/>
                  <w:szCs w:val="28"/>
                  <w:lang w:val="en-US"/>
                </w:rPr>
                <m:t>FCF</m:t>
              </m:r>
            </m:e>
            <m:sub>
              <m:r>
                <m:rPr>
                  <m:sty m:val="p"/>
                </m:rPr>
                <w:rPr>
                  <w:rFonts w:ascii="Cambria Math" w:hAnsi="Cambria Math"/>
                  <w:sz w:val="28"/>
                  <w:szCs w:val="28"/>
                  <w:lang w:val="en-US"/>
                </w:rPr>
                <m:t>i</m:t>
              </m:r>
            </m:sub>
          </m:sSub>
          <m:r>
            <m:rPr>
              <m:sty m:val="p"/>
            </m:rPr>
            <w:rPr>
              <w:rFonts w:ascii="Cambria Math" w:hAnsi="Cambria Math"/>
              <w:sz w:val="28"/>
              <w:szCs w:val="28"/>
            </w:rPr>
            <m:t>=∆</m:t>
          </m:r>
          <m:r>
            <m:rPr>
              <m:sty m:val="p"/>
            </m:rPr>
            <w:rPr>
              <w:rFonts w:ascii="Cambria Math" w:hAnsi="Cambria Math"/>
              <w:sz w:val="28"/>
              <w:szCs w:val="28"/>
              <w:lang w:val="en-US"/>
            </w:rPr>
            <m:t>S</m:t>
          </m:r>
          <m:r>
            <m:rPr>
              <m:sty m:val="p"/>
            </m:rPr>
            <w:rPr>
              <w:rFonts w:ascii="Cambria Math" w:hAnsi="Cambria Math"/>
              <w:sz w:val="28"/>
              <w:szCs w:val="28"/>
            </w:rPr>
            <m:t>- ∆</m:t>
          </m:r>
          <m:r>
            <m:rPr>
              <m:sty m:val="p"/>
            </m:rPr>
            <w:rPr>
              <w:rFonts w:ascii="Cambria Math" w:hAnsi="Cambria Math"/>
              <w:sz w:val="28"/>
              <w:szCs w:val="28"/>
              <w:lang w:val="en-US"/>
            </w:rPr>
            <m:t>C</m:t>
          </m:r>
          <m:r>
            <m:rPr>
              <m:sty m:val="p"/>
            </m:rPr>
            <w:rPr>
              <w:rFonts w:ascii="Cambria Math" w:hAnsi="Cambria Math"/>
              <w:sz w:val="28"/>
              <w:szCs w:val="28"/>
            </w:rPr>
            <m:t>- ∆</m:t>
          </m:r>
          <m:r>
            <m:rPr>
              <m:sty m:val="p"/>
            </m:rPr>
            <w:rPr>
              <w:rFonts w:ascii="Cambria Math" w:hAnsi="Cambria Math"/>
              <w:sz w:val="28"/>
              <w:szCs w:val="28"/>
              <w:lang w:val="en-US"/>
            </w:rPr>
            <m:t>T</m:t>
          </m:r>
          <m:r>
            <m:rPr>
              <m:sty m:val="p"/>
            </m:rPr>
            <w:rPr>
              <w:rFonts w:ascii="Cambria Math" w:hAnsi="Cambria Math"/>
              <w:sz w:val="28"/>
              <w:szCs w:val="28"/>
            </w:rPr>
            <m:t>- ∆</m:t>
          </m:r>
          <m:r>
            <m:rPr>
              <m:sty m:val="p"/>
            </m:rPr>
            <w:rPr>
              <w:rFonts w:ascii="Cambria Math" w:hAnsi="Cambria Math"/>
              <w:sz w:val="28"/>
              <w:szCs w:val="28"/>
              <w:lang w:val="en-US"/>
            </w:rPr>
            <m:t>NWC</m:t>
          </m:r>
          <m:r>
            <m:rPr>
              <m:sty m:val="p"/>
            </m:rPr>
            <w:rPr>
              <w:rFonts w:ascii="Cambria Math" w:hAnsi="Cambria Math"/>
              <w:sz w:val="28"/>
              <w:szCs w:val="28"/>
            </w:rPr>
            <m:t>- ∆Capex ± ∆L+ ∆Debt- ∆I</m:t>
          </m:r>
        </m:oMath>
      </m:oMathPara>
    </w:p>
    <w:p w:rsidR="002A2DE3" w:rsidRDefault="002A2DE3" w:rsidP="002A2DE3">
      <w:pPr>
        <w:tabs>
          <w:tab w:val="left" w:pos="3119"/>
        </w:tabs>
        <w:spacing w:after="0" w:line="360" w:lineRule="auto"/>
        <w:jc w:val="both"/>
        <w:rPr>
          <w:rFonts w:ascii="Times New Roman" w:hAnsi="Times New Roman"/>
          <w:sz w:val="28"/>
          <w:szCs w:val="28"/>
        </w:rPr>
      </w:pPr>
      <w:r w:rsidRPr="004F0CCD">
        <w:rPr>
          <w:rFonts w:ascii="Times New Roman" w:hAnsi="Times New Roman"/>
          <w:sz w:val="28"/>
          <w:szCs w:val="28"/>
        </w:rPr>
        <w:t>где:</w:t>
      </w:r>
    </w:p>
    <w:p w:rsidR="002A2DE3" w:rsidRDefault="002A2DE3" w:rsidP="002A2DE3">
      <w:pPr>
        <w:tabs>
          <w:tab w:val="left" w:pos="3119"/>
        </w:tabs>
        <w:spacing w:after="0" w:line="360" w:lineRule="auto"/>
        <w:ind w:left="284"/>
        <w:jc w:val="both"/>
        <w:rPr>
          <w:rFonts w:ascii="Times New Roman" w:hAnsi="Times New Roman"/>
          <w:sz w:val="28"/>
          <w:szCs w:val="28"/>
        </w:rPr>
      </w:pPr>
      <w:r w:rsidRPr="00572775">
        <w:rPr>
          <w:rFonts w:ascii="Times New Roman" w:hAnsi="Times New Roman"/>
          <w:sz w:val="28"/>
          <w:szCs w:val="28"/>
        </w:rPr>
        <w:t xml:space="preserve">∆ </w:t>
      </w:r>
      <w:r>
        <w:rPr>
          <w:rFonts w:ascii="Times New Roman" w:hAnsi="Times New Roman"/>
          <w:sz w:val="28"/>
          <w:szCs w:val="28"/>
          <w:lang w:val="en-US"/>
        </w:rPr>
        <w:t>FCF</w:t>
      </w:r>
      <w:r w:rsidRPr="00572775">
        <w:rPr>
          <w:rFonts w:ascii="Times New Roman" w:hAnsi="Times New Roman"/>
          <w:sz w:val="28"/>
          <w:szCs w:val="28"/>
        </w:rPr>
        <w:t xml:space="preserve">- </w:t>
      </w:r>
      <w:r w:rsidRPr="004F0CCD">
        <w:rPr>
          <w:rFonts w:ascii="Times New Roman" w:hAnsi="Times New Roman"/>
          <w:sz w:val="28"/>
          <w:szCs w:val="28"/>
        </w:rPr>
        <w:t>поток</w:t>
      </w:r>
      <w:r w:rsidR="00AC6010">
        <w:rPr>
          <w:rFonts w:ascii="Times New Roman" w:hAnsi="Times New Roman"/>
          <w:sz w:val="28"/>
          <w:szCs w:val="28"/>
        </w:rPr>
        <w:t xml:space="preserve"> </w:t>
      </w:r>
      <w:r w:rsidRPr="004F0CCD">
        <w:rPr>
          <w:rFonts w:ascii="Times New Roman" w:hAnsi="Times New Roman"/>
          <w:sz w:val="28"/>
          <w:szCs w:val="28"/>
        </w:rPr>
        <w:t>денежных</w:t>
      </w:r>
      <w:r w:rsidR="00AC6010">
        <w:rPr>
          <w:rFonts w:ascii="Times New Roman" w:hAnsi="Times New Roman"/>
          <w:sz w:val="28"/>
          <w:szCs w:val="28"/>
        </w:rPr>
        <w:t xml:space="preserve"> </w:t>
      </w:r>
      <w:r w:rsidRPr="004F0CCD">
        <w:rPr>
          <w:rFonts w:ascii="Times New Roman" w:hAnsi="Times New Roman"/>
          <w:sz w:val="28"/>
          <w:szCs w:val="28"/>
        </w:rPr>
        <w:t>средств</w:t>
      </w:r>
      <w:r w:rsidRPr="00572775">
        <w:rPr>
          <w:rFonts w:ascii="Times New Roman" w:hAnsi="Times New Roman"/>
          <w:sz w:val="28"/>
          <w:szCs w:val="28"/>
        </w:rPr>
        <w:t>;</w:t>
      </w:r>
      <w:r>
        <w:rPr>
          <w:rFonts w:ascii="Times New Roman" w:hAnsi="Times New Roman"/>
          <w:sz w:val="28"/>
          <w:szCs w:val="28"/>
        </w:rPr>
        <w:t xml:space="preserve">∆ S </w:t>
      </w:r>
      <w:r w:rsidRPr="004F0CCD">
        <w:rPr>
          <w:rFonts w:ascii="Times New Roman" w:hAnsi="Times New Roman"/>
          <w:sz w:val="28"/>
          <w:szCs w:val="28"/>
        </w:rPr>
        <w:t>– прирост выручки;</w:t>
      </w:r>
    </w:p>
    <w:p w:rsidR="002A2DE3"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C– экономия на расходах</w:t>
      </w:r>
      <w:r>
        <w:rPr>
          <w:rFonts w:ascii="Times New Roman" w:hAnsi="Times New Roman"/>
          <w:sz w:val="28"/>
          <w:szCs w:val="28"/>
        </w:rPr>
        <w:t>;</w:t>
      </w:r>
      <w:r w:rsidRPr="004F0CCD">
        <w:rPr>
          <w:rFonts w:ascii="Times New Roman" w:hAnsi="Times New Roman"/>
          <w:sz w:val="28"/>
          <w:szCs w:val="28"/>
        </w:rPr>
        <w:t xml:space="preserve">∆ Т– </w:t>
      </w:r>
      <w:proofErr w:type="gramStart"/>
      <w:r w:rsidRPr="004F0CCD">
        <w:rPr>
          <w:rFonts w:ascii="Times New Roman" w:hAnsi="Times New Roman"/>
          <w:sz w:val="28"/>
          <w:szCs w:val="28"/>
        </w:rPr>
        <w:t>эк</w:t>
      </w:r>
      <w:proofErr w:type="gramEnd"/>
      <w:r w:rsidRPr="004F0CCD">
        <w:rPr>
          <w:rFonts w:ascii="Times New Roman" w:hAnsi="Times New Roman"/>
          <w:sz w:val="28"/>
          <w:szCs w:val="28"/>
        </w:rPr>
        <w:t>ономия на налоге на прибыль;</w:t>
      </w:r>
    </w:p>
    <w:p w:rsidR="002A2DE3"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NWC– экономия на инвестициях в оборотный капитал;</w:t>
      </w:r>
    </w:p>
    <w:p w:rsidR="002A2DE3"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xml:space="preserve">∆ </w:t>
      </w:r>
      <w:proofErr w:type="spellStart"/>
      <w:r w:rsidRPr="004F0CCD">
        <w:rPr>
          <w:rFonts w:ascii="Times New Roman" w:hAnsi="Times New Roman"/>
          <w:sz w:val="28"/>
          <w:szCs w:val="28"/>
        </w:rPr>
        <w:t>Capex</w:t>
      </w:r>
      <w:proofErr w:type="spellEnd"/>
      <w:r w:rsidRPr="004F0CCD">
        <w:rPr>
          <w:rFonts w:ascii="Times New Roman" w:hAnsi="Times New Roman"/>
          <w:sz w:val="28"/>
          <w:szCs w:val="28"/>
        </w:rPr>
        <w:t>– экономия на капиталовложениях;</w:t>
      </w:r>
    </w:p>
    <w:p w:rsidR="002A2DE3"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xml:space="preserve"> ± ∆</w:t>
      </w:r>
      <w:r>
        <w:rPr>
          <w:rFonts w:ascii="Times New Roman" w:hAnsi="Times New Roman"/>
          <w:sz w:val="28"/>
          <w:szCs w:val="28"/>
        </w:rPr>
        <w:t xml:space="preserve"> L - прирост/экономия доходов/расходов после </w:t>
      </w:r>
      <w:r w:rsidRPr="004F0CCD">
        <w:rPr>
          <w:rFonts w:ascii="Times New Roman" w:hAnsi="Times New Roman"/>
          <w:sz w:val="28"/>
          <w:szCs w:val="28"/>
        </w:rPr>
        <w:t>объединения управленческих способностей;</w:t>
      </w:r>
    </w:p>
    <w:p w:rsidR="002A2DE3" w:rsidRPr="004F0CCD"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xml:space="preserve">∆ </w:t>
      </w:r>
      <w:proofErr w:type="spellStart"/>
      <w:r w:rsidRPr="004F0CCD">
        <w:rPr>
          <w:rFonts w:ascii="Times New Roman" w:hAnsi="Times New Roman"/>
          <w:sz w:val="28"/>
          <w:szCs w:val="28"/>
        </w:rPr>
        <w:t>Debt</w:t>
      </w:r>
      <w:proofErr w:type="spellEnd"/>
      <w:r w:rsidRPr="004F0CCD">
        <w:rPr>
          <w:rFonts w:ascii="Times New Roman" w:hAnsi="Times New Roman"/>
          <w:sz w:val="28"/>
          <w:szCs w:val="28"/>
        </w:rPr>
        <w:t xml:space="preserve">  – изменение чистого долга (с учетом финансовой синергии);</w:t>
      </w:r>
    </w:p>
    <w:p w:rsidR="002A2DE3" w:rsidRPr="004F0CCD"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I - дополнительные инвестиции на реструктурирование;</w:t>
      </w:r>
    </w:p>
    <w:p w:rsidR="002A2DE3" w:rsidRDefault="002A2DE3" w:rsidP="002A2DE3">
      <w:pPr>
        <w:tabs>
          <w:tab w:val="left" w:pos="3119"/>
        </w:tabs>
        <w:spacing w:after="0" w:line="360" w:lineRule="auto"/>
        <w:ind w:left="284"/>
        <w:jc w:val="both"/>
        <w:rPr>
          <w:rFonts w:ascii="Times New Roman" w:hAnsi="Times New Roman"/>
          <w:sz w:val="28"/>
          <w:szCs w:val="28"/>
        </w:rPr>
      </w:pPr>
      <w:proofErr w:type="spellStart"/>
      <w:r w:rsidRPr="004F0CCD">
        <w:rPr>
          <w:rFonts w:ascii="Times New Roman" w:hAnsi="Times New Roman"/>
          <w:sz w:val="28"/>
          <w:szCs w:val="28"/>
        </w:rPr>
        <w:t>r</w:t>
      </w:r>
      <w:r w:rsidRPr="006648CA">
        <w:rPr>
          <w:rFonts w:ascii="Times New Roman" w:hAnsi="Times New Roman"/>
          <w:sz w:val="28"/>
          <w:szCs w:val="28"/>
          <w:vertAlign w:val="subscript"/>
        </w:rPr>
        <w:t>e</w:t>
      </w:r>
      <w:proofErr w:type="spellEnd"/>
      <w:r w:rsidRPr="004F0CCD">
        <w:rPr>
          <w:rFonts w:ascii="Times New Roman" w:hAnsi="Times New Roman"/>
          <w:sz w:val="28"/>
          <w:szCs w:val="28"/>
        </w:rPr>
        <w:t>– доходность акционерного капитала (барьерная ставка);</w:t>
      </w:r>
    </w:p>
    <w:p w:rsidR="002A2DE3" w:rsidRDefault="002A2DE3" w:rsidP="002A2DE3">
      <w:pPr>
        <w:tabs>
          <w:tab w:val="left" w:pos="3119"/>
        </w:tabs>
        <w:spacing w:after="0" w:line="360" w:lineRule="auto"/>
        <w:ind w:left="284"/>
        <w:jc w:val="both"/>
        <w:rPr>
          <w:rFonts w:ascii="Times New Roman" w:hAnsi="Times New Roman"/>
          <w:sz w:val="28"/>
          <w:szCs w:val="28"/>
        </w:rPr>
      </w:pPr>
      <w:proofErr w:type="gramStart"/>
      <w:r>
        <w:rPr>
          <w:rFonts w:ascii="Times New Roman" w:hAnsi="Times New Roman"/>
          <w:sz w:val="28"/>
          <w:szCs w:val="28"/>
        </w:rPr>
        <w:t>Р</w:t>
      </w:r>
      <w:r w:rsidRPr="004F0CCD">
        <w:rPr>
          <w:rFonts w:ascii="Times New Roman" w:hAnsi="Times New Roman"/>
          <w:sz w:val="28"/>
          <w:szCs w:val="28"/>
        </w:rPr>
        <w:t>-</w:t>
      </w:r>
      <w:proofErr w:type="gramEnd"/>
      <w:r w:rsidRPr="004F0CCD">
        <w:rPr>
          <w:rFonts w:ascii="Times New Roman" w:hAnsi="Times New Roman"/>
          <w:sz w:val="28"/>
          <w:szCs w:val="28"/>
        </w:rPr>
        <w:t xml:space="preserve"> премия, выплачиваемая при поглощении акционерам компании-цели;</w:t>
      </w:r>
    </w:p>
    <w:p w:rsidR="002A2DE3" w:rsidRPr="004F0CCD" w:rsidRDefault="002A2DE3" w:rsidP="002A2DE3">
      <w:pPr>
        <w:tabs>
          <w:tab w:val="left" w:pos="3119"/>
        </w:tabs>
        <w:spacing w:after="0" w:line="360" w:lineRule="auto"/>
        <w:ind w:left="284"/>
        <w:jc w:val="both"/>
        <w:rPr>
          <w:rFonts w:ascii="Times New Roman" w:hAnsi="Times New Roman"/>
          <w:sz w:val="28"/>
          <w:szCs w:val="28"/>
        </w:rPr>
      </w:pPr>
      <w:r w:rsidRPr="004F0CCD">
        <w:rPr>
          <w:rFonts w:ascii="Times New Roman" w:hAnsi="Times New Roman"/>
          <w:sz w:val="28"/>
          <w:szCs w:val="28"/>
        </w:rPr>
        <w:t xml:space="preserve">Е– </w:t>
      </w:r>
      <w:proofErr w:type="gramStart"/>
      <w:r w:rsidRPr="004F0CCD">
        <w:rPr>
          <w:rFonts w:ascii="Times New Roman" w:hAnsi="Times New Roman"/>
          <w:sz w:val="28"/>
          <w:szCs w:val="28"/>
        </w:rPr>
        <w:t>за</w:t>
      </w:r>
      <w:proofErr w:type="gramEnd"/>
      <w:r w:rsidRPr="004F0CCD">
        <w:rPr>
          <w:rFonts w:ascii="Times New Roman" w:hAnsi="Times New Roman"/>
          <w:sz w:val="28"/>
          <w:szCs w:val="28"/>
        </w:rPr>
        <w:t>траты покупателя в ходе процесса поглощения.</w:t>
      </w:r>
    </w:p>
    <w:p w:rsidR="00BB1853" w:rsidRDefault="002A2DE3" w:rsidP="00BB1853">
      <w:pPr>
        <w:tabs>
          <w:tab w:val="left" w:pos="3119"/>
        </w:tabs>
        <w:spacing w:after="0" w:line="360" w:lineRule="auto"/>
        <w:ind w:firstLine="709"/>
        <w:jc w:val="both"/>
        <w:rPr>
          <w:rFonts w:ascii="Times New Roman" w:hAnsi="Times New Roman"/>
          <w:sz w:val="28"/>
          <w:szCs w:val="28"/>
        </w:rPr>
      </w:pPr>
      <w:r w:rsidRPr="004F0CCD">
        <w:rPr>
          <w:rFonts w:ascii="Times New Roman" w:hAnsi="Times New Roman"/>
          <w:sz w:val="28"/>
          <w:szCs w:val="28"/>
        </w:rPr>
        <w:t>Предложенный выше метод устраняет недостатки рассмотренных ранее методов оценки эффекта синергии от сделок</w:t>
      </w:r>
      <w:r>
        <w:rPr>
          <w:rFonts w:ascii="Times New Roman" w:hAnsi="Times New Roman"/>
          <w:sz w:val="28"/>
          <w:szCs w:val="28"/>
        </w:rPr>
        <w:t xml:space="preserve"> M&amp;A. При этом сохраняет их достоинства. Также</w:t>
      </w:r>
      <w:r w:rsidRPr="004F0CCD">
        <w:rPr>
          <w:rFonts w:ascii="Times New Roman" w:hAnsi="Times New Roman"/>
          <w:sz w:val="28"/>
          <w:szCs w:val="28"/>
        </w:rPr>
        <w:t xml:space="preserve"> позволяет более точно и объективно учесть и оценить весь спектр проявления форм эффекта синергии (как </w:t>
      </w:r>
      <w:r w:rsidRPr="004F0CCD">
        <w:rPr>
          <w:rFonts w:ascii="Times New Roman" w:hAnsi="Times New Roman"/>
          <w:sz w:val="28"/>
          <w:szCs w:val="28"/>
        </w:rPr>
        <w:lastRenderedPageBreak/>
        <w:t>количественных, так и качественных) от слияний и поглощений компаний и дает тем самым возможность отбирать и заключать только те сделки M&amp;A, которые будут перспективными с то</w:t>
      </w:r>
      <w:r w:rsidR="00BB1853">
        <w:rPr>
          <w:rFonts w:ascii="Times New Roman" w:hAnsi="Times New Roman"/>
          <w:sz w:val="28"/>
          <w:szCs w:val="28"/>
        </w:rPr>
        <w:t>чки зрения развития предприятия.</w:t>
      </w:r>
    </w:p>
    <w:p w:rsidR="00BB1853" w:rsidRDefault="00BB1853" w:rsidP="00BB1853">
      <w:pPr>
        <w:tabs>
          <w:tab w:val="left" w:pos="3119"/>
        </w:tabs>
        <w:spacing w:after="0" w:line="360" w:lineRule="auto"/>
        <w:ind w:firstLine="709"/>
        <w:jc w:val="both"/>
        <w:rPr>
          <w:rFonts w:ascii="Times New Roman" w:hAnsi="Times New Roman"/>
          <w:sz w:val="28"/>
          <w:szCs w:val="28"/>
        </w:rPr>
      </w:pPr>
    </w:p>
    <w:p w:rsidR="002A2DE3" w:rsidRPr="00BB1853" w:rsidRDefault="002A2DE3" w:rsidP="00BB1853">
      <w:pPr>
        <w:tabs>
          <w:tab w:val="left" w:pos="3119"/>
        </w:tabs>
        <w:spacing w:after="0" w:line="360" w:lineRule="auto"/>
        <w:ind w:firstLine="709"/>
        <w:jc w:val="center"/>
        <w:rPr>
          <w:rFonts w:ascii="Times New Roman" w:hAnsi="Times New Roman"/>
          <w:sz w:val="28"/>
          <w:szCs w:val="28"/>
        </w:rPr>
      </w:pPr>
      <w:r w:rsidRPr="00C42567">
        <w:rPr>
          <w:rFonts w:ascii="Times New Roman" w:hAnsi="Times New Roman"/>
          <w:b/>
          <w:sz w:val="28"/>
          <w:szCs w:val="28"/>
        </w:rPr>
        <w:t>2. 3</w:t>
      </w:r>
      <w:r w:rsidR="003F3697">
        <w:rPr>
          <w:rFonts w:ascii="Times New Roman" w:hAnsi="Times New Roman"/>
          <w:b/>
          <w:sz w:val="28"/>
          <w:szCs w:val="28"/>
        </w:rPr>
        <w:t>.</w:t>
      </w:r>
      <w:r w:rsidRPr="00C42567">
        <w:rPr>
          <w:rFonts w:ascii="Times New Roman" w:hAnsi="Times New Roman"/>
          <w:b/>
          <w:sz w:val="28"/>
          <w:szCs w:val="28"/>
        </w:rPr>
        <w:t xml:space="preserve"> Выводы по главе</w:t>
      </w:r>
    </w:p>
    <w:p w:rsidR="00083AE3" w:rsidRDefault="00083AE3" w:rsidP="002F0AA2">
      <w:pPr>
        <w:tabs>
          <w:tab w:val="left" w:pos="3119"/>
        </w:tabs>
        <w:spacing w:after="0" w:line="360" w:lineRule="auto"/>
        <w:ind w:firstLine="709"/>
        <w:jc w:val="both"/>
        <w:rPr>
          <w:rFonts w:ascii="Times New Roman" w:hAnsi="Times New Roman"/>
          <w:sz w:val="28"/>
          <w:szCs w:val="28"/>
        </w:rPr>
      </w:pPr>
      <w:r w:rsidRPr="00083AE3">
        <w:rPr>
          <w:rFonts w:ascii="Times New Roman" w:hAnsi="Times New Roman"/>
          <w:sz w:val="28"/>
          <w:szCs w:val="28"/>
        </w:rPr>
        <w:t xml:space="preserve">В рамках данной главы нами были рассмотрены подходы и методы, используемые при оценке компании в слиянии. Определены наиболее приемлемые из них в контексте сделок </w:t>
      </w:r>
      <w:r w:rsidRPr="00083AE3">
        <w:rPr>
          <w:rFonts w:ascii="Times New Roman" w:hAnsi="Times New Roman"/>
          <w:sz w:val="28"/>
          <w:szCs w:val="28"/>
          <w:lang w:val="en-US"/>
        </w:rPr>
        <w:t>M</w:t>
      </w:r>
      <w:r w:rsidRPr="00083AE3">
        <w:rPr>
          <w:rFonts w:ascii="Times New Roman" w:hAnsi="Times New Roman"/>
          <w:sz w:val="28"/>
          <w:szCs w:val="28"/>
        </w:rPr>
        <w:t>&amp;</w:t>
      </w:r>
      <w:r w:rsidRPr="00083AE3">
        <w:rPr>
          <w:rFonts w:ascii="Times New Roman" w:hAnsi="Times New Roman"/>
          <w:sz w:val="28"/>
          <w:szCs w:val="28"/>
          <w:lang w:val="en-US"/>
        </w:rPr>
        <w:t>A</w:t>
      </w:r>
      <w:r w:rsidRPr="00083AE3">
        <w:rPr>
          <w:rFonts w:ascii="Times New Roman" w:hAnsi="Times New Roman"/>
          <w:sz w:val="28"/>
          <w:szCs w:val="28"/>
        </w:rPr>
        <w:t>. Кратко перечислим достоинства и недостатки каждого из методов.</w:t>
      </w:r>
    </w:p>
    <w:p w:rsidR="00083AE3" w:rsidRDefault="0058217C" w:rsidP="002F0AA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Затратный подход и в нем, для целей </w:t>
      </w:r>
      <w:r>
        <w:rPr>
          <w:rFonts w:ascii="Times New Roman" w:hAnsi="Times New Roman"/>
          <w:sz w:val="28"/>
          <w:szCs w:val="28"/>
          <w:lang w:val="en-US"/>
        </w:rPr>
        <w:t>M</w:t>
      </w:r>
      <w:r w:rsidRPr="0058217C">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выделен метод чистых активов. Основа метода – реально существующие активы, при этом неопределенность присутствует, но незначительная. Достоинство кроется в стандартизированной системе оценки и сглаживании ряда упущений бух</w:t>
      </w:r>
      <w:r w:rsidR="001228FF">
        <w:rPr>
          <w:rFonts w:ascii="Times New Roman" w:hAnsi="Times New Roman"/>
          <w:sz w:val="28"/>
          <w:szCs w:val="28"/>
        </w:rPr>
        <w:t>галтерской отчетности. При этом</w:t>
      </w:r>
      <w:r>
        <w:rPr>
          <w:rFonts w:ascii="Times New Roman" w:hAnsi="Times New Roman"/>
          <w:sz w:val="28"/>
          <w:szCs w:val="28"/>
        </w:rPr>
        <w:t xml:space="preserve"> не учет </w:t>
      </w:r>
      <w:r w:rsidR="0027560C">
        <w:rPr>
          <w:rFonts w:ascii="Times New Roman" w:hAnsi="Times New Roman"/>
          <w:sz w:val="28"/>
          <w:szCs w:val="28"/>
        </w:rPr>
        <w:t>стоимости нематериальных активов и как следствие невозможность выявления синергии в полном объеме представляют основные минусы этого подхода.</w:t>
      </w:r>
    </w:p>
    <w:p w:rsidR="0027560C" w:rsidRDefault="0027560C" w:rsidP="002F0AA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В сравнительном подходе выделено несколько методов – это метод аналогичных сделок и метод коэффициентов. На практике они применяются совместно. У данных методик больше недостатков, чем достоинств. Связано это со спецификой российского рынка. Недостаточный объем числа сделок и закрытость информации по большинству из них приводит к невозможности подбора аналога, а усредненные коэффициенты</w:t>
      </w:r>
      <w:r w:rsidR="00AB7484">
        <w:rPr>
          <w:rFonts w:ascii="Times New Roman" w:hAnsi="Times New Roman"/>
          <w:sz w:val="28"/>
          <w:szCs w:val="28"/>
        </w:rPr>
        <w:t>, в свою очередь</w:t>
      </w:r>
      <w:r>
        <w:rPr>
          <w:rFonts w:ascii="Times New Roman" w:hAnsi="Times New Roman"/>
          <w:sz w:val="28"/>
          <w:szCs w:val="28"/>
        </w:rPr>
        <w:t xml:space="preserve"> приводят к весьма сомнительной оценке. </w:t>
      </w:r>
    </w:p>
    <w:p w:rsidR="00AB7484" w:rsidRDefault="00AB7484" w:rsidP="002F0AA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Доходный подход – ключевой при определении стоимости бизнеса в целях </w:t>
      </w:r>
      <w:r>
        <w:rPr>
          <w:rFonts w:ascii="Times New Roman" w:hAnsi="Times New Roman"/>
          <w:sz w:val="28"/>
          <w:szCs w:val="28"/>
          <w:lang w:val="en-US"/>
        </w:rPr>
        <w:t>M</w:t>
      </w:r>
      <w:r w:rsidRPr="00AB7484">
        <w:rPr>
          <w:rFonts w:ascii="Times New Roman" w:hAnsi="Times New Roman"/>
          <w:sz w:val="28"/>
          <w:szCs w:val="28"/>
        </w:rPr>
        <w:t>&amp;</w:t>
      </w:r>
      <w:r>
        <w:rPr>
          <w:rFonts w:ascii="Times New Roman" w:hAnsi="Times New Roman"/>
          <w:sz w:val="28"/>
          <w:szCs w:val="28"/>
          <w:lang w:val="en-US"/>
        </w:rPr>
        <w:t>A</w:t>
      </w:r>
      <w:r w:rsidRPr="00AB7484">
        <w:rPr>
          <w:rFonts w:ascii="Times New Roman" w:hAnsi="Times New Roman"/>
          <w:sz w:val="28"/>
          <w:szCs w:val="28"/>
        </w:rPr>
        <w:t xml:space="preserve">. </w:t>
      </w:r>
      <w:r w:rsidR="002F0AA2">
        <w:rPr>
          <w:rFonts w:ascii="Times New Roman" w:hAnsi="Times New Roman"/>
          <w:sz w:val="28"/>
          <w:szCs w:val="28"/>
        </w:rPr>
        <w:t xml:space="preserve"> В рамках подхода используется метод дисконтированных денежных потоков. Главным достоинством является учет предполагаемых рисков и синергетических выгод в полном объеме. </w:t>
      </w:r>
    </w:p>
    <w:p w:rsidR="00BB1853" w:rsidRDefault="00BB1853" w:rsidP="002F0AA2">
      <w:pPr>
        <w:tabs>
          <w:tab w:val="left" w:pos="3119"/>
        </w:tabs>
        <w:spacing w:after="0" w:line="360" w:lineRule="auto"/>
        <w:ind w:firstLine="709"/>
        <w:jc w:val="both"/>
        <w:rPr>
          <w:rFonts w:ascii="Times New Roman" w:hAnsi="Times New Roman"/>
          <w:sz w:val="28"/>
          <w:szCs w:val="28"/>
        </w:rPr>
      </w:pPr>
    </w:p>
    <w:p w:rsidR="00BB1853" w:rsidRPr="00411C6C" w:rsidRDefault="00BB1853" w:rsidP="002F0AA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ходе анализа методик оценки в целях </w:t>
      </w:r>
      <w:r>
        <w:rPr>
          <w:rFonts w:ascii="Times New Roman" w:hAnsi="Times New Roman"/>
          <w:sz w:val="28"/>
          <w:szCs w:val="28"/>
          <w:lang w:val="en-US"/>
        </w:rPr>
        <w:t>M</w:t>
      </w:r>
      <w:r w:rsidRPr="00BB1853">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были замечены принципиальные отличия данного вида оценки от стандартных процедур по оп</w:t>
      </w:r>
      <w:r w:rsidR="00411C6C">
        <w:rPr>
          <w:rFonts w:ascii="Times New Roman" w:hAnsi="Times New Roman"/>
          <w:sz w:val="28"/>
          <w:szCs w:val="28"/>
        </w:rPr>
        <w:t>ределению стоимости бизнеса. Во-</w:t>
      </w:r>
      <w:r>
        <w:rPr>
          <w:rFonts w:ascii="Times New Roman" w:hAnsi="Times New Roman"/>
          <w:sz w:val="28"/>
          <w:szCs w:val="28"/>
        </w:rPr>
        <w:t>первых</w:t>
      </w:r>
      <w:r w:rsidR="00411C6C">
        <w:rPr>
          <w:rFonts w:ascii="Times New Roman" w:hAnsi="Times New Roman"/>
          <w:sz w:val="28"/>
          <w:szCs w:val="28"/>
        </w:rPr>
        <w:t>,</w:t>
      </w:r>
      <w:r>
        <w:rPr>
          <w:rFonts w:ascii="Times New Roman" w:hAnsi="Times New Roman"/>
          <w:sz w:val="28"/>
          <w:szCs w:val="28"/>
        </w:rPr>
        <w:t xml:space="preserve"> это цель</w:t>
      </w:r>
      <w:r w:rsidR="00411C6C">
        <w:rPr>
          <w:rFonts w:ascii="Times New Roman" w:hAnsi="Times New Roman"/>
          <w:sz w:val="28"/>
          <w:szCs w:val="28"/>
        </w:rPr>
        <w:t>,</w:t>
      </w:r>
      <w:r>
        <w:rPr>
          <w:rFonts w:ascii="Times New Roman" w:hAnsi="Times New Roman"/>
          <w:sz w:val="28"/>
          <w:szCs w:val="28"/>
        </w:rPr>
        <w:t xml:space="preserve"> с которой проводится оценка. В случае </w:t>
      </w:r>
      <w:r>
        <w:rPr>
          <w:rFonts w:ascii="Times New Roman" w:hAnsi="Times New Roman"/>
          <w:sz w:val="28"/>
          <w:szCs w:val="28"/>
          <w:lang w:val="en-US"/>
        </w:rPr>
        <w:t>M</w:t>
      </w:r>
      <w:r w:rsidRPr="00BB1853">
        <w:rPr>
          <w:rFonts w:ascii="Times New Roman" w:hAnsi="Times New Roman"/>
          <w:sz w:val="28"/>
          <w:szCs w:val="28"/>
        </w:rPr>
        <w:t>&amp;</w:t>
      </w:r>
      <w:r>
        <w:rPr>
          <w:rFonts w:ascii="Times New Roman" w:hAnsi="Times New Roman"/>
          <w:sz w:val="28"/>
          <w:szCs w:val="28"/>
          <w:lang w:val="en-US"/>
        </w:rPr>
        <w:t>A</w:t>
      </w:r>
      <w:r w:rsidRPr="00BB1853">
        <w:rPr>
          <w:rFonts w:ascii="Times New Roman" w:hAnsi="Times New Roman"/>
          <w:sz w:val="28"/>
          <w:szCs w:val="28"/>
        </w:rPr>
        <w:t xml:space="preserve"> </w:t>
      </w:r>
      <w:r>
        <w:rPr>
          <w:rFonts w:ascii="Times New Roman" w:hAnsi="Times New Roman"/>
          <w:sz w:val="28"/>
          <w:szCs w:val="28"/>
        </w:rPr>
        <w:t>–</w:t>
      </w:r>
      <w:r w:rsidRPr="00BB1853">
        <w:rPr>
          <w:rFonts w:ascii="Times New Roman" w:hAnsi="Times New Roman"/>
          <w:sz w:val="28"/>
          <w:szCs w:val="28"/>
        </w:rPr>
        <w:t xml:space="preserve"> </w:t>
      </w:r>
      <w:r>
        <w:rPr>
          <w:rFonts w:ascii="Times New Roman" w:hAnsi="Times New Roman"/>
          <w:sz w:val="28"/>
          <w:szCs w:val="28"/>
        </w:rPr>
        <w:t xml:space="preserve">определение целесообразности приобретения той или иной компании и </w:t>
      </w:r>
      <w:r w:rsidR="00411C6C">
        <w:rPr>
          <w:rFonts w:ascii="Times New Roman" w:hAnsi="Times New Roman"/>
          <w:sz w:val="28"/>
          <w:szCs w:val="28"/>
        </w:rPr>
        <w:t xml:space="preserve">обоснованности предложенной цены за нее. Во-вторых, использование большего числа корректировок и допущений. При применении метода </w:t>
      </w:r>
      <w:r w:rsidR="00411C6C">
        <w:rPr>
          <w:rFonts w:ascii="Times New Roman" w:hAnsi="Times New Roman"/>
          <w:sz w:val="28"/>
          <w:szCs w:val="28"/>
          <w:lang w:val="en-US"/>
        </w:rPr>
        <w:t>DCF</w:t>
      </w:r>
      <w:r w:rsidR="00411C6C">
        <w:rPr>
          <w:rFonts w:ascii="Times New Roman" w:hAnsi="Times New Roman"/>
          <w:sz w:val="28"/>
          <w:szCs w:val="28"/>
        </w:rPr>
        <w:t xml:space="preserve"> в целях </w:t>
      </w:r>
      <w:r w:rsidR="00411C6C">
        <w:rPr>
          <w:rFonts w:ascii="Times New Roman" w:hAnsi="Times New Roman"/>
          <w:sz w:val="28"/>
          <w:szCs w:val="28"/>
          <w:lang w:val="en-US"/>
        </w:rPr>
        <w:t>M</w:t>
      </w:r>
      <w:r w:rsidR="00411C6C" w:rsidRPr="00411C6C">
        <w:rPr>
          <w:rFonts w:ascii="Times New Roman" w:hAnsi="Times New Roman"/>
          <w:sz w:val="28"/>
          <w:szCs w:val="28"/>
        </w:rPr>
        <w:t>&amp;</w:t>
      </w:r>
      <w:r w:rsidR="00411C6C">
        <w:rPr>
          <w:rFonts w:ascii="Times New Roman" w:hAnsi="Times New Roman"/>
          <w:sz w:val="28"/>
          <w:szCs w:val="28"/>
          <w:lang w:val="en-US"/>
        </w:rPr>
        <w:t>A</w:t>
      </w:r>
      <w:r w:rsidR="00411C6C">
        <w:rPr>
          <w:rFonts w:ascii="Times New Roman" w:hAnsi="Times New Roman"/>
          <w:sz w:val="28"/>
          <w:szCs w:val="28"/>
        </w:rPr>
        <w:t xml:space="preserve"> стоит делать обоснованные, объективные и реалистичные прогнозы. При этом необходимо здраво и четко определять источники синергетического эффекта. В-третьих, необходим промежуточный шаг, в виде применения нефинансовых инструментов анализа</w:t>
      </w:r>
      <w:r w:rsidR="007600E0">
        <w:rPr>
          <w:rFonts w:ascii="Times New Roman" w:hAnsi="Times New Roman"/>
          <w:sz w:val="28"/>
          <w:szCs w:val="28"/>
        </w:rPr>
        <w:t>.</w:t>
      </w:r>
    </w:p>
    <w:p w:rsidR="00964201" w:rsidRDefault="002F0AA2" w:rsidP="002F0AA2">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w:t>
      </w:r>
      <w:r w:rsidR="00D70000">
        <w:rPr>
          <w:rFonts w:ascii="Times New Roman" w:hAnsi="Times New Roman"/>
          <w:sz w:val="28"/>
          <w:szCs w:val="28"/>
        </w:rPr>
        <w:t>с вышеизложенным материалом</w:t>
      </w:r>
      <w:r>
        <w:rPr>
          <w:rFonts w:ascii="Times New Roman" w:hAnsi="Times New Roman"/>
          <w:sz w:val="28"/>
          <w:szCs w:val="28"/>
        </w:rPr>
        <w:t xml:space="preserve"> расчеты в третьей главе</w:t>
      </w:r>
      <w:r w:rsidR="007600E0">
        <w:rPr>
          <w:rFonts w:ascii="Times New Roman" w:hAnsi="Times New Roman"/>
          <w:sz w:val="28"/>
          <w:szCs w:val="28"/>
        </w:rPr>
        <w:t xml:space="preserve"> будут произведены</w:t>
      </w:r>
      <w:r>
        <w:rPr>
          <w:rFonts w:ascii="Times New Roman" w:hAnsi="Times New Roman"/>
          <w:sz w:val="28"/>
          <w:szCs w:val="28"/>
        </w:rPr>
        <w:t xml:space="preserve"> по методу </w:t>
      </w:r>
      <w:r>
        <w:rPr>
          <w:rFonts w:ascii="Times New Roman" w:hAnsi="Times New Roman"/>
          <w:sz w:val="28"/>
          <w:szCs w:val="28"/>
          <w:lang w:val="en-US"/>
        </w:rPr>
        <w:t>DCF</w:t>
      </w:r>
      <w:r>
        <w:rPr>
          <w:rFonts w:ascii="Times New Roman" w:hAnsi="Times New Roman"/>
          <w:sz w:val="28"/>
          <w:szCs w:val="28"/>
        </w:rPr>
        <w:t xml:space="preserve">. </w:t>
      </w:r>
    </w:p>
    <w:p w:rsidR="00BB1853" w:rsidRDefault="00BB1853" w:rsidP="002F0AA2">
      <w:pPr>
        <w:tabs>
          <w:tab w:val="left" w:pos="3119"/>
        </w:tabs>
        <w:spacing w:after="0" w:line="360" w:lineRule="auto"/>
        <w:ind w:firstLine="709"/>
        <w:jc w:val="both"/>
        <w:rPr>
          <w:rFonts w:ascii="Times New Roman" w:hAnsi="Times New Roman"/>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F30A00" w:rsidRDefault="00F30A00" w:rsidP="00227ECE">
      <w:pPr>
        <w:spacing w:line="360" w:lineRule="auto"/>
        <w:rPr>
          <w:rFonts w:ascii="Times New Roman" w:hAnsi="Times New Roman"/>
          <w:b/>
          <w:sz w:val="28"/>
          <w:szCs w:val="28"/>
        </w:rPr>
      </w:pPr>
    </w:p>
    <w:p w:rsidR="00227ECE" w:rsidRDefault="00227ECE" w:rsidP="00227ECE">
      <w:pPr>
        <w:spacing w:line="360" w:lineRule="auto"/>
        <w:rPr>
          <w:rFonts w:ascii="Times New Roman" w:hAnsi="Times New Roman"/>
          <w:b/>
          <w:sz w:val="28"/>
          <w:szCs w:val="28"/>
        </w:rPr>
      </w:pPr>
    </w:p>
    <w:p w:rsidR="00F30A00" w:rsidRDefault="00F30A00" w:rsidP="002A2DE3">
      <w:pPr>
        <w:spacing w:line="360" w:lineRule="auto"/>
        <w:jc w:val="center"/>
        <w:rPr>
          <w:rFonts w:ascii="Times New Roman" w:hAnsi="Times New Roman"/>
          <w:b/>
          <w:sz w:val="28"/>
          <w:szCs w:val="28"/>
        </w:rPr>
      </w:pPr>
    </w:p>
    <w:p w:rsidR="002A2DE3" w:rsidRPr="000601CA" w:rsidRDefault="002A2DE3" w:rsidP="002A2DE3">
      <w:pPr>
        <w:spacing w:line="360" w:lineRule="auto"/>
        <w:jc w:val="center"/>
        <w:rPr>
          <w:rFonts w:ascii="Times New Roman" w:hAnsi="Times New Roman"/>
          <w:b/>
          <w:sz w:val="28"/>
          <w:szCs w:val="28"/>
        </w:rPr>
      </w:pPr>
      <w:r>
        <w:rPr>
          <w:rFonts w:ascii="Times New Roman" w:hAnsi="Times New Roman"/>
          <w:b/>
          <w:sz w:val="28"/>
          <w:szCs w:val="28"/>
        </w:rPr>
        <w:lastRenderedPageBreak/>
        <w:t>Г</w:t>
      </w:r>
      <w:r w:rsidR="00A63A09">
        <w:rPr>
          <w:rFonts w:ascii="Times New Roman" w:hAnsi="Times New Roman"/>
          <w:b/>
          <w:sz w:val="28"/>
          <w:szCs w:val="28"/>
        </w:rPr>
        <w:t>лава 3 Оценка стоимости компании</w:t>
      </w:r>
      <w:r>
        <w:rPr>
          <w:rFonts w:ascii="Times New Roman" w:hAnsi="Times New Roman"/>
          <w:b/>
          <w:sz w:val="28"/>
          <w:szCs w:val="28"/>
        </w:rPr>
        <w:t xml:space="preserve"> в целях </w:t>
      </w:r>
      <w:r>
        <w:rPr>
          <w:rFonts w:ascii="Times New Roman" w:hAnsi="Times New Roman"/>
          <w:b/>
          <w:sz w:val="28"/>
          <w:szCs w:val="28"/>
          <w:lang w:val="en-US"/>
        </w:rPr>
        <w:t>M</w:t>
      </w:r>
      <w:r w:rsidRPr="000601CA">
        <w:rPr>
          <w:rFonts w:ascii="Times New Roman" w:hAnsi="Times New Roman"/>
          <w:b/>
          <w:sz w:val="28"/>
          <w:szCs w:val="28"/>
        </w:rPr>
        <w:t>&amp;</w:t>
      </w:r>
      <w:proofErr w:type="gramStart"/>
      <w:r>
        <w:rPr>
          <w:rFonts w:ascii="Times New Roman" w:hAnsi="Times New Roman"/>
          <w:b/>
          <w:sz w:val="28"/>
          <w:szCs w:val="28"/>
          <w:lang w:val="en-US"/>
        </w:rPr>
        <w:t>A</w:t>
      </w:r>
      <w:proofErr w:type="gramEnd"/>
      <w:r>
        <w:rPr>
          <w:rFonts w:ascii="Times New Roman" w:hAnsi="Times New Roman"/>
          <w:b/>
          <w:sz w:val="28"/>
          <w:szCs w:val="28"/>
        </w:rPr>
        <w:t>на примере КФ им. Крупской и ОАО КО «</w:t>
      </w:r>
      <w:proofErr w:type="spellStart"/>
      <w:r>
        <w:rPr>
          <w:rFonts w:ascii="Times New Roman" w:hAnsi="Times New Roman"/>
          <w:b/>
          <w:sz w:val="28"/>
          <w:szCs w:val="28"/>
        </w:rPr>
        <w:t>СладКо</w:t>
      </w:r>
      <w:proofErr w:type="spellEnd"/>
      <w:r>
        <w:rPr>
          <w:rFonts w:ascii="Times New Roman" w:hAnsi="Times New Roman"/>
          <w:b/>
          <w:sz w:val="28"/>
          <w:szCs w:val="28"/>
        </w:rPr>
        <w:t>»</w:t>
      </w:r>
    </w:p>
    <w:p w:rsidR="002A2DE3" w:rsidRPr="000601CA" w:rsidRDefault="002A2DE3" w:rsidP="002A2DE3">
      <w:pPr>
        <w:pStyle w:val="af"/>
        <w:numPr>
          <w:ilvl w:val="1"/>
          <w:numId w:val="12"/>
        </w:numPr>
        <w:spacing w:line="360" w:lineRule="auto"/>
        <w:jc w:val="center"/>
        <w:rPr>
          <w:rFonts w:ascii="Times New Roman" w:hAnsi="Times New Roman"/>
          <w:b/>
          <w:sz w:val="28"/>
          <w:szCs w:val="28"/>
        </w:rPr>
      </w:pPr>
      <w:r>
        <w:rPr>
          <w:rFonts w:ascii="Times New Roman" w:hAnsi="Times New Roman"/>
          <w:b/>
          <w:sz w:val="28"/>
          <w:szCs w:val="28"/>
        </w:rPr>
        <w:t>Общая характеристика компаний</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Сделка слияния и поглощения, которая послужила основой для практической части выпускной квалификационной работы завершена в феврале 2011 года. Произошло присоединение ОАО «Кондитерское объединение «</w:t>
      </w:r>
      <w:proofErr w:type="spellStart"/>
      <w:r>
        <w:rPr>
          <w:rFonts w:ascii="Times New Roman" w:hAnsi="Times New Roman"/>
          <w:sz w:val="28"/>
          <w:szCs w:val="28"/>
        </w:rPr>
        <w:t>СладКо</w:t>
      </w:r>
      <w:proofErr w:type="spellEnd"/>
      <w:r>
        <w:rPr>
          <w:rFonts w:ascii="Times New Roman" w:hAnsi="Times New Roman"/>
          <w:sz w:val="28"/>
          <w:szCs w:val="28"/>
        </w:rPr>
        <w:t>»» к известной всем петербуржцам Кондитерской фабрике им. Крупской. Последняя была переименована и теперь осуществляет свою деятельность под название «</w:t>
      </w:r>
      <w:proofErr w:type="spellStart"/>
      <w:r>
        <w:rPr>
          <w:rFonts w:ascii="Times New Roman" w:hAnsi="Times New Roman"/>
          <w:sz w:val="28"/>
          <w:szCs w:val="28"/>
        </w:rPr>
        <w:t>ОрклаБрэндс</w:t>
      </w:r>
      <w:proofErr w:type="spellEnd"/>
      <w:r>
        <w:rPr>
          <w:rFonts w:ascii="Times New Roman" w:hAnsi="Times New Roman"/>
          <w:sz w:val="28"/>
          <w:szCs w:val="28"/>
        </w:rPr>
        <w:t xml:space="preserve"> Россия». Прежде чем рассматривать детали сделки и приступать к оценке стоимости присоединяемого бизнеса и синергии от сделки следует дать краткую характеристику каждой из компаний, участвующих в слиянии. </w:t>
      </w:r>
    </w:p>
    <w:p w:rsidR="002A2DE3" w:rsidRDefault="002A2DE3" w:rsidP="00964201">
      <w:pPr>
        <w:spacing w:after="0" w:line="360" w:lineRule="auto"/>
        <w:ind w:firstLine="709"/>
        <w:jc w:val="both"/>
        <w:rPr>
          <w:rFonts w:ascii="Times New Roman" w:hAnsi="Times New Roman"/>
          <w:sz w:val="28"/>
          <w:szCs w:val="28"/>
        </w:rPr>
      </w:pPr>
      <w:r w:rsidRPr="008F27B0">
        <w:rPr>
          <w:rFonts w:ascii="Times New Roman" w:hAnsi="Times New Roman"/>
          <w:sz w:val="28"/>
          <w:szCs w:val="28"/>
        </w:rPr>
        <w:t>ОАО «Кондитерское</w:t>
      </w:r>
      <w:r>
        <w:rPr>
          <w:rFonts w:ascii="Times New Roman" w:hAnsi="Times New Roman"/>
          <w:sz w:val="28"/>
          <w:szCs w:val="28"/>
        </w:rPr>
        <w:t xml:space="preserve"> объединение «</w:t>
      </w:r>
      <w:proofErr w:type="spellStart"/>
      <w:r>
        <w:rPr>
          <w:rFonts w:ascii="Times New Roman" w:hAnsi="Times New Roman"/>
          <w:sz w:val="28"/>
          <w:szCs w:val="28"/>
        </w:rPr>
        <w:t>СладКо</w:t>
      </w:r>
      <w:proofErr w:type="spellEnd"/>
      <w:r>
        <w:rPr>
          <w:rFonts w:ascii="Times New Roman" w:hAnsi="Times New Roman"/>
          <w:sz w:val="28"/>
          <w:szCs w:val="28"/>
        </w:rPr>
        <w:t>» главным видом деятельности, которого является производство и оптовая продажа широкого ассортимента кондитерских изделий. Предприятие образовывалось</w:t>
      </w:r>
      <w:r w:rsidRPr="008F27B0">
        <w:rPr>
          <w:rFonts w:ascii="Times New Roman" w:hAnsi="Times New Roman"/>
          <w:sz w:val="28"/>
          <w:szCs w:val="28"/>
        </w:rPr>
        <w:t xml:space="preserve"> в 2</w:t>
      </w:r>
      <w:r>
        <w:rPr>
          <w:rFonts w:ascii="Times New Roman" w:hAnsi="Times New Roman"/>
          <w:sz w:val="28"/>
          <w:szCs w:val="28"/>
        </w:rPr>
        <w:t>001 году как закрытое акционерное общество с иностранным капиталом. В состав вошли фабрики: «</w:t>
      </w:r>
      <w:proofErr w:type="spellStart"/>
      <w:r>
        <w:rPr>
          <w:rFonts w:ascii="Times New Roman" w:hAnsi="Times New Roman"/>
          <w:sz w:val="28"/>
          <w:szCs w:val="28"/>
        </w:rPr>
        <w:t>Конфи</w:t>
      </w:r>
      <w:proofErr w:type="spellEnd"/>
      <w:r>
        <w:rPr>
          <w:rFonts w:ascii="Times New Roman" w:hAnsi="Times New Roman"/>
          <w:sz w:val="28"/>
          <w:szCs w:val="28"/>
        </w:rPr>
        <w:t>» (Екатеринбург), «</w:t>
      </w:r>
      <w:r w:rsidRPr="008F27B0">
        <w:rPr>
          <w:rFonts w:ascii="Times New Roman" w:hAnsi="Times New Roman"/>
          <w:sz w:val="28"/>
          <w:szCs w:val="28"/>
        </w:rPr>
        <w:t>Волжанка</w:t>
      </w:r>
      <w:r>
        <w:rPr>
          <w:rFonts w:ascii="Times New Roman" w:hAnsi="Times New Roman"/>
          <w:sz w:val="28"/>
          <w:szCs w:val="28"/>
        </w:rPr>
        <w:t>» (Ульяновск) и «Заря»</w:t>
      </w:r>
      <w:r w:rsidRPr="008F27B0">
        <w:rPr>
          <w:rFonts w:ascii="Times New Roman" w:hAnsi="Times New Roman"/>
          <w:sz w:val="28"/>
          <w:szCs w:val="28"/>
        </w:rPr>
        <w:t xml:space="preserve"> (Казань)</w:t>
      </w:r>
      <w:r>
        <w:rPr>
          <w:rFonts w:ascii="Times New Roman" w:hAnsi="Times New Roman"/>
          <w:sz w:val="28"/>
          <w:szCs w:val="28"/>
        </w:rPr>
        <w:t xml:space="preserve">. Учредителями нового предприятия </w:t>
      </w:r>
      <w:r w:rsidRPr="008F27B0">
        <w:rPr>
          <w:rFonts w:ascii="Times New Roman" w:hAnsi="Times New Roman"/>
          <w:sz w:val="28"/>
          <w:szCs w:val="28"/>
        </w:rPr>
        <w:t xml:space="preserve">выступили голландская компания </w:t>
      </w:r>
      <w:proofErr w:type="spellStart"/>
      <w:r w:rsidRPr="008F27B0">
        <w:rPr>
          <w:rFonts w:ascii="Times New Roman" w:hAnsi="Times New Roman"/>
          <w:sz w:val="28"/>
          <w:szCs w:val="28"/>
        </w:rPr>
        <w:t>UnitedConfectioneriesbv</w:t>
      </w:r>
      <w:proofErr w:type="spellEnd"/>
      <w:r w:rsidRPr="008F27B0">
        <w:rPr>
          <w:rFonts w:ascii="Times New Roman" w:hAnsi="Times New Roman"/>
          <w:sz w:val="28"/>
          <w:szCs w:val="28"/>
        </w:rPr>
        <w:t xml:space="preserve"> и Екатеринбур</w:t>
      </w:r>
      <w:r>
        <w:rPr>
          <w:rFonts w:ascii="Times New Roman" w:hAnsi="Times New Roman"/>
          <w:sz w:val="28"/>
          <w:szCs w:val="28"/>
        </w:rPr>
        <w:t>гская кондитерская фабрика ОАО «Фирма КОНФИ»</w:t>
      </w:r>
      <w:r w:rsidRPr="008F27B0">
        <w:rPr>
          <w:rFonts w:ascii="Times New Roman" w:hAnsi="Times New Roman"/>
          <w:sz w:val="28"/>
          <w:szCs w:val="28"/>
        </w:rPr>
        <w:t xml:space="preserve">. </w:t>
      </w:r>
      <w:r>
        <w:rPr>
          <w:rFonts w:ascii="Times New Roman" w:hAnsi="Times New Roman"/>
          <w:sz w:val="28"/>
          <w:szCs w:val="28"/>
        </w:rPr>
        <w:t xml:space="preserve">Позже по неизвестным причинам </w:t>
      </w:r>
      <w:r w:rsidRPr="008F27B0">
        <w:rPr>
          <w:rFonts w:ascii="Times New Roman" w:hAnsi="Times New Roman"/>
          <w:sz w:val="28"/>
          <w:szCs w:val="28"/>
        </w:rPr>
        <w:t>«</w:t>
      </w:r>
      <w:proofErr w:type="spellStart"/>
      <w:r w:rsidRPr="008F27B0">
        <w:rPr>
          <w:rFonts w:ascii="Times New Roman" w:hAnsi="Times New Roman"/>
          <w:sz w:val="28"/>
          <w:szCs w:val="28"/>
        </w:rPr>
        <w:t>СладКо</w:t>
      </w:r>
      <w:proofErr w:type="spellEnd"/>
      <w:r w:rsidRPr="008F27B0">
        <w:rPr>
          <w:rFonts w:ascii="Times New Roman" w:hAnsi="Times New Roman"/>
          <w:sz w:val="28"/>
          <w:szCs w:val="28"/>
        </w:rPr>
        <w:t>» продало свою производственную площадку в Казани.</w:t>
      </w:r>
    </w:p>
    <w:p w:rsidR="002A2DE3" w:rsidRPr="008F27B0" w:rsidRDefault="002A2DE3" w:rsidP="00964201">
      <w:pPr>
        <w:spacing w:after="0" w:line="360" w:lineRule="auto"/>
        <w:ind w:firstLine="709"/>
        <w:jc w:val="both"/>
        <w:rPr>
          <w:rFonts w:ascii="Times New Roman" w:hAnsi="Times New Roman"/>
          <w:sz w:val="28"/>
          <w:szCs w:val="28"/>
        </w:rPr>
      </w:pPr>
      <w:r w:rsidRPr="008F27B0">
        <w:rPr>
          <w:rFonts w:ascii="Times New Roman" w:hAnsi="Times New Roman"/>
          <w:sz w:val="28"/>
          <w:szCs w:val="28"/>
        </w:rPr>
        <w:t>Целью создания объединения был вывод на кондитерский рынок нового пр</w:t>
      </w:r>
      <w:r>
        <w:rPr>
          <w:rFonts w:ascii="Times New Roman" w:hAnsi="Times New Roman"/>
          <w:sz w:val="28"/>
          <w:szCs w:val="28"/>
        </w:rPr>
        <w:t>оизводителя сладостей</w:t>
      </w:r>
      <w:r w:rsidRPr="008F27B0">
        <w:rPr>
          <w:rFonts w:ascii="Times New Roman" w:hAnsi="Times New Roman"/>
          <w:sz w:val="28"/>
          <w:szCs w:val="28"/>
        </w:rPr>
        <w:t>, способного объединить производственную мощность, экономический и управленческий потенциал фабрик — производителей кондитерских изд</w:t>
      </w:r>
      <w:r>
        <w:rPr>
          <w:rFonts w:ascii="Times New Roman" w:hAnsi="Times New Roman"/>
          <w:sz w:val="28"/>
          <w:szCs w:val="28"/>
        </w:rPr>
        <w:t>елий под новым товарным знаком «</w:t>
      </w:r>
      <w:proofErr w:type="spellStart"/>
      <w:r>
        <w:rPr>
          <w:rFonts w:ascii="Times New Roman" w:hAnsi="Times New Roman"/>
          <w:sz w:val="28"/>
          <w:szCs w:val="28"/>
        </w:rPr>
        <w:t>Слад</w:t>
      </w:r>
      <w:proofErr w:type="gramStart"/>
      <w:r>
        <w:rPr>
          <w:rFonts w:ascii="Times New Roman" w:hAnsi="Times New Roman"/>
          <w:sz w:val="28"/>
          <w:szCs w:val="28"/>
        </w:rPr>
        <w:t>&amp;К</w:t>
      </w:r>
      <w:proofErr w:type="gramEnd"/>
      <w:r>
        <w:rPr>
          <w:rFonts w:ascii="Times New Roman" w:hAnsi="Times New Roman"/>
          <w:sz w:val="28"/>
          <w:szCs w:val="28"/>
        </w:rPr>
        <w:t>о</w:t>
      </w:r>
      <w:proofErr w:type="spellEnd"/>
      <w:r>
        <w:rPr>
          <w:rFonts w:ascii="Times New Roman" w:hAnsi="Times New Roman"/>
          <w:sz w:val="28"/>
          <w:szCs w:val="28"/>
        </w:rPr>
        <w:t>»</w:t>
      </w:r>
      <w:r w:rsidRPr="008F27B0">
        <w:rPr>
          <w:rFonts w:ascii="Times New Roman" w:hAnsi="Times New Roman"/>
          <w:sz w:val="28"/>
          <w:szCs w:val="28"/>
        </w:rPr>
        <w:t xml:space="preserve">. </w:t>
      </w:r>
    </w:p>
    <w:p w:rsidR="002A2DE3" w:rsidRPr="008F27B0"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Предприятие стремилось</w:t>
      </w:r>
      <w:r w:rsidRPr="008F27B0">
        <w:rPr>
          <w:rFonts w:ascii="Times New Roman" w:hAnsi="Times New Roman"/>
          <w:sz w:val="28"/>
          <w:szCs w:val="28"/>
        </w:rPr>
        <w:t xml:space="preserve"> стать ведущим производителем и поставщиком кондитерских изделий на товарные рынки Российской </w:t>
      </w:r>
      <w:r w:rsidRPr="008F27B0">
        <w:rPr>
          <w:rFonts w:ascii="Times New Roman" w:hAnsi="Times New Roman"/>
          <w:sz w:val="28"/>
          <w:szCs w:val="28"/>
        </w:rPr>
        <w:lastRenderedPageBreak/>
        <w:t>Федерации путем повышения качества производимой фабрик</w:t>
      </w:r>
      <w:r>
        <w:rPr>
          <w:rFonts w:ascii="Times New Roman" w:hAnsi="Times New Roman"/>
          <w:sz w:val="28"/>
          <w:szCs w:val="28"/>
        </w:rPr>
        <w:t>ами продукции, диверсификации</w:t>
      </w:r>
      <w:r w:rsidRPr="008F27B0">
        <w:rPr>
          <w:rFonts w:ascii="Times New Roman" w:hAnsi="Times New Roman"/>
          <w:sz w:val="28"/>
          <w:szCs w:val="28"/>
        </w:rPr>
        <w:t xml:space="preserve"> ассортимента, создания качественно новых видов продуктов и единой </w:t>
      </w:r>
      <w:proofErr w:type="spellStart"/>
      <w:r w:rsidRPr="008F27B0">
        <w:rPr>
          <w:rFonts w:ascii="Times New Roman" w:hAnsi="Times New Roman"/>
          <w:sz w:val="28"/>
          <w:szCs w:val="28"/>
        </w:rPr>
        <w:t>дистрибуционной</w:t>
      </w:r>
      <w:proofErr w:type="spellEnd"/>
      <w:r w:rsidRPr="008F27B0">
        <w:rPr>
          <w:rFonts w:ascii="Times New Roman" w:hAnsi="Times New Roman"/>
          <w:sz w:val="28"/>
          <w:szCs w:val="28"/>
        </w:rPr>
        <w:t xml:space="preserve"> сети для реализации</w:t>
      </w:r>
      <w:r>
        <w:rPr>
          <w:rFonts w:ascii="Times New Roman" w:hAnsi="Times New Roman"/>
          <w:sz w:val="28"/>
          <w:szCs w:val="28"/>
        </w:rPr>
        <w:t xml:space="preserve"> своей</w:t>
      </w:r>
      <w:r w:rsidRPr="008F27B0">
        <w:rPr>
          <w:rFonts w:ascii="Times New Roman" w:hAnsi="Times New Roman"/>
          <w:sz w:val="28"/>
          <w:szCs w:val="28"/>
        </w:rPr>
        <w:t xml:space="preserve"> продукции.</w:t>
      </w:r>
      <w:r>
        <w:rPr>
          <w:rFonts w:ascii="Times New Roman" w:hAnsi="Times New Roman"/>
          <w:sz w:val="28"/>
          <w:szCs w:val="28"/>
        </w:rPr>
        <w:t xml:space="preserve"> Цели были достигнуты. По данным на 2004 год компания являлась од</w:t>
      </w:r>
      <w:r w:rsidRPr="008F27B0">
        <w:rPr>
          <w:rFonts w:ascii="Times New Roman" w:hAnsi="Times New Roman"/>
          <w:sz w:val="28"/>
          <w:szCs w:val="28"/>
        </w:rPr>
        <w:t>н</w:t>
      </w:r>
      <w:r>
        <w:rPr>
          <w:rFonts w:ascii="Times New Roman" w:hAnsi="Times New Roman"/>
          <w:sz w:val="28"/>
          <w:szCs w:val="28"/>
        </w:rPr>
        <w:t>им</w:t>
      </w:r>
      <w:r w:rsidRPr="008F27B0">
        <w:rPr>
          <w:rFonts w:ascii="Times New Roman" w:hAnsi="Times New Roman"/>
          <w:sz w:val="28"/>
          <w:szCs w:val="28"/>
        </w:rPr>
        <w:t xml:space="preserve"> из крупнейших производителей кондитерских изделий в России</w:t>
      </w:r>
      <w:r w:rsidR="003F3697">
        <w:rPr>
          <w:rFonts w:ascii="Times New Roman" w:hAnsi="Times New Roman"/>
          <w:sz w:val="28"/>
          <w:szCs w:val="28"/>
        </w:rPr>
        <w:t xml:space="preserve"> со средней выручкой </w:t>
      </w:r>
      <w:r w:rsidR="00BB02BA">
        <w:rPr>
          <w:rFonts w:ascii="Times New Roman" w:hAnsi="Times New Roman"/>
          <w:sz w:val="28"/>
          <w:szCs w:val="28"/>
        </w:rPr>
        <w:t>4 млрд. руб.</w:t>
      </w:r>
      <w:r>
        <w:rPr>
          <w:rFonts w:ascii="Times New Roman" w:hAnsi="Times New Roman"/>
          <w:sz w:val="28"/>
          <w:szCs w:val="28"/>
        </w:rPr>
        <w:t xml:space="preserve"> и </w:t>
      </w:r>
      <w:r w:rsidRPr="002540B4">
        <w:rPr>
          <w:rFonts w:ascii="Times New Roman" w:hAnsi="Times New Roman"/>
          <w:sz w:val="28"/>
          <w:szCs w:val="28"/>
        </w:rPr>
        <w:t>наладила устойчивые хозяйственные связи с дистрибьюторами кондитерской продукции практически на всей территории России, в том числе на новых (для ф</w:t>
      </w:r>
      <w:r>
        <w:rPr>
          <w:rFonts w:ascii="Times New Roman" w:hAnsi="Times New Roman"/>
          <w:sz w:val="28"/>
          <w:szCs w:val="28"/>
        </w:rPr>
        <w:t xml:space="preserve">абрик, послуживших основой </w:t>
      </w:r>
      <w:proofErr w:type="gramStart"/>
      <w:r>
        <w:rPr>
          <w:rFonts w:ascii="Times New Roman" w:hAnsi="Times New Roman"/>
          <w:sz w:val="28"/>
          <w:szCs w:val="28"/>
        </w:rPr>
        <w:t>для</w:t>
      </w:r>
      <w:proofErr w:type="gramEnd"/>
      <w:r>
        <w:rPr>
          <w:rFonts w:ascii="Times New Roman" w:hAnsi="Times New Roman"/>
          <w:sz w:val="28"/>
          <w:szCs w:val="28"/>
        </w:rPr>
        <w:t xml:space="preserve"> КО «</w:t>
      </w:r>
      <w:proofErr w:type="spellStart"/>
      <w:r>
        <w:rPr>
          <w:rFonts w:ascii="Times New Roman" w:hAnsi="Times New Roman"/>
          <w:sz w:val="28"/>
          <w:szCs w:val="28"/>
        </w:rPr>
        <w:t>СладКо</w:t>
      </w:r>
      <w:proofErr w:type="spellEnd"/>
      <w:r>
        <w:rPr>
          <w:rFonts w:ascii="Times New Roman" w:hAnsi="Times New Roman"/>
          <w:sz w:val="28"/>
          <w:szCs w:val="28"/>
        </w:rPr>
        <w:t>»</w:t>
      </w:r>
      <w:r w:rsidRPr="002540B4">
        <w:rPr>
          <w:rFonts w:ascii="Times New Roman" w:hAnsi="Times New Roman"/>
          <w:sz w:val="28"/>
          <w:szCs w:val="28"/>
        </w:rPr>
        <w:t xml:space="preserve">) рынках. </w:t>
      </w:r>
    </w:p>
    <w:p w:rsidR="002A2DE3" w:rsidRDefault="002A2DE3" w:rsidP="00964201">
      <w:pPr>
        <w:spacing w:after="0" w:line="360" w:lineRule="auto"/>
        <w:ind w:firstLine="709"/>
        <w:jc w:val="both"/>
        <w:rPr>
          <w:rFonts w:ascii="Times New Roman" w:hAnsi="Times New Roman"/>
          <w:sz w:val="28"/>
          <w:szCs w:val="28"/>
        </w:rPr>
      </w:pPr>
      <w:r w:rsidRPr="002540B4">
        <w:rPr>
          <w:rFonts w:ascii="Times New Roman" w:hAnsi="Times New Roman"/>
          <w:sz w:val="28"/>
          <w:szCs w:val="28"/>
        </w:rPr>
        <w:t>В феврале 2005 года ОАО «Кондитерское объединение «</w:t>
      </w:r>
      <w:proofErr w:type="spellStart"/>
      <w:r w:rsidRPr="002540B4">
        <w:rPr>
          <w:rFonts w:ascii="Times New Roman" w:hAnsi="Times New Roman"/>
          <w:sz w:val="28"/>
          <w:szCs w:val="28"/>
        </w:rPr>
        <w:t>СладКо</w:t>
      </w:r>
      <w:proofErr w:type="spellEnd"/>
      <w:r w:rsidRPr="002540B4">
        <w:rPr>
          <w:rFonts w:ascii="Times New Roman" w:hAnsi="Times New Roman"/>
          <w:sz w:val="28"/>
          <w:szCs w:val="28"/>
        </w:rPr>
        <w:t xml:space="preserve">» и ОАО «Кондитерская фабрика «Волжанка» </w:t>
      </w:r>
      <w:r>
        <w:rPr>
          <w:rFonts w:ascii="Times New Roman" w:hAnsi="Times New Roman"/>
          <w:sz w:val="28"/>
          <w:szCs w:val="28"/>
        </w:rPr>
        <w:t xml:space="preserve"> были приобретены норвежским</w:t>
      </w:r>
      <w:r w:rsidRPr="002540B4">
        <w:rPr>
          <w:rFonts w:ascii="Times New Roman" w:hAnsi="Times New Roman"/>
          <w:sz w:val="28"/>
          <w:szCs w:val="28"/>
        </w:rPr>
        <w:t xml:space="preserve"> концерн</w:t>
      </w:r>
      <w:r>
        <w:rPr>
          <w:rFonts w:ascii="Times New Roman" w:hAnsi="Times New Roman"/>
          <w:sz w:val="28"/>
          <w:szCs w:val="28"/>
        </w:rPr>
        <w:t>ом</w:t>
      </w:r>
      <w:r w:rsidRPr="002540B4">
        <w:rPr>
          <w:rFonts w:ascii="Times New Roman" w:hAnsi="Times New Roman"/>
          <w:sz w:val="28"/>
          <w:szCs w:val="28"/>
        </w:rPr>
        <w:t xml:space="preserve"> «</w:t>
      </w:r>
      <w:proofErr w:type="spellStart"/>
      <w:r w:rsidRPr="002540B4">
        <w:rPr>
          <w:rFonts w:ascii="Times New Roman" w:hAnsi="Times New Roman"/>
          <w:sz w:val="28"/>
          <w:szCs w:val="28"/>
        </w:rPr>
        <w:t>Оркла</w:t>
      </w:r>
      <w:proofErr w:type="spellEnd"/>
      <w:r w:rsidRPr="002540B4">
        <w:rPr>
          <w:rFonts w:ascii="Times New Roman" w:hAnsi="Times New Roman"/>
          <w:sz w:val="28"/>
          <w:szCs w:val="28"/>
        </w:rPr>
        <w:t>» (</w:t>
      </w:r>
      <w:proofErr w:type="spellStart"/>
      <w:r w:rsidRPr="002540B4">
        <w:rPr>
          <w:rFonts w:ascii="Times New Roman" w:hAnsi="Times New Roman"/>
          <w:sz w:val="28"/>
          <w:szCs w:val="28"/>
        </w:rPr>
        <w:t>Orkla</w:t>
      </w:r>
      <w:proofErr w:type="spellEnd"/>
      <w:r w:rsidRPr="002540B4">
        <w:rPr>
          <w:rFonts w:ascii="Times New Roman" w:hAnsi="Times New Roman"/>
          <w:sz w:val="28"/>
          <w:szCs w:val="28"/>
        </w:rPr>
        <w:t xml:space="preserve"> ASA).</w:t>
      </w:r>
    </w:p>
    <w:p w:rsidR="002A2DE3" w:rsidRPr="00121394" w:rsidRDefault="002A2DE3" w:rsidP="00964201">
      <w:pPr>
        <w:spacing w:after="0" w:line="360" w:lineRule="auto"/>
        <w:ind w:firstLine="709"/>
        <w:jc w:val="both"/>
        <w:rPr>
          <w:rFonts w:ascii="Times New Roman" w:hAnsi="Times New Roman"/>
          <w:sz w:val="28"/>
          <w:szCs w:val="28"/>
        </w:rPr>
      </w:pPr>
      <w:r w:rsidRPr="00121394">
        <w:rPr>
          <w:rFonts w:ascii="Times New Roman" w:hAnsi="Times New Roman"/>
          <w:sz w:val="28"/>
          <w:szCs w:val="28"/>
        </w:rPr>
        <w:t>Кондитерская фабрика имени Н.К. Крупской</w:t>
      </w:r>
      <w:r>
        <w:rPr>
          <w:rFonts w:ascii="Times New Roman" w:hAnsi="Times New Roman"/>
          <w:sz w:val="28"/>
          <w:szCs w:val="28"/>
        </w:rPr>
        <w:t xml:space="preserve"> характеризуется более длительной историей развития. Фабрика</w:t>
      </w:r>
      <w:r w:rsidRPr="00121394">
        <w:rPr>
          <w:rFonts w:ascii="Times New Roman" w:hAnsi="Times New Roman"/>
          <w:sz w:val="28"/>
          <w:szCs w:val="28"/>
        </w:rPr>
        <w:t xml:space="preserve"> была основана в 1938 году. С момента своего создания она специализируется на выпуске высококачественных шоколадных изделий, которые</w:t>
      </w:r>
      <w:r>
        <w:rPr>
          <w:rFonts w:ascii="Times New Roman" w:hAnsi="Times New Roman"/>
          <w:sz w:val="28"/>
          <w:szCs w:val="28"/>
        </w:rPr>
        <w:t xml:space="preserve"> ранее распространялись лишь на территории Петербурга. </w:t>
      </w:r>
      <w:r w:rsidRPr="00121394">
        <w:rPr>
          <w:rFonts w:ascii="Times New Roman" w:hAnsi="Times New Roman"/>
          <w:sz w:val="28"/>
          <w:szCs w:val="28"/>
        </w:rPr>
        <w:t xml:space="preserve">В 1988 году фабрика перешла на самофинансирование и самоуправление. </w:t>
      </w:r>
      <w:r>
        <w:rPr>
          <w:rFonts w:ascii="Times New Roman" w:hAnsi="Times New Roman"/>
          <w:sz w:val="28"/>
          <w:szCs w:val="28"/>
        </w:rPr>
        <w:t>Затем в</w:t>
      </w:r>
      <w:r w:rsidRPr="00121394">
        <w:rPr>
          <w:rFonts w:ascii="Times New Roman" w:hAnsi="Times New Roman"/>
          <w:sz w:val="28"/>
          <w:szCs w:val="28"/>
        </w:rPr>
        <w:t xml:space="preserve"> 1992 году по решению коллектива фабрика стала акционерным обществом со 1</w:t>
      </w:r>
      <w:r>
        <w:rPr>
          <w:rFonts w:ascii="Times New Roman" w:hAnsi="Times New Roman"/>
          <w:sz w:val="28"/>
          <w:szCs w:val="28"/>
        </w:rPr>
        <w:t>00% российским капиталом. В 2006 году</w:t>
      </w:r>
      <w:r w:rsidR="00BB02BA">
        <w:rPr>
          <w:rFonts w:ascii="Times New Roman" w:hAnsi="Times New Roman"/>
          <w:sz w:val="28"/>
          <w:szCs w:val="28"/>
        </w:rPr>
        <w:t xml:space="preserve"> </w:t>
      </w:r>
      <w:r>
        <w:rPr>
          <w:rFonts w:ascii="Times New Roman" w:hAnsi="Times New Roman"/>
          <w:sz w:val="28"/>
          <w:szCs w:val="28"/>
        </w:rPr>
        <w:t xml:space="preserve">Крупскую </w:t>
      </w:r>
      <w:r w:rsidRPr="00121394">
        <w:rPr>
          <w:rFonts w:ascii="Times New Roman" w:hAnsi="Times New Roman"/>
          <w:sz w:val="28"/>
          <w:szCs w:val="28"/>
        </w:rPr>
        <w:t>приобрела норвежская ком</w:t>
      </w:r>
      <w:r>
        <w:rPr>
          <w:rFonts w:ascii="Times New Roman" w:hAnsi="Times New Roman"/>
          <w:sz w:val="28"/>
          <w:szCs w:val="28"/>
        </w:rPr>
        <w:t>пания «</w:t>
      </w:r>
      <w:proofErr w:type="spellStart"/>
      <w:r>
        <w:rPr>
          <w:rFonts w:ascii="Times New Roman" w:hAnsi="Times New Roman"/>
          <w:sz w:val="28"/>
          <w:szCs w:val="28"/>
        </w:rPr>
        <w:t>Orkla</w:t>
      </w:r>
      <w:proofErr w:type="spellEnd"/>
      <w:r>
        <w:rPr>
          <w:rFonts w:ascii="Times New Roman" w:hAnsi="Times New Roman"/>
          <w:sz w:val="28"/>
          <w:szCs w:val="28"/>
        </w:rPr>
        <w:t>».</w:t>
      </w:r>
    </w:p>
    <w:p w:rsidR="002A2DE3" w:rsidRDefault="002A2DE3" w:rsidP="00964201">
      <w:pPr>
        <w:spacing w:after="0" w:line="360" w:lineRule="auto"/>
        <w:ind w:firstLine="709"/>
        <w:jc w:val="both"/>
        <w:rPr>
          <w:rFonts w:ascii="Times New Roman" w:hAnsi="Times New Roman"/>
          <w:sz w:val="28"/>
          <w:szCs w:val="28"/>
        </w:rPr>
      </w:pPr>
      <w:r w:rsidRPr="00121394">
        <w:rPr>
          <w:rFonts w:ascii="Times New Roman" w:hAnsi="Times New Roman"/>
          <w:sz w:val="28"/>
          <w:szCs w:val="28"/>
        </w:rPr>
        <w:t xml:space="preserve">Фабрика представляет собой современный производственный комплекс мощностью более 20 тысяч тонн продукции в год. </w:t>
      </w:r>
      <w:r>
        <w:rPr>
          <w:rFonts w:ascii="Times New Roman" w:hAnsi="Times New Roman"/>
          <w:sz w:val="28"/>
          <w:szCs w:val="28"/>
        </w:rPr>
        <w:t xml:space="preserve">На предприятии используется как </w:t>
      </w:r>
      <w:r w:rsidRPr="00121394">
        <w:rPr>
          <w:rFonts w:ascii="Times New Roman" w:hAnsi="Times New Roman"/>
          <w:sz w:val="28"/>
          <w:szCs w:val="28"/>
        </w:rPr>
        <w:t>новое высокопро</w:t>
      </w:r>
      <w:r>
        <w:rPr>
          <w:rFonts w:ascii="Times New Roman" w:hAnsi="Times New Roman"/>
          <w:sz w:val="28"/>
          <w:szCs w:val="28"/>
        </w:rPr>
        <w:t xml:space="preserve">изводительное оборудование, так </w:t>
      </w:r>
      <w:r w:rsidRPr="00121394">
        <w:rPr>
          <w:rFonts w:ascii="Times New Roman" w:hAnsi="Times New Roman"/>
          <w:sz w:val="28"/>
          <w:szCs w:val="28"/>
        </w:rPr>
        <w:t>и традиционное ручное для изготовления элитных шоколадных изделий. Фабрика</w:t>
      </w:r>
      <w:r>
        <w:rPr>
          <w:rFonts w:ascii="Times New Roman" w:hAnsi="Times New Roman"/>
          <w:sz w:val="28"/>
          <w:szCs w:val="28"/>
        </w:rPr>
        <w:t xml:space="preserve"> славится широким ассортиментом и</w:t>
      </w:r>
      <w:r w:rsidRPr="00121394">
        <w:rPr>
          <w:rFonts w:ascii="Times New Roman" w:hAnsi="Times New Roman"/>
          <w:sz w:val="28"/>
          <w:szCs w:val="28"/>
        </w:rPr>
        <w:t xml:space="preserve"> выпускает шоколадные изделия всех сегментов </w:t>
      </w:r>
      <w:r>
        <w:rPr>
          <w:rFonts w:ascii="Times New Roman" w:hAnsi="Times New Roman"/>
          <w:sz w:val="28"/>
          <w:szCs w:val="28"/>
        </w:rPr>
        <w:t xml:space="preserve">кондитерского </w:t>
      </w:r>
      <w:r w:rsidRPr="00121394">
        <w:rPr>
          <w:rFonts w:ascii="Times New Roman" w:hAnsi="Times New Roman"/>
          <w:sz w:val="28"/>
          <w:szCs w:val="28"/>
        </w:rPr>
        <w:t>рынка: натурального шоколада в плитках  и батончиках, развесных шоколадных конфет,</w:t>
      </w:r>
      <w:r>
        <w:rPr>
          <w:rFonts w:ascii="Times New Roman" w:hAnsi="Times New Roman"/>
          <w:sz w:val="28"/>
          <w:szCs w:val="28"/>
        </w:rPr>
        <w:t xml:space="preserve"> а также</w:t>
      </w:r>
      <w:r w:rsidRPr="00121394">
        <w:rPr>
          <w:rFonts w:ascii="Times New Roman" w:hAnsi="Times New Roman"/>
          <w:sz w:val="28"/>
          <w:szCs w:val="28"/>
        </w:rPr>
        <w:t xml:space="preserve"> конфет в коробках.</w:t>
      </w:r>
      <w:r>
        <w:rPr>
          <w:rFonts w:ascii="Times New Roman" w:hAnsi="Times New Roman"/>
          <w:sz w:val="28"/>
          <w:szCs w:val="28"/>
        </w:rPr>
        <w:t xml:space="preserve"> «Фабрика им. Н.К. Крупской» - </w:t>
      </w:r>
      <w:r w:rsidRPr="00992EE3">
        <w:rPr>
          <w:rFonts w:ascii="Times New Roman" w:hAnsi="Times New Roman"/>
          <w:sz w:val="28"/>
          <w:szCs w:val="28"/>
        </w:rPr>
        <w:t>л</w:t>
      </w:r>
      <w:r>
        <w:rPr>
          <w:rFonts w:ascii="Times New Roman" w:hAnsi="Times New Roman"/>
          <w:sz w:val="28"/>
          <w:szCs w:val="28"/>
        </w:rPr>
        <w:t>идер кондитерского рынка Северо-</w:t>
      </w:r>
      <w:r w:rsidRPr="00992EE3">
        <w:rPr>
          <w:rFonts w:ascii="Times New Roman" w:hAnsi="Times New Roman"/>
          <w:sz w:val="28"/>
          <w:szCs w:val="28"/>
        </w:rPr>
        <w:t>Западного ре</w:t>
      </w:r>
      <w:r>
        <w:rPr>
          <w:rFonts w:ascii="Times New Roman" w:hAnsi="Times New Roman"/>
          <w:sz w:val="28"/>
          <w:szCs w:val="28"/>
        </w:rPr>
        <w:t>гиона</w:t>
      </w:r>
      <w:r w:rsidR="00BB02BA">
        <w:rPr>
          <w:rFonts w:ascii="Times New Roman" w:hAnsi="Times New Roman"/>
          <w:sz w:val="28"/>
          <w:szCs w:val="28"/>
        </w:rPr>
        <w:t xml:space="preserve"> с выручкой от продаж в </w:t>
      </w:r>
      <w:r w:rsidR="00BB02BA">
        <w:rPr>
          <w:rFonts w:ascii="Times New Roman" w:hAnsi="Times New Roman"/>
          <w:sz w:val="28"/>
          <w:szCs w:val="28"/>
        </w:rPr>
        <w:lastRenderedPageBreak/>
        <w:t>3,5 млрд. руб</w:t>
      </w:r>
      <w:r>
        <w:rPr>
          <w:rFonts w:ascii="Times New Roman" w:hAnsi="Times New Roman"/>
          <w:sz w:val="28"/>
          <w:szCs w:val="28"/>
        </w:rPr>
        <w:t xml:space="preserve">. К тому же шоколад Фабрики им. Н.К. Крупской, так сложилось исторически, является </w:t>
      </w:r>
      <w:r w:rsidRPr="00992EE3">
        <w:rPr>
          <w:rFonts w:ascii="Times New Roman" w:hAnsi="Times New Roman"/>
          <w:sz w:val="28"/>
          <w:szCs w:val="28"/>
        </w:rPr>
        <w:t>зн</w:t>
      </w:r>
      <w:r>
        <w:rPr>
          <w:rFonts w:ascii="Times New Roman" w:hAnsi="Times New Roman"/>
          <w:sz w:val="28"/>
          <w:szCs w:val="28"/>
        </w:rPr>
        <w:t>аменитым</w:t>
      </w:r>
      <w:r w:rsidRPr="00992EE3">
        <w:rPr>
          <w:rFonts w:ascii="Times New Roman" w:hAnsi="Times New Roman"/>
          <w:sz w:val="28"/>
          <w:szCs w:val="28"/>
        </w:rPr>
        <w:t xml:space="preserve"> бренд</w:t>
      </w:r>
      <w:r>
        <w:rPr>
          <w:rFonts w:ascii="Times New Roman" w:hAnsi="Times New Roman"/>
          <w:sz w:val="28"/>
          <w:szCs w:val="28"/>
        </w:rPr>
        <w:t>ом</w:t>
      </w:r>
      <w:r w:rsidRPr="00992EE3">
        <w:rPr>
          <w:rFonts w:ascii="Times New Roman" w:hAnsi="Times New Roman"/>
          <w:sz w:val="28"/>
          <w:szCs w:val="28"/>
        </w:rPr>
        <w:t xml:space="preserve"> Санкт-Петербурга.</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Итак, в 2011 году произошло объединение описанных выше компаний. Данное о</w:t>
      </w:r>
      <w:r w:rsidRPr="00A46382">
        <w:rPr>
          <w:rFonts w:ascii="Times New Roman" w:hAnsi="Times New Roman"/>
          <w:sz w:val="28"/>
          <w:szCs w:val="28"/>
        </w:rPr>
        <w:t>бъединение</w:t>
      </w:r>
      <w:r>
        <w:rPr>
          <w:rFonts w:ascii="Times New Roman" w:hAnsi="Times New Roman"/>
          <w:sz w:val="28"/>
          <w:szCs w:val="28"/>
        </w:rPr>
        <w:t xml:space="preserve"> было выгодно для обеих сторон, так как позволило совместить производственные и сбытовые усилия фабрик. Также помогло «</w:t>
      </w:r>
      <w:proofErr w:type="spellStart"/>
      <w:r>
        <w:rPr>
          <w:rFonts w:ascii="Times New Roman" w:hAnsi="Times New Roman"/>
          <w:sz w:val="28"/>
          <w:szCs w:val="28"/>
        </w:rPr>
        <w:t>СладК</w:t>
      </w:r>
      <w:r w:rsidRPr="00A46382">
        <w:rPr>
          <w:rFonts w:ascii="Times New Roman" w:hAnsi="Times New Roman"/>
          <w:sz w:val="28"/>
          <w:szCs w:val="28"/>
        </w:rPr>
        <w:t>о</w:t>
      </w:r>
      <w:proofErr w:type="spellEnd"/>
      <w:r>
        <w:rPr>
          <w:rFonts w:ascii="Times New Roman" w:hAnsi="Times New Roman"/>
          <w:sz w:val="28"/>
          <w:szCs w:val="28"/>
        </w:rPr>
        <w:t xml:space="preserve">» </w:t>
      </w:r>
      <w:r w:rsidRPr="00A46382">
        <w:rPr>
          <w:rFonts w:ascii="Times New Roman" w:hAnsi="Times New Roman"/>
          <w:sz w:val="28"/>
          <w:szCs w:val="28"/>
        </w:rPr>
        <w:t xml:space="preserve">выйти на </w:t>
      </w:r>
      <w:r>
        <w:rPr>
          <w:rFonts w:ascii="Times New Roman" w:hAnsi="Times New Roman"/>
          <w:sz w:val="28"/>
          <w:szCs w:val="28"/>
        </w:rPr>
        <w:t xml:space="preserve">Северо-Западный рынок, где </w:t>
      </w:r>
      <w:r w:rsidRPr="00A46382">
        <w:rPr>
          <w:rFonts w:ascii="Times New Roman" w:hAnsi="Times New Roman"/>
          <w:sz w:val="28"/>
          <w:szCs w:val="28"/>
        </w:rPr>
        <w:t xml:space="preserve">дистрибьюторская сеть </w:t>
      </w:r>
      <w:r>
        <w:rPr>
          <w:rFonts w:ascii="Times New Roman" w:hAnsi="Times New Roman"/>
          <w:sz w:val="28"/>
          <w:szCs w:val="28"/>
        </w:rPr>
        <w:t>данной компании была слабо развита. В свою очередь</w:t>
      </w:r>
      <w:r w:rsidRPr="00A46382">
        <w:rPr>
          <w:rFonts w:ascii="Times New Roman" w:hAnsi="Times New Roman"/>
          <w:sz w:val="28"/>
          <w:szCs w:val="28"/>
        </w:rPr>
        <w:t xml:space="preserve"> ф</w:t>
      </w:r>
      <w:r>
        <w:rPr>
          <w:rFonts w:ascii="Times New Roman" w:hAnsi="Times New Roman"/>
          <w:sz w:val="28"/>
          <w:szCs w:val="28"/>
        </w:rPr>
        <w:t xml:space="preserve">абрике им. Крупской это позволило выйти на российский рынок, так как компания была известна лишь на территории </w:t>
      </w:r>
      <w:proofErr w:type="spellStart"/>
      <w:r>
        <w:rPr>
          <w:rFonts w:ascii="Times New Roman" w:hAnsi="Times New Roman"/>
          <w:sz w:val="28"/>
          <w:szCs w:val="28"/>
        </w:rPr>
        <w:t>Северо-Запада</w:t>
      </w:r>
      <w:proofErr w:type="spellEnd"/>
      <w:r>
        <w:rPr>
          <w:rFonts w:ascii="Times New Roman" w:hAnsi="Times New Roman"/>
          <w:sz w:val="28"/>
          <w:szCs w:val="28"/>
        </w:rPr>
        <w:t>. Еще одним преимуществом данного объединения для Крупской стала возможность использовать прочные дистрибьюторские сети присоединенной компании.</w:t>
      </w:r>
    </w:p>
    <w:p w:rsidR="002A2DE3" w:rsidRPr="00A46382"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Бренды были</w:t>
      </w:r>
      <w:r w:rsidRPr="00A46382">
        <w:rPr>
          <w:rFonts w:ascii="Times New Roman" w:hAnsi="Times New Roman"/>
          <w:sz w:val="28"/>
          <w:szCs w:val="28"/>
        </w:rPr>
        <w:t xml:space="preserve"> сох</w:t>
      </w:r>
      <w:r>
        <w:rPr>
          <w:rFonts w:ascii="Times New Roman" w:hAnsi="Times New Roman"/>
          <w:sz w:val="28"/>
          <w:szCs w:val="28"/>
        </w:rPr>
        <w:t xml:space="preserve">ранены, ведь </w:t>
      </w:r>
      <w:r w:rsidRPr="00A46382">
        <w:rPr>
          <w:rFonts w:ascii="Times New Roman" w:hAnsi="Times New Roman"/>
          <w:sz w:val="28"/>
          <w:szCs w:val="28"/>
        </w:rPr>
        <w:t xml:space="preserve">для компании </w:t>
      </w:r>
      <w:proofErr w:type="spellStart"/>
      <w:r w:rsidRPr="00A46382">
        <w:rPr>
          <w:rFonts w:ascii="Times New Roman" w:hAnsi="Times New Roman"/>
          <w:sz w:val="28"/>
          <w:szCs w:val="28"/>
        </w:rPr>
        <w:t>OrklaBrands</w:t>
      </w:r>
      <w:proofErr w:type="spellEnd"/>
      <w:r w:rsidRPr="00A46382">
        <w:rPr>
          <w:rFonts w:ascii="Times New Roman" w:hAnsi="Times New Roman"/>
          <w:sz w:val="28"/>
          <w:szCs w:val="28"/>
        </w:rPr>
        <w:t xml:space="preserve"> —</w:t>
      </w:r>
      <w:r>
        <w:rPr>
          <w:rFonts w:ascii="Times New Roman" w:hAnsi="Times New Roman"/>
          <w:sz w:val="28"/>
          <w:szCs w:val="28"/>
        </w:rPr>
        <w:t xml:space="preserve"> бренды это главное. Также были</w:t>
      </w:r>
      <w:r w:rsidRPr="00A46382">
        <w:rPr>
          <w:rFonts w:ascii="Times New Roman" w:hAnsi="Times New Roman"/>
          <w:sz w:val="28"/>
          <w:szCs w:val="28"/>
        </w:rPr>
        <w:t xml:space="preserve"> сохранен</w:t>
      </w:r>
      <w:r>
        <w:rPr>
          <w:rFonts w:ascii="Times New Roman" w:hAnsi="Times New Roman"/>
          <w:sz w:val="28"/>
          <w:szCs w:val="28"/>
        </w:rPr>
        <w:t>ы все производственные мощности.</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На момент объединения компании были сопоставимы по объемам производимой ими продукции. Однако еще за год до сделки (в 2010 году) «</w:t>
      </w:r>
      <w:proofErr w:type="spellStart"/>
      <w:r>
        <w:rPr>
          <w:rFonts w:ascii="Times New Roman" w:hAnsi="Times New Roman"/>
          <w:sz w:val="28"/>
          <w:szCs w:val="28"/>
        </w:rPr>
        <w:t>СладКо</w:t>
      </w:r>
      <w:proofErr w:type="spellEnd"/>
      <w:r>
        <w:rPr>
          <w:rFonts w:ascii="Times New Roman" w:hAnsi="Times New Roman"/>
          <w:sz w:val="28"/>
          <w:szCs w:val="28"/>
        </w:rPr>
        <w:t xml:space="preserve">» было чуть крупнее. Но благодаря тому, что структурный рост фабрики им. Крупской был значительно выше за счет осуществленных приобретений: «Петергоф», «Пекарь», «Азарт» к моменту сделки компании вышли на сопоставимый уровень производства. При этом «Сладко» имело хорошо отлаженные сбытовые связи, так как позиционировало себя как национального игрока на кондитерском рынке России, поэтому «Крупской» как региональному игроку пришлось встраиваться в эти сбытовые связи. </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Эксперты позитивно оценивали</w:t>
      </w:r>
      <w:r w:rsidRPr="00A46382">
        <w:rPr>
          <w:rFonts w:ascii="Times New Roman" w:hAnsi="Times New Roman"/>
          <w:sz w:val="28"/>
          <w:szCs w:val="28"/>
        </w:rPr>
        <w:t xml:space="preserve"> объединение </w:t>
      </w:r>
      <w:r>
        <w:rPr>
          <w:rFonts w:ascii="Times New Roman" w:hAnsi="Times New Roman"/>
          <w:sz w:val="28"/>
          <w:szCs w:val="28"/>
        </w:rPr>
        <w:t xml:space="preserve">данных </w:t>
      </w:r>
      <w:r w:rsidRPr="00A46382">
        <w:rPr>
          <w:rFonts w:ascii="Times New Roman" w:hAnsi="Times New Roman"/>
          <w:sz w:val="28"/>
          <w:szCs w:val="28"/>
        </w:rPr>
        <w:t>компаний, по их мнению, оба бренда имеют своих лояльных покупателей</w:t>
      </w:r>
      <w:r>
        <w:rPr>
          <w:rFonts w:ascii="Times New Roman" w:hAnsi="Times New Roman"/>
          <w:sz w:val="28"/>
          <w:szCs w:val="28"/>
        </w:rPr>
        <w:t xml:space="preserve"> и преимущества, присущие одной компании и недостающие другой. В частности</w:t>
      </w:r>
      <w:r w:rsidRPr="00A46382">
        <w:rPr>
          <w:rFonts w:ascii="Times New Roman" w:hAnsi="Times New Roman"/>
          <w:sz w:val="28"/>
          <w:szCs w:val="28"/>
        </w:rPr>
        <w:t xml:space="preserve"> объединение позволит значительно расширить сеть распространения</w:t>
      </w:r>
      <w:r>
        <w:rPr>
          <w:rFonts w:ascii="Times New Roman" w:hAnsi="Times New Roman"/>
          <w:sz w:val="28"/>
          <w:szCs w:val="28"/>
        </w:rPr>
        <w:t xml:space="preserve"> продукции</w:t>
      </w:r>
      <w:r w:rsidRPr="00A46382">
        <w:rPr>
          <w:rFonts w:ascii="Times New Roman" w:hAnsi="Times New Roman"/>
          <w:sz w:val="28"/>
          <w:szCs w:val="28"/>
        </w:rPr>
        <w:t>.</w:t>
      </w:r>
    </w:p>
    <w:p w:rsidR="00964201" w:rsidRDefault="00964201" w:rsidP="00964201">
      <w:pPr>
        <w:spacing w:after="0" w:line="360" w:lineRule="auto"/>
        <w:ind w:firstLine="709"/>
        <w:jc w:val="both"/>
        <w:rPr>
          <w:rFonts w:ascii="Times New Roman" w:hAnsi="Times New Roman"/>
          <w:sz w:val="28"/>
          <w:szCs w:val="28"/>
        </w:rPr>
      </w:pPr>
    </w:p>
    <w:p w:rsidR="002A2DE3" w:rsidRPr="00B4196C" w:rsidRDefault="002A2DE3" w:rsidP="002A2DE3">
      <w:pPr>
        <w:jc w:val="center"/>
        <w:rPr>
          <w:rFonts w:ascii="Times New Roman" w:hAnsi="Times New Roman"/>
          <w:b/>
          <w:sz w:val="28"/>
          <w:szCs w:val="28"/>
        </w:rPr>
      </w:pPr>
      <w:r w:rsidRPr="00B4196C">
        <w:rPr>
          <w:rFonts w:ascii="Times New Roman" w:hAnsi="Times New Roman"/>
          <w:b/>
          <w:sz w:val="28"/>
          <w:szCs w:val="28"/>
        </w:rPr>
        <w:lastRenderedPageBreak/>
        <w:t xml:space="preserve">3.2.Оценка стоимости компаний до объединения </w:t>
      </w:r>
    </w:p>
    <w:p w:rsidR="002A2DE3" w:rsidRPr="00AA21EE" w:rsidRDefault="002A2DE3" w:rsidP="00964201">
      <w:pPr>
        <w:spacing w:after="0" w:line="360" w:lineRule="auto"/>
        <w:ind w:firstLine="709"/>
        <w:jc w:val="both"/>
        <w:rPr>
          <w:rFonts w:ascii="Times New Roman" w:hAnsi="Times New Roman"/>
          <w:sz w:val="28"/>
          <w:szCs w:val="28"/>
        </w:rPr>
      </w:pPr>
      <w:r w:rsidRPr="00AA21EE">
        <w:rPr>
          <w:rFonts w:ascii="Times New Roman" w:hAnsi="Times New Roman"/>
          <w:sz w:val="28"/>
          <w:szCs w:val="28"/>
        </w:rPr>
        <w:t>Оценка производилась на основании финансовой отчетности этих компаний, рыночных показателей и планах руководства (официальные заявления, опубликованные в СМИ) данных предприятий. Целесообразно было применение доходного подхода, в частности метода дисконтированных денежных потоков (</w:t>
      </w:r>
      <w:r w:rsidRPr="00AA21EE">
        <w:rPr>
          <w:rFonts w:ascii="Times New Roman" w:hAnsi="Times New Roman"/>
          <w:sz w:val="28"/>
          <w:szCs w:val="28"/>
          <w:lang w:val="en-US"/>
        </w:rPr>
        <w:t>DCF</w:t>
      </w:r>
      <w:r w:rsidRPr="00AA21EE">
        <w:rPr>
          <w:rFonts w:ascii="Times New Roman" w:hAnsi="Times New Roman"/>
          <w:sz w:val="28"/>
          <w:szCs w:val="28"/>
        </w:rPr>
        <w:t xml:space="preserve">), так как в контексте сделки слияния другие подходы малоприменимы по причинам, описанным в предыдущей главе. В рамках метода при расчете величины денежного потока для каждого года прогнозного периода было рассмотрено три сценария: пессимистичный, наиболее вероятный (реальный) и оптимистичный. Прогнозный период составляет 5 лет. </w:t>
      </w:r>
    </w:p>
    <w:p w:rsidR="002A2DE3" w:rsidRDefault="002A2DE3" w:rsidP="002A2DE3">
      <w:pPr>
        <w:spacing w:after="60" w:line="360" w:lineRule="auto"/>
        <w:ind w:firstLine="709"/>
        <w:jc w:val="both"/>
        <w:rPr>
          <w:rFonts w:ascii="Times New Roman" w:hAnsi="Times New Roman"/>
          <w:sz w:val="28"/>
          <w:szCs w:val="28"/>
        </w:rPr>
      </w:pPr>
    </w:p>
    <w:p w:rsidR="002A2DE3" w:rsidRPr="00B4196C" w:rsidRDefault="002A2DE3" w:rsidP="002A2DE3">
      <w:pPr>
        <w:spacing w:after="60" w:line="360" w:lineRule="auto"/>
        <w:ind w:firstLine="709"/>
        <w:jc w:val="center"/>
        <w:rPr>
          <w:rFonts w:ascii="Times New Roman" w:hAnsi="Times New Roman"/>
          <w:b/>
          <w:sz w:val="28"/>
          <w:szCs w:val="28"/>
        </w:rPr>
      </w:pPr>
      <w:r w:rsidRPr="00B4196C">
        <w:rPr>
          <w:rFonts w:ascii="Times New Roman" w:hAnsi="Times New Roman"/>
          <w:b/>
          <w:sz w:val="28"/>
          <w:szCs w:val="28"/>
        </w:rPr>
        <w:t>3.2.1. Оценка стоимости КФ им. Крупской</w:t>
      </w:r>
    </w:p>
    <w:p w:rsidR="002A2DE3" w:rsidRPr="00B4196C"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предпосылки каждого из сценариев в рамках доходного </w:t>
      </w:r>
      <w:r w:rsidRPr="00B4196C">
        <w:rPr>
          <w:rFonts w:ascii="Times New Roman" w:hAnsi="Times New Roman"/>
          <w:sz w:val="28"/>
          <w:szCs w:val="28"/>
        </w:rPr>
        <w:t>подхода для КФ им. Крупской.</w:t>
      </w:r>
    </w:p>
    <w:p w:rsidR="002A2DE3" w:rsidRPr="00C541DF" w:rsidRDefault="002A2DE3" w:rsidP="00964201">
      <w:pPr>
        <w:spacing w:after="0" w:line="360" w:lineRule="auto"/>
        <w:ind w:firstLine="709"/>
        <w:jc w:val="both"/>
        <w:rPr>
          <w:rFonts w:ascii="Times New Roman" w:hAnsi="Times New Roman"/>
          <w:sz w:val="28"/>
          <w:szCs w:val="28"/>
        </w:rPr>
      </w:pPr>
      <w:r w:rsidRPr="00B4196C">
        <w:rPr>
          <w:rFonts w:ascii="Times New Roman" w:hAnsi="Times New Roman"/>
          <w:sz w:val="28"/>
          <w:szCs w:val="28"/>
        </w:rPr>
        <w:t>Реальный прогноз</w:t>
      </w:r>
      <w:r>
        <w:rPr>
          <w:rFonts w:ascii="Times New Roman" w:hAnsi="Times New Roman"/>
          <w:sz w:val="28"/>
          <w:szCs w:val="28"/>
        </w:rPr>
        <w:t xml:space="preserve"> основывается на том, что в 2010 году ситуация на рынке кондитерских изделий была стабильной, значительного роста или спада не наблюдалось. Произошло незначительное сокращение по объемам на 1,5% и увеличение по стоимости на 6,7% по отношению к показателям 2009 года. Основной причиной произошедших изменений стала летняя жара на территории России, повлекшая за собой рост стоимости сельскохозяйственных продуктов. Как известно продукты сельского хозяйства являются основной сырьевой базой для кондитерского производства. Однако продажи общества не сократились, а возросли за счет приобретения новых активов, роста дистрибуции и высокой узнаваемости бренда компании. Как известно, в 2009 году «Крупская» приобрела значимую на рынке карамели фабрику «Азарт» и не менее важного производителя хлебобулочных изделий ОАО «Пекарь». Это позволило компании быть высоко конкурентной в разных сегментах </w:t>
      </w:r>
      <w:r>
        <w:rPr>
          <w:rFonts w:ascii="Times New Roman" w:hAnsi="Times New Roman"/>
          <w:sz w:val="28"/>
          <w:szCs w:val="28"/>
        </w:rPr>
        <w:lastRenderedPageBreak/>
        <w:t xml:space="preserve">кондитерского рынка и стать лидером в сегментах карамели и вафельных тортов. Деятельность «Крупской» сосредоточена в Северо-Западном регионе России, поэтому в Петербурге фабрика является лидером сразу нескольких сегментов. По данным </w:t>
      </w:r>
      <w:proofErr w:type="spellStart"/>
      <w:r>
        <w:rPr>
          <w:rFonts w:ascii="Times New Roman" w:hAnsi="Times New Roman"/>
          <w:sz w:val="28"/>
          <w:szCs w:val="28"/>
          <w:lang w:val="en-US"/>
        </w:rPr>
        <w:t>ACNielcen</w:t>
      </w:r>
      <w:proofErr w:type="spellEnd"/>
      <w:r w:rsidR="008637CF" w:rsidRPr="008637CF">
        <w:rPr>
          <w:rFonts w:ascii="Times New Roman" w:hAnsi="Times New Roman"/>
          <w:sz w:val="28"/>
          <w:szCs w:val="28"/>
        </w:rPr>
        <w:t xml:space="preserve"> </w:t>
      </w:r>
      <w:r>
        <w:rPr>
          <w:rFonts w:ascii="Times New Roman" w:hAnsi="Times New Roman"/>
          <w:sz w:val="28"/>
          <w:szCs w:val="28"/>
        </w:rPr>
        <w:t xml:space="preserve">компания на рынке развесных конфет имеет долю 60%, основным конкурентом является группа «Объединенные кондитеры». На рынке шоколада доля компании составляет 29%, а лидером в данном сегменте является </w:t>
      </w:r>
      <w:proofErr w:type="spellStart"/>
      <w:r>
        <w:rPr>
          <w:rFonts w:ascii="Times New Roman" w:hAnsi="Times New Roman"/>
          <w:sz w:val="28"/>
          <w:szCs w:val="28"/>
          <w:lang w:val="en-US"/>
        </w:rPr>
        <w:t>KraftFoods</w:t>
      </w:r>
      <w:proofErr w:type="spellEnd"/>
      <w:proofErr w:type="gramStart"/>
      <w:r>
        <w:rPr>
          <w:rFonts w:ascii="Times New Roman" w:hAnsi="Times New Roman"/>
          <w:sz w:val="28"/>
          <w:szCs w:val="28"/>
        </w:rPr>
        <w:t>с</w:t>
      </w:r>
      <w:proofErr w:type="gramEnd"/>
      <w:r>
        <w:rPr>
          <w:rFonts w:ascii="Times New Roman" w:hAnsi="Times New Roman"/>
          <w:sz w:val="28"/>
          <w:szCs w:val="28"/>
        </w:rPr>
        <w:t xml:space="preserve"> шоколадом марки </w:t>
      </w:r>
      <w:proofErr w:type="spellStart"/>
      <w:r>
        <w:rPr>
          <w:rFonts w:ascii="Times New Roman" w:hAnsi="Times New Roman"/>
          <w:sz w:val="28"/>
          <w:szCs w:val="28"/>
          <w:lang w:val="en-US"/>
        </w:rPr>
        <w:t>AlpenGold</w:t>
      </w:r>
      <w:proofErr w:type="spellEnd"/>
      <w:r>
        <w:rPr>
          <w:rFonts w:ascii="Times New Roman" w:hAnsi="Times New Roman"/>
          <w:sz w:val="28"/>
          <w:szCs w:val="28"/>
        </w:rPr>
        <w:t>.Главный конкурент на рынке в сегменте конфет в коробках - «Коркунов» с долей рынка 37%, доля «Крупской» в этом сегменте - 18%.</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Руководство общества планирует, что рост продаж в 2011 году составит 7%. Также не исключаются новые приобретения, но не производственных площадок, а сильных брендов, которые имеют значимую долю на рынке и позволят расширить географию сбыта. Задачами на будущее являются сохранение и усиление позиций на рынке </w:t>
      </w:r>
      <w:proofErr w:type="spellStart"/>
      <w:r>
        <w:rPr>
          <w:rFonts w:ascii="Times New Roman" w:hAnsi="Times New Roman"/>
          <w:sz w:val="28"/>
          <w:szCs w:val="28"/>
        </w:rPr>
        <w:t>Северо-Запада</w:t>
      </w:r>
      <w:proofErr w:type="spellEnd"/>
      <w:r>
        <w:rPr>
          <w:rFonts w:ascii="Times New Roman" w:hAnsi="Times New Roman"/>
          <w:sz w:val="28"/>
          <w:szCs w:val="28"/>
        </w:rPr>
        <w:t xml:space="preserve">, а также выход на рынки других регионов с высокой сетевой концентрацией. </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Прибыль «Крупской» в 2010 году до уплаты процентов и налогов составила 220 млн. руб., операционная маржа – 6,3% при выручке в 3,5 млрд. руб</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Начисленная амортизация по основным средствам и нематериальным активам – 345,7 млн. руб., капитальные затраты составили 47,2 млн. </w:t>
      </w:r>
      <w:proofErr w:type="spellStart"/>
      <w:r>
        <w:rPr>
          <w:rFonts w:ascii="Times New Roman" w:hAnsi="Times New Roman"/>
          <w:sz w:val="28"/>
          <w:szCs w:val="28"/>
        </w:rPr>
        <w:t>руб</w:t>
      </w:r>
      <w:proofErr w:type="spellEnd"/>
      <w:r>
        <w:rPr>
          <w:rFonts w:ascii="Times New Roman" w:hAnsi="Times New Roman"/>
          <w:sz w:val="28"/>
          <w:szCs w:val="28"/>
        </w:rPr>
        <w:t>, а оборотный капитал был равен 17% от выручки.  Ожидаемый темп роста выручки составит  14% в прогнозный период, а долгосрочный темп роста будет равен среднему по рынку – 4%. Рост начислений по амортизации составит 10%, а рост капитальных затрат – 13%. Чистый оборотный капитал будет увеличиваться в течение прогнозного периода на 15%, чтобы на последний год составить 17% от выручки.</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было сделано допущение относительно роста себестоимости производимой продукции и основных статей расходов отчета о прибылях и </w:t>
      </w:r>
      <w:r>
        <w:rPr>
          <w:rFonts w:ascii="Times New Roman" w:hAnsi="Times New Roman"/>
          <w:sz w:val="28"/>
          <w:szCs w:val="28"/>
        </w:rPr>
        <w:lastRenderedPageBreak/>
        <w:t xml:space="preserve">убытках. Согласно ретроспективным данным о росте себестоимости мы предположили, что в прогнозном периоде себестоимость будет увеличиваться на 13% ежегодно. В свою очередь коммерческие и управленческие расходы на 10% и 9% соответственно, что вполне соотносится с изменениями данных статей в прошлом. </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В таблице 6 представлены результаты расчета денежного потока компании в каждом году прогнозного периода согласно сделанным предположениям о динамике доходов и расходов компании.</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Таблица 6</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Денежный поток КФ им. Крупской в 2011 – 2015 г. реальный прогноз</w:t>
      </w:r>
    </w:p>
    <w:tbl>
      <w:tblPr>
        <w:tblW w:w="5000" w:type="pct"/>
        <w:tblLook w:val="04A0"/>
      </w:tblPr>
      <w:tblGrid>
        <w:gridCol w:w="1507"/>
        <w:gridCol w:w="1754"/>
        <w:gridCol w:w="1507"/>
        <w:gridCol w:w="1506"/>
        <w:gridCol w:w="1506"/>
        <w:gridCol w:w="1506"/>
      </w:tblGrid>
      <w:tr w:rsidR="002A2DE3" w:rsidRPr="004E3D20" w:rsidTr="002A3642">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Год</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EBIT*(1-t)</w:t>
            </w:r>
          </w:p>
          <w:p w:rsidR="002A2DE3" w:rsidRPr="004E3D20" w:rsidRDefault="002A2DE3" w:rsidP="002A3642">
            <w:pPr>
              <w:spacing w:after="0" w:line="360" w:lineRule="auto"/>
              <w:jc w:val="center"/>
              <w:rPr>
                <w:rFonts w:ascii="Times New Roman" w:hAnsi="Times New Roman"/>
                <w:color w:val="000000"/>
                <w:sz w:val="26"/>
                <w:szCs w:val="26"/>
                <w:lang w:eastAsia="ru-RU"/>
              </w:rPr>
            </w:pPr>
            <w:r w:rsidRPr="004E3D20">
              <w:rPr>
                <w:rFonts w:ascii="Times New Roman" w:hAnsi="Times New Roman"/>
                <w:color w:val="000000"/>
                <w:sz w:val="26"/>
                <w:szCs w:val="26"/>
                <w:lang w:eastAsia="ru-RU"/>
              </w:rPr>
              <w:t>(</w:t>
            </w:r>
            <w:r>
              <w:rPr>
                <w:rFonts w:ascii="Times New Roman" w:hAnsi="Times New Roman"/>
                <w:color w:val="000000"/>
                <w:sz w:val="26"/>
                <w:szCs w:val="26"/>
                <w:lang w:eastAsia="ru-RU"/>
              </w:rPr>
              <w:t>т</w:t>
            </w:r>
            <w:r w:rsidRPr="004E3D20">
              <w:rPr>
                <w:rFonts w:ascii="Times New Roman" w:hAnsi="Times New Roman"/>
                <w:color w:val="000000"/>
                <w:sz w:val="26"/>
                <w:szCs w:val="26"/>
                <w:lang w:eastAsia="ru-RU"/>
              </w:rPr>
              <w:t>ыс</w:t>
            </w:r>
            <w:proofErr w:type="gramStart"/>
            <w:r w:rsidRPr="004E3D20">
              <w:rPr>
                <w:rFonts w:ascii="Times New Roman" w:hAnsi="Times New Roman"/>
                <w:color w:val="000000"/>
                <w:sz w:val="26"/>
                <w:szCs w:val="26"/>
                <w:lang w:eastAsia="ru-RU"/>
              </w:rPr>
              <w:t>.р</w:t>
            </w:r>
            <w:proofErr w:type="gramEnd"/>
            <w:r w:rsidRPr="004E3D20">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4E3D20">
              <w:rPr>
                <w:rFonts w:ascii="Times New Roman" w:hAnsi="Times New Roman"/>
                <w:color w:val="000000"/>
                <w:sz w:val="28"/>
                <w:szCs w:val="28"/>
                <w:lang w:eastAsia="ru-RU"/>
              </w:rPr>
              <w:t>Dep</w:t>
            </w:r>
            <w:proofErr w:type="spellEnd"/>
          </w:p>
          <w:p w:rsidR="002A2DE3" w:rsidRPr="004E3D20" w:rsidRDefault="002A2DE3" w:rsidP="002A3642">
            <w:pPr>
              <w:spacing w:after="0" w:line="360" w:lineRule="auto"/>
              <w:jc w:val="center"/>
              <w:rPr>
                <w:rFonts w:ascii="Times New Roman" w:hAnsi="Times New Roman"/>
                <w:color w:val="000000"/>
                <w:sz w:val="26"/>
                <w:szCs w:val="26"/>
                <w:lang w:eastAsia="ru-RU"/>
              </w:rPr>
            </w:pPr>
            <w:r w:rsidRPr="004E3D20">
              <w:rPr>
                <w:rFonts w:ascii="Times New Roman" w:hAnsi="Times New Roman"/>
                <w:color w:val="000000"/>
                <w:sz w:val="26"/>
                <w:szCs w:val="26"/>
                <w:lang w:eastAsia="ru-RU"/>
              </w:rPr>
              <w:t>(</w:t>
            </w:r>
            <w:r>
              <w:rPr>
                <w:rFonts w:ascii="Times New Roman" w:hAnsi="Times New Roman"/>
                <w:color w:val="000000"/>
                <w:sz w:val="26"/>
                <w:szCs w:val="26"/>
                <w:lang w:eastAsia="ru-RU"/>
              </w:rPr>
              <w:t>т</w:t>
            </w:r>
            <w:r w:rsidRPr="004E3D20">
              <w:rPr>
                <w:rFonts w:ascii="Times New Roman" w:hAnsi="Times New Roman"/>
                <w:color w:val="000000"/>
                <w:sz w:val="26"/>
                <w:szCs w:val="26"/>
                <w:lang w:eastAsia="ru-RU"/>
              </w:rPr>
              <w:t>ыс</w:t>
            </w:r>
            <w:proofErr w:type="gramStart"/>
            <w:r w:rsidRPr="004E3D20">
              <w:rPr>
                <w:rFonts w:ascii="Times New Roman" w:hAnsi="Times New Roman"/>
                <w:color w:val="000000"/>
                <w:sz w:val="26"/>
                <w:szCs w:val="26"/>
                <w:lang w:eastAsia="ru-RU"/>
              </w:rPr>
              <w:t>.р</w:t>
            </w:r>
            <w:proofErr w:type="gramEnd"/>
            <w:r w:rsidRPr="004E3D20">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 NWC</w:t>
            </w:r>
          </w:p>
          <w:p w:rsidR="002A2DE3" w:rsidRPr="004E3D20" w:rsidRDefault="002A2DE3" w:rsidP="002A3642">
            <w:pPr>
              <w:spacing w:after="0" w:line="360" w:lineRule="auto"/>
              <w:jc w:val="center"/>
              <w:rPr>
                <w:rFonts w:ascii="Times New Roman" w:hAnsi="Times New Roman"/>
                <w:color w:val="000000"/>
                <w:sz w:val="26"/>
                <w:szCs w:val="26"/>
                <w:lang w:eastAsia="ru-RU"/>
              </w:rPr>
            </w:pPr>
            <w:r w:rsidRPr="004E3D20">
              <w:rPr>
                <w:rFonts w:ascii="Times New Roman" w:hAnsi="Times New Roman"/>
                <w:color w:val="000000"/>
                <w:sz w:val="26"/>
                <w:szCs w:val="26"/>
                <w:lang w:eastAsia="ru-RU"/>
              </w:rPr>
              <w:t>(</w:t>
            </w:r>
            <w:r>
              <w:rPr>
                <w:rFonts w:ascii="Times New Roman" w:hAnsi="Times New Roman"/>
                <w:color w:val="000000"/>
                <w:sz w:val="26"/>
                <w:szCs w:val="26"/>
                <w:lang w:eastAsia="ru-RU"/>
              </w:rPr>
              <w:t>т</w:t>
            </w:r>
            <w:r w:rsidRPr="004E3D20">
              <w:rPr>
                <w:rFonts w:ascii="Times New Roman" w:hAnsi="Times New Roman"/>
                <w:color w:val="000000"/>
                <w:sz w:val="26"/>
                <w:szCs w:val="26"/>
                <w:lang w:eastAsia="ru-RU"/>
              </w:rPr>
              <w:t>ыс</w:t>
            </w:r>
            <w:proofErr w:type="gramStart"/>
            <w:r w:rsidRPr="004E3D20">
              <w:rPr>
                <w:rFonts w:ascii="Times New Roman" w:hAnsi="Times New Roman"/>
                <w:color w:val="000000"/>
                <w:sz w:val="26"/>
                <w:szCs w:val="26"/>
                <w:lang w:eastAsia="ru-RU"/>
              </w:rPr>
              <w:t>.р</w:t>
            </w:r>
            <w:proofErr w:type="gramEnd"/>
            <w:r w:rsidRPr="004E3D20">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4E3D20">
              <w:rPr>
                <w:rFonts w:ascii="Times New Roman" w:hAnsi="Times New Roman"/>
                <w:color w:val="000000"/>
                <w:sz w:val="28"/>
                <w:szCs w:val="28"/>
                <w:lang w:eastAsia="ru-RU"/>
              </w:rPr>
              <w:t>Capex</w:t>
            </w:r>
            <w:proofErr w:type="spellEnd"/>
          </w:p>
          <w:p w:rsidR="002A2DE3" w:rsidRPr="004E3D20" w:rsidRDefault="002A2DE3" w:rsidP="002A3642">
            <w:pPr>
              <w:spacing w:after="0" w:line="360" w:lineRule="auto"/>
              <w:jc w:val="center"/>
              <w:rPr>
                <w:rFonts w:ascii="Times New Roman" w:hAnsi="Times New Roman"/>
                <w:color w:val="000000"/>
                <w:sz w:val="26"/>
                <w:szCs w:val="26"/>
                <w:lang w:eastAsia="ru-RU"/>
              </w:rPr>
            </w:pPr>
            <w:r w:rsidRPr="004E3D20">
              <w:rPr>
                <w:rFonts w:ascii="Times New Roman" w:hAnsi="Times New Roman"/>
                <w:color w:val="000000"/>
                <w:sz w:val="26"/>
                <w:szCs w:val="26"/>
                <w:lang w:eastAsia="ru-RU"/>
              </w:rPr>
              <w:t>(</w:t>
            </w:r>
            <w:r>
              <w:rPr>
                <w:rFonts w:ascii="Times New Roman" w:hAnsi="Times New Roman"/>
                <w:color w:val="000000"/>
                <w:sz w:val="26"/>
                <w:szCs w:val="26"/>
                <w:lang w:eastAsia="ru-RU"/>
              </w:rPr>
              <w:t>т</w:t>
            </w:r>
            <w:r w:rsidRPr="004E3D20">
              <w:rPr>
                <w:rFonts w:ascii="Times New Roman" w:hAnsi="Times New Roman"/>
                <w:color w:val="000000"/>
                <w:sz w:val="26"/>
                <w:szCs w:val="26"/>
                <w:lang w:eastAsia="ru-RU"/>
              </w:rPr>
              <w:t>ыс</w:t>
            </w:r>
            <w:proofErr w:type="gramStart"/>
            <w:r w:rsidRPr="004E3D20">
              <w:rPr>
                <w:rFonts w:ascii="Times New Roman" w:hAnsi="Times New Roman"/>
                <w:color w:val="000000"/>
                <w:sz w:val="26"/>
                <w:szCs w:val="26"/>
                <w:lang w:eastAsia="ru-RU"/>
              </w:rPr>
              <w:t>.р</w:t>
            </w:r>
            <w:proofErr w:type="gramEnd"/>
            <w:r w:rsidRPr="004E3D20">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4E3D20">
              <w:rPr>
                <w:rFonts w:ascii="Times New Roman" w:hAnsi="Times New Roman"/>
                <w:color w:val="000000"/>
                <w:sz w:val="28"/>
                <w:szCs w:val="28"/>
                <w:lang w:eastAsia="ru-RU"/>
              </w:rPr>
              <w:t>CF_real</w:t>
            </w:r>
            <w:proofErr w:type="spellEnd"/>
          </w:p>
          <w:p w:rsidR="002A2DE3" w:rsidRPr="004E3D20" w:rsidRDefault="002A2DE3" w:rsidP="002A3642">
            <w:pPr>
              <w:spacing w:after="0" w:line="360" w:lineRule="auto"/>
              <w:jc w:val="center"/>
              <w:rPr>
                <w:rFonts w:ascii="Times New Roman" w:hAnsi="Times New Roman"/>
                <w:color w:val="000000"/>
                <w:sz w:val="26"/>
                <w:szCs w:val="26"/>
                <w:lang w:eastAsia="ru-RU"/>
              </w:rPr>
            </w:pPr>
            <w:r w:rsidRPr="004E3D20">
              <w:rPr>
                <w:rFonts w:ascii="Times New Roman" w:hAnsi="Times New Roman"/>
                <w:color w:val="000000"/>
                <w:sz w:val="26"/>
                <w:szCs w:val="26"/>
                <w:lang w:eastAsia="ru-RU"/>
              </w:rPr>
              <w:t>(</w:t>
            </w:r>
            <w:r>
              <w:rPr>
                <w:rFonts w:ascii="Times New Roman" w:hAnsi="Times New Roman"/>
                <w:color w:val="000000"/>
                <w:sz w:val="26"/>
                <w:szCs w:val="26"/>
                <w:lang w:eastAsia="ru-RU"/>
              </w:rPr>
              <w:t>т</w:t>
            </w:r>
            <w:r w:rsidRPr="004E3D20">
              <w:rPr>
                <w:rFonts w:ascii="Times New Roman" w:hAnsi="Times New Roman"/>
                <w:color w:val="000000"/>
                <w:sz w:val="26"/>
                <w:szCs w:val="26"/>
                <w:lang w:eastAsia="ru-RU"/>
              </w:rPr>
              <w:t>ыс</w:t>
            </w:r>
            <w:proofErr w:type="gramStart"/>
            <w:r w:rsidRPr="004E3D20">
              <w:rPr>
                <w:rFonts w:ascii="Times New Roman" w:hAnsi="Times New Roman"/>
                <w:color w:val="000000"/>
                <w:sz w:val="26"/>
                <w:szCs w:val="26"/>
                <w:lang w:eastAsia="ru-RU"/>
              </w:rPr>
              <w:t>.р</w:t>
            </w:r>
            <w:proofErr w:type="gramEnd"/>
            <w:r w:rsidRPr="004E3D20">
              <w:rPr>
                <w:rFonts w:ascii="Times New Roman" w:hAnsi="Times New Roman"/>
                <w:color w:val="000000"/>
                <w:sz w:val="26"/>
                <w:szCs w:val="26"/>
                <w:lang w:eastAsia="ru-RU"/>
              </w:rPr>
              <w:t>уб.)</w:t>
            </w:r>
          </w:p>
        </w:tc>
      </w:tr>
      <w:tr w:rsidR="002A2DE3" w:rsidRPr="004E3D20"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2011</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113 665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380 295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87 805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53 402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352 754</w:t>
            </w:r>
          </w:p>
        </w:tc>
      </w:tr>
      <w:tr w:rsidR="002A2DE3" w:rsidRPr="004E3D20"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2012</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159 338</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418 325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100 976</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60 344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416 343</w:t>
            </w:r>
          </w:p>
        </w:tc>
      </w:tr>
      <w:tr w:rsidR="002A2DE3" w:rsidRPr="004E3D20"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2013</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271 001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460 157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116 122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68 188</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546 848</w:t>
            </w:r>
          </w:p>
        </w:tc>
      </w:tr>
      <w:tr w:rsidR="002A2DE3" w:rsidRPr="004E3D20"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2014</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332 785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506 173</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133 541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77 053</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628 365</w:t>
            </w:r>
          </w:p>
        </w:tc>
      </w:tr>
      <w:tr w:rsidR="002A2DE3" w:rsidRPr="004E3D20"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sidRPr="004E3D20">
              <w:rPr>
                <w:rFonts w:ascii="Times New Roman" w:hAnsi="Times New Roman"/>
                <w:color w:val="000000"/>
                <w:sz w:val="28"/>
                <w:szCs w:val="28"/>
                <w:lang w:eastAsia="ru-RU"/>
              </w:rPr>
              <w:t>2015</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390 665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556 790</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153 572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88 611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4E3D20"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705 273</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2A2DE3">
      <w:pPr>
        <w:spacing w:after="60" w:line="360" w:lineRule="auto"/>
        <w:ind w:firstLine="709"/>
        <w:jc w:val="both"/>
        <w:rPr>
          <w:rFonts w:ascii="Times New Roman" w:hAnsi="Times New Roman"/>
          <w:sz w:val="28"/>
          <w:szCs w:val="28"/>
        </w:rPr>
      </w:pPr>
      <w:r>
        <w:rPr>
          <w:rFonts w:ascii="Times New Roman" w:hAnsi="Times New Roman"/>
          <w:sz w:val="28"/>
          <w:szCs w:val="28"/>
        </w:rPr>
        <w:t>Пессимистический</w:t>
      </w:r>
      <w:r w:rsidRPr="00B4196C">
        <w:rPr>
          <w:rFonts w:ascii="Times New Roman" w:hAnsi="Times New Roman"/>
          <w:sz w:val="28"/>
          <w:szCs w:val="28"/>
        </w:rPr>
        <w:t xml:space="preserve"> прогноз</w:t>
      </w:r>
      <w:r>
        <w:rPr>
          <w:rFonts w:ascii="Times New Roman" w:hAnsi="Times New Roman"/>
          <w:sz w:val="28"/>
          <w:szCs w:val="28"/>
        </w:rPr>
        <w:t xml:space="preserve"> принимает во внимание то, что </w:t>
      </w:r>
      <w:r w:rsidRPr="00891B82">
        <w:rPr>
          <w:rFonts w:ascii="Times New Roman" w:hAnsi="Times New Roman"/>
          <w:sz w:val="28"/>
          <w:szCs w:val="28"/>
        </w:rPr>
        <w:t>Российский рынок всех видов кондитерских изделий признается экспертам</w:t>
      </w:r>
      <w:r>
        <w:rPr>
          <w:rFonts w:ascii="Times New Roman" w:hAnsi="Times New Roman"/>
          <w:sz w:val="28"/>
          <w:szCs w:val="28"/>
        </w:rPr>
        <w:t>и открытым и высоко конкурентным</w:t>
      </w:r>
      <w:r w:rsidRPr="00891B82">
        <w:rPr>
          <w:rFonts w:ascii="Times New Roman" w:hAnsi="Times New Roman"/>
          <w:sz w:val="28"/>
          <w:szCs w:val="28"/>
        </w:rPr>
        <w:t>.</w:t>
      </w:r>
      <w:r>
        <w:rPr>
          <w:rFonts w:ascii="Times New Roman" w:hAnsi="Times New Roman"/>
          <w:sz w:val="28"/>
          <w:szCs w:val="28"/>
        </w:rPr>
        <w:t xml:space="preserve"> Как было замечено выше «Крупская» не во всех сегментах имеет лидирующие позиции, поэтому может столкнуться с трудностью реализации своей продукции.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Северо-Западный регион, который является для фабрики преимущественным источником выручки, также является приоритетным и для конкурентов. Еще один фактор – это удорожание сырья и материалов может привести к повышению цен на продукцию, что приведет к снижению объемов реализации. Однако этот риск не является исключительно присущим компании, он является общим для всех </w:t>
      </w:r>
      <w:r>
        <w:rPr>
          <w:rFonts w:ascii="Times New Roman" w:hAnsi="Times New Roman"/>
          <w:sz w:val="28"/>
          <w:szCs w:val="28"/>
        </w:rPr>
        <w:lastRenderedPageBreak/>
        <w:t xml:space="preserve">производителей кондитерских изделий. В соответствии с пессимистичным сценарием будем предполагать, что выручка «Крупской» в первый прогнозный год увеличится на 10%, а в последующие годы прогнозного периода рост составит 8% в год. При этом себестоимость проданной продукции в первый год прогнозного периода вырастет на 9%, а в последующие 4 года будет расти быстрее выручки на 1%. Сделаем предположение относительно коммерческих и управленческих расходов. В связи с тем, что данный рынок является высоко конкурентным логичным и оправданным предположением будет то, что расходы на рекламу, продвижение продаж, премии покупателям, а также затраты на транспорт и логистику в будущем будут только расти. Перечисленные статьи относятся к коммерческим расходам, поэтому ежегодное увеличение составит 13%. Управленческие расходы будут расти чуть медленнее </w:t>
      </w:r>
      <w:proofErr w:type="gramStart"/>
      <w:r>
        <w:rPr>
          <w:rFonts w:ascii="Times New Roman" w:hAnsi="Times New Roman"/>
          <w:sz w:val="28"/>
          <w:szCs w:val="28"/>
        </w:rPr>
        <w:t>коммерческих</w:t>
      </w:r>
      <w:proofErr w:type="gramEnd"/>
      <w:r>
        <w:rPr>
          <w:rFonts w:ascii="Times New Roman" w:hAnsi="Times New Roman"/>
          <w:sz w:val="28"/>
          <w:szCs w:val="28"/>
        </w:rPr>
        <w:t xml:space="preserve"> – на 12% в год. Долгосрочный темп роста в </w:t>
      </w:r>
      <w:proofErr w:type="spellStart"/>
      <w:r>
        <w:rPr>
          <w:rFonts w:ascii="Times New Roman" w:hAnsi="Times New Roman"/>
          <w:sz w:val="28"/>
          <w:szCs w:val="28"/>
        </w:rPr>
        <w:t>постпрогнозном</w:t>
      </w:r>
      <w:proofErr w:type="spellEnd"/>
      <w:r>
        <w:rPr>
          <w:rFonts w:ascii="Times New Roman" w:hAnsi="Times New Roman"/>
          <w:sz w:val="28"/>
          <w:szCs w:val="28"/>
        </w:rPr>
        <w:t xml:space="preserve"> периоде примем равным 2%, что соответствует тому, что компания не будет расти быстрее, чем ее конкуренты. Темпы роста капитальных затрат составят 15%, а рост начисленной амортизации  - 8%. Расчеты, сделанные согласно нашим допущениям приведены в таблице 7. Ставка налога на прибыль (</w:t>
      </w:r>
      <w:r>
        <w:rPr>
          <w:rFonts w:ascii="Times New Roman" w:hAnsi="Times New Roman"/>
          <w:sz w:val="28"/>
          <w:szCs w:val="28"/>
          <w:lang w:val="en-US"/>
        </w:rPr>
        <w:t>t</w:t>
      </w:r>
      <w:r w:rsidRPr="008D225F">
        <w:rPr>
          <w:rFonts w:ascii="Times New Roman" w:hAnsi="Times New Roman"/>
          <w:sz w:val="28"/>
          <w:szCs w:val="28"/>
        </w:rPr>
        <w:t>)</w:t>
      </w:r>
      <w:r>
        <w:rPr>
          <w:rFonts w:ascii="Times New Roman" w:hAnsi="Times New Roman"/>
          <w:sz w:val="28"/>
          <w:szCs w:val="28"/>
        </w:rPr>
        <w:t xml:space="preserve"> составляет 20%</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Таблица 7</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 xml:space="preserve">Денежный поток КФ им. Крупской </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в 2011 – 2015 г. пессимистический прогноз</w:t>
      </w:r>
    </w:p>
    <w:tbl>
      <w:tblPr>
        <w:tblW w:w="5000" w:type="pct"/>
        <w:tblLook w:val="04A0"/>
      </w:tblPr>
      <w:tblGrid>
        <w:gridCol w:w="1507"/>
        <w:gridCol w:w="1754"/>
        <w:gridCol w:w="1507"/>
        <w:gridCol w:w="1506"/>
        <w:gridCol w:w="1506"/>
        <w:gridCol w:w="1506"/>
      </w:tblGrid>
      <w:tr w:rsidR="002A2DE3" w:rsidRPr="00234DDE" w:rsidTr="002A3642">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EBIT*(1-t)</w:t>
            </w:r>
          </w:p>
          <w:p w:rsidR="002A2DE3" w:rsidRPr="00234DDE"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234DDE">
              <w:rPr>
                <w:rFonts w:ascii="Times New Roman" w:hAnsi="Times New Roman"/>
                <w:color w:val="000000"/>
                <w:sz w:val="28"/>
                <w:szCs w:val="28"/>
                <w:lang w:eastAsia="ru-RU"/>
              </w:rPr>
              <w:t>Dep</w:t>
            </w:r>
            <w:proofErr w:type="spellEnd"/>
          </w:p>
          <w:p w:rsidR="002A2DE3" w:rsidRPr="00234DDE" w:rsidRDefault="002A2DE3" w:rsidP="002A3642">
            <w:pPr>
              <w:spacing w:after="0" w:line="360" w:lineRule="auto"/>
              <w:jc w:val="center"/>
              <w:rPr>
                <w:rFonts w:ascii="Times New Roman" w:hAnsi="Times New Roman"/>
                <w:color w:val="000000"/>
                <w:sz w:val="26"/>
                <w:szCs w:val="26"/>
                <w:lang w:eastAsia="ru-RU"/>
              </w:rPr>
            </w:pPr>
            <w:r w:rsidRPr="00234DDE">
              <w:rPr>
                <w:rFonts w:ascii="Times New Roman" w:hAnsi="Times New Roman"/>
                <w:color w:val="000000"/>
                <w:sz w:val="26"/>
                <w:szCs w:val="26"/>
                <w:lang w:eastAsia="ru-RU"/>
              </w:rPr>
              <w:t>(тыс</w:t>
            </w:r>
            <w:proofErr w:type="gramStart"/>
            <w:r w:rsidRPr="00234DDE">
              <w:rPr>
                <w:rFonts w:ascii="Times New Roman" w:hAnsi="Times New Roman"/>
                <w:color w:val="000000"/>
                <w:sz w:val="26"/>
                <w:szCs w:val="26"/>
                <w:lang w:eastAsia="ru-RU"/>
              </w:rPr>
              <w:t>.р</w:t>
            </w:r>
            <w:proofErr w:type="gramEnd"/>
            <w:r w:rsidRPr="00234DDE">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 NWC</w:t>
            </w:r>
          </w:p>
          <w:p w:rsidR="002A2DE3" w:rsidRPr="00234DDE"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234DDE">
              <w:rPr>
                <w:rFonts w:ascii="Times New Roman" w:hAnsi="Times New Roman"/>
                <w:color w:val="000000"/>
                <w:sz w:val="28"/>
                <w:szCs w:val="28"/>
                <w:lang w:eastAsia="ru-RU"/>
              </w:rPr>
              <w:t>Capex</w:t>
            </w:r>
            <w:proofErr w:type="spellEnd"/>
          </w:p>
          <w:p w:rsidR="002A2DE3" w:rsidRPr="00234DDE"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234DDE">
              <w:rPr>
                <w:rFonts w:ascii="Times New Roman" w:hAnsi="Times New Roman"/>
                <w:color w:val="000000"/>
                <w:sz w:val="28"/>
                <w:szCs w:val="28"/>
                <w:lang w:eastAsia="ru-RU"/>
              </w:rPr>
              <w:t>CF_pes</w:t>
            </w:r>
            <w:proofErr w:type="spellEnd"/>
          </w:p>
          <w:p w:rsidR="002A2DE3" w:rsidRPr="00234DDE"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r>
      <w:tr w:rsidR="002A2DE3" w:rsidRPr="00234DDE"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2011</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85 506</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373 381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87 805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54 347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316 735</w:t>
            </w:r>
          </w:p>
        </w:tc>
      </w:tr>
      <w:tr w:rsidR="002A2DE3" w:rsidRPr="00234DDE"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2012</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82 993</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403 251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100 976</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62 499</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322 770 </w:t>
            </w:r>
          </w:p>
        </w:tc>
      </w:tr>
      <w:tr w:rsidR="002A2DE3" w:rsidRPr="00234DDE"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2013</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78 505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435 511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116 122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71 874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326 020</w:t>
            </w:r>
          </w:p>
        </w:tc>
      </w:tr>
      <w:tr w:rsidR="002A2DE3" w:rsidRPr="00234DDE"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2014</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111 967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470 352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133 541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82 655</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366 124</w:t>
            </w:r>
          </w:p>
        </w:tc>
      </w:tr>
      <w:tr w:rsidR="002A2DE3" w:rsidRPr="00234DDE"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sidRPr="00234DDE">
              <w:rPr>
                <w:rFonts w:ascii="Times New Roman" w:hAnsi="Times New Roman"/>
                <w:color w:val="000000"/>
                <w:sz w:val="28"/>
                <w:szCs w:val="28"/>
                <w:lang w:eastAsia="ru-RU"/>
              </w:rPr>
              <w:t>2015</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108 222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512 684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133 096</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95 053</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234DDE"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392 758</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Оптимистический предполагает, что компания будет успешно следовать своей стратегии развития, укрепит позиции в уже освоенных сегментах кондитерского рынка и будет увеличивать свою долю  в новых для компании сегментах. Этому будет способствовать рост и развитие российского кондитерского рынка.</w:t>
      </w:r>
    </w:p>
    <w:p w:rsidR="002A2DE3" w:rsidRPr="0049372C"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Ожидаемые темпы роста выручки в последующие пять лет составят 16%, себестоимости и амортизации – 13%, капитальных затрат – 10%.  Изменения чистого оборотного капитала составят 12% в течение всего прогнозного периода. Долгосрочный темп роста компании в </w:t>
      </w:r>
      <w:proofErr w:type="spellStart"/>
      <w:r>
        <w:rPr>
          <w:rFonts w:ascii="Times New Roman" w:hAnsi="Times New Roman"/>
          <w:sz w:val="28"/>
          <w:szCs w:val="28"/>
        </w:rPr>
        <w:t>постпрогнозе</w:t>
      </w:r>
      <w:proofErr w:type="spellEnd"/>
      <w:r>
        <w:rPr>
          <w:rFonts w:ascii="Times New Roman" w:hAnsi="Times New Roman"/>
          <w:sz w:val="28"/>
          <w:szCs w:val="28"/>
        </w:rPr>
        <w:t xml:space="preserve"> примем равным 5%, в предположении о том, что предприятие будет функционировать эффективнее конкурентов, а кондитерский рынок – стремительно развиваться.</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допущениями оптимистичного сценария развития компании в ближайшем будущем были рассчитаны величины денежного потока для каждого года прогнозного периода. Результаты представлены в таблице 8.</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Таблица 8</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 xml:space="preserve">Денежный поток КФ им. Крупской </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в 2011 – 2015 г. оптимистичный прогноз</w:t>
      </w:r>
    </w:p>
    <w:tbl>
      <w:tblPr>
        <w:tblW w:w="5000" w:type="pct"/>
        <w:tblLook w:val="04A0"/>
      </w:tblPr>
      <w:tblGrid>
        <w:gridCol w:w="1507"/>
        <w:gridCol w:w="1754"/>
        <w:gridCol w:w="1507"/>
        <w:gridCol w:w="1506"/>
        <w:gridCol w:w="1506"/>
        <w:gridCol w:w="1506"/>
      </w:tblGrid>
      <w:tr w:rsidR="002A2DE3" w:rsidRPr="003504F5" w:rsidTr="002A3642">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EBIT*(1-t)</w:t>
            </w:r>
          </w:p>
          <w:p w:rsidR="002A2DE3" w:rsidRPr="003504F5"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3504F5">
              <w:rPr>
                <w:rFonts w:ascii="Times New Roman" w:hAnsi="Times New Roman"/>
                <w:color w:val="000000"/>
                <w:sz w:val="28"/>
                <w:szCs w:val="28"/>
                <w:lang w:eastAsia="ru-RU"/>
              </w:rPr>
              <w:t>Dep</w:t>
            </w:r>
            <w:proofErr w:type="spellEnd"/>
          </w:p>
          <w:p w:rsidR="002A2DE3" w:rsidRPr="003504F5"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 NWC</w:t>
            </w:r>
          </w:p>
          <w:p w:rsidR="002A2DE3" w:rsidRPr="003504F5"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3504F5">
              <w:rPr>
                <w:rFonts w:ascii="Times New Roman" w:hAnsi="Times New Roman"/>
                <w:color w:val="000000"/>
                <w:sz w:val="28"/>
                <w:szCs w:val="28"/>
                <w:lang w:eastAsia="ru-RU"/>
              </w:rPr>
              <w:t>Capex</w:t>
            </w:r>
            <w:proofErr w:type="spellEnd"/>
          </w:p>
          <w:p w:rsidR="002A2DE3" w:rsidRPr="003504F5"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3504F5">
              <w:rPr>
                <w:rFonts w:ascii="Times New Roman" w:hAnsi="Times New Roman"/>
                <w:color w:val="000000"/>
                <w:sz w:val="28"/>
                <w:szCs w:val="28"/>
                <w:lang w:eastAsia="ru-RU"/>
              </w:rPr>
              <w:t>CF_opt</w:t>
            </w:r>
            <w:proofErr w:type="spellEnd"/>
          </w:p>
          <w:p w:rsidR="002A2DE3" w:rsidRPr="003504F5" w:rsidRDefault="002A2DE3" w:rsidP="002A3642">
            <w:pPr>
              <w:spacing w:after="0" w:line="36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w:t>
            </w:r>
            <w:proofErr w:type="gramStart"/>
            <w:r>
              <w:rPr>
                <w:rFonts w:ascii="Times New Roman" w:hAnsi="Times New Roman"/>
                <w:color w:val="000000"/>
                <w:sz w:val="26"/>
                <w:szCs w:val="26"/>
                <w:lang w:eastAsia="ru-RU"/>
              </w:rPr>
              <w:t>.р</w:t>
            </w:r>
            <w:proofErr w:type="gramEnd"/>
            <w:r>
              <w:rPr>
                <w:rFonts w:ascii="Times New Roman" w:hAnsi="Times New Roman"/>
                <w:color w:val="000000"/>
                <w:sz w:val="26"/>
                <w:szCs w:val="26"/>
                <w:lang w:eastAsia="ru-RU"/>
              </w:rPr>
              <w:t>уб.)</w:t>
            </w:r>
          </w:p>
        </w:tc>
      </w:tr>
      <w:tr w:rsidR="002A2DE3" w:rsidRPr="003504F5"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2011</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161 687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390 667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70 244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51 984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430 126</w:t>
            </w:r>
          </w:p>
        </w:tc>
      </w:tr>
      <w:tr w:rsidR="002A2DE3" w:rsidRPr="003504F5"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2012</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231 280</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441 454</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78 673</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57 182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536 878</w:t>
            </w:r>
          </w:p>
        </w:tc>
      </w:tr>
      <w:tr w:rsidR="002A2DE3" w:rsidRPr="003504F5" w:rsidTr="002A3642">
        <w:trPr>
          <w:trHeight w:val="300"/>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2013</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291 810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498 843</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88 114</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62 900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639 638</w:t>
            </w:r>
          </w:p>
        </w:tc>
      </w:tr>
      <w:tr w:rsidR="002A2DE3" w:rsidRPr="003504F5" w:rsidTr="002A3642">
        <w:trPr>
          <w:trHeight w:val="300"/>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2014</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358 237</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563 692</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98 688</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69 190</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754 051</w:t>
            </w:r>
          </w:p>
        </w:tc>
      </w:tr>
      <w:tr w:rsidR="002A2DE3" w:rsidRPr="003504F5" w:rsidTr="002A3642">
        <w:trPr>
          <w:trHeight w:val="300"/>
        </w:trPr>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sidRPr="003504F5">
              <w:rPr>
                <w:rFonts w:ascii="Times New Roman" w:hAnsi="Times New Roman"/>
                <w:color w:val="000000"/>
                <w:sz w:val="28"/>
                <w:szCs w:val="28"/>
                <w:lang w:eastAsia="ru-RU"/>
              </w:rPr>
              <w:t>2015</w:t>
            </w:r>
          </w:p>
        </w:tc>
        <w:tc>
          <w:tcPr>
            <w:tcW w:w="944"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424 737</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636 972</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110 531</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76 109</w:t>
            </w:r>
          </w:p>
        </w:tc>
        <w:tc>
          <w:tcPr>
            <w:tcW w:w="811" w:type="pct"/>
            <w:tcBorders>
              <w:top w:val="nil"/>
              <w:left w:val="nil"/>
              <w:bottom w:val="single" w:sz="4" w:space="0" w:color="auto"/>
              <w:right w:val="single" w:sz="4" w:space="0" w:color="auto"/>
            </w:tcBorders>
            <w:shd w:val="clear" w:color="auto" w:fill="auto"/>
            <w:noWrap/>
            <w:vAlign w:val="bottom"/>
            <w:hideMark/>
          </w:tcPr>
          <w:p w:rsidR="002A2DE3" w:rsidRPr="003504F5"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875 069</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2A2DE3">
      <w:pPr>
        <w:spacing w:before="120" w:after="120" w:line="360" w:lineRule="auto"/>
        <w:ind w:firstLine="709"/>
        <w:jc w:val="both"/>
        <w:rPr>
          <w:rFonts w:ascii="Times New Roman" w:hAnsi="Times New Roman"/>
          <w:sz w:val="28"/>
          <w:szCs w:val="28"/>
        </w:rPr>
      </w:pPr>
      <w:r w:rsidRPr="00B4196C">
        <w:rPr>
          <w:rFonts w:ascii="Times New Roman" w:hAnsi="Times New Roman"/>
          <w:sz w:val="28"/>
          <w:szCs w:val="28"/>
        </w:rPr>
        <w:t>Определим ставку дисконтирования  по модели средневзвешенной стоимости капитала (</w:t>
      </w:r>
      <w:r w:rsidRPr="00B4196C">
        <w:rPr>
          <w:rFonts w:ascii="Times New Roman" w:hAnsi="Times New Roman"/>
          <w:sz w:val="28"/>
          <w:szCs w:val="28"/>
          <w:lang w:val="en-US"/>
        </w:rPr>
        <w:t>WACC</w:t>
      </w:r>
      <w:r w:rsidRPr="00B4196C">
        <w:rPr>
          <w:rFonts w:ascii="Times New Roman" w:hAnsi="Times New Roman"/>
          <w:sz w:val="28"/>
          <w:szCs w:val="28"/>
        </w:rPr>
        <w:t>), согласн</w:t>
      </w:r>
      <w:r>
        <w:rPr>
          <w:rFonts w:ascii="Times New Roman" w:hAnsi="Times New Roman"/>
          <w:sz w:val="28"/>
          <w:szCs w:val="28"/>
        </w:rPr>
        <w:t>о формуле</w:t>
      </w:r>
      <w:r w:rsidRPr="00B4196C">
        <w:rPr>
          <w:rFonts w:ascii="Times New Roman" w:hAnsi="Times New Roman"/>
          <w:sz w:val="28"/>
          <w:szCs w:val="28"/>
        </w:rPr>
        <w:t>, описанной в главе 2.</w:t>
      </w:r>
      <w:r w:rsidRPr="00AB71E9">
        <w:rPr>
          <w:rFonts w:ascii="Times New Roman" w:hAnsi="Times New Roman"/>
          <w:sz w:val="28"/>
          <w:szCs w:val="28"/>
        </w:rPr>
        <w:t xml:space="preserve">Структура капитала компании такова: 35% от валюты баланса </w:t>
      </w:r>
      <w:r w:rsidRPr="00AB71E9">
        <w:rPr>
          <w:rFonts w:ascii="Times New Roman" w:hAnsi="Times New Roman"/>
          <w:sz w:val="28"/>
          <w:szCs w:val="28"/>
        </w:rPr>
        <w:lastRenderedPageBreak/>
        <w:t>составляют собственные средства предприятия, соответственно 65% - заемные.</w:t>
      </w:r>
      <w:r w:rsidR="00197A80">
        <w:rPr>
          <w:rFonts w:ascii="Times New Roman" w:hAnsi="Times New Roman"/>
          <w:sz w:val="28"/>
          <w:szCs w:val="28"/>
        </w:rPr>
        <w:t xml:space="preserve"> </w:t>
      </w:r>
      <w:r>
        <w:rPr>
          <w:rFonts w:ascii="Times New Roman" w:hAnsi="Times New Roman"/>
          <w:sz w:val="28"/>
          <w:szCs w:val="28"/>
        </w:rPr>
        <w:t>Стоимость заемного капитала равна процентной ставке по кредиту, предоставленному банком ЗАО КБ «</w:t>
      </w:r>
      <w:proofErr w:type="spellStart"/>
      <w:r>
        <w:rPr>
          <w:rFonts w:ascii="Times New Roman" w:hAnsi="Times New Roman"/>
          <w:sz w:val="28"/>
          <w:szCs w:val="28"/>
        </w:rPr>
        <w:t>Ситибанк</w:t>
      </w:r>
      <w:proofErr w:type="spellEnd"/>
      <w:r>
        <w:rPr>
          <w:rFonts w:ascii="Times New Roman" w:hAnsi="Times New Roman"/>
          <w:sz w:val="28"/>
          <w:szCs w:val="28"/>
        </w:rPr>
        <w:t xml:space="preserve">» в рамках кредитной линии и овердрафта. Ставка составляет 8,75%. Стоимость собственного капитала была рассчитана по модели </w:t>
      </w:r>
      <w:r>
        <w:rPr>
          <w:rFonts w:ascii="Times New Roman" w:hAnsi="Times New Roman"/>
          <w:sz w:val="28"/>
          <w:szCs w:val="28"/>
          <w:lang w:val="en-US"/>
        </w:rPr>
        <w:t>CAPM</w:t>
      </w:r>
      <w:r w:rsidRPr="001F66CF">
        <w:rPr>
          <w:rFonts w:ascii="Times New Roman" w:hAnsi="Times New Roman"/>
          <w:sz w:val="28"/>
          <w:szCs w:val="28"/>
        </w:rPr>
        <w:t xml:space="preserve"> (</w:t>
      </w:r>
      <w:r>
        <w:rPr>
          <w:rFonts w:ascii="Times New Roman" w:hAnsi="Times New Roman"/>
          <w:sz w:val="28"/>
          <w:szCs w:val="28"/>
        </w:rPr>
        <w:t xml:space="preserve">глава 2). В качестве </w:t>
      </w:r>
      <w:proofErr w:type="spellStart"/>
      <w:r>
        <w:rPr>
          <w:rFonts w:ascii="Times New Roman" w:hAnsi="Times New Roman"/>
          <w:sz w:val="28"/>
          <w:szCs w:val="28"/>
        </w:rPr>
        <w:t>безрисковой</w:t>
      </w:r>
      <w:proofErr w:type="spellEnd"/>
      <w:r>
        <w:rPr>
          <w:rFonts w:ascii="Times New Roman" w:hAnsi="Times New Roman"/>
          <w:sz w:val="28"/>
          <w:szCs w:val="28"/>
        </w:rPr>
        <w:t xml:space="preserve"> ставки (</w:t>
      </w:r>
      <w:proofErr w:type="spellStart"/>
      <w:r>
        <w:rPr>
          <w:rFonts w:ascii="Times New Roman" w:hAnsi="Times New Roman"/>
          <w:sz w:val="28"/>
          <w:szCs w:val="28"/>
          <w:lang w:val="en-US"/>
        </w:rPr>
        <w:t>R</w:t>
      </w:r>
      <w:r w:rsidRPr="001F66CF">
        <w:rPr>
          <w:rFonts w:ascii="Times New Roman" w:hAnsi="Times New Roman"/>
          <w:sz w:val="28"/>
          <w:szCs w:val="28"/>
          <w:vertAlign w:val="subscript"/>
          <w:lang w:val="en-US"/>
        </w:rPr>
        <w:t>rf</w:t>
      </w:r>
      <w:proofErr w:type="spellEnd"/>
      <w:r w:rsidRPr="001F66CF">
        <w:rPr>
          <w:rFonts w:ascii="Times New Roman" w:hAnsi="Times New Roman"/>
          <w:sz w:val="28"/>
          <w:szCs w:val="28"/>
        </w:rPr>
        <w:t xml:space="preserve">) </w:t>
      </w:r>
      <w:r>
        <w:rPr>
          <w:rFonts w:ascii="Times New Roman" w:hAnsi="Times New Roman"/>
          <w:sz w:val="28"/>
          <w:szCs w:val="28"/>
        </w:rPr>
        <w:t xml:space="preserve"> были использована ставка по долгосрочным ГКО-ОФЗ равная 6,56</w:t>
      </w:r>
      <w:r w:rsidRPr="002D4219">
        <w:rPr>
          <w:rFonts w:ascii="Times New Roman" w:hAnsi="Times New Roman"/>
          <w:sz w:val="28"/>
          <w:szCs w:val="28"/>
        </w:rPr>
        <w:t>%.</w:t>
      </w:r>
      <w:r>
        <w:rPr>
          <w:rFonts w:ascii="Times New Roman" w:hAnsi="Times New Roman"/>
          <w:sz w:val="28"/>
          <w:szCs w:val="28"/>
        </w:rPr>
        <w:t xml:space="preserve"> Премия за риск, а также </w:t>
      </w:r>
      <w:proofErr w:type="spellStart"/>
      <w:r>
        <w:rPr>
          <w:rFonts w:ascii="Times New Roman" w:hAnsi="Times New Roman"/>
          <w:sz w:val="28"/>
          <w:szCs w:val="28"/>
        </w:rPr>
        <w:t>страновой</w:t>
      </w:r>
      <w:proofErr w:type="spellEnd"/>
      <w:r w:rsidR="00197A80">
        <w:rPr>
          <w:rFonts w:ascii="Times New Roman" w:hAnsi="Times New Roman"/>
          <w:sz w:val="28"/>
          <w:szCs w:val="28"/>
        </w:rPr>
        <w:t xml:space="preserve"> </w:t>
      </w:r>
      <w:r w:rsidRPr="00560DC5">
        <w:rPr>
          <w:rFonts w:ascii="Times New Roman" w:hAnsi="Times New Roman"/>
          <w:sz w:val="28"/>
          <w:szCs w:val="28"/>
        </w:rPr>
        <w:t xml:space="preserve">риск были заимствованы из информационной базы </w:t>
      </w:r>
      <w:proofErr w:type="spellStart"/>
      <w:r w:rsidRPr="00560DC5">
        <w:rPr>
          <w:rFonts w:ascii="Times New Roman" w:hAnsi="Times New Roman"/>
          <w:sz w:val="28"/>
          <w:szCs w:val="28"/>
          <w:lang w:val="en-US"/>
        </w:rPr>
        <w:t>Damodaran</w:t>
      </w:r>
      <w:proofErr w:type="spellEnd"/>
      <w:r w:rsidRPr="00560DC5">
        <w:rPr>
          <w:rFonts w:ascii="Times New Roman" w:hAnsi="Times New Roman"/>
          <w:sz w:val="28"/>
          <w:szCs w:val="28"/>
        </w:rPr>
        <w:t>-</w:t>
      </w:r>
      <w:r w:rsidRPr="00560DC5">
        <w:rPr>
          <w:rFonts w:ascii="Times New Roman" w:hAnsi="Times New Roman"/>
          <w:sz w:val="28"/>
          <w:szCs w:val="28"/>
          <w:lang w:val="en-US"/>
        </w:rPr>
        <w:t>online</w:t>
      </w:r>
      <w:r w:rsidRPr="00560DC5">
        <w:rPr>
          <w:rFonts w:ascii="Times New Roman" w:hAnsi="Times New Roman"/>
          <w:sz w:val="28"/>
          <w:szCs w:val="28"/>
        </w:rPr>
        <w:t xml:space="preserve">. </w:t>
      </w:r>
      <w:r>
        <w:rPr>
          <w:rFonts w:ascii="Times New Roman" w:hAnsi="Times New Roman"/>
          <w:sz w:val="28"/>
          <w:szCs w:val="28"/>
        </w:rPr>
        <w:t>Риск компании был оценен и присвоен методом экспертных оценок. Подробный расчет ставки доходности для собственного капитала представлен в таблице 9.</w:t>
      </w:r>
    </w:p>
    <w:p w:rsidR="002A2DE3" w:rsidRPr="00CC3983" w:rsidRDefault="002A2DE3" w:rsidP="002A2DE3">
      <w:pPr>
        <w:spacing w:before="120" w:after="120" w:line="360" w:lineRule="auto"/>
        <w:ind w:firstLine="709"/>
        <w:jc w:val="both"/>
        <w:rPr>
          <w:rFonts w:ascii="Times New Roman" w:hAnsi="Times New Roman"/>
          <w:sz w:val="28"/>
          <w:szCs w:val="28"/>
        </w:rPr>
      </w:pPr>
      <w:r>
        <w:rPr>
          <w:rFonts w:ascii="Times New Roman" w:hAnsi="Times New Roman"/>
          <w:sz w:val="28"/>
          <w:szCs w:val="28"/>
        </w:rPr>
        <w:t xml:space="preserve">Коэффициент бета был рассчитан по формуле </w:t>
      </w:r>
      <w:proofErr w:type="spellStart"/>
      <w:r>
        <w:rPr>
          <w:rFonts w:ascii="Times New Roman" w:hAnsi="Times New Roman"/>
          <w:sz w:val="28"/>
          <w:szCs w:val="28"/>
        </w:rPr>
        <w:t>Хамады</w:t>
      </w:r>
      <w:proofErr w:type="spellEnd"/>
      <w:r>
        <w:rPr>
          <w:rFonts w:ascii="Times New Roman" w:hAnsi="Times New Roman"/>
          <w:sz w:val="28"/>
          <w:szCs w:val="28"/>
        </w:rPr>
        <w:t xml:space="preserve">, так как структура капитала Крупской не совпадает </w:t>
      </w:r>
      <w:proofErr w:type="gramStart"/>
      <w:r>
        <w:rPr>
          <w:rFonts w:ascii="Times New Roman" w:hAnsi="Times New Roman"/>
          <w:sz w:val="28"/>
          <w:szCs w:val="28"/>
        </w:rPr>
        <w:t>с</w:t>
      </w:r>
      <w:proofErr w:type="gramEnd"/>
      <w:r>
        <w:rPr>
          <w:rFonts w:ascii="Times New Roman" w:hAnsi="Times New Roman"/>
          <w:sz w:val="28"/>
          <w:szCs w:val="28"/>
        </w:rPr>
        <w:t xml:space="preserve"> отраслевой. </w:t>
      </w:r>
      <w:proofErr w:type="spellStart"/>
      <w:r>
        <w:rPr>
          <w:rFonts w:ascii="Times New Roman" w:hAnsi="Times New Roman"/>
          <w:sz w:val="28"/>
          <w:szCs w:val="28"/>
        </w:rPr>
        <w:t>Безрычажная</w:t>
      </w:r>
      <w:proofErr w:type="spellEnd"/>
      <w:r>
        <w:rPr>
          <w:rFonts w:ascii="Times New Roman" w:hAnsi="Times New Roman"/>
          <w:sz w:val="28"/>
          <w:szCs w:val="28"/>
        </w:rPr>
        <w:t xml:space="preserve"> бета для пищевой отрасли равна 0,74.  Коэффициент </w:t>
      </w:r>
      <w:r>
        <w:rPr>
          <w:rFonts w:ascii="Times New Roman" w:hAnsi="Times New Roman"/>
          <w:sz w:val="28"/>
          <w:szCs w:val="28"/>
          <w:lang w:val="en-US"/>
        </w:rPr>
        <w:t>D</w:t>
      </w:r>
      <w:r w:rsidRPr="00CC3983">
        <w:rPr>
          <w:rFonts w:ascii="Times New Roman" w:hAnsi="Times New Roman"/>
          <w:sz w:val="28"/>
          <w:szCs w:val="28"/>
        </w:rPr>
        <w:t>/</w:t>
      </w:r>
      <w:proofErr w:type="gramStart"/>
      <w:r>
        <w:rPr>
          <w:rFonts w:ascii="Times New Roman" w:hAnsi="Times New Roman"/>
          <w:sz w:val="28"/>
          <w:szCs w:val="28"/>
          <w:lang w:val="en-US"/>
        </w:rPr>
        <w:t>E</w:t>
      </w:r>
      <w:proofErr w:type="gramEnd"/>
      <w:r>
        <w:rPr>
          <w:rFonts w:ascii="Times New Roman" w:hAnsi="Times New Roman"/>
          <w:sz w:val="28"/>
          <w:szCs w:val="28"/>
        </w:rPr>
        <w:t>составляет 80,1%.</w:t>
      </w:r>
    </w:p>
    <w:p w:rsidR="002A2DE3" w:rsidRDefault="002A2DE3" w:rsidP="002A2DE3">
      <w:pPr>
        <w:spacing w:before="120" w:after="120" w:line="360" w:lineRule="auto"/>
        <w:ind w:firstLine="709"/>
        <w:jc w:val="both"/>
        <w:rPr>
          <w:rFonts w:ascii="Times New Roman" w:hAnsi="Times New Roman"/>
          <w:sz w:val="28"/>
          <w:szCs w:val="28"/>
        </w:rPr>
      </w:pPr>
      <m:oMathPara>
        <m:oMath>
          <m:r>
            <w:rPr>
              <w:rFonts w:ascii="Cambria Math" w:hAnsi="Cambria Math"/>
              <w:sz w:val="28"/>
              <w:szCs w:val="28"/>
            </w:rPr>
            <m:t xml:space="preserve">β=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lang w:val="en-US"/>
                </w:rPr>
                <m:t>unlevered</m:t>
              </m:r>
            </m:sub>
          </m:sSub>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1-t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E</m:t>
              </m:r>
            </m:den>
          </m:f>
          <m:r>
            <w:rPr>
              <w:rFonts w:ascii="Cambria Math" w:hAnsi="Cambria Math"/>
              <w:sz w:val="28"/>
              <w:szCs w:val="28"/>
            </w:rPr>
            <m:t>)</m:t>
          </m:r>
        </m:oMath>
      </m:oMathPara>
    </w:p>
    <w:p w:rsidR="002A2DE3"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Таблица 9</w:t>
      </w:r>
    </w:p>
    <w:p w:rsidR="002A2DE3" w:rsidRPr="00560DC5"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 xml:space="preserve">Расчет ставки доходности для СК «Крупской» по модели </w:t>
      </w:r>
      <w:r>
        <w:rPr>
          <w:rFonts w:ascii="Times New Roman" w:hAnsi="Times New Roman"/>
          <w:sz w:val="28"/>
          <w:szCs w:val="28"/>
          <w:lang w:val="en-US"/>
        </w:rPr>
        <w:t>CAPM</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1"/>
        <w:gridCol w:w="2631"/>
      </w:tblGrid>
      <w:tr w:rsidR="002A2DE3" w:rsidRPr="007C7230" w:rsidTr="002A3642">
        <w:trPr>
          <w:trHeight w:val="300"/>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Компонент</w:t>
            </w:r>
          </w:p>
        </w:tc>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Значение</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R</w:t>
            </w:r>
            <w:r w:rsidRPr="007C7230">
              <w:rPr>
                <w:rFonts w:ascii="Times New Roman" w:hAnsi="Times New Roman"/>
                <w:color w:val="000000"/>
                <w:sz w:val="28"/>
                <w:szCs w:val="28"/>
                <w:vertAlign w:val="subscript"/>
                <w:lang w:eastAsia="ru-RU"/>
              </w:rPr>
              <w:t>rf</w:t>
            </w:r>
            <w:proofErr w:type="spellEnd"/>
          </w:p>
        </w:tc>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6,56%</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β</w:t>
            </w:r>
          </w:p>
        </w:tc>
        <w:tc>
          <w:tcPr>
            <w:tcW w:w="2631" w:type="dxa"/>
            <w:shd w:val="clear" w:color="auto" w:fill="auto"/>
            <w:noWrap/>
            <w:vAlign w:val="center"/>
            <w:hideMark/>
          </w:tcPr>
          <w:p w:rsidR="002A2DE3" w:rsidRPr="002D4219" w:rsidRDefault="002A2DE3" w:rsidP="002A3642">
            <w:pPr>
              <w:spacing w:after="0" w:line="480" w:lineRule="auto"/>
              <w:jc w:val="center"/>
              <w:rPr>
                <w:rFonts w:ascii="Times New Roman" w:hAnsi="Times New Roman"/>
                <w:color w:val="000000"/>
                <w:sz w:val="28"/>
                <w:szCs w:val="28"/>
                <w:lang w:eastAsia="ru-RU"/>
              </w:rPr>
            </w:pPr>
            <w:r w:rsidRPr="002D4219">
              <w:rPr>
                <w:rFonts w:ascii="Times New Roman" w:hAnsi="Times New Roman"/>
                <w:color w:val="000000"/>
                <w:sz w:val="28"/>
                <w:szCs w:val="28"/>
                <w:lang w:eastAsia="ru-RU"/>
              </w:rPr>
              <w:t>1,21</w:t>
            </w:r>
          </w:p>
        </w:tc>
      </w:tr>
      <w:tr w:rsidR="002A2DE3" w:rsidRPr="007C7230" w:rsidTr="002A3642">
        <w:trPr>
          <w:trHeight w:val="315"/>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Riskpremium</w:t>
            </w:r>
            <w:proofErr w:type="spellEnd"/>
          </w:p>
        </w:tc>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8,05%</w:t>
            </w:r>
          </w:p>
        </w:tc>
      </w:tr>
      <w:tr w:rsidR="002A2DE3" w:rsidRPr="007C7230" w:rsidTr="002A3642">
        <w:trPr>
          <w:trHeight w:val="536"/>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Countryrisk</w:t>
            </w:r>
            <w:proofErr w:type="spellEnd"/>
          </w:p>
        </w:tc>
        <w:tc>
          <w:tcPr>
            <w:tcW w:w="2631" w:type="dxa"/>
            <w:shd w:val="clear" w:color="auto" w:fill="auto"/>
            <w:vAlign w:val="center"/>
          </w:tcPr>
          <w:p w:rsidR="002A2DE3" w:rsidRPr="007C7230" w:rsidRDefault="002A2DE3" w:rsidP="002A3642">
            <w:pPr>
              <w:spacing w:after="0" w:line="48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2,25%</w:t>
            </w:r>
          </w:p>
        </w:tc>
      </w:tr>
      <w:tr w:rsidR="002A2DE3" w:rsidRPr="007C7230" w:rsidTr="002A3642">
        <w:trPr>
          <w:trHeight w:val="536"/>
          <w:jc w:val="center"/>
        </w:trPr>
        <w:tc>
          <w:tcPr>
            <w:tcW w:w="2631" w:type="dxa"/>
            <w:shd w:val="clear" w:color="auto" w:fill="auto"/>
            <w:noWrap/>
            <w:vAlign w:val="center"/>
            <w:hideMark/>
          </w:tcPr>
          <w:p w:rsidR="002A2DE3" w:rsidRPr="00560DC5" w:rsidRDefault="002A2DE3" w:rsidP="002A3642">
            <w:pPr>
              <w:spacing w:after="0" w:line="480" w:lineRule="auto"/>
              <w:jc w:val="center"/>
              <w:rPr>
                <w:rFonts w:ascii="Times New Roman" w:hAnsi="Times New Roman"/>
                <w:color w:val="000000"/>
                <w:sz w:val="28"/>
                <w:szCs w:val="28"/>
                <w:lang w:eastAsia="ru-RU"/>
              </w:rPr>
            </w:pPr>
            <w:proofErr w:type="spellStart"/>
            <w:r>
              <w:rPr>
                <w:rFonts w:ascii="Times New Roman" w:hAnsi="Times New Roman"/>
                <w:color w:val="000000"/>
                <w:sz w:val="28"/>
                <w:szCs w:val="28"/>
                <w:lang w:val="en-US" w:eastAsia="ru-RU"/>
              </w:rPr>
              <w:t>Companyrisk</w:t>
            </w:r>
            <w:proofErr w:type="spellEnd"/>
          </w:p>
        </w:tc>
        <w:tc>
          <w:tcPr>
            <w:tcW w:w="2631" w:type="dxa"/>
            <w:shd w:val="clear" w:color="auto" w:fill="auto"/>
            <w:vAlign w:val="center"/>
          </w:tcPr>
          <w:p w:rsidR="002A2DE3" w:rsidRPr="007C7230" w:rsidRDefault="002A2DE3" w:rsidP="002A3642">
            <w:pPr>
              <w:spacing w:after="0" w:line="48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CAPM</w:t>
            </w:r>
          </w:p>
        </w:tc>
        <w:tc>
          <w:tcPr>
            <w:tcW w:w="2631" w:type="dxa"/>
            <w:shd w:val="clear" w:color="auto" w:fill="auto"/>
            <w:noWrap/>
            <w:vAlign w:val="center"/>
            <w:hideMark/>
          </w:tcPr>
          <w:p w:rsidR="002A2DE3" w:rsidRPr="007C7230" w:rsidRDefault="002A2DE3" w:rsidP="002A3642">
            <w:pPr>
              <w:spacing w:after="0" w:line="48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21,55</w:t>
            </w:r>
            <w:r w:rsidRPr="007C7230">
              <w:rPr>
                <w:rFonts w:ascii="Times New Roman" w:hAnsi="Times New Roman"/>
                <w:color w:val="000000"/>
                <w:sz w:val="28"/>
                <w:szCs w:val="28"/>
                <w:lang w:eastAsia="ru-RU"/>
              </w:rPr>
              <w:t>%</w:t>
            </w:r>
          </w:p>
        </w:tc>
      </w:tr>
    </w:tbl>
    <w:p w:rsidR="002A2DE3" w:rsidRDefault="002A2DE3" w:rsidP="002A2DE3">
      <w:pPr>
        <w:spacing w:after="0" w:line="360" w:lineRule="auto"/>
        <w:jc w:val="both"/>
        <w:rPr>
          <w:rFonts w:ascii="Times New Roman" w:hAnsi="Times New Roman"/>
          <w:sz w:val="28"/>
          <w:szCs w:val="28"/>
        </w:rPr>
      </w:pPr>
    </w:p>
    <w:p w:rsidR="00964201" w:rsidRDefault="002A2DE3" w:rsidP="00916A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Доходность собственного капитала предприятия составила 21,55%. Результаты расчета средневзвешенной стоимости капитала отражены в таблице 10.</w:t>
      </w:r>
    </w:p>
    <w:p w:rsidR="002A2DE3"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Таблица 10</w:t>
      </w:r>
    </w:p>
    <w:p w:rsidR="002A2DE3" w:rsidRPr="000858AA"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 xml:space="preserve">Расчет ставки дисконтирования по модели </w:t>
      </w:r>
      <w:r>
        <w:rPr>
          <w:rFonts w:ascii="Times New Roman" w:hAnsi="Times New Roman"/>
          <w:sz w:val="28"/>
          <w:szCs w:val="28"/>
          <w:lang w:val="en-US"/>
        </w:rPr>
        <w:t>WACC</w:t>
      </w:r>
    </w:p>
    <w:tbl>
      <w:tblPr>
        <w:tblW w:w="9667" w:type="dxa"/>
        <w:jc w:val="center"/>
        <w:shd w:val="clear" w:color="auto" w:fill="FFFFFF" w:themeFill="background1"/>
        <w:tblLook w:val="04A0"/>
      </w:tblPr>
      <w:tblGrid>
        <w:gridCol w:w="3288"/>
        <w:gridCol w:w="1080"/>
        <w:gridCol w:w="1059"/>
        <w:gridCol w:w="1060"/>
        <w:gridCol w:w="1060"/>
        <w:gridCol w:w="1060"/>
        <w:gridCol w:w="1060"/>
      </w:tblGrid>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Компонент</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2011П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2012П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2013П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2014П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2015П</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proofErr w:type="spellStart"/>
            <w:r w:rsidRPr="00651FAE">
              <w:rPr>
                <w:rFonts w:ascii="Times New Roman" w:hAnsi="Times New Roman"/>
                <w:color w:val="000000"/>
                <w:sz w:val="28"/>
                <w:szCs w:val="28"/>
                <w:lang w:val="en-US"/>
              </w:rPr>
              <w:t>Rrf</w:t>
            </w:r>
            <w:proofErr w:type="spellEnd"/>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β</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Risk premium</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r>
      <w:tr w:rsidR="002A2DE3" w:rsidRPr="00B82328" w:rsidTr="002A3642">
        <w:trPr>
          <w:trHeight w:val="454"/>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A2DE3" w:rsidRPr="00651FAE" w:rsidRDefault="002A2DE3" w:rsidP="002A3642">
            <w:pPr>
              <w:spacing w:line="360" w:lineRule="auto"/>
              <w:ind w:right="-109"/>
              <w:jc w:val="center"/>
              <w:rPr>
                <w:rFonts w:ascii="Times New Roman" w:hAnsi="Times New Roman"/>
                <w:color w:val="000000"/>
                <w:sz w:val="28"/>
                <w:szCs w:val="28"/>
              </w:rPr>
            </w:pPr>
            <w:proofErr w:type="spellStart"/>
            <w:r w:rsidRPr="00651FAE">
              <w:rPr>
                <w:rFonts w:ascii="Times New Roman" w:hAnsi="Times New Roman"/>
                <w:color w:val="000000"/>
                <w:sz w:val="28"/>
                <w:szCs w:val="28"/>
                <w:lang w:val="en-US"/>
              </w:rPr>
              <w:t>Countryrisk</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r>
      <w:tr w:rsidR="002A2DE3" w:rsidRPr="00B82328" w:rsidTr="002A3642">
        <w:trPr>
          <w:trHeight w:val="34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3272CC"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Company risk</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447CDF"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
                <w:color w:val="000000"/>
                <w:sz w:val="28"/>
                <w:szCs w:val="28"/>
              </w:rPr>
            </w:pPr>
            <w:r w:rsidRPr="00651FAE">
              <w:rPr>
                <w:rFonts w:ascii="Times New Roman" w:hAnsi="Times New Roman"/>
                <w:b/>
                <w:color w:val="000000"/>
                <w:sz w:val="28"/>
                <w:szCs w:val="28"/>
              </w:rPr>
              <w:t>CAPM</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21,55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Налог на прибыль</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jc w:val="center"/>
              <w:rPr>
                <w:rFonts w:ascii="Times New Roman" w:hAnsi="Times New Roman"/>
                <w:color w:val="000000"/>
                <w:sz w:val="28"/>
                <w:szCs w:val="28"/>
              </w:rPr>
            </w:pPr>
            <w:r w:rsidRPr="00651FAE">
              <w:rPr>
                <w:rFonts w:ascii="Times New Roman" w:hAnsi="Times New Roman"/>
                <w:color w:val="000000"/>
                <w:sz w:val="28"/>
                <w:szCs w:val="28"/>
              </w:rPr>
              <w:t>Ставка рефинансирования</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proofErr w:type="spellStart"/>
            <w:r w:rsidRPr="00651FAE">
              <w:rPr>
                <w:rFonts w:ascii="Times New Roman" w:hAnsi="Times New Roman"/>
                <w:color w:val="000000"/>
                <w:sz w:val="28"/>
                <w:szCs w:val="28"/>
              </w:rPr>
              <w:t>k</w:t>
            </w:r>
            <w:proofErr w:type="spellEnd"/>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9,075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Ставка доходности по ЗК</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8,75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8,75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9,15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9,35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9,65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9,65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Доля СК,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0,35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0,3</w:t>
            </w:r>
            <w:r>
              <w:rPr>
                <w:rFonts w:ascii="Times New Roman" w:hAnsi="Times New Roman"/>
                <w:color w:val="000000"/>
                <w:sz w:val="28"/>
                <w:szCs w:val="28"/>
                <w:lang w:val="en-US"/>
              </w:rPr>
              <w:t>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0,38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0,4</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Доля ЗК,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w:t>
            </w:r>
            <w:r>
              <w:rPr>
                <w:rFonts w:ascii="Times New Roman" w:hAnsi="Times New Roman"/>
                <w:color w:val="000000"/>
                <w:sz w:val="28"/>
                <w:szCs w:val="28"/>
                <w:lang w:val="en-US"/>
              </w:rPr>
              <w:t>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0,62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0,6</w:t>
            </w:r>
          </w:p>
        </w:tc>
      </w:tr>
      <w:tr w:rsidR="002A2DE3" w:rsidRPr="00B83145"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
                <w:color w:val="000000"/>
                <w:sz w:val="28"/>
                <w:szCs w:val="28"/>
              </w:rPr>
            </w:pPr>
            <w:r w:rsidRPr="00651FAE">
              <w:rPr>
                <w:rFonts w:ascii="Times New Roman" w:hAnsi="Times New Roman"/>
                <w:b/>
                <w:color w:val="000000"/>
                <w:sz w:val="28"/>
                <w:szCs w:val="28"/>
              </w:rPr>
              <w:t>WACC</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10,8%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CC3983"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12,6%</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Рассчитанные ранее денежные потоки по трем сценариям, представленные в таблицах 6, 7 и 8, дисконтируем по полученным ставкам. Затем рассчитываем  стоимости компании и стоимости в </w:t>
      </w:r>
      <w:proofErr w:type="spellStart"/>
      <w:r>
        <w:rPr>
          <w:rFonts w:ascii="Times New Roman" w:hAnsi="Times New Roman"/>
          <w:sz w:val="28"/>
          <w:szCs w:val="28"/>
        </w:rPr>
        <w:t>постпрогнозном</w:t>
      </w:r>
      <w:proofErr w:type="spellEnd"/>
      <w:r>
        <w:rPr>
          <w:rFonts w:ascii="Times New Roman" w:hAnsi="Times New Roman"/>
          <w:sz w:val="28"/>
          <w:szCs w:val="28"/>
        </w:rPr>
        <w:t xml:space="preserve"> </w:t>
      </w:r>
      <w:r>
        <w:rPr>
          <w:rFonts w:ascii="Times New Roman" w:hAnsi="Times New Roman"/>
          <w:sz w:val="28"/>
          <w:szCs w:val="28"/>
        </w:rPr>
        <w:lastRenderedPageBreak/>
        <w:t xml:space="preserve">периоде в соответствии с каждым из сценариев с использованием модели Гордона. Подробный расчет описан в таблице 11.  Каждому из сценариев придадим веса при расчете итоговой стоимости КФ им. Крупской. Так реальный прогноз составит 60%, а пессимистичный и оптимистичный 30% и 10% соответственно. </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Таблица 11</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Стоимость КФ им. Крупской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638"/>
        <w:gridCol w:w="1515"/>
        <w:gridCol w:w="1515"/>
        <w:gridCol w:w="1515"/>
        <w:gridCol w:w="1514"/>
      </w:tblGrid>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2011</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2012</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2013</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2014</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2015</w:t>
            </w: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DCF_real</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314 698</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339 189</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566 070</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556 482</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389 154</w:t>
            </w: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PV_real</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2 165 592</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Vterm_real</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4 690 667</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b/>
                <w:color w:val="000000"/>
                <w:sz w:val="28"/>
                <w:szCs w:val="28"/>
                <w:lang w:eastAsia="ru-RU"/>
              </w:rPr>
            </w:pPr>
            <w:proofErr w:type="spellStart"/>
            <w:r w:rsidRPr="00B13813">
              <w:rPr>
                <w:rFonts w:ascii="Times New Roman" w:hAnsi="Times New Roman" w:cs="Times New Roman"/>
                <w:b/>
                <w:color w:val="000000"/>
                <w:sz w:val="28"/>
                <w:szCs w:val="28"/>
                <w:lang w:eastAsia="ru-RU"/>
              </w:rPr>
              <w:t>Valuereal</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6 856 260</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624"/>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DCF_pes</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282 565</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262 956</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236 878</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227 530</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216 715</w:t>
            </w: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PV_pes</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1 226 645</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Vterm_pes</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2 318 361</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b/>
                <w:color w:val="000000"/>
                <w:sz w:val="28"/>
                <w:szCs w:val="28"/>
                <w:lang w:eastAsia="ru-RU"/>
              </w:rPr>
            </w:pPr>
            <w:proofErr w:type="spellStart"/>
            <w:r w:rsidRPr="00B13813">
              <w:rPr>
                <w:rFonts w:ascii="Times New Roman" w:hAnsi="Times New Roman" w:cs="Times New Roman"/>
                <w:b/>
                <w:color w:val="000000"/>
                <w:sz w:val="28"/>
                <w:szCs w:val="28"/>
                <w:lang w:eastAsia="ru-RU"/>
              </w:rPr>
              <w:t>Valuepes</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3 545 006</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DCF_opt</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383 723</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565 575</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464 745</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591 272</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482 844</w:t>
            </w: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PV_opt</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2 488 159</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roofErr w:type="spellStart"/>
            <w:r w:rsidRPr="00B13813">
              <w:rPr>
                <w:rFonts w:ascii="Times New Roman" w:hAnsi="Times New Roman" w:cs="Times New Roman"/>
                <w:color w:val="000000"/>
                <w:sz w:val="28"/>
                <w:szCs w:val="28"/>
                <w:lang w:eastAsia="ru-RU"/>
              </w:rPr>
              <w:t>Vterm_opt</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6 646 207</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00"/>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b/>
                <w:color w:val="000000"/>
                <w:sz w:val="28"/>
                <w:szCs w:val="28"/>
                <w:lang w:eastAsia="ru-RU"/>
              </w:rPr>
            </w:pPr>
            <w:proofErr w:type="spellStart"/>
            <w:r w:rsidRPr="00B13813">
              <w:rPr>
                <w:rFonts w:ascii="Times New Roman" w:hAnsi="Times New Roman" w:cs="Times New Roman"/>
                <w:b/>
                <w:color w:val="000000"/>
                <w:sz w:val="28"/>
                <w:szCs w:val="28"/>
                <w:lang w:eastAsia="ru-RU"/>
              </w:rPr>
              <w:t>Value_opt</w:t>
            </w:r>
            <w:proofErr w:type="spellEnd"/>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r w:rsidRPr="00B13813">
              <w:rPr>
                <w:rFonts w:ascii="Times New Roman" w:hAnsi="Times New Roman" w:cs="Times New Roman"/>
                <w:color w:val="000000"/>
                <w:sz w:val="28"/>
                <w:szCs w:val="28"/>
                <w:lang w:eastAsia="ru-RU"/>
              </w:rPr>
              <w:t>9 134 366</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r w:rsidR="002A2DE3" w:rsidRPr="00B13813" w:rsidTr="002A3642">
        <w:trPr>
          <w:trHeight w:val="315"/>
        </w:trPr>
        <w:tc>
          <w:tcPr>
            <w:tcW w:w="855"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b/>
                <w:bCs/>
                <w:color w:val="000000"/>
                <w:sz w:val="28"/>
                <w:szCs w:val="28"/>
                <w:lang w:eastAsia="ru-RU"/>
              </w:rPr>
            </w:pPr>
            <w:r w:rsidRPr="00B13813">
              <w:rPr>
                <w:rFonts w:ascii="Times New Roman" w:hAnsi="Times New Roman" w:cs="Times New Roman"/>
                <w:b/>
                <w:bCs/>
                <w:color w:val="000000"/>
                <w:sz w:val="28"/>
                <w:szCs w:val="28"/>
                <w:lang w:eastAsia="ru-RU"/>
              </w:rPr>
              <w:t>VALUE</w:t>
            </w:r>
          </w:p>
        </w:tc>
        <w:tc>
          <w:tcPr>
            <w:tcW w:w="882"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b/>
                <w:color w:val="000000"/>
                <w:sz w:val="28"/>
                <w:szCs w:val="28"/>
                <w:lang w:eastAsia="ru-RU"/>
              </w:rPr>
            </w:pPr>
            <w:r w:rsidRPr="00B13813">
              <w:rPr>
                <w:rFonts w:ascii="Times New Roman" w:hAnsi="Times New Roman" w:cs="Times New Roman"/>
                <w:b/>
                <w:color w:val="000000"/>
                <w:sz w:val="28"/>
                <w:szCs w:val="28"/>
                <w:lang w:eastAsia="ru-RU"/>
              </w:rPr>
              <w:t>6 090 694</w:t>
            </w: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c>
          <w:tcPr>
            <w:tcW w:w="816" w:type="pct"/>
            <w:shd w:val="clear" w:color="auto" w:fill="auto"/>
            <w:noWrap/>
            <w:vAlign w:val="bottom"/>
            <w:hideMark/>
          </w:tcPr>
          <w:p w:rsidR="002A2DE3" w:rsidRPr="00B13813" w:rsidRDefault="002A2DE3" w:rsidP="002A3642">
            <w:pPr>
              <w:spacing w:after="0" w:line="360" w:lineRule="auto"/>
              <w:jc w:val="center"/>
              <w:rPr>
                <w:rFonts w:ascii="Times New Roman" w:hAnsi="Times New Roman" w:cs="Times New Roman"/>
                <w:color w:val="000000"/>
                <w:sz w:val="28"/>
                <w:szCs w:val="28"/>
                <w:lang w:eastAsia="ru-RU"/>
              </w:rPr>
            </w:pPr>
          </w:p>
        </w:tc>
      </w:tr>
    </w:tbl>
    <w:p w:rsidR="002A2DE3" w:rsidRDefault="002A2DE3" w:rsidP="002A2DE3">
      <w:pPr>
        <w:spacing w:after="0" w:line="360" w:lineRule="auto"/>
        <w:rPr>
          <w:rFonts w:ascii="Times New Roman" w:hAnsi="Times New Roman"/>
          <w:b/>
          <w:sz w:val="28"/>
          <w:szCs w:val="28"/>
        </w:rPr>
      </w:pPr>
    </w:p>
    <w:p w:rsidR="00F30A00" w:rsidRDefault="00F30A00" w:rsidP="00F30A00">
      <w:pPr>
        <w:spacing w:after="0" w:line="360" w:lineRule="auto"/>
        <w:ind w:firstLine="709"/>
        <w:jc w:val="both"/>
        <w:rPr>
          <w:rFonts w:ascii="Times New Roman" w:hAnsi="Times New Roman"/>
          <w:b/>
          <w:sz w:val="28"/>
          <w:szCs w:val="28"/>
        </w:rPr>
      </w:pPr>
      <w:r>
        <w:rPr>
          <w:rFonts w:ascii="Times New Roman" w:hAnsi="Times New Roman"/>
          <w:sz w:val="28"/>
          <w:szCs w:val="28"/>
        </w:rPr>
        <w:t>По нашим расчетам итоговая стоимость кондитерской фабрики им. Крупской составляет 6,1 млрд. рублей.</w:t>
      </w:r>
    </w:p>
    <w:p w:rsidR="00F30A00" w:rsidRDefault="00F30A00" w:rsidP="00916A66">
      <w:pPr>
        <w:spacing w:after="0" w:line="360" w:lineRule="auto"/>
        <w:jc w:val="both"/>
        <w:rPr>
          <w:rFonts w:ascii="Times New Roman" w:hAnsi="Times New Roman"/>
          <w:b/>
          <w:sz w:val="28"/>
          <w:szCs w:val="28"/>
        </w:rPr>
      </w:pPr>
    </w:p>
    <w:p w:rsidR="002A2DE3" w:rsidRPr="00B4196C" w:rsidRDefault="002A2DE3" w:rsidP="002A2DE3">
      <w:pPr>
        <w:spacing w:after="0" w:line="360" w:lineRule="auto"/>
        <w:ind w:firstLine="709"/>
        <w:jc w:val="center"/>
        <w:rPr>
          <w:rFonts w:ascii="Times New Roman" w:hAnsi="Times New Roman"/>
          <w:b/>
          <w:sz w:val="28"/>
          <w:szCs w:val="28"/>
        </w:rPr>
      </w:pPr>
      <w:r w:rsidRPr="00B4196C">
        <w:rPr>
          <w:rFonts w:ascii="Times New Roman" w:hAnsi="Times New Roman"/>
          <w:b/>
          <w:sz w:val="28"/>
          <w:szCs w:val="28"/>
        </w:rPr>
        <w:t>3.2.2. Оценка стоимости КО «</w:t>
      </w:r>
      <w:proofErr w:type="spellStart"/>
      <w:r w:rsidRPr="00B4196C">
        <w:rPr>
          <w:rFonts w:ascii="Times New Roman" w:hAnsi="Times New Roman"/>
          <w:b/>
          <w:sz w:val="28"/>
          <w:szCs w:val="28"/>
        </w:rPr>
        <w:t>СладКо</w:t>
      </w:r>
      <w:proofErr w:type="spellEnd"/>
      <w:r w:rsidRPr="00B4196C">
        <w:rPr>
          <w:rFonts w:ascii="Times New Roman" w:hAnsi="Times New Roman"/>
          <w:b/>
          <w:sz w:val="28"/>
          <w:szCs w:val="28"/>
        </w:rPr>
        <w:t>»</w:t>
      </w:r>
    </w:p>
    <w:p w:rsidR="002A2DE3" w:rsidRDefault="002A2DE3" w:rsidP="00964201">
      <w:pPr>
        <w:spacing w:before="120" w:after="0" w:line="360" w:lineRule="auto"/>
        <w:ind w:firstLine="709"/>
        <w:jc w:val="both"/>
        <w:rPr>
          <w:rFonts w:ascii="Times New Roman" w:hAnsi="Times New Roman"/>
          <w:sz w:val="28"/>
          <w:szCs w:val="28"/>
        </w:rPr>
      </w:pPr>
      <w:r>
        <w:rPr>
          <w:rFonts w:ascii="Times New Roman" w:hAnsi="Times New Roman"/>
          <w:sz w:val="28"/>
          <w:szCs w:val="28"/>
        </w:rPr>
        <w:t>Оценка стоимости данного предприятия производилась также доходным подходом по трем сценариям развития. Определим предпосылки каждого из них для компании-цели «</w:t>
      </w:r>
      <w:proofErr w:type="spellStart"/>
      <w:r>
        <w:rPr>
          <w:rFonts w:ascii="Times New Roman" w:hAnsi="Times New Roman"/>
          <w:sz w:val="28"/>
          <w:szCs w:val="28"/>
        </w:rPr>
        <w:t>СладКо</w:t>
      </w:r>
      <w:proofErr w:type="spellEnd"/>
      <w:r>
        <w:rPr>
          <w:rFonts w:ascii="Times New Roman" w:hAnsi="Times New Roman"/>
          <w:sz w:val="28"/>
          <w:szCs w:val="28"/>
        </w:rPr>
        <w:t>».</w:t>
      </w:r>
    </w:p>
    <w:p w:rsidR="002A2DE3" w:rsidRDefault="002A2DE3" w:rsidP="00964201">
      <w:pPr>
        <w:spacing w:before="120"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Предпосылки наиболее вероятного (реального) сценария основаны на том, что кондитерский рынок в 2010 году стабилизировался после кризиса 2008 года и даже вырос в стоимостном выражении на 6,7%. Выручка от продаж продукции предприятия за три года (2008-2010 г.), согласно отчетности, росла в среднем на 5%. При этом себестоимость продукции то </w:t>
      </w:r>
      <w:r w:rsidRPr="00AF611B">
        <w:rPr>
          <w:rFonts w:ascii="Times New Roman" w:hAnsi="Times New Roman"/>
          <w:sz w:val="28"/>
          <w:szCs w:val="28"/>
        </w:rPr>
        <w:t>снижалась на 4 - 7% в 2007 и 2009 г., то возрастала</w:t>
      </w:r>
      <w:proofErr w:type="gramEnd"/>
      <w:r w:rsidRPr="00AF611B">
        <w:rPr>
          <w:rFonts w:ascii="Times New Roman" w:hAnsi="Times New Roman"/>
          <w:sz w:val="28"/>
          <w:szCs w:val="28"/>
        </w:rPr>
        <w:t xml:space="preserve"> на 4 - 9% в 2008 и 2010г.</w:t>
      </w:r>
      <w:r>
        <w:rPr>
          <w:rFonts w:ascii="Times New Roman" w:hAnsi="Times New Roman"/>
          <w:sz w:val="28"/>
          <w:szCs w:val="28"/>
        </w:rPr>
        <w:t xml:space="preserve"> Такая нестабильность отчасти может быть объяснена повышением цен на сырье: какао – бобы и сельскохозяйственную продукцию в те годы, вызванное жарой  и неурожаем.  Чистая прибыль «</w:t>
      </w:r>
      <w:proofErr w:type="spellStart"/>
      <w:r>
        <w:rPr>
          <w:rFonts w:ascii="Times New Roman" w:hAnsi="Times New Roman"/>
          <w:sz w:val="28"/>
          <w:szCs w:val="28"/>
        </w:rPr>
        <w:t>СладКо</w:t>
      </w:r>
      <w:proofErr w:type="spellEnd"/>
      <w:r>
        <w:rPr>
          <w:rFonts w:ascii="Times New Roman" w:hAnsi="Times New Roman"/>
          <w:sz w:val="28"/>
          <w:szCs w:val="28"/>
        </w:rPr>
        <w:t>» по результатам 2010 года составила 35,8 млн. руб</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Однако предприятие терпело убытки и в прошлом. В связи с этим мы решили провести краткий финансовый анализ (таблица 12), с целью обоснования целесообразности присоединения и оценки данной компании. </w:t>
      </w:r>
    </w:p>
    <w:p w:rsidR="002A2DE3"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Таблица 12</w:t>
      </w:r>
    </w:p>
    <w:p w:rsidR="002A2DE3"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Основные финансовые коэффициенты КО «</w:t>
      </w:r>
      <w:proofErr w:type="spellStart"/>
      <w:r>
        <w:rPr>
          <w:rFonts w:ascii="Times New Roman" w:hAnsi="Times New Roman"/>
          <w:sz w:val="28"/>
          <w:szCs w:val="28"/>
        </w:rPr>
        <w:t>СладКо</w:t>
      </w:r>
      <w:proofErr w:type="spellEnd"/>
      <w:r>
        <w:rPr>
          <w:rFonts w:ascii="Times New Roman" w:hAnsi="Times New Roman"/>
          <w:sz w:val="28"/>
          <w:szCs w:val="28"/>
        </w:rPr>
        <w:t>»</w:t>
      </w:r>
    </w:p>
    <w:tbl>
      <w:tblPr>
        <w:tblW w:w="5000" w:type="pct"/>
        <w:tblLook w:val="04A0"/>
      </w:tblPr>
      <w:tblGrid>
        <w:gridCol w:w="5758"/>
        <w:gridCol w:w="1153"/>
        <w:gridCol w:w="1247"/>
        <w:gridCol w:w="1128"/>
      </w:tblGrid>
      <w:tr w:rsidR="002A2DE3" w:rsidRPr="00DE2E73" w:rsidTr="002A3642">
        <w:trPr>
          <w:trHeight w:val="285"/>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jc w:val="center"/>
              <w:rPr>
                <w:rFonts w:ascii="Times New Roman" w:hAnsi="Times New Roman"/>
                <w:b/>
                <w:bCs/>
                <w:sz w:val="28"/>
                <w:szCs w:val="28"/>
                <w:lang w:eastAsia="ru-RU"/>
              </w:rPr>
            </w:pPr>
            <w:r w:rsidRPr="00DE2E73">
              <w:rPr>
                <w:rFonts w:ascii="Times New Roman" w:hAnsi="Times New Roman"/>
                <w:b/>
                <w:bCs/>
                <w:sz w:val="28"/>
                <w:szCs w:val="28"/>
                <w:lang w:eastAsia="ru-RU"/>
              </w:rPr>
              <w:t>Показатели</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2008</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2009</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2010</w:t>
            </w:r>
          </w:p>
        </w:tc>
      </w:tr>
      <w:tr w:rsidR="002A2DE3" w:rsidRPr="00DE2E73" w:rsidTr="002A3642">
        <w:trPr>
          <w:trHeight w:val="255"/>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b/>
                <w:bCs/>
                <w:sz w:val="28"/>
                <w:szCs w:val="28"/>
                <w:lang w:eastAsia="ru-RU"/>
              </w:rPr>
            </w:pPr>
            <w:r w:rsidRPr="00DE2E73">
              <w:rPr>
                <w:rFonts w:ascii="Times New Roman" w:hAnsi="Times New Roman"/>
                <w:b/>
                <w:bCs/>
                <w:sz w:val="28"/>
                <w:szCs w:val="28"/>
                <w:lang w:eastAsia="ru-RU"/>
              </w:rPr>
              <w:t>Коэффициенты финансовой независимости</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r>
      <w:tr w:rsidR="002A2DE3" w:rsidRPr="00DE2E73" w:rsidTr="002A3642">
        <w:trPr>
          <w:trHeight w:val="48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общей финансовой независимости (КОФН ≥ 0.5)</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0,76</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0,71</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0,62</w:t>
            </w:r>
          </w:p>
        </w:tc>
      </w:tr>
      <w:tr w:rsidR="002A2DE3" w:rsidRPr="00DE2E73" w:rsidTr="002A3642">
        <w:trPr>
          <w:trHeight w:val="72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r w:rsidRPr="00DE2E73">
              <w:rPr>
                <w:rFonts w:ascii="Times New Roman" w:hAnsi="Times New Roman"/>
                <w:sz w:val="28"/>
                <w:szCs w:val="28"/>
                <w:lang w:eastAsia="ru-RU"/>
              </w:rPr>
              <w:t xml:space="preserve"> финансовой независимости в части оборотных активов (КФНОА ≥ 0.1</w:t>
            </w:r>
            <w:proofErr w:type="gramStart"/>
            <w:r w:rsidRPr="00DE2E73">
              <w:rPr>
                <w:rFonts w:ascii="Times New Roman" w:hAnsi="Times New Roman"/>
                <w:sz w:val="28"/>
                <w:szCs w:val="28"/>
                <w:lang w:eastAsia="ru-RU"/>
              </w:rPr>
              <w:t xml:space="preserve"> )</w:t>
            </w:r>
            <w:proofErr w:type="gramEnd"/>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0,65</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0,60</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0,47</w:t>
            </w:r>
          </w:p>
        </w:tc>
      </w:tr>
      <w:tr w:rsidR="002A2DE3" w:rsidRPr="00DE2E73" w:rsidTr="002A3642">
        <w:trPr>
          <w:trHeight w:val="72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финансовой независимос</w:t>
            </w:r>
            <w:r>
              <w:rPr>
                <w:rFonts w:ascii="Times New Roman" w:hAnsi="Times New Roman"/>
                <w:sz w:val="28"/>
                <w:szCs w:val="28"/>
                <w:lang w:eastAsia="ru-RU"/>
              </w:rPr>
              <w:t>ти в части запасов (КФНЗ ≥ 0.25</w:t>
            </w:r>
            <w:r w:rsidRPr="00DE2E73">
              <w:rPr>
                <w:rFonts w:ascii="Times New Roman" w:hAnsi="Times New Roman"/>
                <w:sz w:val="28"/>
                <w:szCs w:val="28"/>
                <w:lang w:eastAsia="ru-RU"/>
              </w:rPr>
              <w:t>)</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2,13</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1,86</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1,70</w:t>
            </w:r>
          </w:p>
        </w:tc>
      </w:tr>
      <w:tr w:rsidR="002A2DE3" w:rsidRPr="00DE2E73" w:rsidTr="002A3642">
        <w:trPr>
          <w:trHeight w:val="255"/>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b/>
                <w:bCs/>
                <w:sz w:val="28"/>
                <w:szCs w:val="28"/>
                <w:lang w:eastAsia="ru-RU"/>
              </w:rPr>
            </w:pPr>
            <w:r w:rsidRPr="00DE2E73">
              <w:rPr>
                <w:rFonts w:ascii="Times New Roman" w:hAnsi="Times New Roman"/>
                <w:b/>
                <w:bCs/>
                <w:sz w:val="28"/>
                <w:szCs w:val="28"/>
                <w:lang w:eastAsia="ru-RU"/>
              </w:rPr>
              <w:t>Показатели ликвидности</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r>
      <w:tr w:rsidR="002A2DE3" w:rsidRPr="00DE2E73" w:rsidTr="002A3642">
        <w:trPr>
          <w:trHeight w:val="48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абсолютной ликвидности LR (0.1≤LR≤0.5)</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0,14</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0,06</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0,13</w:t>
            </w:r>
          </w:p>
        </w:tc>
      </w:tr>
      <w:tr w:rsidR="002A2DE3" w:rsidRPr="00DE2E73" w:rsidTr="002A3642">
        <w:trPr>
          <w:trHeight w:val="48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срочной ликвидности QR (QR≥1)</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1,97</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1,66</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1,45</w:t>
            </w:r>
          </w:p>
        </w:tc>
      </w:tr>
      <w:tr w:rsidR="002A2DE3" w:rsidRPr="00DE2E73" w:rsidTr="002A3642">
        <w:trPr>
          <w:trHeight w:val="48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текущей ликвидности СR (1≤СR≤2)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2,86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2,49</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2,02</w:t>
            </w:r>
          </w:p>
        </w:tc>
      </w:tr>
      <w:tr w:rsidR="002A2DE3" w:rsidRPr="00DE2E73" w:rsidTr="002A3642">
        <w:trPr>
          <w:trHeight w:val="285"/>
        </w:trPr>
        <w:tc>
          <w:tcPr>
            <w:tcW w:w="2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Чистый оборотный капитал (NWC)</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734 364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869 115</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756 585</w:t>
            </w:r>
          </w:p>
        </w:tc>
      </w:tr>
      <w:tr w:rsidR="002A2DE3" w:rsidRPr="00DE2E73" w:rsidTr="002A3642">
        <w:trPr>
          <w:trHeight w:val="255"/>
        </w:trPr>
        <w:tc>
          <w:tcPr>
            <w:tcW w:w="2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b/>
                <w:bCs/>
                <w:sz w:val="28"/>
                <w:szCs w:val="28"/>
                <w:lang w:eastAsia="ru-RU"/>
              </w:rPr>
            </w:pPr>
            <w:r w:rsidRPr="00DE2E73">
              <w:rPr>
                <w:rFonts w:ascii="Times New Roman" w:hAnsi="Times New Roman"/>
                <w:b/>
                <w:bCs/>
                <w:sz w:val="28"/>
                <w:szCs w:val="28"/>
                <w:lang w:eastAsia="ru-RU"/>
              </w:rPr>
              <w:lastRenderedPageBreak/>
              <w:t>Коэффициенты оборачиваемости</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r>
      <w:tr w:rsidR="002A2DE3" w:rsidRPr="00DE2E73" w:rsidTr="002A3642">
        <w:trPr>
          <w:trHeight w:val="48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оборачиваемости </w:t>
            </w:r>
            <w:proofErr w:type="spellStart"/>
            <w:r w:rsidRPr="00DE2E73">
              <w:rPr>
                <w:rFonts w:ascii="Times New Roman" w:hAnsi="Times New Roman"/>
                <w:sz w:val="28"/>
                <w:szCs w:val="28"/>
                <w:lang w:eastAsia="ru-RU"/>
              </w:rPr>
              <w:t>краткоср</w:t>
            </w:r>
            <w:proofErr w:type="spellEnd"/>
            <w:r w:rsidRPr="00DE2E73">
              <w:rPr>
                <w:rFonts w:ascii="Times New Roman" w:hAnsi="Times New Roman"/>
                <w:sz w:val="28"/>
                <w:szCs w:val="28"/>
                <w:lang w:eastAsia="ru-RU"/>
              </w:rPr>
              <w:t xml:space="preserve">. </w:t>
            </w:r>
            <w:r>
              <w:rPr>
                <w:rFonts w:ascii="Times New Roman" w:hAnsi="Times New Roman"/>
                <w:sz w:val="28"/>
                <w:szCs w:val="28"/>
                <w:lang w:eastAsia="ru-RU"/>
              </w:rPr>
              <w:t>ДЗ</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proofErr w:type="spellStart"/>
            <w:r w:rsidRPr="00DE2E73">
              <w:rPr>
                <w:rFonts w:ascii="Times New Roman" w:hAnsi="Times New Roman"/>
                <w:sz w:val="28"/>
                <w:szCs w:val="28"/>
                <w:lang w:eastAsia="ru-RU"/>
              </w:rPr>
              <w:t>х</w:t>
            </w:r>
            <w:proofErr w:type="spellEnd"/>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5,2</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4,8</w:t>
            </w:r>
          </w:p>
        </w:tc>
      </w:tr>
      <w:tr w:rsidR="002A2DE3" w:rsidRPr="00DE2E73" w:rsidTr="002A3642">
        <w:trPr>
          <w:trHeight w:val="48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xml:space="preserve">Продолжительность оборота </w:t>
            </w:r>
            <w:proofErr w:type="spellStart"/>
            <w:r w:rsidRPr="00DE2E73">
              <w:rPr>
                <w:rFonts w:ascii="Times New Roman" w:hAnsi="Times New Roman"/>
                <w:sz w:val="28"/>
                <w:szCs w:val="28"/>
                <w:lang w:eastAsia="ru-RU"/>
              </w:rPr>
              <w:t>краткоср</w:t>
            </w:r>
            <w:proofErr w:type="spellEnd"/>
            <w:r w:rsidRPr="00DE2E73">
              <w:rPr>
                <w:rFonts w:ascii="Times New Roman" w:hAnsi="Times New Roman"/>
                <w:sz w:val="28"/>
                <w:szCs w:val="28"/>
                <w:lang w:eastAsia="ru-RU"/>
              </w:rPr>
              <w:t xml:space="preserve">. </w:t>
            </w:r>
            <w:r>
              <w:rPr>
                <w:rFonts w:ascii="Times New Roman" w:hAnsi="Times New Roman"/>
                <w:sz w:val="28"/>
                <w:szCs w:val="28"/>
                <w:lang w:eastAsia="ru-RU"/>
              </w:rPr>
              <w:t>ДЗ</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proofErr w:type="spellStart"/>
            <w:r w:rsidRPr="00DE2E73">
              <w:rPr>
                <w:rFonts w:ascii="Times New Roman" w:hAnsi="Times New Roman"/>
                <w:sz w:val="28"/>
                <w:szCs w:val="28"/>
                <w:lang w:eastAsia="ru-RU"/>
              </w:rPr>
              <w:t>х</w:t>
            </w:r>
            <w:proofErr w:type="spellEnd"/>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68,7</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74,7</w:t>
            </w:r>
          </w:p>
        </w:tc>
      </w:tr>
      <w:tr w:rsidR="002A2DE3" w:rsidRPr="00DE2E73" w:rsidTr="002A3642">
        <w:trPr>
          <w:trHeight w:val="48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К-</w:t>
            </w:r>
            <w:r w:rsidRPr="00DE2E73">
              <w:rPr>
                <w:rFonts w:ascii="Times New Roman" w:hAnsi="Times New Roman"/>
                <w:sz w:val="28"/>
                <w:szCs w:val="28"/>
                <w:lang w:eastAsia="ru-RU"/>
              </w:rPr>
              <w:t>т</w:t>
            </w:r>
            <w:proofErr w:type="spellEnd"/>
            <w:proofErr w:type="gramEnd"/>
            <w:r w:rsidRPr="00DE2E73">
              <w:rPr>
                <w:rFonts w:ascii="Times New Roman" w:hAnsi="Times New Roman"/>
                <w:sz w:val="28"/>
                <w:szCs w:val="28"/>
                <w:lang w:eastAsia="ru-RU"/>
              </w:rPr>
              <w:t xml:space="preserve"> оборачиваемости </w:t>
            </w:r>
            <w:r>
              <w:rPr>
                <w:rFonts w:ascii="Times New Roman" w:hAnsi="Times New Roman"/>
                <w:sz w:val="28"/>
                <w:szCs w:val="28"/>
                <w:lang w:eastAsia="ru-RU"/>
              </w:rPr>
              <w:t>КЗ</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proofErr w:type="spellStart"/>
            <w:r w:rsidRPr="00DE2E73">
              <w:rPr>
                <w:rFonts w:ascii="Times New Roman" w:hAnsi="Times New Roman"/>
                <w:sz w:val="28"/>
                <w:szCs w:val="28"/>
                <w:lang w:eastAsia="ru-RU"/>
              </w:rPr>
              <w:t>х</w:t>
            </w:r>
            <w:proofErr w:type="spellEnd"/>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11,8</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8,9</w:t>
            </w:r>
          </w:p>
        </w:tc>
      </w:tr>
      <w:tr w:rsidR="002A2DE3" w:rsidRPr="00DE2E73" w:rsidTr="002A3642">
        <w:trPr>
          <w:trHeight w:val="480"/>
        </w:trPr>
        <w:tc>
          <w:tcPr>
            <w:tcW w:w="2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xml:space="preserve">Продолжительность оборота </w:t>
            </w:r>
            <w:r>
              <w:rPr>
                <w:rFonts w:ascii="Times New Roman" w:hAnsi="Times New Roman"/>
                <w:sz w:val="28"/>
                <w:szCs w:val="28"/>
                <w:lang w:eastAsia="ru-RU"/>
              </w:rPr>
              <w:t>КЗ</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proofErr w:type="spellStart"/>
            <w:r w:rsidRPr="00DE2E73">
              <w:rPr>
                <w:rFonts w:ascii="Times New Roman" w:hAnsi="Times New Roman"/>
                <w:sz w:val="28"/>
                <w:szCs w:val="28"/>
                <w:lang w:eastAsia="ru-RU"/>
              </w:rPr>
              <w:t>х</w:t>
            </w:r>
            <w:proofErr w:type="spellEnd"/>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30,6</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40,3</w:t>
            </w:r>
          </w:p>
        </w:tc>
      </w:tr>
      <w:tr w:rsidR="002A2DE3" w:rsidRPr="00DE2E73" w:rsidTr="002A3642">
        <w:trPr>
          <w:trHeight w:val="255"/>
        </w:trPr>
        <w:tc>
          <w:tcPr>
            <w:tcW w:w="2255" w:type="pct"/>
            <w:tcBorders>
              <w:top w:val="nil"/>
              <w:left w:val="single" w:sz="4" w:space="0" w:color="auto"/>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b/>
                <w:bCs/>
                <w:sz w:val="28"/>
                <w:szCs w:val="28"/>
                <w:lang w:eastAsia="ru-RU"/>
              </w:rPr>
            </w:pPr>
            <w:r w:rsidRPr="00DE2E73">
              <w:rPr>
                <w:rFonts w:ascii="Times New Roman" w:hAnsi="Times New Roman"/>
                <w:b/>
                <w:bCs/>
                <w:sz w:val="28"/>
                <w:szCs w:val="28"/>
                <w:lang w:eastAsia="ru-RU"/>
              </w:rPr>
              <w:t>Рентабельность</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 </w:t>
            </w:r>
          </w:p>
        </w:tc>
      </w:tr>
      <w:tr w:rsidR="002A2DE3" w:rsidRPr="00DE2E73" w:rsidTr="002A3642">
        <w:trPr>
          <w:trHeight w:val="255"/>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Рентабельность продаж (ROS)</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4,9%</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8,2%</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4,5</w:t>
            </w:r>
            <w:r w:rsidRPr="00DE2E73">
              <w:rPr>
                <w:rFonts w:ascii="Times New Roman" w:hAnsi="Times New Roman"/>
                <w:sz w:val="28"/>
                <w:szCs w:val="28"/>
                <w:lang w:eastAsia="ru-RU"/>
              </w:rPr>
              <w:t>%</w:t>
            </w:r>
          </w:p>
        </w:tc>
      </w:tr>
      <w:tr w:rsidR="002A2DE3" w:rsidRPr="00DE2E73" w:rsidTr="002A3642">
        <w:trPr>
          <w:trHeight w:val="480"/>
        </w:trPr>
        <w:tc>
          <w:tcPr>
            <w:tcW w:w="2255" w:type="pct"/>
            <w:tcBorders>
              <w:top w:val="nil"/>
              <w:left w:val="single" w:sz="4" w:space="0" w:color="auto"/>
              <w:bottom w:val="single" w:sz="4" w:space="0" w:color="auto"/>
              <w:right w:val="single" w:sz="4" w:space="0" w:color="auto"/>
            </w:tcBorders>
            <w:shd w:val="clear" w:color="auto" w:fill="auto"/>
            <w:vAlign w:val="center"/>
            <w:hideMark/>
          </w:tcPr>
          <w:p w:rsidR="002A2DE3" w:rsidRPr="00DE2E73" w:rsidRDefault="002A2DE3" w:rsidP="00227ECE">
            <w:pPr>
              <w:spacing w:after="0" w:line="360" w:lineRule="auto"/>
              <w:rPr>
                <w:rFonts w:ascii="Times New Roman" w:hAnsi="Times New Roman"/>
                <w:sz w:val="28"/>
                <w:szCs w:val="28"/>
                <w:lang w:eastAsia="ru-RU"/>
              </w:rPr>
            </w:pPr>
            <w:r w:rsidRPr="00DE2E73">
              <w:rPr>
                <w:rFonts w:ascii="Times New Roman" w:hAnsi="Times New Roman"/>
                <w:sz w:val="28"/>
                <w:szCs w:val="28"/>
                <w:lang w:eastAsia="ru-RU"/>
              </w:rPr>
              <w:t>Рентабельность собственного капитала (ROE)</w:t>
            </w:r>
          </w:p>
        </w:tc>
        <w:tc>
          <w:tcPr>
            <w:tcW w:w="90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4,1%</w:t>
            </w:r>
          </w:p>
        </w:tc>
        <w:tc>
          <w:tcPr>
            <w:tcW w:w="953"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sidRPr="00DE2E73">
              <w:rPr>
                <w:rFonts w:ascii="Times New Roman" w:hAnsi="Times New Roman"/>
                <w:sz w:val="28"/>
                <w:szCs w:val="28"/>
                <w:lang w:eastAsia="ru-RU"/>
              </w:rPr>
              <w:t>10,3%</w:t>
            </w:r>
          </w:p>
        </w:tc>
        <w:tc>
          <w:tcPr>
            <w:tcW w:w="890" w:type="pct"/>
            <w:tcBorders>
              <w:top w:val="nil"/>
              <w:left w:val="nil"/>
              <w:bottom w:val="single" w:sz="4" w:space="0" w:color="auto"/>
              <w:right w:val="single" w:sz="4" w:space="0" w:color="auto"/>
            </w:tcBorders>
            <w:shd w:val="clear" w:color="auto" w:fill="auto"/>
            <w:noWrap/>
            <w:vAlign w:val="center"/>
            <w:hideMark/>
          </w:tcPr>
          <w:p w:rsidR="002A2DE3" w:rsidRPr="00DE2E73" w:rsidRDefault="002A2DE3" w:rsidP="00227ECE">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w:t>
            </w:r>
            <w:r w:rsidRPr="00DE2E73">
              <w:rPr>
                <w:rFonts w:ascii="Times New Roman" w:hAnsi="Times New Roman"/>
                <w:sz w:val="28"/>
                <w:szCs w:val="28"/>
                <w:lang w:eastAsia="ru-RU"/>
              </w:rPr>
              <w:t>,7%</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Как видно из проведенного анализа, абсолютно все коэффициенты находятся в пределах нормальных значений, что свидетельствует о финансовой состоятельности и платежеспособности компании «</w:t>
      </w:r>
      <w:proofErr w:type="spellStart"/>
      <w:r>
        <w:rPr>
          <w:rFonts w:ascii="Times New Roman" w:hAnsi="Times New Roman"/>
          <w:sz w:val="28"/>
          <w:szCs w:val="28"/>
        </w:rPr>
        <w:t>СладКо</w:t>
      </w:r>
      <w:proofErr w:type="spellEnd"/>
      <w:r>
        <w:rPr>
          <w:rFonts w:ascii="Times New Roman" w:hAnsi="Times New Roman"/>
          <w:sz w:val="28"/>
          <w:szCs w:val="28"/>
        </w:rPr>
        <w:t xml:space="preserve">». Только значительное падение показателя </w:t>
      </w:r>
      <w:r>
        <w:rPr>
          <w:rFonts w:ascii="Times New Roman" w:hAnsi="Times New Roman"/>
          <w:sz w:val="28"/>
          <w:szCs w:val="28"/>
          <w:lang w:val="en-US"/>
        </w:rPr>
        <w:t>ROE</w:t>
      </w:r>
      <w:proofErr w:type="gramStart"/>
      <w:r>
        <w:rPr>
          <w:rFonts w:ascii="Times New Roman" w:hAnsi="Times New Roman"/>
          <w:sz w:val="28"/>
          <w:szCs w:val="28"/>
        </w:rPr>
        <w:t>в</w:t>
      </w:r>
      <w:proofErr w:type="gramEnd"/>
      <w:r>
        <w:rPr>
          <w:rFonts w:ascii="Times New Roman" w:hAnsi="Times New Roman"/>
          <w:sz w:val="28"/>
          <w:szCs w:val="28"/>
        </w:rPr>
        <w:t xml:space="preserve"> 2010 году свидетельствует о некоторой неэффективности работы предприятия. Но снижение этого показателя объясняется более быстрым темпом роста себестоимости продукции, чем рост выручки от продаж. В свою очередь, причиной такой тенденции может быть устаревшее оборудование и повышенные издержки производства на каждую тонну выпуска по сравнению с конкурентами.</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В 2010 году «</w:t>
      </w:r>
      <w:proofErr w:type="spellStart"/>
      <w:r>
        <w:rPr>
          <w:rFonts w:ascii="Times New Roman" w:hAnsi="Times New Roman"/>
          <w:sz w:val="28"/>
          <w:szCs w:val="28"/>
        </w:rPr>
        <w:t>СладКо</w:t>
      </w:r>
      <w:proofErr w:type="spellEnd"/>
      <w:r>
        <w:rPr>
          <w:rFonts w:ascii="Times New Roman" w:hAnsi="Times New Roman"/>
          <w:sz w:val="28"/>
          <w:szCs w:val="28"/>
        </w:rPr>
        <w:t>» выручка от продаж составила 4,37 млрд. руб. (+4% к 2009 г.). Капитальные затраты составили 12,5 млн. руб., амортизация начисленная по основным средствам и нематериальным активам – 108,5 млн. руб. Чистый оборотный капитал – 17% от выручки.</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этим сценарием будем предполагать, что выручка будет расти на 6% ежегодно, в то время как рост себестоимости будет незначительно превышать ретроспективные и составит 3% в год. Коммерческие и управленческие расходы, исходя из ретроспективных тенденций, будут увеличиваться на 13% и 7% соответственно. Темпы роста амортизации и капитальных затрат будут совпадать 10% в каждый год прогнозного периода.</w:t>
      </w:r>
    </w:p>
    <w:p w:rsidR="002A2DE3" w:rsidRDefault="002A2DE3" w:rsidP="0096420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Были рассчитаны денежные потоки для каждого года прогнозного периода с учетом данных предпосылок (таблица 13).</w:t>
      </w:r>
    </w:p>
    <w:p w:rsidR="002A2DE3" w:rsidRDefault="002A2DE3" w:rsidP="00197A80">
      <w:pPr>
        <w:spacing w:after="0"/>
        <w:ind w:firstLine="709"/>
        <w:jc w:val="right"/>
        <w:rPr>
          <w:rFonts w:ascii="Times New Roman" w:hAnsi="Times New Roman"/>
          <w:sz w:val="28"/>
          <w:szCs w:val="28"/>
        </w:rPr>
      </w:pPr>
      <w:r>
        <w:rPr>
          <w:rFonts w:ascii="Times New Roman" w:hAnsi="Times New Roman"/>
          <w:sz w:val="28"/>
          <w:szCs w:val="28"/>
        </w:rPr>
        <w:t>Таблица 13</w:t>
      </w:r>
    </w:p>
    <w:p w:rsidR="002A2DE3" w:rsidRDefault="002A2DE3" w:rsidP="00197A80">
      <w:pPr>
        <w:spacing w:after="0"/>
        <w:ind w:firstLine="709"/>
        <w:jc w:val="right"/>
        <w:rPr>
          <w:rFonts w:ascii="Times New Roman" w:hAnsi="Times New Roman"/>
          <w:sz w:val="28"/>
          <w:szCs w:val="28"/>
        </w:rPr>
      </w:pPr>
      <w:r>
        <w:rPr>
          <w:rFonts w:ascii="Times New Roman" w:hAnsi="Times New Roman"/>
          <w:sz w:val="28"/>
          <w:szCs w:val="28"/>
        </w:rPr>
        <w:t>Денежный поток «</w:t>
      </w:r>
      <w:proofErr w:type="spellStart"/>
      <w:r>
        <w:rPr>
          <w:rFonts w:ascii="Times New Roman" w:hAnsi="Times New Roman"/>
          <w:sz w:val="28"/>
          <w:szCs w:val="28"/>
        </w:rPr>
        <w:t>СладКо</w:t>
      </w:r>
      <w:proofErr w:type="spellEnd"/>
      <w:r>
        <w:rPr>
          <w:rFonts w:ascii="Times New Roman" w:hAnsi="Times New Roman"/>
          <w:sz w:val="28"/>
          <w:szCs w:val="28"/>
        </w:rPr>
        <w:t>» реальный сценарий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787"/>
        <w:gridCol w:w="1616"/>
        <w:gridCol w:w="1506"/>
        <w:gridCol w:w="1424"/>
        <w:gridCol w:w="1528"/>
      </w:tblGrid>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p>
        </w:tc>
        <w:tc>
          <w:tcPr>
            <w:tcW w:w="962" w:type="pct"/>
            <w:shd w:val="clear" w:color="auto" w:fill="auto"/>
            <w:noWrap/>
            <w:vAlign w:val="bottom"/>
            <w:hideMark/>
          </w:tcPr>
          <w:p w:rsidR="002A2DE3"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EBIT*(1-t)</w:t>
            </w:r>
          </w:p>
          <w:p w:rsidR="002A2DE3" w:rsidRPr="00560DC5" w:rsidRDefault="002A2DE3" w:rsidP="00227ECE">
            <w:pPr>
              <w:spacing w:after="0" w:line="360" w:lineRule="auto"/>
              <w:jc w:val="center"/>
              <w:rPr>
                <w:rFonts w:ascii="Times New Roman" w:hAnsi="Times New Roman"/>
                <w:sz w:val="26"/>
                <w:szCs w:val="26"/>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70" w:type="pct"/>
            <w:shd w:val="clear" w:color="auto" w:fill="auto"/>
            <w:noWrap/>
            <w:vAlign w:val="bottom"/>
            <w:hideMark/>
          </w:tcPr>
          <w:p w:rsidR="002A2DE3" w:rsidRDefault="002A2DE3" w:rsidP="00227ECE">
            <w:pPr>
              <w:spacing w:after="0" w:line="360" w:lineRule="auto"/>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Dep</w:t>
            </w:r>
            <w:proofErr w:type="spellEnd"/>
          </w:p>
          <w:p w:rsidR="002A2DE3" w:rsidRPr="00560DC5" w:rsidRDefault="002A2DE3" w:rsidP="00227ECE">
            <w:pPr>
              <w:spacing w:after="0" w:line="360" w:lineRule="auto"/>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11" w:type="pct"/>
            <w:shd w:val="clear" w:color="auto" w:fill="auto"/>
            <w:noWrap/>
            <w:vAlign w:val="bottom"/>
            <w:hideMark/>
          </w:tcPr>
          <w:p w:rsidR="002A2DE3"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 NWC</w:t>
            </w:r>
          </w:p>
          <w:p w:rsidR="002A2DE3" w:rsidRPr="00560DC5" w:rsidRDefault="002A2DE3" w:rsidP="00227ECE">
            <w:pPr>
              <w:spacing w:after="0" w:line="360" w:lineRule="auto"/>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767" w:type="pct"/>
            <w:shd w:val="clear" w:color="auto" w:fill="auto"/>
            <w:noWrap/>
            <w:vAlign w:val="bottom"/>
            <w:hideMark/>
          </w:tcPr>
          <w:p w:rsidR="002A2DE3" w:rsidRDefault="002A2DE3" w:rsidP="00227ECE">
            <w:pPr>
              <w:spacing w:after="0" w:line="360" w:lineRule="auto"/>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Capex</w:t>
            </w:r>
            <w:proofErr w:type="spellEnd"/>
          </w:p>
          <w:p w:rsidR="002A2DE3" w:rsidRPr="00560DC5" w:rsidRDefault="002A2DE3" w:rsidP="00227ECE">
            <w:pPr>
              <w:spacing w:after="0" w:line="360" w:lineRule="auto"/>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25" w:type="pct"/>
            <w:shd w:val="clear" w:color="auto" w:fill="auto"/>
            <w:noWrap/>
            <w:vAlign w:val="bottom"/>
            <w:hideMark/>
          </w:tcPr>
          <w:p w:rsidR="002A2DE3" w:rsidRDefault="002A2DE3" w:rsidP="00227ECE">
            <w:pPr>
              <w:spacing w:after="0" w:line="360" w:lineRule="auto"/>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CF_real</w:t>
            </w:r>
            <w:proofErr w:type="spellEnd"/>
          </w:p>
          <w:p w:rsidR="002A2DE3" w:rsidRPr="00560DC5" w:rsidRDefault="002A2DE3" w:rsidP="00227ECE">
            <w:pPr>
              <w:spacing w:after="0" w:line="360" w:lineRule="auto"/>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r>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2011</w:t>
            </w:r>
          </w:p>
        </w:tc>
        <w:tc>
          <w:tcPr>
            <w:tcW w:w="962"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132 997</w:t>
            </w:r>
          </w:p>
        </w:tc>
        <w:tc>
          <w:tcPr>
            <w:tcW w:w="870"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120 426</w:t>
            </w:r>
          </w:p>
        </w:tc>
        <w:tc>
          <w:tcPr>
            <w:tcW w:w="811"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75 659</w:t>
            </w:r>
          </w:p>
        </w:tc>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32 097</w:t>
            </w:r>
          </w:p>
        </w:tc>
        <w:tc>
          <w:tcPr>
            <w:tcW w:w="825"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145 667</w:t>
            </w:r>
          </w:p>
        </w:tc>
      </w:tr>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2012</w:t>
            </w:r>
          </w:p>
        </w:tc>
        <w:tc>
          <w:tcPr>
            <w:tcW w:w="962"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172 982</w:t>
            </w:r>
          </w:p>
        </w:tc>
        <w:tc>
          <w:tcPr>
            <w:tcW w:w="870"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133 673</w:t>
            </w:r>
          </w:p>
        </w:tc>
        <w:tc>
          <w:tcPr>
            <w:tcW w:w="811"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83 224</w:t>
            </w:r>
          </w:p>
        </w:tc>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35 307</w:t>
            </w:r>
          </w:p>
        </w:tc>
        <w:tc>
          <w:tcPr>
            <w:tcW w:w="825"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188 123</w:t>
            </w:r>
          </w:p>
        </w:tc>
      </w:tr>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2013</w:t>
            </w:r>
          </w:p>
        </w:tc>
        <w:tc>
          <w:tcPr>
            <w:tcW w:w="962"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200 350</w:t>
            </w:r>
          </w:p>
        </w:tc>
        <w:tc>
          <w:tcPr>
            <w:tcW w:w="870"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148 377</w:t>
            </w:r>
          </w:p>
        </w:tc>
        <w:tc>
          <w:tcPr>
            <w:tcW w:w="811"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91 547</w:t>
            </w:r>
          </w:p>
        </w:tc>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38 838</w:t>
            </w:r>
          </w:p>
        </w:tc>
        <w:tc>
          <w:tcPr>
            <w:tcW w:w="825"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218 342</w:t>
            </w:r>
          </w:p>
        </w:tc>
      </w:tr>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2014</w:t>
            </w:r>
          </w:p>
        </w:tc>
        <w:tc>
          <w:tcPr>
            <w:tcW w:w="962"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220 782</w:t>
            </w:r>
          </w:p>
        </w:tc>
        <w:tc>
          <w:tcPr>
            <w:tcW w:w="870"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163 215</w:t>
            </w:r>
          </w:p>
        </w:tc>
        <w:tc>
          <w:tcPr>
            <w:tcW w:w="811"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100 701</w:t>
            </w:r>
          </w:p>
        </w:tc>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42 722</w:t>
            </w:r>
          </w:p>
        </w:tc>
        <w:tc>
          <w:tcPr>
            <w:tcW w:w="825"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240 574</w:t>
            </w:r>
          </w:p>
        </w:tc>
      </w:tr>
      <w:tr w:rsidR="002A2DE3" w:rsidRPr="00560DC5" w:rsidTr="002A3642">
        <w:trPr>
          <w:trHeight w:val="255"/>
          <w:jc w:val="center"/>
        </w:trPr>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2015</w:t>
            </w:r>
          </w:p>
        </w:tc>
        <w:tc>
          <w:tcPr>
            <w:tcW w:w="962"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254 341</w:t>
            </w:r>
          </w:p>
        </w:tc>
        <w:tc>
          <w:tcPr>
            <w:tcW w:w="870"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182 800</w:t>
            </w:r>
          </w:p>
        </w:tc>
        <w:tc>
          <w:tcPr>
            <w:tcW w:w="811"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110 772</w:t>
            </w:r>
          </w:p>
        </w:tc>
        <w:tc>
          <w:tcPr>
            <w:tcW w:w="767"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46 994</w:t>
            </w:r>
          </w:p>
        </w:tc>
        <w:tc>
          <w:tcPr>
            <w:tcW w:w="825" w:type="pct"/>
            <w:shd w:val="clear" w:color="auto" w:fill="auto"/>
            <w:noWrap/>
            <w:vAlign w:val="bottom"/>
            <w:hideMark/>
          </w:tcPr>
          <w:p w:rsidR="002A2DE3" w:rsidRPr="00560DC5" w:rsidRDefault="002A2DE3" w:rsidP="00227ECE">
            <w:pPr>
              <w:spacing w:after="0" w:line="360" w:lineRule="auto"/>
              <w:jc w:val="center"/>
              <w:rPr>
                <w:rFonts w:ascii="Times New Roman" w:hAnsi="Times New Roman"/>
                <w:sz w:val="28"/>
                <w:szCs w:val="28"/>
                <w:lang w:eastAsia="ru-RU"/>
              </w:rPr>
            </w:pPr>
            <w:r w:rsidRPr="00560DC5">
              <w:rPr>
                <w:rFonts w:ascii="Times New Roman" w:hAnsi="Times New Roman"/>
                <w:sz w:val="28"/>
                <w:szCs w:val="28"/>
                <w:lang w:eastAsia="ru-RU"/>
              </w:rPr>
              <w:t>279 376</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Пессимистический прогноз основан на том, что рост выручки предприятия будет незначительно превышать увеличение себестоимости продаваемой продукции. Реализация стратегии выхода на рынок </w:t>
      </w:r>
      <w:proofErr w:type="spellStart"/>
      <w:r>
        <w:rPr>
          <w:rFonts w:ascii="Times New Roman" w:hAnsi="Times New Roman"/>
          <w:sz w:val="28"/>
          <w:szCs w:val="28"/>
        </w:rPr>
        <w:t>Северо-Запада</w:t>
      </w:r>
      <w:proofErr w:type="spellEnd"/>
      <w:r>
        <w:rPr>
          <w:rFonts w:ascii="Times New Roman" w:hAnsi="Times New Roman"/>
          <w:sz w:val="28"/>
          <w:szCs w:val="28"/>
        </w:rPr>
        <w:t xml:space="preserve"> не будет успешна, так как данный регион высоко конкурентный. А кондитерский рынок России будет расти медленнее заявленного темпа в 14%.</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этим сценарием в прогнозный период рост выручки составит лишь 3% в год, в то время как себестоимость будет увеличиваться на 1,5% ежегодно. Предполагаемые темпы роста управленческих и коммерческих расходов составят в первые два прогнозных года 5% и 10%, а далее 3% и 5% соответственно. Увеличение капитальных затрат в течение пяти лет составит 15%, амортизации – 8%, а изменение чистого оборотного капитала составит 5% в год. Прогнозные денежные потоки компании представлены в таблице 14, расчет детализирован. </w:t>
      </w:r>
    </w:p>
    <w:p w:rsidR="00197A80" w:rsidRDefault="00197A80" w:rsidP="00227ECE">
      <w:pPr>
        <w:spacing w:after="0"/>
        <w:ind w:firstLine="709"/>
        <w:jc w:val="right"/>
        <w:rPr>
          <w:rFonts w:ascii="Times New Roman" w:hAnsi="Times New Roman"/>
          <w:sz w:val="28"/>
          <w:szCs w:val="28"/>
        </w:rPr>
      </w:pPr>
    </w:p>
    <w:p w:rsidR="00197A80" w:rsidRDefault="00197A80" w:rsidP="00227ECE">
      <w:pPr>
        <w:spacing w:after="0"/>
        <w:ind w:firstLine="709"/>
        <w:jc w:val="right"/>
        <w:rPr>
          <w:rFonts w:ascii="Times New Roman" w:hAnsi="Times New Roman"/>
          <w:sz w:val="28"/>
          <w:szCs w:val="28"/>
        </w:rPr>
      </w:pPr>
    </w:p>
    <w:p w:rsidR="00197A80" w:rsidRDefault="00197A80" w:rsidP="00227ECE">
      <w:pPr>
        <w:spacing w:after="0"/>
        <w:ind w:firstLine="709"/>
        <w:jc w:val="right"/>
        <w:rPr>
          <w:rFonts w:ascii="Times New Roman" w:hAnsi="Times New Roman"/>
          <w:sz w:val="28"/>
          <w:szCs w:val="28"/>
        </w:rPr>
      </w:pPr>
    </w:p>
    <w:p w:rsidR="00197A80" w:rsidRDefault="00197A80" w:rsidP="00227ECE">
      <w:pPr>
        <w:spacing w:after="0"/>
        <w:ind w:firstLine="709"/>
        <w:jc w:val="right"/>
        <w:rPr>
          <w:rFonts w:ascii="Times New Roman" w:hAnsi="Times New Roman"/>
          <w:sz w:val="28"/>
          <w:szCs w:val="28"/>
        </w:rPr>
      </w:pPr>
    </w:p>
    <w:p w:rsidR="00197A80" w:rsidRDefault="00197A80" w:rsidP="00227ECE">
      <w:pPr>
        <w:spacing w:after="0"/>
        <w:ind w:firstLine="709"/>
        <w:jc w:val="right"/>
        <w:rPr>
          <w:rFonts w:ascii="Times New Roman" w:hAnsi="Times New Roman"/>
          <w:sz w:val="28"/>
          <w:szCs w:val="28"/>
        </w:rPr>
      </w:pPr>
    </w:p>
    <w:p w:rsidR="002A2DE3" w:rsidRDefault="002A2DE3" w:rsidP="00197A80">
      <w:pPr>
        <w:spacing w:after="0"/>
        <w:ind w:firstLine="709"/>
        <w:jc w:val="right"/>
        <w:rPr>
          <w:rFonts w:ascii="Times New Roman" w:hAnsi="Times New Roman"/>
          <w:sz w:val="28"/>
          <w:szCs w:val="28"/>
        </w:rPr>
      </w:pPr>
      <w:r>
        <w:rPr>
          <w:rFonts w:ascii="Times New Roman" w:hAnsi="Times New Roman"/>
          <w:sz w:val="28"/>
          <w:szCs w:val="28"/>
        </w:rPr>
        <w:lastRenderedPageBreak/>
        <w:t>Таблица 14</w:t>
      </w:r>
    </w:p>
    <w:p w:rsidR="002A2DE3" w:rsidRDefault="002A2DE3" w:rsidP="00197A80">
      <w:pPr>
        <w:spacing w:after="0"/>
        <w:ind w:firstLine="709"/>
        <w:jc w:val="right"/>
        <w:rPr>
          <w:rFonts w:ascii="Times New Roman" w:hAnsi="Times New Roman"/>
          <w:sz w:val="28"/>
          <w:szCs w:val="28"/>
        </w:rPr>
      </w:pPr>
      <w:r>
        <w:rPr>
          <w:rFonts w:ascii="Times New Roman" w:hAnsi="Times New Roman"/>
          <w:sz w:val="28"/>
          <w:szCs w:val="28"/>
        </w:rPr>
        <w:t>Денежные потоки «</w:t>
      </w:r>
      <w:proofErr w:type="spellStart"/>
      <w:r>
        <w:rPr>
          <w:rFonts w:ascii="Times New Roman" w:hAnsi="Times New Roman"/>
          <w:sz w:val="28"/>
          <w:szCs w:val="28"/>
        </w:rPr>
        <w:t>СладКо</w:t>
      </w:r>
      <w:proofErr w:type="spellEnd"/>
      <w:r>
        <w:rPr>
          <w:rFonts w:ascii="Times New Roman" w:hAnsi="Times New Roman"/>
          <w:sz w:val="28"/>
          <w:szCs w:val="28"/>
        </w:rPr>
        <w:t>» пессимистичный сценарий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476"/>
        <w:gridCol w:w="1707"/>
        <w:gridCol w:w="1590"/>
        <w:gridCol w:w="1505"/>
        <w:gridCol w:w="1503"/>
      </w:tblGrid>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p>
        </w:tc>
        <w:tc>
          <w:tcPr>
            <w:tcW w:w="781" w:type="pct"/>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EBIT*(1-t)</w:t>
            </w:r>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922" w:type="pct"/>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Dep</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59" w:type="pct"/>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 NWC</w:t>
            </w:r>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13" w:type="pct"/>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Capex</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13" w:type="pct"/>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CF_pes</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r>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2011</w:t>
            </w:r>
          </w:p>
        </w:tc>
        <w:tc>
          <w:tcPr>
            <w:tcW w:w="781"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36 034</w:t>
            </w:r>
          </w:p>
        </w:tc>
        <w:tc>
          <w:tcPr>
            <w:tcW w:w="922"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117 171</w:t>
            </w:r>
          </w:p>
        </w:tc>
        <w:tc>
          <w:tcPr>
            <w:tcW w:w="859"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37 829</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14 361</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101 015</w:t>
            </w:r>
          </w:p>
        </w:tc>
      </w:tr>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2012</w:t>
            </w:r>
          </w:p>
        </w:tc>
        <w:tc>
          <w:tcPr>
            <w:tcW w:w="781"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65 759</w:t>
            </w:r>
          </w:p>
        </w:tc>
        <w:tc>
          <w:tcPr>
            <w:tcW w:w="922"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126 545</w:t>
            </w:r>
          </w:p>
        </w:tc>
        <w:tc>
          <w:tcPr>
            <w:tcW w:w="859"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39 721</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16 515</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136 068</w:t>
            </w:r>
          </w:p>
        </w:tc>
      </w:tr>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2013</w:t>
            </w:r>
          </w:p>
        </w:tc>
        <w:tc>
          <w:tcPr>
            <w:tcW w:w="781"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100 294</w:t>
            </w:r>
          </w:p>
        </w:tc>
        <w:tc>
          <w:tcPr>
            <w:tcW w:w="922"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136 669</w:t>
            </w:r>
          </w:p>
        </w:tc>
        <w:tc>
          <w:tcPr>
            <w:tcW w:w="859"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41 707</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18 993</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176 264</w:t>
            </w:r>
          </w:p>
        </w:tc>
      </w:tr>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2014</w:t>
            </w:r>
          </w:p>
        </w:tc>
        <w:tc>
          <w:tcPr>
            <w:tcW w:w="781"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113 665</w:t>
            </w:r>
          </w:p>
        </w:tc>
        <w:tc>
          <w:tcPr>
            <w:tcW w:w="922"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147 602</w:t>
            </w:r>
          </w:p>
        </w:tc>
        <w:tc>
          <w:tcPr>
            <w:tcW w:w="859"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43 792</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21 842</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195 633</w:t>
            </w:r>
          </w:p>
        </w:tc>
      </w:tr>
      <w:tr w:rsidR="002A2DE3" w:rsidRPr="00560DC5" w:rsidTr="002A3642">
        <w:trPr>
          <w:trHeight w:val="255"/>
          <w:jc w:val="center"/>
        </w:trPr>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2015</w:t>
            </w:r>
          </w:p>
        </w:tc>
        <w:tc>
          <w:tcPr>
            <w:tcW w:w="781"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124 904</w:t>
            </w:r>
          </w:p>
        </w:tc>
        <w:tc>
          <w:tcPr>
            <w:tcW w:w="922"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159 410</w:t>
            </w:r>
          </w:p>
        </w:tc>
        <w:tc>
          <w:tcPr>
            <w:tcW w:w="859"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45 982</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25 118</w:t>
            </w:r>
          </w:p>
        </w:tc>
        <w:tc>
          <w:tcPr>
            <w:tcW w:w="813" w:type="pct"/>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213 214</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Оптимистический сценарий предполагает, что предприятие будет успешно функционировать в прогнозном периоде. Увеличение расходов на рекламу и маркетинг будет оправдано увеличением продаж. Вместе с этим предприятию удастся выйти на рынок </w:t>
      </w:r>
      <w:proofErr w:type="spellStart"/>
      <w:r>
        <w:rPr>
          <w:rFonts w:ascii="Times New Roman" w:hAnsi="Times New Roman"/>
          <w:sz w:val="28"/>
          <w:szCs w:val="28"/>
        </w:rPr>
        <w:t>Северо-Запада</w:t>
      </w:r>
      <w:proofErr w:type="spellEnd"/>
      <w:r>
        <w:rPr>
          <w:rFonts w:ascii="Times New Roman" w:hAnsi="Times New Roman"/>
          <w:sz w:val="28"/>
          <w:szCs w:val="28"/>
        </w:rPr>
        <w:t>, где на 2010 год продукция компании представлена слабо. А темп роста отрасли будет соответствовать предсказанному аналитиками увеличению и составит 30% к 2015 году.</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Сделаем предпосылки относительно динамики основных показателей предприятия в прогнозном периоде. Выручка предприятия ежегодно будет расти на 8%, при росте себестоимости в 3%. Рост коммерческих расходов составит 10%, управленческих – 6%, амортизации – 12%, а капитальных затрат – 9%. Денежные потоки компании в пятилетнем прогнозном периоде представлены в таблице 15. </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Таблица 15</w:t>
      </w: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t>Денежные потоки «</w:t>
      </w:r>
      <w:proofErr w:type="spellStart"/>
      <w:r>
        <w:rPr>
          <w:rFonts w:ascii="Times New Roman" w:hAnsi="Times New Roman"/>
          <w:sz w:val="28"/>
          <w:szCs w:val="28"/>
        </w:rPr>
        <w:t>СладКо</w:t>
      </w:r>
      <w:proofErr w:type="spellEnd"/>
      <w:r>
        <w:rPr>
          <w:rFonts w:ascii="Times New Roman" w:hAnsi="Times New Roman"/>
          <w:sz w:val="28"/>
          <w:szCs w:val="28"/>
        </w:rPr>
        <w:t>» оптимистичный сценарий</w:t>
      </w:r>
    </w:p>
    <w:tbl>
      <w:tblPr>
        <w:tblW w:w="5000" w:type="pct"/>
        <w:jc w:val="center"/>
        <w:tblLook w:val="04A0"/>
      </w:tblPr>
      <w:tblGrid>
        <w:gridCol w:w="1505"/>
        <w:gridCol w:w="1476"/>
        <w:gridCol w:w="1707"/>
        <w:gridCol w:w="1590"/>
        <w:gridCol w:w="1505"/>
        <w:gridCol w:w="1503"/>
      </w:tblGrid>
      <w:tr w:rsidR="002A2DE3" w:rsidRPr="00560DC5" w:rsidTr="002A3642">
        <w:trPr>
          <w:trHeight w:val="255"/>
          <w:jc w:val="center"/>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EBIT*(1-t)</w:t>
            </w:r>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Dep</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59"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 NWC</w:t>
            </w:r>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Capex</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rsidR="002A2DE3" w:rsidRDefault="002A2DE3" w:rsidP="00197A80">
            <w:pPr>
              <w:spacing w:after="0"/>
              <w:jc w:val="center"/>
              <w:rPr>
                <w:rFonts w:ascii="Times New Roman" w:hAnsi="Times New Roman"/>
                <w:sz w:val="28"/>
                <w:szCs w:val="28"/>
                <w:lang w:eastAsia="ru-RU"/>
              </w:rPr>
            </w:pPr>
            <w:proofErr w:type="spellStart"/>
            <w:r w:rsidRPr="00560DC5">
              <w:rPr>
                <w:rFonts w:ascii="Times New Roman" w:hAnsi="Times New Roman"/>
                <w:sz w:val="28"/>
                <w:szCs w:val="28"/>
                <w:lang w:eastAsia="ru-RU"/>
              </w:rPr>
              <w:t>CF_opt</w:t>
            </w:r>
            <w:proofErr w:type="spellEnd"/>
          </w:p>
          <w:p w:rsidR="002A2DE3" w:rsidRPr="00560DC5" w:rsidRDefault="002A2DE3" w:rsidP="00197A80">
            <w:pPr>
              <w:spacing w:after="0"/>
              <w:jc w:val="center"/>
              <w:rPr>
                <w:rFonts w:ascii="Times New Roman" w:hAnsi="Times New Roman"/>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r>
      <w:tr w:rsidR="002A2DE3" w:rsidRPr="00560DC5" w:rsidTr="002A3642">
        <w:trPr>
          <w:trHeight w:val="255"/>
          <w:jc w:val="center"/>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2011</w:t>
            </w:r>
          </w:p>
        </w:tc>
        <w:tc>
          <w:tcPr>
            <w:tcW w:w="781"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176 283</w:t>
            </w:r>
          </w:p>
        </w:tc>
        <w:tc>
          <w:tcPr>
            <w:tcW w:w="922"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121 511</w:t>
            </w:r>
          </w:p>
        </w:tc>
        <w:tc>
          <w:tcPr>
            <w:tcW w:w="859"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60 527</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33 320</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203 947</w:t>
            </w:r>
          </w:p>
        </w:tc>
      </w:tr>
      <w:tr w:rsidR="002A2DE3" w:rsidRPr="00560DC5" w:rsidTr="002A3642">
        <w:trPr>
          <w:trHeight w:val="255"/>
          <w:jc w:val="center"/>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2012</w:t>
            </w:r>
          </w:p>
        </w:tc>
        <w:tc>
          <w:tcPr>
            <w:tcW w:w="781"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279 846</w:t>
            </w:r>
          </w:p>
        </w:tc>
        <w:tc>
          <w:tcPr>
            <w:tcW w:w="922"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136 092</w:t>
            </w:r>
          </w:p>
        </w:tc>
        <w:tc>
          <w:tcPr>
            <w:tcW w:w="859"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65 369</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36 319</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314 250</w:t>
            </w:r>
          </w:p>
        </w:tc>
      </w:tr>
      <w:tr w:rsidR="002A2DE3" w:rsidRPr="00560DC5" w:rsidTr="002A3642">
        <w:trPr>
          <w:trHeight w:val="255"/>
          <w:jc w:val="center"/>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2013</w:t>
            </w:r>
          </w:p>
        </w:tc>
        <w:tc>
          <w:tcPr>
            <w:tcW w:w="781"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379 835</w:t>
            </w:r>
          </w:p>
        </w:tc>
        <w:tc>
          <w:tcPr>
            <w:tcW w:w="922"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152 423</w:t>
            </w:r>
          </w:p>
        </w:tc>
        <w:tc>
          <w:tcPr>
            <w:tcW w:w="859"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70 598</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39 588</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422 072</w:t>
            </w:r>
          </w:p>
        </w:tc>
      </w:tr>
      <w:tr w:rsidR="002A2DE3" w:rsidRPr="00560DC5" w:rsidTr="002A3642">
        <w:trPr>
          <w:trHeight w:val="255"/>
          <w:jc w:val="center"/>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2014</w:t>
            </w:r>
          </w:p>
        </w:tc>
        <w:tc>
          <w:tcPr>
            <w:tcW w:w="781"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478 966</w:t>
            </w:r>
          </w:p>
        </w:tc>
        <w:tc>
          <w:tcPr>
            <w:tcW w:w="922"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170 714</w:t>
            </w:r>
          </w:p>
        </w:tc>
        <w:tc>
          <w:tcPr>
            <w:tcW w:w="859"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76 246</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43 151</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530 283</w:t>
            </w:r>
          </w:p>
        </w:tc>
      </w:tr>
      <w:tr w:rsidR="002A2DE3" w:rsidRPr="00560DC5" w:rsidTr="002A3642">
        <w:trPr>
          <w:trHeight w:val="255"/>
          <w:jc w:val="center"/>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2015</w:t>
            </w:r>
          </w:p>
        </w:tc>
        <w:tc>
          <w:tcPr>
            <w:tcW w:w="781"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587 297</w:t>
            </w:r>
          </w:p>
        </w:tc>
        <w:tc>
          <w:tcPr>
            <w:tcW w:w="922"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191 200</w:t>
            </w:r>
          </w:p>
        </w:tc>
        <w:tc>
          <w:tcPr>
            <w:tcW w:w="859"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82 346</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47 034</w:t>
            </w:r>
          </w:p>
        </w:tc>
        <w:tc>
          <w:tcPr>
            <w:tcW w:w="813" w:type="pct"/>
            <w:tcBorders>
              <w:top w:val="nil"/>
              <w:left w:val="nil"/>
              <w:bottom w:val="single" w:sz="4" w:space="0" w:color="auto"/>
              <w:right w:val="single" w:sz="4" w:space="0" w:color="auto"/>
            </w:tcBorders>
            <w:shd w:val="clear" w:color="auto" w:fill="auto"/>
            <w:noWrap/>
            <w:vAlign w:val="bottom"/>
            <w:hideMark/>
          </w:tcPr>
          <w:p w:rsidR="002A2DE3" w:rsidRPr="00560DC5" w:rsidRDefault="002A2DE3" w:rsidP="00197A80">
            <w:pPr>
              <w:spacing w:after="0"/>
              <w:jc w:val="center"/>
              <w:rPr>
                <w:rFonts w:ascii="Times New Roman" w:hAnsi="Times New Roman"/>
                <w:sz w:val="28"/>
                <w:szCs w:val="28"/>
                <w:lang w:eastAsia="ru-RU"/>
              </w:rPr>
            </w:pPr>
            <w:r w:rsidRPr="00560DC5">
              <w:rPr>
                <w:rFonts w:ascii="Times New Roman" w:hAnsi="Times New Roman"/>
                <w:sz w:val="28"/>
                <w:szCs w:val="28"/>
                <w:lang w:eastAsia="ru-RU"/>
              </w:rPr>
              <w:t>649 117</w:t>
            </w:r>
          </w:p>
        </w:tc>
      </w:tr>
    </w:tbl>
    <w:p w:rsidR="002A2DE3" w:rsidRDefault="002A2DE3" w:rsidP="002A2DE3">
      <w:pPr>
        <w:spacing w:after="0" w:line="360" w:lineRule="auto"/>
        <w:ind w:firstLine="709"/>
        <w:jc w:val="both"/>
        <w:rPr>
          <w:rFonts w:ascii="Times New Roman" w:hAnsi="Times New Roman"/>
          <w:sz w:val="28"/>
          <w:szCs w:val="28"/>
        </w:rPr>
      </w:pPr>
    </w:p>
    <w:p w:rsidR="002A2DE3" w:rsidRDefault="002A2DE3" w:rsidP="00197A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Денежные потоки в соответствии с каждым из сценариев были рассчитаны. Теперь необходимо определить ставку дисконтирования, будем использовать </w:t>
      </w:r>
      <w:r>
        <w:rPr>
          <w:rFonts w:ascii="Times New Roman" w:hAnsi="Times New Roman"/>
          <w:sz w:val="28"/>
          <w:szCs w:val="28"/>
          <w:lang w:val="en-US"/>
        </w:rPr>
        <w:t>WACC</w:t>
      </w:r>
      <w:r>
        <w:rPr>
          <w:rFonts w:ascii="Times New Roman" w:hAnsi="Times New Roman"/>
          <w:sz w:val="28"/>
          <w:szCs w:val="28"/>
        </w:rPr>
        <w:t>. В структуре капитала компании преобладает собственный капитал, его доля составляет 62% . Соответственно заемный капитал – 38%. Стоимость заемного капитала равна максимальной ставке по кредиту, предоставленному в рамках кредитной линии ЗАО КБ «</w:t>
      </w:r>
      <w:proofErr w:type="spellStart"/>
      <w:r>
        <w:rPr>
          <w:rFonts w:ascii="Times New Roman" w:hAnsi="Times New Roman"/>
          <w:sz w:val="28"/>
          <w:szCs w:val="28"/>
        </w:rPr>
        <w:t>Ситибанк</w:t>
      </w:r>
      <w:proofErr w:type="spellEnd"/>
      <w:r>
        <w:rPr>
          <w:rFonts w:ascii="Times New Roman" w:hAnsi="Times New Roman"/>
          <w:sz w:val="28"/>
          <w:szCs w:val="28"/>
        </w:rPr>
        <w:t xml:space="preserve">». Ставка равна 8,95%. Доходность на собственный капитал рассчитывалась по модели </w:t>
      </w:r>
      <w:r>
        <w:rPr>
          <w:rFonts w:ascii="Times New Roman" w:hAnsi="Times New Roman"/>
          <w:sz w:val="28"/>
          <w:szCs w:val="28"/>
          <w:lang w:val="en-US"/>
        </w:rPr>
        <w:t>CAPM</w:t>
      </w:r>
      <w:r>
        <w:rPr>
          <w:rFonts w:ascii="Times New Roman" w:hAnsi="Times New Roman"/>
          <w:sz w:val="28"/>
          <w:szCs w:val="28"/>
        </w:rPr>
        <w:t xml:space="preserve">, результаты представлены в виде таблицы _. В качестве </w:t>
      </w:r>
      <w:proofErr w:type="spellStart"/>
      <w:r>
        <w:rPr>
          <w:rFonts w:ascii="Times New Roman" w:hAnsi="Times New Roman"/>
          <w:sz w:val="28"/>
          <w:szCs w:val="28"/>
        </w:rPr>
        <w:t>безрисковой</w:t>
      </w:r>
      <w:proofErr w:type="spellEnd"/>
      <w:r>
        <w:rPr>
          <w:rFonts w:ascii="Times New Roman" w:hAnsi="Times New Roman"/>
          <w:sz w:val="28"/>
          <w:szCs w:val="28"/>
        </w:rPr>
        <w:t xml:space="preserve"> ставки была выбрана ставка по долгосрочным ГКО-ОФЗ. Бета коэффициент, премия за риск и </w:t>
      </w:r>
      <w:proofErr w:type="spellStart"/>
      <w:r>
        <w:rPr>
          <w:rFonts w:ascii="Times New Roman" w:hAnsi="Times New Roman"/>
          <w:sz w:val="28"/>
          <w:szCs w:val="28"/>
        </w:rPr>
        <w:t>страновой</w:t>
      </w:r>
      <w:proofErr w:type="spellEnd"/>
      <w:r>
        <w:rPr>
          <w:rFonts w:ascii="Times New Roman" w:hAnsi="Times New Roman"/>
          <w:sz w:val="28"/>
          <w:szCs w:val="28"/>
        </w:rPr>
        <w:t xml:space="preserve"> риск были заимствованы из информационной базы </w:t>
      </w:r>
      <w:proofErr w:type="spellStart"/>
      <w:r>
        <w:rPr>
          <w:rFonts w:ascii="Times New Roman" w:hAnsi="Times New Roman"/>
          <w:sz w:val="28"/>
          <w:szCs w:val="28"/>
          <w:lang w:val="en-US"/>
        </w:rPr>
        <w:t>Damodaran</w:t>
      </w:r>
      <w:proofErr w:type="spellEnd"/>
      <w:r w:rsidRPr="00336FF5">
        <w:rPr>
          <w:rFonts w:ascii="Times New Roman" w:hAnsi="Times New Roman"/>
          <w:sz w:val="28"/>
          <w:szCs w:val="28"/>
        </w:rPr>
        <w:t>-</w:t>
      </w:r>
      <w:r>
        <w:rPr>
          <w:rFonts w:ascii="Times New Roman" w:hAnsi="Times New Roman"/>
          <w:sz w:val="28"/>
          <w:szCs w:val="28"/>
          <w:lang w:val="en-US"/>
        </w:rPr>
        <w:t>online</w:t>
      </w:r>
      <w:r w:rsidRPr="00336FF5">
        <w:rPr>
          <w:rFonts w:ascii="Times New Roman" w:hAnsi="Times New Roman"/>
          <w:sz w:val="28"/>
          <w:szCs w:val="28"/>
        </w:rPr>
        <w:t xml:space="preserve">. </w:t>
      </w:r>
      <w:r>
        <w:rPr>
          <w:rFonts w:ascii="Times New Roman" w:hAnsi="Times New Roman"/>
          <w:sz w:val="28"/>
          <w:szCs w:val="28"/>
        </w:rPr>
        <w:t>Коэффициент бета не корректировался, так как структура капитала «</w:t>
      </w:r>
      <w:proofErr w:type="spellStart"/>
      <w:r>
        <w:rPr>
          <w:rFonts w:ascii="Times New Roman" w:hAnsi="Times New Roman"/>
          <w:sz w:val="28"/>
          <w:szCs w:val="28"/>
        </w:rPr>
        <w:t>СладКо</w:t>
      </w:r>
      <w:proofErr w:type="spellEnd"/>
      <w:r>
        <w:rPr>
          <w:rFonts w:ascii="Times New Roman" w:hAnsi="Times New Roman"/>
          <w:sz w:val="28"/>
          <w:szCs w:val="28"/>
        </w:rPr>
        <w:t xml:space="preserve">» совпадает </w:t>
      </w:r>
      <w:proofErr w:type="gramStart"/>
      <w:r>
        <w:rPr>
          <w:rFonts w:ascii="Times New Roman" w:hAnsi="Times New Roman"/>
          <w:sz w:val="28"/>
          <w:szCs w:val="28"/>
        </w:rPr>
        <w:t>с</w:t>
      </w:r>
      <w:proofErr w:type="gramEnd"/>
      <w:r>
        <w:rPr>
          <w:rFonts w:ascii="Times New Roman" w:hAnsi="Times New Roman"/>
          <w:sz w:val="28"/>
          <w:szCs w:val="28"/>
        </w:rPr>
        <w:t xml:space="preserve"> отраслевой.</w:t>
      </w:r>
    </w:p>
    <w:p w:rsidR="002A2DE3"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Таблица 16</w:t>
      </w:r>
    </w:p>
    <w:p w:rsidR="002A2DE3" w:rsidRPr="00336FF5" w:rsidRDefault="002A2DE3" w:rsidP="002A2DE3">
      <w:pPr>
        <w:spacing w:after="0" w:line="360" w:lineRule="auto"/>
        <w:ind w:firstLine="709"/>
        <w:jc w:val="right"/>
        <w:rPr>
          <w:rFonts w:ascii="Times New Roman" w:hAnsi="Times New Roman"/>
          <w:sz w:val="28"/>
          <w:szCs w:val="28"/>
        </w:rPr>
      </w:pPr>
      <w:r>
        <w:rPr>
          <w:rFonts w:ascii="Times New Roman" w:hAnsi="Times New Roman"/>
          <w:sz w:val="28"/>
          <w:szCs w:val="28"/>
        </w:rPr>
        <w:t xml:space="preserve">Расчет ставки доходности на СК по модели </w:t>
      </w:r>
      <w:r>
        <w:rPr>
          <w:rFonts w:ascii="Times New Roman" w:hAnsi="Times New Roman"/>
          <w:sz w:val="28"/>
          <w:szCs w:val="28"/>
          <w:lang w:val="en-US"/>
        </w:rPr>
        <w:t>CAPM</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1"/>
        <w:gridCol w:w="2631"/>
      </w:tblGrid>
      <w:tr w:rsidR="002A2DE3" w:rsidRPr="007C7230" w:rsidTr="002A3642">
        <w:trPr>
          <w:trHeight w:val="300"/>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Компонент</w:t>
            </w:r>
          </w:p>
        </w:tc>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Значение</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R</w:t>
            </w:r>
            <w:r w:rsidRPr="007C7230">
              <w:rPr>
                <w:rFonts w:ascii="Times New Roman" w:hAnsi="Times New Roman"/>
                <w:color w:val="000000"/>
                <w:sz w:val="28"/>
                <w:szCs w:val="28"/>
                <w:vertAlign w:val="subscript"/>
                <w:lang w:eastAsia="ru-RU"/>
              </w:rPr>
              <w:t>rf</w:t>
            </w:r>
            <w:proofErr w:type="spellEnd"/>
          </w:p>
        </w:tc>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6,56%</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β</w:t>
            </w:r>
          </w:p>
        </w:tc>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0,87</w:t>
            </w:r>
          </w:p>
        </w:tc>
      </w:tr>
      <w:tr w:rsidR="002A2DE3" w:rsidRPr="007C7230" w:rsidTr="002A3642">
        <w:trPr>
          <w:trHeight w:val="315"/>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Riskpremium</w:t>
            </w:r>
            <w:proofErr w:type="spellEnd"/>
          </w:p>
        </w:tc>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8,05%</w:t>
            </w:r>
          </w:p>
        </w:tc>
      </w:tr>
      <w:tr w:rsidR="002A2DE3" w:rsidRPr="007C7230" w:rsidTr="002A3642">
        <w:trPr>
          <w:trHeight w:val="536"/>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proofErr w:type="spellStart"/>
            <w:r w:rsidRPr="007C7230">
              <w:rPr>
                <w:rFonts w:ascii="Times New Roman" w:hAnsi="Times New Roman"/>
                <w:color w:val="000000"/>
                <w:sz w:val="28"/>
                <w:szCs w:val="28"/>
                <w:lang w:eastAsia="ru-RU"/>
              </w:rPr>
              <w:t>Countryrisk</w:t>
            </w:r>
            <w:proofErr w:type="spellEnd"/>
          </w:p>
        </w:tc>
        <w:tc>
          <w:tcPr>
            <w:tcW w:w="2631" w:type="dxa"/>
            <w:shd w:val="clear" w:color="auto" w:fill="auto"/>
            <w:vAlign w:val="center"/>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2,25%</w:t>
            </w:r>
          </w:p>
        </w:tc>
      </w:tr>
      <w:tr w:rsidR="002A2DE3" w:rsidRPr="007C7230" w:rsidTr="002A3642">
        <w:trPr>
          <w:trHeight w:val="536"/>
          <w:jc w:val="center"/>
        </w:trPr>
        <w:tc>
          <w:tcPr>
            <w:tcW w:w="2631" w:type="dxa"/>
            <w:shd w:val="clear" w:color="auto" w:fill="auto"/>
            <w:noWrap/>
            <w:vAlign w:val="center"/>
            <w:hideMark/>
          </w:tcPr>
          <w:p w:rsidR="002A2DE3" w:rsidRPr="00560DC5" w:rsidRDefault="002A2DE3" w:rsidP="00197A80">
            <w:pPr>
              <w:spacing w:after="0" w:line="360" w:lineRule="auto"/>
              <w:jc w:val="center"/>
              <w:rPr>
                <w:rFonts w:ascii="Times New Roman" w:hAnsi="Times New Roman"/>
                <w:color w:val="000000"/>
                <w:sz w:val="28"/>
                <w:szCs w:val="28"/>
                <w:lang w:eastAsia="ru-RU"/>
              </w:rPr>
            </w:pPr>
            <w:proofErr w:type="spellStart"/>
            <w:r>
              <w:rPr>
                <w:rFonts w:ascii="Times New Roman" w:hAnsi="Times New Roman"/>
                <w:color w:val="000000"/>
                <w:sz w:val="28"/>
                <w:szCs w:val="28"/>
                <w:lang w:val="en-US" w:eastAsia="ru-RU"/>
              </w:rPr>
              <w:t>Companyrisk</w:t>
            </w:r>
            <w:proofErr w:type="spellEnd"/>
          </w:p>
        </w:tc>
        <w:tc>
          <w:tcPr>
            <w:tcW w:w="2631" w:type="dxa"/>
            <w:shd w:val="clear" w:color="auto" w:fill="auto"/>
            <w:vAlign w:val="center"/>
          </w:tcPr>
          <w:p w:rsidR="002A2DE3" w:rsidRPr="007C7230"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3,5%</w:t>
            </w:r>
          </w:p>
        </w:tc>
      </w:tr>
      <w:tr w:rsidR="002A2DE3" w:rsidRPr="007C7230" w:rsidTr="002A3642">
        <w:trPr>
          <w:trHeight w:val="300"/>
          <w:jc w:val="center"/>
        </w:trPr>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sidRPr="007C7230">
              <w:rPr>
                <w:rFonts w:ascii="Times New Roman" w:hAnsi="Times New Roman"/>
                <w:color w:val="000000"/>
                <w:sz w:val="28"/>
                <w:szCs w:val="28"/>
                <w:lang w:eastAsia="ru-RU"/>
              </w:rPr>
              <w:t>CAPM</w:t>
            </w:r>
          </w:p>
        </w:tc>
        <w:tc>
          <w:tcPr>
            <w:tcW w:w="2631" w:type="dxa"/>
            <w:shd w:val="clear" w:color="auto" w:fill="auto"/>
            <w:noWrap/>
            <w:vAlign w:val="center"/>
            <w:hideMark/>
          </w:tcPr>
          <w:p w:rsidR="002A2DE3" w:rsidRPr="007C7230"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19,31</w:t>
            </w:r>
            <w:r w:rsidRPr="007C7230">
              <w:rPr>
                <w:rFonts w:ascii="Times New Roman" w:hAnsi="Times New Roman"/>
                <w:color w:val="000000"/>
                <w:sz w:val="28"/>
                <w:szCs w:val="28"/>
                <w:lang w:eastAsia="ru-RU"/>
              </w:rPr>
              <w:t>%</w:t>
            </w:r>
          </w:p>
        </w:tc>
      </w:tr>
    </w:tbl>
    <w:p w:rsidR="002A2DE3" w:rsidRDefault="002A2DE3" w:rsidP="002A2DE3">
      <w:pPr>
        <w:spacing w:after="0" w:line="360" w:lineRule="auto"/>
        <w:ind w:firstLine="709"/>
        <w:jc w:val="both"/>
        <w:rPr>
          <w:rFonts w:ascii="Times New Roman" w:hAnsi="Times New Roman"/>
          <w:sz w:val="28"/>
          <w:szCs w:val="28"/>
        </w:rPr>
      </w:pPr>
    </w:p>
    <w:p w:rsidR="00197A80" w:rsidRDefault="002A2DE3" w:rsidP="00197A80">
      <w:pPr>
        <w:spacing w:after="0" w:line="360" w:lineRule="auto"/>
        <w:ind w:firstLine="709"/>
        <w:jc w:val="both"/>
        <w:rPr>
          <w:rFonts w:ascii="Times New Roman" w:hAnsi="Times New Roman"/>
          <w:sz w:val="28"/>
          <w:szCs w:val="28"/>
        </w:rPr>
      </w:pPr>
      <w:r>
        <w:rPr>
          <w:rFonts w:ascii="Times New Roman" w:hAnsi="Times New Roman"/>
          <w:sz w:val="28"/>
          <w:szCs w:val="28"/>
        </w:rPr>
        <w:t>После того, как была определена стоимость собственного капитала, можем перейти к расчету ставки дисконтирования (таблица 17).</w:t>
      </w:r>
    </w:p>
    <w:p w:rsidR="002A2DE3" w:rsidRDefault="002A2DE3" w:rsidP="00197A80">
      <w:pPr>
        <w:spacing w:after="0"/>
        <w:ind w:firstLine="709"/>
        <w:jc w:val="right"/>
        <w:rPr>
          <w:rFonts w:ascii="Times New Roman" w:hAnsi="Times New Roman"/>
          <w:sz w:val="28"/>
          <w:szCs w:val="28"/>
        </w:rPr>
      </w:pPr>
      <w:r>
        <w:rPr>
          <w:rFonts w:ascii="Times New Roman" w:hAnsi="Times New Roman"/>
          <w:sz w:val="28"/>
          <w:szCs w:val="28"/>
        </w:rPr>
        <w:t>Таблица 17</w:t>
      </w:r>
    </w:p>
    <w:p w:rsidR="009E3879" w:rsidRPr="009E3879" w:rsidRDefault="002A2DE3" w:rsidP="00197A80">
      <w:pPr>
        <w:spacing w:after="0"/>
        <w:ind w:firstLine="709"/>
        <w:jc w:val="right"/>
        <w:rPr>
          <w:rFonts w:ascii="Times New Roman" w:hAnsi="Times New Roman"/>
          <w:sz w:val="28"/>
          <w:szCs w:val="28"/>
        </w:rPr>
      </w:pPr>
      <w:r>
        <w:rPr>
          <w:rFonts w:ascii="Times New Roman" w:hAnsi="Times New Roman"/>
          <w:sz w:val="28"/>
          <w:szCs w:val="28"/>
        </w:rPr>
        <w:t xml:space="preserve">Расчет ставки дисконтирования по модели </w:t>
      </w:r>
      <w:r>
        <w:rPr>
          <w:rFonts w:ascii="Times New Roman" w:hAnsi="Times New Roman"/>
          <w:sz w:val="28"/>
          <w:szCs w:val="28"/>
          <w:lang w:val="en-US"/>
        </w:rPr>
        <w:t>WACC</w:t>
      </w:r>
    </w:p>
    <w:tbl>
      <w:tblPr>
        <w:tblW w:w="9667" w:type="dxa"/>
        <w:jc w:val="center"/>
        <w:shd w:val="clear" w:color="auto" w:fill="FFFFFF" w:themeFill="background1"/>
        <w:tblLook w:val="04A0"/>
      </w:tblPr>
      <w:tblGrid>
        <w:gridCol w:w="3288"/>
        <w:gridCol w:w="1080"/>
        <w:gridCol w:w="1059"/>
        <w:gridCol w:w="1060"/>
        <w:gridCol w:w="1060"/>
        <w:gridCol w:w="1060"/>
        <w:gridCol w:w="1060"/>
      </w:tblGrid>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Компонент</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2011П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2012П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2013П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2014П</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Cs/>
                <w:color w:val="000000"/>
                <w:sz w:val="28"/>
                <w:szCs w:val="28"/>
              </w:rPr>
            </w:pPr>
            <w:r w:rsidRPr="00651FAE">
              <w:rPr>
                <w:rFonts w:ascii="Times New Roman" w:hAnsi="Times New Roman"/>
                <w:bCs/>
                <w:color w:val="000000"/>
                <w:sz w:val="28"/>
                <w:szCs w:val="28"/>
              </w:rPr>
              <w:t>2015П</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proofErr w:type="spellStart"/>
            <w:r w:rsidRPr="00651FAE">
              <w:rPr>
                <w:rFonts w:ascii="Times New Roman" w:hAnsi="Times New Roman"/>
                <w:color w:val="000000"/>
                <w:sz w:val="28"/>
                <w:szCs w:val="28"/>
                <w:lang w:val="en-US"/>
              </w:rPr>
              <w:t>Rrf</w:t>
            </w:r>
            <w:proofErr w:type="spellEnd"/>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6,56</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lastRenderedPageBreak/>
              <w:t>β</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0,87</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Risk premium</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8</w:t>
            </w:r>
            <w:r w:rsidRPr="00651FAE">
              <w:rPr>
                <w:rFonts w:ascii="Times New Roman" w:hAnsi="Times New Roman"/>
                <w:color w:val="000000"/>
                <w:sz w:val="28"/>
                <w:szCs w:val="28"/>
                <w:lang w:val="en-US"/>
              </w:rPr>
              <w:t>,05</w:t>
            </w:r>
          </w:p>
        </w:tc>
      </w:tr>
      <w:tr w:rsidR="002A2DE3" w:rsidRPr="00B82328" w:rsidTr="002A3642">
        <w:trPr>
          <w:trHeight w:val="454"/>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A2DE3" w:rsidRPr="00651FAE" w:rsidRDefault="002A2DE3" w:rsidP="002A3642">
            <w:pPr>
              <w:spacing w:line="360" w:lineRule="auto"/>
              <w:ind w:right="-109"/>
              <w:jc w:val="center"/>
              <w:rPr>
                <w:rFonts w:ascii="Times New Roman" w:hAnsi="Times New Roman"/>
                <w:color w:val="000000"/>
                <w:sz w:val="28"/>
                <w:szCs w:val="28"/>
              </w:rPr>
            </w:pPr>
            <w:proofErr w:type="spellStart"/>
            <w:r w:rsidRPr="00651FAE">
              <w:rPr>
                <w:rFonts w:ascii="Times New Roman" w:hAnsi="Times New Roman"/>
                <w:color w:val="000000"/>
                <w:sz w:val="28"/>
                <w:szCs w:val="28"/>
                <w:lang w:val="en-US"/>
              </w:rPr>
              <w:t>Countryrisk</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2,25</w:t>
            </w:r>
          </w:p>
        </w:tc>
      </w:tr>
      <w:tr w:rsidR="002A2DE3" w:rsidRPr="00B82328" w:rsidTr="002A3642">
        <w:trPr>
          <w:trHeight w:val="34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3272CC"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Company risk</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447CDF"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A2DE3" w:rsidRPr="00651FAE" w:rsidRDefault="002A2DE3" w:rsidP="002A3642">
            <w:pPr>
              <w:spacing w:line="360" w:lineRule="auto"/>
              <w:jc w:val="center"/>
              <w:rPr>
                <w:rFonts w:ascii="Times New Roman" w:hAnsi="Times New Roman"/>
                <w:color w:val="000000"/>
                <w:sz w:val="28"/>
                <w:szCs w:val="28"/>
                <w:lang w:val="en-US"/>
              </w:rPr>
            </w:pPr>
            <w:r>
              <w:rPr>
                <w:rFonts w:ascii="Times New Roman" w:hAnsi="Times New Roman"/>
                <w:color w:val="000000"/>
                <w:sz w:val="28"/>
                <w:szCs w:val="28"/>
              </w:rPr>
              <w:t>3,5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
                <w:color w:val="000000"/>
                <w:sz w:val="28"/>
                <w:szCs w:val="28"/>
              </w:rPr>
            </w:pPr>
            <w:r w:rsidRPr="00651FAE">
              <w:rPr>
                <w:rFonts w:ascii="Times New Roman" w:hAnsi="Times New Roman"/>
                <w:b/>
                <w:color w:val="000000"/>
                <w:sz w:val="28"/>
                <w:szCs w:val="28"/>
              </w:rPr>
              <w:t>CAPM</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1D00A5"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19,31</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Налог на прибыль</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20%</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Ставка рефинансирования</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8,25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proofErr w:type="spellStart"/>
            <w:r w:rsidRPr="00651FAE">
              <w:rPr>
                <w:rFonts w:ascii="Times New Roman" w:hAnsi="Times New Roman"/>
                <w:color w:val="000000"/>
                <w:sz w:val="28"/>
                <w:szCs w:val="28"/>
              </w:rPr>
              <w:t>k</w:t>
            </w:r>
            <w:proofErr w:type="spellEnd"/>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9,075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lang w:val="en-US"/>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lang w:val="en-US"/>
              </w:rPr>
              <w:t>14,85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Ставка доходности по ЗК</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8,95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8,95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9,45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9,45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9,75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9,75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Доля СК,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62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62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60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55</w:t>
            </w:r>
          </w:p>
        </w:tc>
      </w:tr>
      <w:tr w:rsidR="002A2DE3" w:rsidRPr="00B82328"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color w:val="000000"/>
                <w:sz w:val="28"/>
                <w:szCs w:val="28"/>
              </w:rPr>
            </w:pPr>
            <w:r w:rsidRPr="00651FAE">
              <w:rPr>
                <w:rFonts w:ascii="Times New Roman" w:hAnsi="Times New Roman"/>
                <w:color w:val="000000"/>
                <w:sz w:val="28"/>
                <w:szCs w:val="28"/>
              </w:rPr>
              <w:t>Доля ЗК,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38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38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40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45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45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45</w:t>
            </w:r>
          </w:p>
        </w:tc>
      </w:tr>
      <w:tr w:rsidR="002A2DE3" w:rsidRPr="00B83145" w:rsidTr="002A3642">
        <w:trPr>
          <w:trHeight w:val="300"/>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2DE3" w:rsidRPr="00651FAE" w:rsidRDefault="002A2DE3" w:rsidP="002A3642">
            <w:pPr>
              <w:spacing w:line="360" w:lineRule="auto"/>
              <w:jc w:val="center"/>
              <w:rPr>
                <w:rFonts w:ascii="Times New Roman" w:hAnsi="Times New Roman"/>
                <w:b/>
                <w:color w:val="000000"/>
                <w:sz w:val="28"/>
                <w:szCs w:val="28"/>
              </w:rPr>
            </w:pPr>
            <w:r w:rsidRPr="00651FAE">
              <w:rPr>
                <w:rFonts w:ascii="Times New Roman" w:hAnsi="Times New Roman"/>
                <w:b/>
                <w:color w:val="000000"/>
                <w:sz w:val="28"/>
                <w:szCs w:val="28"/>
              </w:rPr>
              <w:t>WACC</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2A2DE3" w:rsidRPr="004A0BB7" w:rsidRDefault="002A2DE3" w:rsidP="002A3642">
            <w:pPr>
              <w:spacing w:line="360" w:lineRule="auto"/>
              <w:jc w:val="center"/>
              <w:rPr>
                <w:rFonts w:ascii="Times New Roman" w:hAnsi="Times New Roman"/>
                <w:color w:val="000000"/>
                <w:sz w:val="28"/>
                <w:szCs w:val="28"/>
              </w:rPr>
            </w:pPr>
            <w:r>
              <w:rPr>
                <w:rFonts w:ascii="Times New Roman" w:hAnsi="Times New Roman"/>
                <w:color w:val="000000"/>
                <w:sz w:val="28"/>
                <w:szCs w:val="28"/>
              </w:rPr>
              <w:t>14,1%</w:t>
            </w:r>
          </w:p>
        </w:tc>
      </w:tr>
    </w:tbl>
    <w:p w:rsidR="002A2DE3" w:rsidRDefault="002A2DE3" w:rsidP="002A2DE3">
      <w:pPr>
        <w:spacing w:after="0" w:line="360" w:lineRule="auto"/>
        <w:ind w:firstLine="709"/>
        <w:jc w:val="both"/>
        <w:rPr>
          <w:rFonts w:ascii="Times New Roman" w:hAnsi="Times New Roman"/>
          <w:sz w:val="28"/>
          <w:szCs w:val="28"/>
          <w:lang w:val="en-US"/>
        </w:rPr>
      </w:pP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Рассчитанные ранее денежные потоки по трем сценариям, представленные в таблицах 13, 14 и 15, дисконтируем </w:t>
      </w:r>
      <w:proofErr w:type="gramStart"/>
      <w:r>
        <w:rPr>
          <w:rFonts w:ascii="Times New Roman" w:hAnsi="Times New Roman"/>
          <w:sz w:val="28"/>
          <w:szCs w:val="28"/>
        </w:rPr>
        <w:t>по</w:t>
      </w:r>
      <w:proofErr w:type="gramEnd"/>
      <w:r>
        <w:rPr>
          <w:rFonts w:ascii="Times New Roman" w:hAnsi="Times New Roman"/>
          <w:sz w:val="28"/>
          <w:szCs w:val="28"/>
        </w:rPr>
        <w:t xml:space="preserve"> полученным </w:t>
      </w:r>
      <w:proofErr w:type="spellStart"/>
      <w:r>
        <w:rPr>
          <w:rFonts w:ascii="Times New Roman" w:hAnsi="Times New Roman"/>
          <w:sz w:val="28"/>
          <w:szCs w:val="28"/>
        </w:rPr>
        <w:t>ставкампрогнозного</w:t>
      </w:r>
      <w:proofErr w:type="spellEnd"/>
      <w:r>
        <w:rPr>
          <w:rFonts w:ascii="Times New Roman" w:hAnsi="Times New Roman"/>
          <w:sz w:val="28"/>
          <w:szCs w:val="28"/>
        </w:rPr>
        <w:t xml:space="preserve"> периода. Затем рассчитываем  стоимости компании и стоимости в </w:t>
      </w:r>
      <w:proofErr w:type="spellStart"/>
      <w:r>
        <w:rPr>
          <w:rFonts w:ascii="Times New Roman" w:hAnsi="Times New Roman"/>
          <w:sz w:val="28"/>
          <w:szCs w:val="28"/>
        </w:rPr>
        <w:t>постпрогнозном</w:t>
      </w:r>
      <w:proofErr w:type="spellEnd"/>
      <w:r>
        <w:rPr>
          <w:rFonts w:ascii="Times New Roman" w:hAnsi="Times New Roman"/>
          <w:sz w:val="28"/>
          <w:szCs w:val="28"/>
        </w:rPr>
        <w:t xml:space="preserve"> периоде в соответствии с каждым из сценариев с использованием модели Гордона. Подробный расчет описан в таблице 18.  Каждому из сценариев придадим веса при расчете итоговой стоимости КО «</w:t>
      </w:r>
      <w:proofErr w:type="spellStart"/>
      <w:r>
        <w:rPr>
          <w:rFonts w:ascii="Times New Roman" w:hAnsi="Times New Roman"/>
          <w:sz w:val="28"/>
          <w:szCs w:val="28"/>
        </w:rPr>
        <w:t>СладКо</w:t>
      </w:r>
      <w:proofErr w:type="spellEnd"/>
      <w:r>
        <w:rPr>
          <w:rFonts w:ascii="Times New Roman" w:hAnsi="Times New Roman"/>
          <w:sz w:val="28"/>
          <w:szCs w:val="28"/>
        </w:rPr>
        <w:t>». Так реальный прогноз составит 50%, а пессимистичный и оптимистичный 30% и 20% соответственно. По нашим расчетам итоговая стоимость компании составляет 3,05 млрд. руб.</w:t>
      </w:r>
    </w:p>
    <w:p w:rsidR="00227ECE" w:rsidRDefault="00227ECE" w:rsidP="002A2DE3">
      <w:pPr>
        <w:spacing w:after="0"/>
        <w:ind w:firstLine="709"/>
        <w:jc w:val="right"/>
        <w:rPr>
          <w:rFonts w:ascii="Times New Roman" w:hAnsi="Times New Roman"/>
          <w:sz w:val="28"/>
          <w:szCs w:val="28"/>
        </w:rPr>
      </w:pPr>
    </w:p>
    <w:p w:rsidR="00227ECE" w:rsidRDefault="00227ECE" w:rsidP="002A2DE3">
      <w:pPr>
        <w:spacing w:after="0"/>
        <w:ind w:firstLine="709"/>
        <w:jc w:val="right"/>
        <w:rPr>
          <w:rFonts w:ascii="Times New Roman" w:hAnsi="Times New Roman"/>
          <w:sz w:val="28"/>
          <w:szCs w:val="28"/>
        </w:rPr>
      </w:pPr>
    </w:p>
    <w:p w:rsidR="002A2DE3" w:rsidRDefault="002A2DE3" w:rsidP="002A2DE3">
      <w:pPr>
        <w:spacing w:after="0"/>
        <w:ind w:firstLine="709"/>
        <w:jc w:val="right"/>
        <w:rPr>
          <w:rFonts w:ascii="Times New Roman" w:hAnsi="Times New Roman"/>
          <w:sz w:val="28"/>
          <w:szCs w:val="28"/>
        </w:rPr>
      </w:pPr>
      <w:r>
        <w:rPr>
          <w:rFonts w:ascii="Times New Roman" w:hAnsi="Times New Roman"/>
          <w:sz w:val="28"/>
          <w:szCs w:val="28"/>
        </w:rPr>
        <w:lastRenderedPageBreak/>
        <w:t>Таблица 18</w:t>
      </w:r>
    </w:p>
    <w:p w:rsidR="002A2DE3" w:rsidRPr="000858AA" w:rsidRDefault="002A2DE3" w:rsidP="002A2DE3">
      <w:pPr>
        <w:spacing w:after="0"/>
        <w:ind w:firstLine="709"/>
        <w:jc w:val="right"/>
        <w:rPr>
          <w:rFonts w:ascii="Times New Roman" w:hAnsi="Times New Roman"/>
          <w:sz w:val="28"/>
          <w:szCs w:val="28"/>
        </w:rPr>
      </w:pPr>
      <w:r>
        <w:rPr>
          <w:rFonts w:ascii="Times New Roman" w:hAnsi="Times New Roman"/>
          <w:sz w:val="28"/>
          <w:szCs w:val="28"/>
        </w:rPr>
        <w:t xml:space="preserve">Итоговая стоимость КО </w:t>
      </w:r>
      <w:proofErr w:type="spellStart"/>
      <w:r>
        <w:rPr>
          <w:rFonts w:ascii="Times New Roman" w:hAnsi="Times New Roman"/>
          <w:sz w:val="28"/>
          <w:szCs w:val="28"/>
        </w:rPr>
        <w:t>СладКо</w:t>
      </w:r>
      <w:proofErr w:type="spellEnd"/>
      <w:r>
        <w:rPr>
          <w:rFonts w:ascii="Times New Roman" w:hAnsi="Times New Roman"/>
          <w:sz w:val="28"/>
          <w:szCs w:val="28"/>
        </w:rPr>
        <w:t xml:space="preserve"> (тыс. руб.)</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485"/>
        <w:gridCol w:w="1153"/>
        <w:gridCol w:w="1137"/>
        <w:gridCol w:w="1155"/>
        <w:gridCol w:w="1151"/>
      </w:tblGrid>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2011</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2012</w:t>
            </w: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2013</w:t>
            </w: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2014</w:t>
            </w: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2015</w:t>
            </w: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DCF_real</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127 004</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143 213</w:t>
            </w: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147 280</w:t>
            </w: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141 779</w:t>
            </w: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144 259</w:t>
            </w: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PV_real</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703 535</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Vterm_real</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1 658 622</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b/>
                <w:sz w:val="28"/>
                <w:szCs w:val="28"/>
                <w:lang w:eastAsia="ru-RU"/>
              </w:rPr>
            </w:pPr>
            <w:proofErr w:type="spellStart"/>
            <w:r w:rsidRPr="004A0BB7">
              <w:rPr>
                <w:rFonts w:ascii="Times New Roman" w:hAnsi="Times New Roman"/>
                <w:b/>
                <w:sz w:val="28"/>
                <w:szCs w:val="28"/>
                <w:lang w:eastAsia="ru-RU"/>
              </w:rPr>
              <w:t>Valuereal</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2 362 157</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DCF_pes</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88 073</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103 584</w:t>
            </w: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118 896</w:t>
            </w: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115 294</w:t>
            </w: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110 096</w:t>
            </w: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PV_pes</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535 944</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Vterm_pes</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1 018 636</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b/>
                <w:sz w:val="28"/>
                <w:szCs w:val="28"/>
                <w:lang w:eastAsia="ru-RU"/>
              </w:rPr>
            </w:pPr>
            <w:proofErr w:type="spellStart"/>
            <w:r w:rsidRPr="004A0BB7">
              <w:rPr>
                <w:rFonts w:ascii="Times New Roman" w:hAnsi="Times New Roman"/>
                <w:b/>
                <w:sz w:val="28"/>
                <w:szCs w:val="28"/>
                <w:lang w:eastAsia="ru-RU"/>
              </w:rPr>
              <w:t>Valuepes</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1 554 579</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DCF_opt</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177 817</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239 229</w:t>
            </w: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284 704</w:t>
            </w: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312 516</w:t>
            </w: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335 179</w:t>
            </w: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PV_opt</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1 349 445</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roofErr w:type="spellStart"/>
            <w:r w:rsidRPr="004A0BB7">
              <w:rPr>
                <w:rFonts w:ascii="Times New Roman" w:hAnsi="Times New Roman"/>
                <w:sz w:val="28"/>
                <w:szCs w:val="28"/>
                <w:lang w:eastAsia="ru-RU"/>
              </w:rPr>
              <w:t>Vterm_opt</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3 853 724</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25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b/>
                <w:sz w:val="28"/>
                <w:szCs w:val="28"/>
                <w:lang w:eastAsia="ru-RU"/>
              </w:rPr>
            </w:pPr>
            <w:proofErr w:type="spellStart"/>
            <w:r w:rsidRPr="004A0BB7">
              <w:rPr>
                <w:rFonts w:ascii="Times New Roman" w:hAnsi="Times New Roman"/>
                <w:b/>
                <w:sz w:val="28"/>
                <w:szCs w:val="28"/>
                <w:lang w:eastAsia="ru-RU"/>
              </w:rPr>
              <w:t>Value_opt</w:t>
            </w:r>
            <w:proofErr w:type="spellEnd"/>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r w:rsidRPr="004A0BB7">
              <w:rPr>
                <w:rFonts w:ascii="Times New Roman" w:hAnsi="Times New Roman"/>
                <w:sz w:val="28"/>
                <w:szCs w:val="28"/>
                <w:lang w:eastAsia="ru-RU"/>
              </w:rPr>
              <w:t>5 203 169</w:t>
            </w:r>
          </w:p>
        </w:tc>
        <w:tc>
          <w:tcPr>
            <w:tcW w:w="622"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1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3"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c>
          <w:tcPr>
            <w:tcW w:w="620" w:type="pct"/>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r w:rsidR="002A2DE3" w:rsidRPr="004A0BB7" w:rsidTr="002A3642">
        <w:trPr>
          <w:trHeight w:val="315"/>
          <w:jc w:val="center"/>
        </w:trPr>
        <w:tc>
          <w:tcPr>
            <w:tcW w:w="1720" w:type="pct"/>
            <w:shd w:val="clear" w:color="auto" w:fill="auto"/>
            <w:noWrap/>
            <w:vAlign w:val="bottom"/>
            <w:hideMark/>
          </w:tcPr>
          <w:p w:rsidR="002A2DE3" w:rsidRPr="004A0BB7" w:rsidRDefault="002A2DE3" w:rsidP="002A3642">
            <w:pPr>
              <w:spacing w:after="0"/>
              <w:jc w:val="center"/>
              <w:rPr>
                <w:rFonts w:ascii="Times New Roman" w:hAnsi="Times New Roman"/>
                <w:b/>
                <w:bCs/>
                <w:color w:val="000000"/>
                <w:sz w:val="28"/>
                <w:szCs w:val="28"/>
                <w:lang w:eastAsia="ru-RU"/>
              </w:rPr>
            </w:pPr>
            <w:r w:rsidRPr="004A0BB7">
              <w:rPr>
                <w:rFonts w:ascii="Times New Roman" w:hAnsi="Times New Roman"/>
                <w:b/>
                <w:bCs/>
                <w:color w:val="000000"/>
                <w:sz w:val="28"/>
                <w:szCs w:val="28"/>
                <w:lang w:eastAsia="ru-RU"/>
              </w:rPr>
              <w:t>VALUE</w:t>
            </w:r>
          </w:p>
        </w:tc>
        <w:tc>
          <w:tcPr>
            <w:tcW w:w="801" w:type="pct"/>
            <w:shd w:val="clear" w:color="auto" w:fill="auto"/>
            <w:noWrap/>
            <w:vAlign w:val="bottom"/>
            <w:hideMark/>
          </w:tcPr>
          <w:p w:rsidR="002A2DE3" w:rsidRPr="004A0BB7" w:rsidRDefault="002A2DE3" w:rsidP="002A3642">
            <w:pPr>
              <w:spacing w:after="0"/>
              <w:jc w:val="center"/>
              <w:rPr>
                <w:rFonts w:ascii="Times New Roman" w:hAnsi="Times New Roman"/>
                <w:b/>
                <w:bCs/>
                <w:color w:val="000000"/>
                <w:sz w:val="28"/>
                <w:szCs w:val="28"/>
                <w:lang w:eastAsia="ru-RU"/>
              </w:rPr>
            </w:pPr>
            <w:r w:rsidRPr="004A0BB7">
              <w:rPr>
                <w:rFonts w:ascii="Times New Roman" w:hAnsi="Times New Roman"/>
                <w:b/>
                <w:bCs/>
                <w:color w:val="000000"/>
                <w:sz w:val="28"/>
                <w:szCs w:val="28"/>
                <w:lang w:eastAsia="ru-RU"/>
              </w:rPr>
              <w:t>3 052</w:t>
            </w:r>
            <w:r w:rsidR="00227ECE">
              <w:rPr>
                <w:rFonts w:ascii="Times New Roman" w:hAnsi="Times New Roman"/>
                <w:b/>
                <w:bCs/>
                <w:color w:val="000000"/>
                <w:sz w:val="28"/>
                <w:szCs w:val="28"/>
                <w:lang w:eastAsia="ru-RU"/>
              </w:rPr>
              <w:t> </w:t>
            </w:r>
            <w:r w:rsidRPr="004A0BB7">
              <w:rPr>
                <w:rFonts w:ascii="Times New Roman" w:hAnsi="Times New Roman"/>
                <w:b/>
                <w:bCs/>
                <w:color w:val="000000"/>
                <w:sz w:val="28"/>
                <w:szCs w:val="28"/>
                <w:lang w:eastAsia="ru-RU"/>
              </w:rPr>
              <w:t>945</w:t>
            </w:r>
          </w:p>
        </w:tc>
        <w:tc>
          <w:tcPr>
            <w:tcW w:w="2479" w:type="pct"/>
            <w:gridSpan w:val="4"/>
            <w:tcBorders>
              <w:bottom w:val="nil"/>
              <w:right w:val="nil"/>
            </w:tcBorders>
            <w:shd w:val="clear" w:color="auto" w:fill="auto"/>
            <w:noWrap/>
            <w:vAlign w:val="bottom"/>
            <w:hideMark/>
          </w:tcPr>
          <w:p w:rsidR="002A2DE3" w:rsidRPr="004A0BB7" w:rsidRDefault="002A2DE3" w:rsidP="002A3642">
            <w:pPr>
              <w:spacing w:after="0"/>
              <w:jc w:val="center"/>
              <w:rPr>
                <w:rFonts w:ascii="Times New Roman" w:hAnsi="Times New Roman"/>
                <w:sz w:val="28"/>
                <w:szCs w:val="28"/>
                <w:lang w:eastAsia="ru-RU"/>
              </w:rPr>
            </w:pPr>
          </w:p>
        </w:tc>
      </w:tr>
    </w:tbl>
    <w:p w:rsidR="002A2DE3" w:rsidRDefault="002A2DE3" w:rsidP="002A2DE3">
      <w:pPr>
        <w:spacing w:after="0" w:line="360" w:lineRule="auto"/>
        <w:jc w:val="both"/>
        <w:rPr>
          <w:rFonts w:ascii="Times New Roman" w:hAnsi="Times New Roman"/>
          <w:sz w:val="28"/>
          <w:szCs w:val="28"/>
        </w:rPr>
      </w:pPr>
    </w:p>
    <w:p w:rsidR="00227ECE" w:rsidRDefault="00227ECE" w:rsidP="002A2DE3">
      <w:pPr>
        <w:spacing w:after="0" w:line="360" w:lineRule="auto"/>
        <w:jc w:val="center"/>
        <w:rPr>
          <w:rFonts w:ascii="Times New Roman" w:hAnsi="Times New Roman"/>
          <w:b/>
          <w:sz w:val="28"/>
          <w:szCs w:val="28"/>
        </w:rPr>
      </w:pPr>
    </w:p>
    <w:p w:rsidR="002A2DE3" w:rsidRPr="00CE4789" w:rsidRDefault="002A2DE3" w:rsidP="002A2DE3">
      <w:pPr>
        <w:spacing w:after="0" w:line="360" w:lineRule="auto"/>
        <w:jc w:val="center"/>
        <w:rPr>
          <w:rFonts w:ascii="Times New Roman" w:hAnsi="Times New Roman"/>
          <w:b/>
          <w:sz w:val="28"/>
          <w:szCs w:val="28"/>
        </w:rPr>
      </w:pPr>
      <w:r w:rsidRPr="00CE4789">
        <w:rPr>
          <w:rFonts w:ascii="Times New Roman" w:hAnsi="Times New Roman"/>
          <w:b/>
          <w:sz w:val="28"/>
          <w:szCs w:val="28"/>
        </w:rPr>
        <w:t>3.3 Оценка операционной синергии от присоединения КО «</w:t>
      </w:r>
      <w:proofErr w:type="spellStart"/>
      <w:r w:rsidRPr="00CE4789">
        <w:rPr>
          <w:rFonts w:ascii="Times New Roman" w:hAnsi="Times New Roman"/>
          <w:b/>
          <w:sz w:val="28"/>
          <w:szCs w:val="28"/>
        </w:rPr>
        <w:t>СладКо</w:t>
      </w:r>
      <w:proofErr w:type="spellEnd"/>
      <w:r w:rsidRPr="00CE4789">
        <w:rPr>
          <w:rFonts w:ascii="Times New Roman" w:hAnsi="Times New Roman"/>
          <w:b/>
          <w:sz w:val="28"/>
          <w:szCs w:val="28"/>
        </w:rPr>
        <w:t>» к КФ им. Крупской</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оценивания операционной синергии включает несколько этапов. Первый – оценка компаний участвующих в объединении независимо друг от друга, в предположении, что слияния не предполагается. На втором этапе полученные стоимости суммируются с целью оценивания объединенного бизнеса при отсутствии синергии. Третий этап заключается в учете влияния синергии в ожидаемых темпах роста и денежных потоках. И проводим оценку совместного бизнеса с учетом синергии. Соответственно разность между оценкой с синергией и оценкой </w:t>
      </w:r>
      <w:proofErr w:type="gramStart"/>
      <w:r>
        <w:rPr>
          <w:rFonts w:ascii="Times New Roman" w:hAnsi="Times New Roman"/>
          <w:sz w:val="28"/>
          <w:szCs w:val="28"/>
        </w:rPr>
        <w:t>без</w:t>
      </w:r>
      <w:proofErr w:type="gramEnd"/>
      <w:r>
        <w:rPr>
          <w:rFonts w:ascii="Times New Roman" w:hAnsi="Times New Roman"/>
          <w:sz w:val="28"/>
          <w:szCs w:val="28"/>
        </w:rPr>
        <w:t xml:space="preserve"> даст </w:t>
      </w:r>
      <w:proofErr w:type="gramStart"/>
      <w:r>
        <w:rPr>
          <w:rFonts w:ascii="Times New Roman" w:hAnsi="Times New Roman"/>
          <w:sz w:val="28"/>
          <w:szCs w:val="28"/>
        </w:rPr>
        <w:t>результат</w:t>
      </w:r>
      <w:proofErr w:type="gramEnd"/>
      <w:r>
        <w:rPr>
          <w:rFonts w:ascii="Times New Roman" w:hAnsi="Times New Roman"/>
          <w:sz w:val="28"/>
          <w:szCs w:val="28"/>
        </w:rPr>
        <w:t xml:space="preserve"> в виде стоимости синергии. </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Первый этап выполнен нами в предыдущих параграфах, поэтому можем перейти ко второму и оценить стоимость объединенной компании без учета синергетического эффекта. Сто</w:t>
      </w:r>
      <w:r w:rsidR="00D16498">
        <w:rPr>
          <w:rFonts w:ascii="Times New Roman" w:hAnsi="Times New Roman"/>
          <w:sz w:val="28"/>
          <w:szCs w:val="28"/>
        </w:rPr>
        <w:t>имость КФ им. Крупской равна 6,</w:t>
      </w:r>
      <w:r>
        <w:rPr>
          <w:rFonts w:ascii="Times New Roman" w:hAnsi="Times New Roman"/>
          <w:sz w:val="28"/>
          <w:szCs w:val="28"/>
        </w:rPr>
        <w:t>1 млрд. руб., а стоимость КО «</w:t>
      </w:r>
      <w:proofErr w:type="spellStart"/>
      <w:r>
        <w:rPr>
          <w:rFonts w:ascii="Times New Roman" w:hAnsi="Times New Roman"/>
          <w:sz w:val="28"/>
          <w:szCs w:val="28"/>
        </w:rPr>
        <w:t>СладКо</w:t>
      </w:r>
      <w:proofErr w:type="spellEnd"/>
      <w:r>
        <w:rPr>
          <w:rFonts w:ascii="Times New Roman" w:hAnsi="Times New Roman"/>
          <w:sz w:val="28"/>
          <w:szCs w:val="28"/>
        </w:rPr>
        <w:t xml:space="preserve">» - 3,05 млрд. руб.. Таким </w:t>
      </w:r>
      <w:proofErr w:type="gramStart"/>
      <w:r>
        <w:rPr>
          <w:rFonts w:ascii="Times New Roman" w:hAnsi="Times New Roman"/>
          <w:sz w:val="28"/>
          <w:szCs w:val="28"/>
        </w:rPr>
        <w:t>образом</w:t>
      </w:r>
      <w:proofErr w:type="gramEnd"/>
      <w:r w:rsidR="00F30A00">
        <w:rPr>
          <w:rFonts w:ascii="Times New Roman" w:hAnsi="Times New Roman"/>
          <w:sz w:val="28"/>
          <w:szCs w:val="28"/>
        </w:rPr>
        <w:t xml:space="preserve"> </w:t>
      </w:r>
      <w:r>
        <w:rPr>
          <w:rFonts w:ascii="Times New Roman" w:hAnsi="Times New Roman"/>
          <w:sz w:val="28"/>
          <w:szCs w:val="28"/>
        </w:rPr>
        <w:lastRenderedPageBreak/>
        <w:t>получаем, что их</w:t>
      </w:r>
      <w:r w:rsidR="00D16498">
        <w:rPr>
          <w:rFonts w:ascii="Times New Roman" w:hAnsi="Times New Roman"/>
          <w:sz w:val="28"/>
          <w:szCs w:val="28"/>
        </w:rPr>
        <w:t xml:space="preserve"> совместная стоимость равна 9,14</w:t>
      </w:r>
      <w:r>
        <w:rPr>
          <w:rFonts w:ascii="Times New Roman" w:hAnsi="Times New Roman"/>
          <w:sz w:val="28"/>
          <w:szCs w:val="28"/>
        </w:rPr>
        <w:t xml:space="preserve"> млрд. руб. без учета синергии. </w:t>
      </w:r>
    </w:p>
    <w:p w:rsidR="002A2DE3" w:rsidRDefault="002A2DE3" w:rsidP="002A2DE3">
      <w:pPr>
        <w:spacing w:after="0" w:line="360" w:lineRule="auto"/>
        <w:ind w:firstLine="709"/>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оценить синергию, мы делаем следующие допущения относительно её влияния на денежные потоки и ставку дисконтирования в объединённом бизнесе:</w:t>
      </w:r>
    </w:p>
    <w:p w:rsidR="002A2DE3" w:rsidRDefault="002A2DE3" w:rsidP="002A2DE3">
      <w:pPr>
        <w:pStyle w:val="af"/>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следующие пять лет компания будет иметь более высокие темпы роста выручки – 16%, при этом рост чистых капитальных затрат замедлится – 9%, износ – 12% в год</w:t>
      </w:r>
      <w:proofErr w:type="gramStart"/>
      <w:r>
        <w:rPr>
          <w:rFonts w:ascii="Times New Roman" w:hAnsi="Times New Roman" w:cs="Times New Roman"/>
          <w:sz w:val="28"/>
          <w:szCs w:val="28"/>
        </w:rPr>
        <w:t xml:space="preserve"> .</w:t>
      </w:r>
      <w:proofErr w:type="gramEnd"/>
    </w:p>
    <w:p w:rsidR="002A2DE3" w:rsidRDefault="002A2DE3" w:rsidP="002A2DE3">
      <w:pPr>
        <w:pStyle w:val="af"/>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определить новый бета коэффициент, для этого оценим </w:t>
      </w:r>
      <w:proofErr w:type="spellStart"/>
      <w:r>
        <w:rPr>
          <w:rFonts w:ascii="Times New Roman" w:hAnsi="Times New Roman" w:cs="Times New Roman"/>
          <w:sz w:val="28"/>
          <w:szCs w:val="28"/>
        </w:rPr>
        <w:t>безрычаговый</w:t>
      </w:r>
      <w:proofErr w:type="spellEnd"/>
      <w:r>
        <w:rPr>
          <w:rFonts w:ascii="Times New Roman" w:hAnsi="Times New Roman" w:cs="Times New Roman"/>
          <w:sz w:val="28"/>
          <w:szCs w:val="28"/>
        </w:rPr>
        <w:t xml:space="preserve"> бета коэффициент для  Крупской и Сладко:</w:t>
      </w:r>
    </w:p>
    <w:p w:rsidR="002A2DE3" w:rsidRDefault="002A2DE3" w:rsidP="00C27654">
      <w:pPr>
        <w:pStyle w:val="af"/>
        <w:spacing w:after="0" w:line="360" w:lineRule="auto"/>
        <w:ind w:left="851" w:firstLine="709"/>
        <w:jc w:val="center"/>
        <w:rPr>
          <w:rFonts w:ascii="Times New Roman" w:hAnsi="Times New Roman" w:cs="Times New Roman"/>
          <w:sz w:val="28"/>
          <w:szCs w:val="28"/>
        </w:rPr>
      </w:pPr>
      <w:r>
        <w:rPr>
          <w:rFonts w:ascii="Times New Roman" w:hAnsi="Times New Roman" w:cs="Times New Roman"/>
          <w:sz w:val="28"/>
          <w:szCs w:val="28"/>
        </w:rPr>
        <w:t>β</w:t>
      </w:r>
      <w:proofErr w:type="gramStart"/>
      <w:r w:rsidRPr="007B2DA8">
        <w:rPr>
          <w:rFonts w:ascii="Times New Roman" w:hAnsi="Times New Roman" w:cs="Times New Roman"/>
          <w:sz w:val="28"/>
          <w:szCs w:val="28"/>
          <w:vertAlign w:val="subscript"/>
          <w:lang w:val="en-US"/>
        </w:rPr>
        <w:t>L</w:t>
      </w:r>
      <w:proofErr w:type="spellStart"/>
      <w:proofErr w:type="gramEnd"/>
      <w:r w:rsidRPr="007B2DA8">
        <w:rPr>
          <w:rFonts w:ascii="Times New Roman" w:hAnsi="Times New Roman" w:cs="Times New Roman"/>
          <w:sz w:val="28"/>
          <w:szCs w:val="28"/>
          <w:vertAlign w:val="subscript"/>
        </w:rPr>
        <w:t>Кр</w:t>
      </w:r>
      <w:r>
        <w:rPr>
          <w:rFonts w:ascii="Times New Roman" w:hAnsi="Times New Roman" w:cs="Times New Roman"/>
          <w:sz w:val="28"/>
          <w:szCs w:val="28"/>
        </w:rPr>
        <w:t>=</w:t>
      </w:r>
      <w:proofErr w:type="spellEnd"/>
      <w:r>
        <w:rPr>
          <w:rFonts w:ascii="Times New Roman" w:hAnsi="Times New Roman" w:cs="Times New Roman"/>
          <w:sz w:val="28"/>
          <w:szCs w:val="28"/>
        </w:rPr>
        <w:t xml:space="preserve"> 1,21/(1+(1-0,2)*(0,801)) = 0,74</w:t>
      </w:r>
    </w:p>
    <w:p w:rsidR="002A2DE3" w:rsidRDefault="002A2DE3" w:rsidP="00C27654">
      <w:pPr>
        <w:pStyle w:val="af"/>
        <w:spacing w:after="0" w:line="360" w:lineRule="auto"/>
        <w:ind w:left="851" w:firstLine="709"/>
        <w:jc w:val="center"/>
        <w:rPr>
          <w:rFonts w:ascii="Times New Roman" w:hAnsi="Times New Roman" w:cs="Times New Roman"/>
          <w:sz w:val="28"/>
          <w:szCs w:val="28"/>
        </w:rPr>
      </w:pPr>
      <w:r>
        <w:rPr>
          <w:rFonts w:ascii="Times New Roman" w:hAnsi="Times New Roman" w:cs="Times New Roman"/>
          <w:sz w:val="28"/>
          <w:szCs w:val="28"/>
        </w:rPr>
        <w:t>β</w:t>
      </w:r>
      <w:proofErr w:type="gramStart"/>
      <w:r w:rsidRPr="007B2DA8">
        <w:rPr>
          <w:rFonts w:ascii="Times New Roman" w:hAnsi="Times New Roman" w:cs="Times New Roman"/>
          <w:sz w:val="28"/>
          <w:szCs w:val="28"/>
          <w:vertAlign w:val="subscript"/>
          <w:lang w:val="en-US"/>
        </w:rPr>
        <w:t>L</w:t>
      </w:r>
      <w:proofErr w:type="gramEnd"/>
      <w:r w:rsidRPr="007B2DA8">
        <w:rPr>
          <w:rFonts w:ascii="Times New Roman" w:hAnsi="Times New Roman" w:cs="Times New Roman"/>
          <w:sz w:val="28"/>
          <w:szCs w:val="28"/>
          <w:vertAlign w:val="subscript"/>
        </w:rPr>
        <w:t>Сл</w:t>
      </w:r>
      <w:r w:rsidRPr="007B2DA8">
        <w:rPr>
          <w:rFonts w:ascii="Times New Roman" w:hAnsi="Times New Roman" w:cs="Times New Roman"/>
          <w:sz w:val="28"/>
          <w:szCs w:val="28"/>
        </w:rPr>
        <w:t xml:space="preserve"> = </w:t>
      </w:r>
      <w:r>
        <w:rPr>
          <w:rFonts w:ascii="Times New Roman" w:hAnsi="Times New Roman" w:cs="Times New Roman"/>
          <w:sz w:val="28"/>
          <w:szCs w:val="28"/>
        </w:rPr>
        <w:t>0,87/(1+(1-0,2)*(0,177)) = 0,76</w:t>
      </w:r>
    </w:p>
    <w:p w:rsidR="002A2DE3" w:rsidRDefault="002A2DE3" w:rsidP="002A2DE3">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Взвесим значения полученных «бета» по стоимостям компаний, чтобы оценить </w:t>
      </w:r>
      <w:proofErr w:type="spellStart"/>
      <w:r>
        <w:rPr>
          <w:rFonts w:ascii="Times New Roman" w:hAnsi="Times New Roman" w:cs="Times New Roman"/>
          <w:sz w:val="28"/>
          <w:szCs w:val="28"/>
        </w:rPr>
        <w:t>безрычаговый</w:t>
      </w:r>
      <w:proofErr w:type="spellEnd"/>
      <w:r>
        <w:rPr>
          <w:rFonts w:ascii="Times New Roman" w:hAnsi="Times New Roman" w:cs="Times New Roman"/>
          <w:sz w:val="28"/>
          <w:szCs w:val="28"/>
        </w:rPr>
        <w:t xml:space="preserve"> бета для объединенной компании.</w:t>
      </w:r>
    </w:p>
    <w:p w:rsidR="002A2DE3" w:rsidRDefault="002A2DE3" w:rsidP="00E60EB6">
      <w:pPr>
        <w:pStyle w:val="af"/>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β</w:t>
      </w:r>
      <w:r w:rsidRPr="00045F3E">
        <w:rPr>
          <w:rFonts w:ascii="Times New Roman" w:hAnsi="Times New Roman" w:cs="Times New Roman"/>
          <w:sz w:val="28"/>
          <w:szCs w:val="28"/>
          <w:vertAlign w:val="subscript"/>
          <w:lang w:val="en-US"/>
        </w:rPr>
        <w:t>L</w:t>
      </w:r>
      <w:r>
        <w:rPr>
          <w:rFonts w:ascii="Times New Roman" w:hAnsi="Times New Roman" w:cs="Times New Roman"/>
          <w:sz w:val="28"/>
          <w:szCs w:val="28"/>
        </w:rPr>
        <w:t>= 0,74*(6,1/9,14) + 0,76*(3,05/9,14) = 0,75</w:t>
      </w:r>
    </w:p>
    <w:p w:rsidR="002A2DE3" w:rsidRDefault="002A2DE3" w:rsidP="002A2DE3">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при помощи коэффициента «долг/собств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апитал» объединенной компании оценим </w:t>
      </w:r>
      <w:proofErr w:type="spellStart"/>
      <w:r>
        <w:rPr>
          <w:rFonts w:ascii="Times New Roman" w:hAnsi="Times New Roman" w:cs="Times New Roman"/>
          <w:sz w:val="28"/>
          <w:szCs w:val="28"/>
        </w:rPr>
        <w:t>рычаговую</w:t>
      </w:r>
      <w:proofErr w:type="spellEnd"/>
      <w:r>
        <w:rPr>
          <w:rFonts w:ascii="Times New Roman" w:hAnsi="Times New Roman" w:cs="Times New Roman"/>
          <w:sz w:val="28"/>
          <w:szCs w:val="28"/>
        </w:rPr>
        <w:t xml:space="preserve"> бету. Коэффициент равен 36,1%.</w:t>
      </w:r>
    </w:p>
    <w:p w:rsidR="002A2DE3" w:rsidRDefault="002A2DE3" w:rsidP="00C27654">
      <w:pPr>
        <w:pStyle w:val="af"/>
        <w:spacing w:after="0" w:line="360" w:lineRule="auto"/>
        <w:ind w:left="0" w:firstLine="709"/>
        <w:jc w:val="center"/>
        <w:rPr>
          <w:rFonts w:ascii="Times New Roman" w:hAnsi="Times New Roman" w:cs="Times New Roman"/>
          <w:sz w:val="28"/>
          <w:szCs w:val="28"/>
        </w:rPr>
      </w:pPr>
      <w:proofErr w:type="gramStart"/>
      <w:r>
        <w:rPr>
          <w:rFonts w:ascii="Times New Roman" w:hAnsi="Times New Roman" w:cs="Times New Roman"/>
          <w:sz w:val="28"/>
          <w:szCs w:val="28"/>
        </w:rPr>
        <w:t>β= 0,75*(1+ (1- 0,2)*(0,361) = 0,97</w:t>
      </w:r>
      <w:proofErr w:type="gramEnd"/>
    </w:p>
    <w:p w:rsidR="002A2DE3" w:rsidRDefault="002A2DE3" w:rsidP="002A2DE3">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Соответственно новая рассчитанная доходность собственного капитала составит 19,3%, а ставка дисконтирования – 15,6%.</w:t>
      </w:r>
    </w:p>
    <w:p w:rsidR="002A2DE3" w:rsidRDefault="002A2DE3" w:rsidP="002A2DE3">
      <w:pPr>
        <w:pStyle w:val="a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Основываясь на сделанных допущениях, оценим денежные потоки (таблица 19) и стоимость совместной компании (таблица 20)</w:t>
      </w:r>
    </w:p>
    <w:p w:rsidR="002A2DE3" w:rsidRDefault="002A2DE3" w:rsidP="002A2DE3">
      <w:pPr>
        <w:pStyle w:val="af"/>
        <w:spacing w:after="0"/>
        <w:ind w:left="851" w:firstLine="709"/>
        <w:jc w:val="right"/>
        <w:rPr>
          <w:rFonts w:ascii="Times New Roman" w:hAnsi="Times New Roman" w:cs="Times New Roman"/>
          <w:sz w:val="28"/>
          <w:szCs w:val="28"/>
        </w:rPr>
      </w:pPr>
      <w:r>
        <w:rPr>
          <w:rFonts w:ascii="Times New Roman" w:hAnsi="Times New Roman" w:cs="Times New Roman"/>
          <w:sz w:val="28"/>
          <w:szCs w:val="28"/>
        </w:rPr>
        <w:t>Таблица 19</w:t>
      </w:r>
    </w:p>
    <w:p w:rsidR="002A2DE3" w:rsidRPr="00045F3E" w:rsidRDefault="002A2DE3" w:rsidP="002A2DE3">
      <w:pPr>
        <w:pStyle w:val="af"/>
        <w:spacing w:after="0"/>
        <w:ind w:left="851" w:firstLine="709"/>
        <w:jc w:val="right"/>
        <w:rPr>
          <w:rFonts w:ascii="Times New Roman" w:hAnsi="Times New Roman" w:cs="Times New Roman"/>
          <w:sz w:val="28"/>
          <w:szCs w:val="28"/>
        </w:rPr>
      </w:pPr>
      <w:r>
        <w:rPr>
          <w:rFonts w:ascii="Times New Roman" w:hAnsi="Times New Roman" w:cs="Times New Roman"/>
          <w:sz w:val="28"/>
          <w:szCs w:val="28"/>
        </w:rPr>
        <w:t>Денежные потоки объединенной компании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67"/>
        <w:gridCol w:w="1501"/>
        <w:gridCol w:w="1501"/>
        <w:gridCol w:w="1501"/>
        <w:gridCol w:w="1781"/>
      </w:tblGrid>
      <w:tr w:rsidR="002A2DE3" w:rsidRPr="00045F3E" w:rsidTr="00197A80">
        <w:trPr>
          <w:trHeight w:val="315"/>
          <w:jc w:val="center"/>
        </w:trPr>
        <w:tc>
          <w:tcPr>
            <w:tcW w:w="557" w:type="pct"/>
          </w:tcPr>
          <w:p w:rsidR="002A2DE3" w:rsidRPr="007B2DA8" w:rsidRDefault="002A2DE3" w:rsidP="00197A80">
            <w:pPr>
              <w:spacing w:after="0" w:line="360" w:lineRule="auto"/>
              <w:rPr>
                <w:rFonts w:ascii="Times New Roman" w:hAnsi="Times New Roman"/>
                <w:color w:val="000000"/>
                <w:sz w:val="28"/>
                <w:szCs w:val="28"/>
                <w:lang w:eastAsia="ru-RU"/>
              </w:rPr>
            </w:pPr>
          </w:p>
        </w:tc>
        <w:tc>
          <w:tcPr>
            <w:tcW w:w="1059" w:type="pct"/>
            <w:shd w:val="clear" w:color="auto" w:fill="auto"/>
            <w:noWrap/>
            <w:vAlign w:val="bottom"/>
            <w:hideMark/>
          </w:tcPr>
          <w:p w:rsidR="002A2DE3"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val="en-US" w:eastAsia="ru-RU"/>
              </w:rPr>
              <w:t>EBIT</w:t>
            </w:r>
            <w:r w:rsidRPr="00236AFF">
              <w:rPr>
                <w:rFonts w:ascii="Times New Roman" w:hAnsi="Times New Roman"/>
                <w:color w:val="000000"/>
                <w:sz w:val="28"/>
                <w:szCs w:val="28"/>
                <w:lang w:eastAsia="ru-RU"/>
              </w:rPr>
              <w:t>*(1-</w:t>
            </w:r>
            <w:r w:rsidRPr="00236AFF">
              <w:rPr>
                <w:rFonts w:ascii="Times New Roman" w:hAnsi="Times New Roman"/>
                <w:color w:val="000000"/>
                <w:sz w:val="28"/>
                <w:szCs w:val="28"/>
                <w:lang w:val="en-US" w:eastAsia="ru-RU"/>
              </w:rPr>
              <w:t>t</w:t>
            </w:r>
            <w:r w:rsidRPr="00236AFF">
              <w:rPr>
                <w:rFonts w:ascii="Times New Roman" w:hAnsi="Times New Roman"/>
                <w:color w:val="000000"/>
                <w:sz w:val="28"/>
                <w:szCs w:val="28"/>
                <w:lang w:eastAsia="ru-RU"/>
              </w:rPr>
              <w:t>)</w:t>
            </w:r>
          </w:p>
          <w:p w:rsidR="00C27654" w:rsidRPr="00236AFF" w:rsidRDefault="00C27654" w:rsidP="00197A80">
            <w:pPr>
              <w:spacing w:after="0" w:line="360" w:lineRule="auto"/>
              <w:jc w:val="center"/>
              <w:rPr>
                <w:rFonts w:ascii="Times New Roman" w:hAnsi="Times New Roman"/>
                <w:color w:val="000000"/>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08" w:type="pct"/>
            <w:shd w:val="clear" w:color="auto" w:fill="auto"/>
            <w:noWrap/>
            <w:vAlign w:val="bottom"/>
            <w:hideMark/>
          </w:tcPr>
          <w:p w:rsidR="002A2DE3" w:rsidRDefault="002A2DE3" w:rsidP="00197A80">
            <w:pPr>
              <w:spacing w:after="0" w:line="360" w:lineRule="auto"/>
              <w:jc w:val="center"/>
              <w:rPr>
                <w:rFonts w:ascii="Times New Roman" w:hAnsi="Times New Roman"/>
                <w:color w:val="000000"/>
                <w:sz w:val="28"/>
                <w:szCs w:val="28"/>
                <w:lang w:eastAsia="ru-RU"/>
              </w:rPr>
            </w:pPr>
            <w:proofErr w:type="spellStart"/>
            <w:r w:rsidRPr="00236AFF">
              <w:rPr>
                <w:rFonts w:ascii="Times New Roman" w:hAnsi="Times New Roman"/>
                <w:color w:val="000000"/>
                <w:sz w:val="28"/>
                <w:szCs w:val="28"/>
                <w:lang w:val="en-US" w:eastAsia="ru-RU"/>
              </w:rPr>
              <w:t>Dep</w:t>
            </w:r>
            <w:proofErr w:type="spellEnd"/>
          </w:p>
          <w:p w:rsidR="00C27654" w:rsidRPr="00C27654" w:rsidRDefault="00C27654" w:rsidP="00197A80">
            <w:pPr>
              <w:spacing w:after="0" w:line="360" w:lineRule="auto"/>
              <w:jc w:val="center"/>
              <w:rPr>
                <w:rFonts w:ascii="Times New Roman" w:hAnsi="Times New Roman"/>
                <w:color w:val="000000"/>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08" w:type="pct"/>
            <w:shd w:val="clear" w:color="auto" w:fill="auto"/>
            <w:noWrap/>
            <w:vAlign w:val="bottom"/>
            <w:hideMark/>
          </w:tcPr>
          <w:p w:rsidR="002A2DE3"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 xml:space="preserve">∆ </w:t>
            </w:r>
            <w:r w:rsidRPr="00236AFF">
              <w:rPr>
                <w:rFonts w:ascii="Times New Roman" w:hAnsi="Times New Roman"/>
                <w:color w:val="000000"/>
                <w:sz w:val="28"/>
                <w:szCs w:val="28"/>
                <w:lang w:val="en-US" w:eastAsia="ru-RU"/>
              </w:rPr>
              <w:t>NWC</w:t>
            </w:r>
          </w:p>
          <w:p w:rsidR="00C27654" w:rsidRPr="00C27654" w:rsidRDefault="00C27654" w:rsidP="00197A80">
            <w:pPr>
              <w:spacing w:after="0" w:line="360" w:lineRule="auto"/>
              <w:jc w:val="center"/>
              <w:rPr>
                <w:rFonts w:ascii="Times New Roman" w:hAnsi="Times New Roman"/>
                <w:color w:val="000000"/>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808" w:type="pct"/>
            <w:shd w:val="clear" w:color="auto" w:fill="auto"/>
            <w:noWrap/>
            <w:vAlign w:val="bottom"/>
            <w:hideMark/>
          </w:tcPr>
          <w:p w:rsidR="002A2DE3" w:rsidRDefault="002A2DE3" w:rsidP="00197A80">
            <w:pPr>
              <w:spacing w:after="0" w:line="360" w:lineRule="auto"/>
              <w:jc w:val="center"/>
              <w:rPr>
                <w:rFonts w:ascii="Times New Roman" w:hAnsi="Times New Roman"/>
                <w:color w:val="000000"/>
                <w:sz w:val="28"/>
                <w:szCs w:val="28"/>
                <w:lang w:eastAsia="ru-RU"/>
              </w:rPr>
            </w:pPr>
            <w:proofErr w:type="spellStart"/>
            <w:r w:rsidRPr="00236AFF">
              <w:rPr>
                <w:rFonts w:ascii="Times New Roman" w:hAnsi="Times New Roman"/>
                <w:color w:val="000000"/>
                <w:sz w:val="28"/>
                <w:szCs w:val="28"/>
                <w:lang w:val="en-US" w:eastAsia="ru-RU"/>
              </w:rPr>
              <w:t>Capex</w:t>
            </w:r>
            <w:proofErr w:type="spellEnd"/>
          </w:p>
          <w:p w:rsidR="00C27654" w:rsidRPr="00C27654" w:rsidRDefault="00C27654" w:rsidP="00197A80">
            <w:pPr>
              <w:spacing w:after="0" w:line="360" w:lineRule="auto"/>
              <w:jc w:val="center"/>
              <w:rPr>
                <w:rFonts w:ascii="Times New Roman" w:hAnsi="Times New Roman"/>
                <w:color w:val="000000"/>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c>
          <w:tcPr>
            <w:tcW w:w="959" w:type="pct"/>
            <w:shd w:val="clear" w:color="auto" w:fill="auto"/>
            <w:noWrap/>
            <w:vAlign w:val="bottom"/>
            <w:hideMark/>
          </w:tcPr>
          <w:p w:rsidR="002A2DE3"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val="en-US" w:eastAsia="ru-RU"/>
              </w:rPr>
              <w:t>CF</w:t>
            </w:r>
          </w:p>
          <w:p w:rsidR="00C27654" w:rsidRPr="00C27654" w:rsidRDefault="00C27654" w:rsidP="00197A80">
            <w:pPr>
              <w:spacing w:after="0" w:line="360" w:lineRule="auto"/>
              <w:jc w:val="center"/>
              <w:rPr>
                <w:rFonts w:ascii="Times New Roman" w:hAnsi="Times New Roman"/>
                <w:color w:val="000000"/>
                <w:sz w:val="28"/>
                <w:szCs w:val="28"/>
                <w:lang w:eastAsia="ru-RU"/>
              </w:rPr>
            </w:pPr>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
        </w:tc>
      </w:tr>
      <w:tr w:rsidR="002A2DE3" w:rsidRPr="00045F3E" w:rsidTr="00197A80">
        <w:trPr>
          <w:trHeight w:val="300"/>
          <w:jc w:val="center"/>
        </w:trPr>
        <w:tc>
          <w:tcPr>
            <w:tcW w:w="557" w:type="pct"/>
          </w:tcPr>
          <w:p w:rsidR="002A2DE3" w:rsidRPr="00045F3E" w:rsidRDefault="002A2DE3" w:rsidP="00197A80">
            <w:pPr>
              <w:spacing w:after="0" w:line="360" w:lineRule="auto"/>
              <w:jc w:val="right"/>
              <w:rPr>
                <w:rFonts w:ascii="Times New Roman" w:hAnsi="Times New Roman"/>
                <w:color w:val="000000"/>
                <w:sz w:val="28"/>
                <w:szCs w:val="28"/>
                <w:lang w:eastAsia="ru-RU"/>
              </w:rPr>
            </w:pPr>
            <w:r w:rsidRPr="00045F3E">
              <w:rPr>
                <w:rFonts w:ascii="Times New Roman" w:hAnsi="Times New Roman"/>
                <w:color w:val="000000"/>
                <w:sz w:val="28"/>
                <w:szCs w:val="28"/>
                <w:lang w:eastAsia="ru-RU"/>
              </w:rPr>
              <w:t>2011</w:t>
            </w:r>
          </w:p>
        </w:tc>
        <w:tc>
          <w:tcPr>
            <w:tcW w:w="10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2</w:t>
            </w:r>
            <w:r>
              <w:rPr>
                <w:rFonts w:ascii="Times New Roman" w:hAnsi="Times New Roman"/>
                <w:color w:val="000000"/>
                <w:sz w:val="28"/>
                <w:szCs w:val="28"/>
                <w:lang w:eastAsia="ru-RU"/>
              </w:rPr>
              <w:t>88 595</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val="en-US" w:eastAsia="ru-RU"/>
              </w:rPr>
              <w:t>5</w:t>
            </w:r>
            <w:r w:rsidRPr="007B2DA8">
              <w:rPr>
                <w:rFonts w:ascii="Times New Roman" w:hAnsi="Times New Roman"/>
                <w:color w:val="000000"/>
                <w:sz w:val="28"/>
                <w:szCs w:val="28"/>
                <w:lang w:val="en-US" w:eastAsia="ru-RU"/>
              </w:rPr>
              <w:t>60 808</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163 464</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045F3E">
              <w:rPr>
                <w:rFonts w:ascii="Times New Roman" w:hAnsi="Times New Roman"/>
                <w:color w:val="000000"/>
                <w:sz w:val="28"/>
                <w:szCs w:val="28"/>
                <w:lang w:eastAsia="ru-RU"/>
              </w:rPr>
              <w:t>79 07</w:t>
            </w:r>
            <w:r w:rsidRPr="00236AFF">
              <w:rPr>
                <w:rFonts w:ascii="Times New Roman" w:hAnsi="Times New Roman"/>
                <w:color w:val="000000"/>
                <w:sz w:val="28"/>
                <w:szCs w:val="28"/>
                <w:lang w:eastAsia="ru-RU"/>
              </w:rPr>
              <w:t>9</w:t>
            </w:r>
          </w:p>
        </w:tc>
        <w:tc>
          <w:tcPr>
            <w:tcW w:w="9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606 859</w:t>
            </w:r>
          </w:p>
        </w:tc>
      </w:tr>
      <w:tr w:rsidR="002A2DE3" w:rsidRPr="007B2DA8" w:rsidTr="00197A80">
        <w:trPr>
          <w:trHeight w:val="300"/>
          <w:jc w:val="center"/>
        </w:trPr>
        <w:tc>
          <w:tcPr>
            <w:tcW w:w="557" w:type="pct"/>
          </w:tcPr>
          <w:p w:rsidR="002A2DE3" w:rsidRPr="00045F3E" w:rsidRDefault="002A2DE3" w:rsidP="00197A80">
            <w:pPr>
              <w:spacing w:after="0" w:line="360" w:lineRule="auto"/>
              <w:jc w:val="right"/>
              <w:rPr>
                <w:rFonts w:ascii="Times New Roman" w:hAnsi="Times New Roman"/>
                <w:color w:val="000000"/>
                <w:sz w:val="28"/>
                <w:szCs w:val="28"/>
                <w:lang w:eastAsia="ru-RU"/>
              </w:rPr>
            </w:pPr>
            <w:r w:rsidRPr="00045F3E">
              <w:rPr>
                <w:rFonts w:ascii="Times New Roman" w:hAnsi="Times New Roman"/>
                <w:color w:val="000000"/>
                <w:sz w:val="28"/>
                <w:szCs w:val="28"/>
                <w:lang w:eastAsia="ru-RU"/>
              </w:rPr>
              <w:t>2012</w:t>
            </w:r>
          </w:p>
        </w:tc>
        <w:tc>
          <w:tcPr>
            <w:tcW w:w="10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3</w:t>
            </w:r>
            <w:r>
              <w:rPr>
                <w:rFonts w:ascii="Times New Roman" w:hAnsi="Times New Roman"/>
                <w:color w:val="000000"/>
                <w:sz w:val="28"/>
                <w:szCs w:val="28"/>
                <w:lang w:eastAsia="ru-RU"/>
              </w:rPr>
              <w:t>4</w:t>
            </w:r>
            <w:r w:rsidRPr="00236AFF">
              <w:rPr>
                <w:rFonts w:ascii="Times New Roman" w:hAnsi="Times New Roman"/>
                <w:color w:val="000000"/>
                <w:sz w:val="28"/>
                <w:szCs w:val="28"/>
                <w:lang w:val="en-US" w:eastAsia="ru-RU"/>
              </w:rPr>
              <w:t xml:space="preserve">2 </w:t>
            </w:r>
            <w:r>
              <w:rPr>
                <w:rFonts w:ascii="Times New Roman" w:hAnsi="Times New Roman"/>
                <w:color w:val="000000"/>
                <w:sz w:val="28"/>
                <w:szCs w:val="28"/>
                <w:lang w:eastAsia="ru-RU"/>
              </w:rPr>
              <w:t>0</w:t>
            </w:r>
            <w:r w:rsidRPr="00236AFF">
              <w:rPr>
                <w:rFonts w:ascii="Times New Roman" w:hAnsi="Times New Roman"/>
                <w:color w:val="000000"/>
                <w:sz w:val="28"/>
                <w:szCs w:val="28"/>
                <w:lang w:val="en-US" w:eastAsia="ru-RU"/>
              </w:rPr>
              <w:t>32</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62</w:t>
            </w:r>
            <w:r w:rsidRPr="00236AFF">
              <w:rPr>
                <w:rFonts w:ascii="Times New Roman" w:hAnsi="Times New Roman"/>
                <w:color w:val="000000"/>
                <w:sz w:val="28"/>
                <w:szCs w:val="28"/>
                <w:lang w:eastAsia="ru-RU"/>
              </w:rPr>
              <w:t xml:space="preserve">8 </w:t>
            </w:r>
            <w:r>
              <w:rPr>
                <w:rFonts w:ascii="Times New Roman" w:hAnsi="Times New Roman"/>
                <w:color w:val="000000"/>
                <w:sz w:val="28"/>
                <w:szCs w:val="28"/>
                <w:lang w:eastAsia="ru-RU"/>
              </w:rPr>
              <w:t>10</w:t>
            </w:r>
            <w:r w:rsidRPr="00236AFF">
              <w:rPr>
                <w:rFonts w:ascii="Times New Roman" w:hAnsi="Times New Roman"/>
                <w:color w:val="000000"/>
                <w:sz w:val="28"/>
                <w:szCs w:val="28"/>
                <w:lang w:eastAsia="ru-RU"/>
              </w:rPr>
              <w:t>5</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val="en-US" w:eastAsia="ru-RU"/>
              </w:rPr>
            </w:pPr>
            <w:r w:rsidRPr="00236AFF">
              <w:rPr>
                <w:rFonts w:ascii="Times New Roman" w:hAnsi="Times New Roman"/>
                <w:color w:val="000000"/>
                <w:sz w:val="28"/>
                <w:szCs w:val="28"/>
                <w:lang w:val="en-US" w:eastAsia="ru-RU"/>
              </w:rPr>
              <w:t>184199</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val="en-US" w:eastAsia="ru-RU"/>
              </w:rPr>
            </w:pPr>
            <w:r w:rsidRPr="007B2DA8">
              <w:rPr>
                <w:rFonts w:ascii="Times New Roman" w:hAnsi="Times New Roman"/>
                <w:color w:val="000000"/>
                <w:sz w:val="28"/>
                <w:szCs w:val="28"/>
                <w:lang w:val="en-US" w:eastAsia="ru-RU"/>
              </w:rPr>
              <w:t>86 021</w:t>
            </w:r>
          </w:p>
        </w:tc>
        <w:tc>
          <w:tcPr>
            <w:tcW w:w="9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706 915</w:t>
            </w:r>
          </w:p>
        </w:tc>
      </w:tr>
      <w:tr w:rsidR="002A2DE3" w:rsidRPr="00236AFF" w:rsidTr="00197A80">
        <w:trPr>
          <w:trHeight w:val="300"/>
          <w:jc w:val="center"/>
        </w:trPr>
        <w:tc>
          <w:tcPr>
            <w:tcW w:w="557" w:type="pct"/>
          </w:tcPr>
          <w:p w:rsidR="002A2DE3" w:rsidRPr="00236AFF" w:rsidRDefault="002A2DE3" w:rsidP="00197A80">
            <w:pPr>
              <w:spacing w:after="0" w:line="360" w:lineRule="auto"/>
              <w:jc w:val="right"/>
              <w:rPr>
                <w:rFonts w:ascii="Times New Roman" w:hAnsi="Times New Roman"/>
                <w:color w:val="000000"/>
                <w:sz w:val="28"/>
                <w:szCs w:val="28"/>
                <w:lang w:eastAsia="ru-RU"/>
              </w:rPr>
            </w:pPr>
            <w:r w:rsidRPr="007B2DA8">
              <w:rPr>
                <w:rFonts w:ascii="Times New Roman" w:hAnsi="Times New Roman"/>
                <w:color w:val="000000"/>
                <w:sz w:val="28"/>
                <w:szCs w:val="28"/>
                <w:lang w:val="en-US" w:eastAsia="ru-RU"/>
              </w:rPr>
              <w:lastRenderedPageBreak/>
              <w:t>2</w:t>
            </w:r>
            <w:r>
              <w:rPr>
                <w:rFonts w:ascii="Times New Roman" w:hAnsi="Times New Roman"/>
                <w:color w:val="000000"/>
                <w:sz w:val="28"/>
                <w:szCs w:val="28"/>
                <w:lang w:eastAsia="ru-RU"/>
              </w:rPr>
              <w:t>013</w:t>
            </w:r>
          </w:p>
        </w:tc>
        <w:tc>
          <w:tcPr>
            <w:tcW w:w="10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472678</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703 477</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207669</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93 866</w:t>
            </w:r>
          </w:p>
        </w:tc>
        <w:tc>
          <w:tcPr>
            <w:tcW w:w="9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883 366</w:t>
            </w:r>
          </w:p>
        </w:tc>
      </w:tr>
      <w:tr w:rsidR="002A2DE3" w:rsidRPr="00236AFF" w:rsidTr="00197A80">
        <w:trPr>
          <w:trHeight w:val="300"/>
          <w:jc w:val="center"/>
        </w:trPr>
        <w:tc>
          <w:tcPr>
            <w:tcW w:w="557" w:type="pct"/>
          </w:tcPr>
          <w:p w:rsidR="002A2DE3" w:rsidRPr="00236AFF" w:rsidRDefault="002A2DE3" w:rsidP="00197A80">
            <w:pPr>
              <w:spacing w:after="0" w:line="36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2014</w:t>
            </w:r>
          </w:p>
        </w:tc>
        <w:tc>
          <w:tcPr>
            <w:tcW w:w="10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5</w:t>
            </w:r>
            <w:r>
              <w:rPr>
                <w:rFonts w:ascii="Times New Roman" w:hAnsi="Times New Roman"/>
                <w:color w:val="000000"/>
                <w:sz w:val="28"/>
                <w:szCs w:val="28"/>
                <w:lang w:eastAsia="ru-RU"/>
              </w:rPr>
              <w:t>44 965</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7</w:t>
            </w:r>
            <w:r>
              <w:rPr>
                <w:rFonts w:ascii="Times New Roman" w:hAnsi="Times New Roman"/>
                <w:color w:val="000000"/>
                <w:sz w:val="28"/>
                <w:szCs w:val="28"/>
                <w:lang w:eastAsia="ru-RU"/>
              </w:rPr>
              <w:t>87 895</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23424</w:t>
            </w:r>
            <w:r>
              <w:rPr>
                <w:rFonts w:ascii="Times New Roman" w:hAnsi="Times New Roman"/>
                <w:color w:val="000000"/>
                <w:sz w:val="28"/>
                <w:szCs w:val="28"/>
                <w:lang w:eastAsia="ru-RU"/>
              </w:rPr>
              <w:t>2</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102 731</w:t>
            </w:r>
          </w:p>
        </w:tc>
        <w:tc>
          <w:tcPr>
            <w:tcW w:w="9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1 005 847</w:t>
            </w:r>
          </w:p>
        </w:tc>
      </w:tr>
      <w:tr w:rsidR="002A2DE3" w:rsidRPr="00236AFF" w:rsidTr="00197A80">
        <w:trPr>
          <w:trHeight w:val="300"/>
          <w:jc w:val="center"/>
        </w:trPr>
        <w:tc>
          <w:tcPr>
            <w:tcW w:w="557" w:type="pct"/>
          </w:tcPr>
          <w:p w:rsidR="002A2DE3" w:rsidRPr="00236AFF" w:rsidRDefault="002A2DE3" w:rsidP="00197A80">
            <w:pPr>
              <w:spacing w:after="0" w:line="36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2015</w:t>
            </w:r>
          </w:p>
        </w:tc>
        <w:tc>
          <w:tcPr>
            <w:tcW w:w="10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6</w:t>
            </w:r>
            <w:r>
              <w:rPr>
                <w:rFonts w:ascii="Times New Roman" w:hAnsi="Times New Roman"/>
                <w:color w:val="000000"/>
                <w:sz w:val="28"/>
                <w:szCs w:val="28"/>
                <w:lang w:eastAsia="ru-RU"/>
              </w:rPr>
              <w:t>12 685</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882 442</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264343</w:t>
            </w:r>
          </w:p>
        </w:tc>
        <w:tc>
          <w:tcPr>
            <w:tcW w:w="808"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sidRPr="00236AFF">
              <w:rPr>
                <w:rFonts w:ascii="Times New Roman" w:hAnsi="Times New Roman"/>
                <w:color w:val="000000"/>
                <w:sz w:val="28"/>
                <w:szCs w:val="28"/>
                <w:lang w:eastAsia="ru-RU"/>
              </w:rPr>
              <w:t>1</w:t>
            </w:r>
            <w:r>
              <w:rPr>
                <w:rFonts w:ascii="Times New Roman" w:hAnsi="Times New Roman"/>
                <w:color w:val="000000"/>
                <w:sz w:val="28"/>
                <w:szCs w:val="28"/>
                <w:lang w:eastAsia="ru-RU"/>
              </w:rPr>
              <w:t>14 288</w:t>
            </w:r>
          </w:p>
        </w:tc>
        <w:tc>
          <w:tcPr>
            <w:tcW w:w="959" w:type="pct"/>
            <w:shd w:val="clear" w:color="auto" w:fill="auto"/>
            <w:noWrap/>
            <w:vAlign w:val="bottom"/>
            <w:hideMark/>
          </w:tcPr>
          <w:p w:rsidR="002A2DE3" w:rsidRPr="00236AFF" w:rsidRDefault="002A2DE3" w:rsidP="00197A8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1 127 659</w:t>
            </w:r>
          </w:p>
        </w:tc>
      </w:tr>
    </w:tbl>
    <w:p w:rsidR="00E60EB6" w:rsidRDefault="00E60EB6" w:rsidP="00197A80">
      <w:pPr>
        <w:spacing w:after="0"/>
        <w:rPr>
          <w:rFonts w:ascii="Times New Roman" w:hAnsi="Times New Roman"/>
          <w:sz w:val="28"/>
          <w:szCs w:val="28"/>
        </w:rPr>
      </w:pPr>
    </w:p>
    <w:p w:rsidR="002A2DE3" w:rsidRDefault="002A2DE3" w:rsidP="002A2DE3">
      <w:pPr>
        <w:spacing w:after="0"/>
        <w:ind w:left="1069"/>
        <w:jc w:val="right"/>
        <w:rPr>
          <w:rFonts w:ascii="Times New Roman" w:hAnsi="Times New Roman"/>
          <w:sz w:val="28"/>
          <w:szCs w:val="28"/>
        </w:rPr>
      </w:pPr>
      <w:r>
        <w:rPr>
          <w:rFonts w:ascii="Times New Roman" w:hAnsi="Times New Roman"/>
          <w:sz w:val="28"/>
          <w:szCs w:val="28"/>
        </w:rPr>
        <w:t>Таблица 20</w:t>
      </w:r>
    </w:p>
    <w:p w:rsidR="002A2DE3" w:rsidRDefault="002A2DE3" w:rsidP="002A2DE3">
      <w:pPr>
        <w:spacing w:after="0"/>
        <w:ind w:left="1069"/>
        <w:jc w:val="right"/>
        <w:rPr>
          <w:rFonts w:ascii="Times New Roman" w:hAnsi="Times New Roman"/>
          <w:sz w:val="28"/>
          <w:szCs w:val="28"/>
        </w:rPr>
      </w:pPr>
      <w:r>
        <w:rPr>
          <w:rFonts w:ascii="Times New Roman" w:hAnsi="Times New Roman"/>
          <w:sz w:val="28"/>
          <w:szCs w:val="28"/>
        </w:rPr>
        <w:t>Стоимость компаний с учетом синергии</w:t>
      </w:r>
    </w:p>
    <w:tbl>
      <w:tblPr>
        <w:tblW w:w="5022" w:type="pct"/>
        <w:tblLook w:val="04A0"/>
      </w:tblPr>
      <w:tblGrid>
        <w:gridCol w:w="783"/>
        <w:gridCol w:w="1401"/>
        <w:gridCol w:w="1753"/>
        <w:gridCol w:w="2071"/>
        <w:gridCol w:w="3319"/>
      </w:tblGrid>
      <w:tr w:rsidR="002A2DE3" w:rsidRPr="00EB7721" w:rsidTr="002A3642">
        <w:trPr>
          <w:trHeight w:val="315"/>
        </w:trPr>
        <w:tc>
          <w:tcPr>
            <w:tcW w:w="420" w:type="pct"/>
            <w:tcBorders>
              <w:top w:val="single" w:sz="4" w:space="0" w:color="auto"/>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eastAsia="ru-RU"/>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eastAsia="ru-RU"/>
              </w:rPr>
              <w:t>DCF</w:t>
            </w:r>
          </w:p>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(тыс</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w:t>
            </w:r>
            <w:r w:rsidRPr="00EB7721">
              <w:rPr>
                <w:rFonts w:ascii="Times New Roman" w:hAnsi="Times New Roman"/>
                <w:color w:val="000000"/>
                <w:sz w:val="28"/>
                <w:szCs w:val="28"/>
                <w:lang w:eastAsia="ru-RU"/>
              </w:rPr>
              <w:t>)</w:t>
            </w:r>
          </w:p>
        </w:tc>
        <w:tc>
          <w:tcPr>
            <w:tcW w:w="940" w:type="pct"/>
            <w:tcBorders>
              <w:top w:val="single" w:sz="4" w:space="0" w:color="auto"/>
              <w:left w:val="nil"/>
              <w:bottom w:val="single" w:sz="4" w:space="0" w:color="auto"/>
              <w:right w:val="single" w:sz="4" w:space="0" w:color="auto"/>
            </w:tcBorders>
            <w:shd w:val="clear" w:color="auto" w:fill="auto"/>
            <w:noWrap/>
            <w:vAlign w:val="center"/>
            <w:hideMark/>
          </w:tcPr>
          <w:p w:rsidR="002A2DE3"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val="en-US" w:eastAsia="ru-RU"/>
              </w:rPr>
              <w:t xml:space="preserve">PV </w:t>
            </w:r>
          </w:p>
          <w:p w:rsidR="002A2DE3" w:rsidRPr="00EB7721"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val="en-US" w:eastAsia="ru-RU"/>
              </w:rPr>
              <w:t>(</w:t>
            </w:r>
            <w:proofErr w:type="spellStart"/>
            <w:r w:rsidRPr="00EB7721">
              <w:rPr>
                <w:rFonts w:ascii="Times New Roman" w:hAnsi="Times New Roman"/>
                <w:color w:val="000000"/>
                <w:sz w:val="28"/>
                <w:szCs w:val="28"/>
                <w:lang w:eastAsia="ru-RU"/>
              </w:rPr>
              <w:t>тыс</w:t>
            </w:r>
            <w:proofErr w:type="spellEnd"/>
            <w:r w:rsidRPr="00EB7721">
              <w:rPr>
                <w:rFonts w:ascii="Times New Roman" w:hAnsi="Times New Roman"/>
                <w:color w:val="000000"/>
                <w:sz w:val="28"/>
                <w:szCs w:val="28"/>
                <w:lang w:val="en-US" w:eastAsia="ru-RU"/>
              </w:rPr>
              <w:t>.</w:t>
            </w:r>
            <w:proofErr w:type="spellStart"/>
            <w:r w:rsidRPr="00EB7721">
              <w:rPr>
                <w:rFonts w:ascii="Times New Roman" w:hAnsi="Times New Roman"/>
                <w:color w:val="000000"/>
                <w:sz w:val="28"/>
                <w:szCs w:val="28"/>
                <w:lang w:val="en-US" w:eastAsia="ru-RU"/>
              </w:rPr>
              <w:t>руб</w:t>
            </w:r>
            <w:proofErr w:type="spellEnd"/>
            <w:r w:rsidRPr="00EB7721">
              <w:rPr>
                <w:rFonts w:ascii="Times New Roman" w:hAnsi="Times New Roman"/>
                <w:color w:val="000000"/>
                <w:sz w:val="28"/>
                <w:szCs w:val="28"/>
                <w:lang w:val="en-US" w:eastAsia="ru-RU"/>
              </w:rPr>
              <w:t>.)</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rsidR="002A2DE3"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val="en-US" w:eastAsia="ru-RU"/>
              </w:rPr>
              <w:t xml:space="preserve">V </w:t>
            </w:r>
            <w:r w:rsidRPr="00EB7721">
              <w:rPr>
                <w:rFonts w:ascii="Times New Roman" w:hAnsi="Times New Roman"/>
                <w:color w:val="000000"/>
                <w:sz w:val="28"/>
                <w:szCs w:val="28"/>
                <w:vertAlign w:val="subscript"/>
                <w:lang w:val="en-US" w:eastAsia="ru-RU"/>
              </w:rPr>
              <w:t>term</w:t>
            </w:r>
          </w:p>
          <w:p w:rsidR="002A2DE3" w:rsidRPr="00EB7721"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val="en-US" w:eastAsia="ru-RU"/>
              </w:rPr>
              <w:t>(</w:t>
            </w:r>
            <w:proofErr w:type="spellStart"/>
            <w:proofErr w:type="gramStart"/>
            <w:r w:rsidRPr="00EB7721">
              <w:rPr>
                <w:rFonts w:ascii="Times New Roman" w:hAnsi="Times New Roman"/>
                <w:color w:val="000000"/>
                <w:sz w:val="28"/>
                <w:szCs w:val="28"/>
                <w:lang w:eastAsia="ru-RU"/>
              </w:rPr>
              <w:t>тыс</w:t>
            </w:r>
            <w:proofErr w:type="spellEnd"/>
            <w:proofErr w:type="gramEnd"/>
            <w:r w:rsidRPr="00EB7721">
              <w:rPr>
                <w:rFonts w:ascii="Times New Roman" w:hAnsi="Times New Roman"/>
                <w:color w:val="000000"/>
                <w:sz w:val="28"/>
                <w:szCs w:val="28"/>
                <w:lang w:val="en-US" w:eastAsia="ru-RU"/>
              </w:rPr>
              <w:t xml:space="preserve">. </w:t>
            </w:r>
            <w:proofErr w:type="gramStart"/>
            <w:r w:rsidRPr="00EB7721">
              <w:rPr>
                <w:rFonts w:ascii="Times New Roman" w:hAnsi="Times New Roman"/>
                <w:color w:val="000000"/>
                <w:sz w:val="28"/>
                <w:szCs w:val="28"/>
                <w:lang w:eastAsia="ru-RU"/>
              </w:rPr>
              <w:t>Руб.)</w:t>
            </w:r>
            <w:proofErr w:type="gramEnd"/>
          </w:p>
        </w:tc>
        <w:tc>
          <w:tcPr>
            <w:tcW w:w="1780" w:type="pct"/>
            <w:tcBorders>
              <w:top w:val="single" w:sz="4" w:space="0" w:color="auto"/>
              <w:left w:val="nil"/>
              <w:bottom w:val="single" w:sz="4" w:space="0" w:color="auto"/>
              <w:right w:val="single" w:sz="4" w:space="0" w:color="auto"/>
            </w:tcBorders>
            <w:shd w:val="clear" w:color="auto" w:fill="auto"/>
            <w:noWrap/>
            <w:vAlign w:val="center"/>
            <w:hideMark/>
          </w:tcPr>
          <w:p w:rsidR="002A2DE3" w:rsidRDefault="002A2DE3" w:rsidP="002A3642">
            <w:pPr>
              <w:spacing w:after="0" w:line="360" w:lineRule="auto"/>
              <w:jc w:val="center"/>
              <w:rPr>
                <w:rFonts w:ascii="Times New Roman" w:hAnsi="Times New Roman"/>
                <w:color w:val="000000"/>
                <w:sz w:val="28"/>
                <w:szCs w:val="28"/>
                <w:lang w:eastAsia="ru-RU"/>
              </w:rPr>
            </w:pPr>
            <w:proofErr w:type="spellStart"/>
            <w:r w:rsidRPr="00EB7721">
              <w:rPr>
                <w:rFonts w:ascii="Times New Roman" w:hAnsi="Times New Roman"/>
                <w:color w:val="000000"/>
                <w:sz w:val="28"/>
                <w:szCs w:val="28"/>
                <w:lang w:val="en-US" w:eastAsia="ru-RU"/>
              </w:rPr>
              <w:t>VALUE+synergy</w:t>
            </w:r>
            <w:proofErr w:type="spellEnd"/>
          </w:p>
          <w:p w:rsidR="002A2DE3" w:rsidRPr="00EB7721" w:rsidRDefault="002A2DE3" w:rsidP="002A3642">
            <w:pPr>
              <w:spacing w:after="0" w:line="360" w:lineRule="auto"/>
              <w:jc w:val="center"/>
              <w:rPr>
                <w:rFonts w:ascii="Times New Roman" w:hAnsi="Times New Roman"/>
                <w:color w:val="000000"/>
                <w:sz w:val="28"/>
                <w:szCs w:val="28"/>
                <w:lang w:eastAsia="ru-RU"/>
              </w:rPr>
            </w:pPr>
            <w:r w:rsidRPr="00EB7721">
              <w:rPr>
                <w:rFonts w:ascii="Times New Roman" w:hAnsi="Times New Roman"/>
                <w:color w:val="000000"/>
                <w:sz w:val="28"/>
                <w:szCs w:val="28"/>
                <w:lang w:eastAsia="ru-RU"/>
              </w:rPr>
              <w:t>(тыс</w:t>
            </w:r>
            <w:proofErr w:type="gramStart"/>
            <w:r w:rsidRPr="00EB7721">
              <w:rPr>
                <w:rFonts w:ascii="Times New Roman" w:hAnsi="Times New Roman"/>
                <w:color w:val="000000"/>
                <w:sz w:val="28"/>
                <w:szCs w:val="28"/>
                <w:lang w:eastAsia="ru-RU"/>
              </w:rPr>
              <w:t>.р</w:t>
            </w:r>
            <w:proofErr w:type="gramEnd"/>
            <w:r w:rsidRPr="00EB7721">
              <w:rPr>
                <w:rFonts w:ascii="Times New Roman" w:hAnsi="Times New Roman"/>
                <w:color w:val="000000"/>
                <w:sz w:val="28"/>
                <w:szCs w:val="28"/>
                <w:lang w:eastAsia="ru-RU"/>
              </w:rPr>
              <w:t>уб.)</w:t>
            </w:r>
          </w:p>
        </w:tc>
      </w:tr>
      <w:tr w:rsidR="002A2DE3" w:rsidRPr="00EB7721" w:rsidTr="002A3642">
        <w:trPr>
          <w:trHeight w:val="300"/>
        </w:trPr>
        <w:tc>
          <w:tcPr>
            <w:tcW w:w="420" w:type="pct"/>
            <w:tcBorders>
              <w:top w:val="nil"/>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val="en-US" w:eastAsia="ru-RU"/>
              </w:rPr>
            </w:pPr>
            <w:r w:rsidRPr="00EB7721">
              <w:rPr>
                <w:rFonts w:ascii="Times New Roman" w:hAnsi="Times New Roman"/>
                <w:color w:val="000000"/>
                <w:sz w:val="28"/>
                <w:szCs w:val="28"/>
                <w:lang w:val="en-US" w:eastAsia="ru-RU"/>
              </w:rPr>
              <w:t>2011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525 080</w:t>
            </w:r>
          </w:p>
        </w:tc>
        <w:tc>
          <w:tcPr>
            <w:tcW w:w="94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11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78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r>
      <w:tr w:rsidR="002A2DE3" w:rsidRPr="00EB7721" w:rsidTr="002A3642">
        <w:trPr>
          <w:trHeight w:val="300"/>
        </w:trPr>
        <w:tc>
          <w:tcPr>
            <w:tcW w:w="420" w:type="pct"/>
            <w:tcBorders>
              <w:top w:val="nil"/>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val="en-US" w:eastAsia="ru-RU"/>
              </w:rPr>
            </w:pPr>
            <w:r w:rsidRPr="00EB7721">
              <w:rPr>
                <w:rFonts w:ascii="Times New Roman" w:hAnsi="Times New Roman"/>
                <w:color w:val="000000"/>
                <w:sz w:val="28"/>
                <w:szCs w:val="28"/>
                <w:lang w:val="en-US" w:eastAsia="ru-RU"/>
              </w:rPr>
              <w:t>2012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529 227</w:t>
            </w:r>
          </w:p>
        </w:tc>
        <w:tc>
          <w:tcPr>
            <w:tcW w:w="94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11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78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r>
      <w:tr w:rsidR="002A2DE3" w:rsidRPr="00EB7721" w:rsidTr="002A3642">
        <w:trPr>
          <w:trHeight w:val="300"/>
        </w:trPr>
        <w:tc>
          <w:tcPr>
            <w:tcW w:w="420" w:type="pct"/>
            <w:tcBorders>
              <w:top w:val="nil"/>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val="en-US" w:eastAsia="ru-RU"/>
              </w:rPr>
            </w:pPr>
            <w:r w:rsidRPr="00EB7721">
              <w:rPr>
                <w:rFonts w:ascii="Times New Roman" w:hAnsi="Times New Roman"/>
                <w:color w:val="000000"/>
                <w:sz w:val="28"/>
                <w:szCs w:val="28"/>
                <w:lang w:val="en-US" w:eastAsia="ru-RU"/>
              </w:rPr>
              <w:t>2013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571 109</w:t>
            </w:r>
          </w:p>
        </w:tc>
        <w:tc>
          <w:tcPr>
            <w:tcW w:w="94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11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78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r>
      <w:tr w:rsidR="002A2DE3" w:rsidRPr="00EB7721" w:rsidTr="002A3642">
        <w:trPr>
          <w:trHeight w:val="300"/>
        </w:trPr>
        <w:tc>
          <w:tcPr>
            <w:tcW w:w="420" w:type="pct"/>
            <w:tcBorders>
              <w:top w:val="nil"/>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val="en-US" w:eastAsia="ru-RU"/>
              </w:rPr>
            </w:pPr>
            <w:r w:rsidRPr="00EB7721">
              <w:rPr>
                <w:rFonts w:ascii="Times New Roman" w:hAnsi="Times New Roman"/>
                <w:color w:val="000000"/>
                <w:sz w:val="28"/>
                <w:szCs w:val="28"/>
                <w:lang w:val="en-US" w:eastAsia="ru-RU"/>
              </w:rPr>
              <w:t>2014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562 302</w:t>
            </w:r>
          </w:p>
        </w:tc>
        <w:tc>
          <w:tcPr>
            <w:tcW w:w="94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11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c>
          <w:tcPr>
            <w:tcW w:w="178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val="en-US" w:eastAsia="ru-RU"/>
              </w:rPr>
            </w:pPr>
          </w:p>
        </w:tc>
      </w:tr>
      <w:tr w:rsidR="002A2DE3" w:rsidRPr="00EB7721" w:rsidTr="002A3642">
        <w:trPr>
          <w:trHeight w:val="300"/>
        </w:trPr>
        <w:tc>
          <w:tcPr>
            <w:tcW w:w="420" w:type="pct"/>
            <w:tcBorders>
              <w:top w:val="nil"/>
              <w:left w:val="single" w:sz="4" w:space="0" w:color="auto"/>
              <w:bottom w:val="single" w:sz="4" w:space="0" w:color="auto"/>
              <w:right w:val="single" w:sz="4" w:space="0" w:color="auto"/>
            </w:tcBorders>
            <w:vAlign w:val="center"/>
          </w:tcPr>
          <w:p w:rsidR="002A2DE3" w:rsidRPr="00EB7721" w:rsidRDefault="002A2DE3" w:rsidP="002A3642">
            <w:pPr>
              <w:spacing w:after="0" w:line="360" w:lineRule="auto"/>
              <w:jc w:val="center"/>
              <w:rPr>
                <w:rFonts w:ascii="Times New Roman" w:hAnsi="Times New Roman"/>
                <w:color w:val="000000"/>
                <w:sz w:val="28"/>
                <w:szCs w:val="28"/>
                <w:lang w:val="en-US" w:eastAsia="ru-RU"/>
              </w:rPr>
            </w:pPr>
            <w:r w:rsidRPr="00EB7721">
              <w:rPr>
                <w:rFonts w:ascii="Times New Roman" w:hAnsi="Times New Roman"/>
                <w:color w:val="000000"/>
                <w:sz w:val="28"/>
                <w:szCs w:val="28"/>
                <w:lang w:val="en-US" w:eastAsia="ru-RU"/>
              </w:rPr>
              <w:t>2015</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545 099</w:t>
            </w:r>
          </w:p>
        </w:tc>
        <w:tc>
          <w:tcPr>
            <w:tcW w:w="94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2</w:t>
            </w:r>
            <w:r>
              <w:rPr>
                <w:rFonts w:ascii="Times New Roman" w:hAnsi="Times New Roman"/>
                <w:color w:val="000000"/>
                <w:sz w:val="28"/>
                <w:szCs w:val="28"/>
                <w:lang w:eastAsia="ru-RU"/>
              </w:rPr>
              <w:t> 732 816</w:t>
            </w:r>
          </w:p>
        </w:tc>
        <w:tc>
          <w:tcPr>
            <w:tcW w:w="111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8 273 332</w:t>
            </w:r>
          </w:p>
        </w:tc>
        <w:tc>
          <w:tcPr>
            <w:tcW w:w="1780" w:type="pct"/>
            <w:tcBorders>
              <w:top w:val="nil"/>
              <w:left w:val="nil"/>
              <w:bottom w:val="single" w:sz="4" w:space="0" w:color="auto"/>
              <w:right w:val="single" w:sz="4" w:space="0" w:color="auto"/>
            </w:tcBorders>
            <w:shd w:val="clear" w:color="auto" w:fill="auto"/>
            <w:noWrap/>
            <w:vAlign w:val="center"/>
            <w:hideMark/>
          </w:tcPr>
          <w:p w:rsidR="002A2DE3" w:rsidRPr="00EB7721" w:rsidRDefault="002A2DE3" w:rsidP="002A3642">
            <w:pPr>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11 006 148</w:t>
            </w:r>
          </w:p>
        </w:tc>
      </w:tr>
    </w:tbl>
    <w:p w:rsidR="002A2DE3" w:rsidRDefault="002A2DE3" w:rsidP="002A2DE3">
      <w:pPr>
        <w:spacing w:after="0" w:line="360" w:lineRule="auto"/>
        <w:ind w:left="1069"/>
        <w:jc w:val="both"/>
        <w:rPr>
          <w:rFonts w:ascii="Times New Roman" w:hAnsi="Times New Roman"/>
          <w:b/>
          <w:sz w:val="28"/>
          <w:szCs w:val="28"/>
        </w:rPr>
      </w:pPr>
    </w:p>
    <w:p w:rsidR="002A2DE3" w:rsidRPr="00D57A2D" w:rsidRDefault="002A2DE3" w:rsidP="002A2DE3">
      <w:pPr>
        <w:spacing w:after="0" w:line="360" w:lineRule="auto"/>
        <w:ind w:firstLine="709"/>
        <w:jc w:val="both"/>
        <w:rPr>
          <w:rFonts w:ascii="Times New Roman" w:hAnsi="Times New Roman"/>
          <w:sz w:val="28"/>
          <w:szCs w:val="28"/>
        </w:rPr>
      </w:pPr>
      <w:r w:rsidRPr="00D57A2D">
        <w:rPr>
          <w:rFonts w:ascii="Times New Roman" w:hAnsi="Times New Roman"/>
          <w:sz w:val="28"/>
          <w:szCs w:val="28"/>
        </w:rPr>
        <w:t>Напомним, что стоимость без учета синергии соста</w:t>
      </w:r>
      <w:r>
        <w:rPr>
          <w:rFonts w:ascii="Times New Roman" w:hAnsi="Times New Roman"/>
          <w:sz w:val="28"/>
          <w:szCs w:val="28"/>
        </w:rPr>
        <w:t>вляет 9,1</w:t>
      </w:r>
      <w:r w:rsidRPr="00D57A2D">
        <w:rPr>
          <w:rFonts w:ascii="Times New Roman" w:hAnsi="Times New Roman"/>
          <w:sz w:val="28"/>
          <w:szCs w:val="28"/>
        </w:rPr>
        <w:t xml:space="preserve"> млрд. руб</w:t>
      </w:r>
      <w:proofErr w:type="gramStart"/>
      <w:r w:rsidRPr="00D57A2D">
        <w:rPr>
          <w:rFonts w:ascii="Times New Roman" w:hAnsi="Times New Roman"/>
          <w:sz w:val="28"/>
          <w:szCs w:val="28"/>
        </w:rPr>
        <w:t xml:space="preserve">.. </w:t>
      </w:r>
      <w:proofErr w:type="gramEnd"/>
      <w:r w:rsidRPr="00D57A2D">
        <w:rPr>
          <w:rFonts w:ascii="Times New Roman" w:hAnsi="Times New Roman"/>
          <w:sz w:val="28"/>
          <w:szCs w:val="28"/>
        </w:rPr>
        <w:t>Получив стоимость с учетом синергии можем определить стоимость самого синергетического эффекта.</w:t>
      </w:r>
    </w:p>
    <w:p w:rsidR="002A2DE3" w:rsidRDefault="002A2DE3" w:rsidP="00E60EB6">
      <w:pPr>
        <w:spacing w:after="0" w:line="360" w:lineRule="auto"/>
        <w:ind w:left="1069"/>
        <w:jc w:val="center"/>
        <w:rPr>
          <w:rFonts w:ascii="Times New Roman" w:hAnsi="Times New Roman"/>
          <w:sz w:val="28"/>
          <w:szCs w:val="28"/>
        </w:rPr>
      </w:pPr>
      <w:r w:rsidRPr="00D57A2D">
        <w:rPr>
          <w:rFonts w:ascii="Times New Roman" w:hAnsi="Times New Roman"/>
          <w:sz w:val="28"/>
          <w:szCs w:val="28"/>
          <w:lang w:val="en-US"/>
        </w:rPr>
        <w:t>Synergy</w:t>
      </w:r>
      <w:r w:rsidRPr="002D4219">
        <w:rPr>
          <w:rFonts w:ascii="Times New Roman" w:hAnsi="Times New Roman"/>
          <w:sz w:val="28"/>
          <w:szCs w:val="28"/>
        </w:rPr>
        <w:t>= 11</w:t>
      </w:r>
      <w:r>
        <w:rPr>
          <w:rFonts w:ascii="Times New Roman" w:hAnsi="Times New Roman"/>
          <w:sz w:val="28"/>
          <w:szCs w:val="28"/>
          <w:lang w:val="en-US"/>
        </w:rPr>
        <w:t> </w:t>
      </w:r>
      <w:r>
        <w:rPr>
          <w:rFonts w:ascii="Times New Roman" w:hAnsi="Times New Roman"/>
          <w:sz w:val="28"/>
          <w:szCs w:val="28"/>
        </w:rPr>
        <w:t>006 148– 9 143 639= 1 862 509</w:t>
      </w:r>
      <w:r w:rsidRPr="00D57A2D">
        <w:rPr>
          <w:rFonts w:ascii="Times New Roman" w:hAnsi="Times New Roman"/>
          <w:sz w:val="28"/>
          <w:szCs w:val="28"/>
        </w:rPr>
        <w:t xml:space="preserve"> тыс. рублей</w:t>
      </w:r>
    </w:p>
    <w:p w:rsidR="002A2DE3" w:rsidRDefault="00B11BBE" w:rsidP="005210CA">
      <w:pPr>
        <w:spacing w:after="0" w:line="360" w:lineRule="auto"/>
        <w:ind w:firstLine="709"/>
        <w:jc w:val="both"/>
        <w:rPr>
          <w:rFonts w:ascii="Times New Roman" w:hAnsi="Times New Roman"/>
          <w:sz w:val="28"/>
          <w:szCs w:val="28"/>
        </w:rPr>
      </w:pPr>
      <w:r>
        <w:rPr>
          <w:rFonts w:ascii="Times New Roman" w:hAnsi="Times New Roman"/>
          <w:sz w:val="28"/>
          <w:szCs w:val="28"/>
        </w:rPr>
        <w:t>Данная оценка свидетельствует об эффективности совершенной сделки, о ее целесообразности и выигрыше обеих сторон, принимавших участие в сделке. Так, компаниям удалось добиться экономии от масштаба и эффективности работы сбытовых сетей. При этом рассчитанные нами стоимости совпали с рыночной оценкой данного присоединения.</w:t>
      </w:r>
      <w:r w:rsidR="005210CA">
        <w:rPr>
          <w:rFonts w:ascii="Times New Roman" w:hAnsi="Times New Roman"/>
          <w:sz w:val="28"/>
          <w:szCs w:val="28"/>
        </w:rPr>
        <w:t xml:space="preserve"> По оценкам экспертов доля рынка Крупской после объединения возросла даже больше, чем предполагалось. А выгоды от сделки будут проявляться и в дальнейшем, по мере функционирования и налаживания совместной деятельности предприятий. </w:t>
      </w:r>
    </w:p>
    <w:p w:rsidR="005210CA" w:rsidRDefault="005210CA" w:rsidP="005210CA">
      <w:pPr>
        <w:spacing w:after="0" w:line="360" w:lineRule="auto"/>
        <w:ind w:firstLine="709"/>
        <w:jc w:val="both"/>
        <w:rPr>
          <w:rFonts w:ascii="Times New Roman" w:hAnsi="Times New Roman"/>
          <w:sz w:val="28"/>
          <w:szCs w:val="28"/>
        </w:rPr>
      </w:pPr>
    </w:p>
    <w:p w:rsidR="00227ECE" w:rsidRDefault="00227ECE" w:rsidP="002A2DE3">
      <w:pPr>
        <w:spacing w:after="0" w:line="360" w:lineRule="auto"/>
        <w:jc w:val="center"/>
        <w:rPr>
          <w:rFonts w:ascii="Times New Roman" w:hAnsi="Times New Roman"/>
          <w:b/>
          <w:sz w:val="28"/>
          <w:szCs w:val="28"/>
        </w:rPr>
      </w:pPr>
    </w:p>
    <w:p w:rsidR="00197A80" w:rsidRDefault="00197A80" w:rsidP="002A2DE3">
      <w:pPr>
        <w:spacing w:after="0" w:line="360" w:lineRule="auto"/>
        <w:jc w:val="center"/>
        <w:rPr>
          <w:rFonts w:ascii="Times New Roman" w:hAnsi="Times New Roman"/>
          <w:b/>
          <w:sz w:val="28"/>
          <w:szCs w:val="28"/>
        </w:rPr>
      </w:pPr>
    </w:p>
    <w:p w:rsidR="002A2DE3" w:rsidRDefault="002A2DE3" w:rsidP="002A2DE3">
      <w:pPr>
        <w:spacing w:after="0" w:line="360" w:lineRule="auto"/>
        <w:jc w:val="center"/>
        <w:rPr>
          <w:rFonts w:ascii="Times New Roman" w:hAnsi="Times New Roman"/>
          <w:b/>
          <w:sz w:val="28"/>
          <w:szCs w:val="28"/>
        </w:rPr>
      </w:pPr>
      <w:r>
        <w:rPr>
          <w:rFonts w:ascii="Times New Roman" w:hAnsi="Times New Roman"/>
          <w:b/>
          <w:sz w:val="28"/>
          <w:szCs w:val="28"/>
        </w:rPr>
        <w:lastRenderedPageBreak/>
        <w:t>3.4</w:t>
      </w:r>
      <w:r w:rsidR="00BB02BA">
        <w:rPr>
          <w:rFonts w:ascii="Times New Roman" w:hAnsi="Times New Roman"/>
          <w:b/>
          <w:sz w:val="28"/>
          <w:szCs w:val="28"/>
        </w:rPr>
        <w:t>.</w:t>
      </w:r>
      <w:r>
        <w:rPr>
          <w:rFonts w:ascii="Times New Roman" w:hAnsi="Times New Roman"/>
          <w:b/>
          <w:sz w:val="28"/>
          <w:szCs w:val="28"/>
        </w:rPr>
        <w:t xml:space="preserve"> </w:t>
      </w:r>
      <w:r w:rsidRPr="00D57A2D">
        <w:rPr>
          <w:rFonts w:ascii="Times New Roman" w:hAnsi="Times New Roman"/>
          <w:b/>
          <w:sz w:val="28"/>
          <w:szCs w:val="28"/>
        </w:rPr>
        <w:t>Выводы по главе</w:t>
      </w:r>
    </w:p>
    <w:p w:rsidR="002A2DE3" w:rsidRDefault="00D16498" w:rsidP="00AF62E0">
      <w:pPr>
        <w:spacing w:after="0" w:line="360" w:lineRule="auto"/>
        <w:ind w:firstLine="709"/>
        <w:jc w:val="both"/>
        <w:rPr>
          <w:rFonts w:ascii="Times New Roman" w:hAnsi="Times New Roman"/>
          <w:sz w:val="28"/>
          <w:szCs w:val="28"/>
        </w:rPr>
      </w:pPr>
      <w:r>
        <w:rPr>
          <w:rFonts w:ascii="Times New Roman" w:hAnsi="Times New Roman"/>
          <w:sz w:val="28"/>
          <w:szCs w:val="28"/>
        </w:rPr>
        <w:t>Во многих слияниях в той или иной форме присутствует потенциал синергии. Главной задачей, которая была решена в данной главе, являлось выявление сфер и источников выгод от объединения, с последующей их оценкой. Практическим примером стала сделка присоединения «</w:t>
      </w:r>
      <w:proofErr w:type="spellStart"/>
      <w:r>
        <w:rPr>
          <w:rFonts w:ascii="Times New Roman" w:hAnsi="Times New Roman"/>
          <w:sz w:val="28"/>
          <w:szCs w:val="28"/>
        </w:rPr>
        <w:t>СладКо</w:t>
      </w:r>
      <w:proofErr w:type="spellEnd"/>
      <w:r>
        <w:rPr>
          <w:rFonts w:ascii="Times New Roman" w:hAnsi="Times New Roman"/>
          <w:sz w:val="28"/>
          <w:szCs w:val="28"/>
        </w:rPr>
        <w:t>» к Кондитерской фабрике им. Крупской, которая оценивалась экспертами как выгодная и успешная. Мы проверили это на практике и экспертные прогнозы оправдались.</w:t>
      </w:r>
    </w:p>
    <w:p w:rsidR="00D16498" w:rsidRDefault="00D16498" w:rsidP="00AF62E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нашим расчетам стоимость компании </w:t>
      </w:r>
      <w:proofErr w:type="spellStart"/>
      <w:r>
        <w:rPr>
          <w:rFonts w:ascii="Times New Roman" w:hAnsi="Times New Roman"/>
          <w:sz w:val="28"/>
          <w:szCs w:val="28"/>
        </w:rPr>
        <w:t>СладКо</w:t>
      </w:r>
      <w:proofErr w:type="spellEnd"/>
      <w:r>
        <w:rPr>
          <w:rFonts w:ascii="Times New Roman" w:hAnsi="Times New Roman"/>
          <w:sz w:val="28"/>
          <w:szCs w:val="28"/>
        </w:rPr>
        <w:t xml:space="preserve"> составила 3,05 млрд. рублей. Была рассчитана также и стоимость приобретающей компании – Крупской.</w:t>
      </w:r>
      <w:r w:rsidR="00477DD8">
        <w:rPr>
          <w:rFonts w:ascii="Times New Roman" w:hAnsi="Times New Roman"/>
          <w:sz w:val="28"/>
          <w:szCs w:val="28"/>
        </w:rPr>
        <w:t xml:space="preserve"> Она составила 6,1 млрд. руб</w:t>
      </w:r>
      <w:proofErr w:type="gramStart"/>
      <w:r w:rsidR="00477DD8">
        <w:rPr>
          <w:rFonts w:ascii="Times New Roman" w:hAnsi="Times New Roman"/>
          <w:sz w:val="28"/>
          <w:szCs w:val="28"/>
        </w:rPr>
        <w:t xml:space="preserve">.. </w:t>
      </w:r>
      <w:proofErr w:type="gramEnd"/>
    </w:p>
    <w:p w:rsidR="00477DD8" w:rsidRDefault="00477DD8" w:rsidP="00AF62E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оценки синергии были определены возможные ее источники и сделаны допущения относительно их влияние на будущие показатели (выручка, износ, капитальные затраты). Рассчитаны ставки доходности на собственный капитал и дисконтирования для объединенной компании. Итогом стала стоимость равная 11 млрд. руб., с включенной в нее синергией.  Сама синергия от объединения составила </w:t>
      </w:r>
      <w:r w:rsidR="00335B11">
        <w:rPr>
          <w:rFonts w:ascii="Times New Roman" w:hAnsi="Times New Roman"/>
          <w:sz w:val="28"/>
          <w:szCs w:val="28"/>
        </w:rPr>
        <w:t xml:space="preserve">1,86 млрд. рублей, что говорит об эффективности заключенной сделки и ее несомненной выгоде для сторон – участников. Так Крупская получила уже готовые и отлаженные сбытовые сети, а </w:t>
      </w:r>
      <w:proofErr w:type="spellStart"/>
      <w:r w:rsidR="00335B11">
        <w:rPr>
          <w:rFonts w:ascii="Times New Roman" w:hAnsi="Times New Roman"/>
          <w:sz w:val="28"/>
          <w:szCs w:val="28"/>
        </w:rPr>
        <w:t>СладКо</w:t>
      </w:r>
      <w:proofErr w:type="spellEnd"/>
      <w:r w:rsidR="00335B11">
        <w:rPr>
          <w:rFonts w:ascii="Times New Roman" w:hAnsi="Times New Roman"/>
          <w:sz w:val="28"/>
          <w:szCs w:val="28"/>
        </w:rPr>
        <w:t xml:space="preserve"> доступ на рынок </w:t>
      </w:r>
      <w:proofErr w:type="spellStart"/>
      <w:r w:rsidR="00335B11">
        <w:rPr>
          <w:rFonts w:ascii="Times New Roman" w:hAnsi="Times New Roman"/>
          <w:sz w:val="28"/>
          <w:szCs w:val="28"/>
        </w:rPr>
        <w:t>Северо</w:t>
      </w:r>
      <w:proofErr w:type="spellEnd"/>
      <w:r w:rsidR="00335B11">
        <w:rPr>
          <w:rFonts w:ascii="Times New Roman" w:hAnsi="Times New Roman"/>
          <w:sz w:val="28"/>
          <w:szCs w:val="28"/>
        </w:rPr>
        <w:t xml:space="preserve"> – Запада. При этом было оптимизировано производство и аппарат управления компанией. Объединение было выгодно и целесообразно, стоит также учитывать, что синергия не одномоментное явление и возможно будет проявляться в ходе дальнейшей деятельности объединенной компании.</w:t>
      </w:r>
    </w:p>
    <w:p w:rsidR="002A2DE3" w:rsidRDefault="002A2DE3" w:rsidP="002A2DE3">
      <w:pPr>
        <w:spacing w:line="360" w:lineRule="auto"/>
        <w:ind w:firstLine="709"/>
        <w:jc w:val="both"/>
        <w:rPr>
          <w:rFonts w:ascii="Times New Roman" w:hAnsi="Times New Roman"/>
          <w:sz w:val="28"/>
          <w:szCs w:val="28"/>
        </w:rPr>
      </w:pPr>
    </w:p>
    <w:p w:rsidR="002A2DE3" w:rsidRDefault="002A2DE3" w:rsidP="002A2DE3">
      <w:pPr>
        <w:spacing w:line="360" w:lineRule="auto"/>
        <w:ind w:firstLine="709"/>
        <w:jc w:val="both"/>
        <w:rPr>
          <w:rFonts w:ascii="Times New Roman" w:hAnsi="Times New Roman"/>
          <w:sz w:val="28"/>
          <w:szCs w:val="28"/>
        </w:rPr>
      </w:pPr>
    </w:p>
    <w:p w:rsidR="00F30A00" w:rsidRDefault="00F30A00" w:rsidP="002A2DE3">
      <w:pPr>
        <w:spacing w:line="360" w:lineRule="auto"/>
        <w:ind w:firstLine="709"/>
        <w:jc w:val="both"/>
        <w:rPr>
          <w:rFonts w:ascii="Times New Roman" w:hAnsi="Times New Roman"/>
          <w:sz w:val="28"/>
          <w:szCs w:val="28"/>
        </w:rPr>
      </w:pPr>
    </w:p>
    <w:p w:rsidR="00916A66" w:rsidRDefault="00916A66" w:rsidP="00E60EB6">
      <w:pPr>
        <w:spacing w:line="360" w:lineRule="auto"/>
        <w:rPr>
          <w:rFonts w:ascii="Times New Roman" w:hAnsi="Times New Roman"/>
          <w:b/>
          <w:sz w:val="28"/>
          <w:szCs w:val="28"/>
        </w:rPr>
      </w:pPr>
    </w:p>
    <w:p w:rsidR="002A2DE3" w:rsidRPr="0068449A" w:rsidRDefault="00AF62E0" w:rsidP="00AF62E0">
      <w:pPr>
        <w:spacing w:line="360" w:lineRule="auto"/>
        <w:ind w:firstLine="709"/>
        <w:jc w:val="center"/>
        <w:rPr>
          <w:rFonts w:ascii="Times New Roman" w:hAnsi="Times New Roman"/>
          <w:b/>
          <w:sz w:val="28"/>
          <w:szCs w:val="28"/>
        </w:rPr>
      </w:pPr>
      <w:r w:rsidRPr="0068449A">
        <w:rPr>
          <w:rFonts w:ascii="Times New Roman" w:hAnsi="Times New Roman"/>
          <w:b/>
          <w:sz w:val="28"/>
          <w:szCs w:val="28"/>
        </w:rPr>
        <w:lastRenderedPageBreak/>
        <w:t>ЗАКЛЮЧЕНИЕ</w:t>
      </w:r>
    </w:p>
    <w:p w:rsidR="00224C83" w:rsidRDefault="00AF62E0"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работы над исследованием были проанализированы работы как отечественных, так и зарубежных </w:t>
      </w:r>
      <w:r w:rsidR="00D05EFD">
        <w:rPr>
          <w:rFonts w:ascii="Times New Roman" w:hAnsi="Times New Roman"/>
          <w:sz w:val="28"/>
          <w:szCs w:val="28"/>
        </w:rPr>
        <w:t xml:space="preserve">авторов по данной тематике. Было замечено, что процессы </w:t>
      </w:r>
      <w:r w:rsidR="00D05EFD">
        <w:rPr>
          <w:rFonts w:ascii="Times New Roman" w:hAnsi="Times New Roman"/>
          <w:sz w:val="28"/>
          <w:szCs w:val="28"/>
          <w:lang w:val="en-US"/>
        </w:rPr>
        <w:t>M</w:t>
      </w:r>
      <w:r w:rsidR="00D05EFD" w:rsidRPr="00D05EFD">
        <w:rPr>
          <w:rFonts w:ascii="Times New Roman" w:hAnsi="Times New Roman"/>
          <w:sz w:val="28"/>
          <w:szCs w:val="28"/>
        </w:rPr>
        <w:t>&amp;</w:t>
      </w:r>
      <w:r w:rsidR="00D05EFD">
        <w:rPr>
          <w:rFonts w:ascii="Times New Roman" w:hAnsi="Times New Roman"/>
          <w:sz w:val="28"/>
          <w:szCs w:val="28"/>
          <w:lang w:val="en-US"/>
        </w:rPr>
        <w:t>A</w:t>
      </w:r>
      <w:r w:rsidR="00D05EFD">
        <w:rPr>
          <w:rFonts w:ascii="Times New Roman" w:hAnsi="Times New Roman"/>
          <w:sz w:val="28"/>
          <w:szCs w:val="28"/>
        </w:rPr>
        <w:t xml:space="preserve"> популярны и зачастую используются как стратегия роста. Ведь ни что не позволяет достичь значительного эффекта роста, как приобретение готового и успешно функционирующего предприятия. Но чтобы реализовать эту стратегию необходимо здраво и правильно оценивать стоимость компании – цели и все возможные выгоды. Несомненно</w:t>
      </w:r>
      <w:r w:rsidR="00224C83">
        <w:rPr>
          <w:rFonts w:ascii="Times New Roman" w:hAnsi="Times New Roman"/>
          <w:sz w:val="28"/>
          <w:szCs w:val="28"/>
        </w:rPr>
        <w:t>,</w:t>
      </w:r>
      <w:r w:rsidR="00D05EFD">
        <w:rPr>
          <w:rFonts w:ascii="Times New Roman" w:hAnsi="Times New Roman"/>
          <w:sz w:val="28"/>
          <w:szCs w:val="28"/>
        </w:rPr>
        <w:t xml:space="preserve"> верная и </w:t>
      </w:r>
      <w:r w:rsidR="00224C83">
        <w:rPr>
          <w:rFonts w:ascii="Times New Roman" w:hAnsi="Times New Roman"/>
          <w:sz w:val="28"/>
          <w:szCs w:val="28"/>
        </w:rPr>
        <w:t xml:space="preserve">неискаженная </w:t>
      </w:r>
      <w:r w:rsidR="00D05EFD">
        <w:rPr>
          <w:rFonts w:ascii="Times New Roman" w:hAnsi="Times New Roman"/>
          <w:sz w:val="28"/>
          <w:szCs w:val="28"/>
        </w:rPr>
        <w:t>оценка</w:t>
      </w:r>
      <w:r w:rsidR="00224C83">
        <w:rPr>
          <w:rFonts w:ascii="Times New Roman" w:hAnsi="Times New Roman"/>
          <w:sz w:val="28"/>
          <w:szCs w:val="28"/>
        </w:rPr>
        <w:t xml:space="preserve"> является ключом к успеху в слиянии.</w:t>
      </w:r>
    </w:p>
    <w:p w:rsidR="00D1793F" w:rsidRDefault="00D05EFD"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соответствии с заявленной целью</w:t>
      </w:r>
      <w:r w:rsidR="00224C83">
        <w:rPr>
          <w:rFonts w:ascii="Times New Roman" w:hAnsi="Times New Roman"/>
          <w:sz w:val="28"/>
          <w:szCs w:val="28"/>
        </w:rPr>
        <w:t xml:space="preserve"> и поставленными задачами нами были выделены и разъяснены основные мотивы, побуждающие компании к объединению. Значительными являются следующие: </w:t>
      </w:r>
      <w:r w:rsidR="004F7066">
        <w:rPr>
          <w:rFonts w:ascii="Times New Roman" w:hAnsi="Times New Roman"/>
          <w:sz w:val="28"/>
          <w:szCs w:val="28"/>
        </w:rPr>
        <w:t>усиление позиций на рынке или мотив монополии,</w:t>
      </w:r>
      <w:r w:rsidR="00335B11">
        <w:rPr>
          <w:rFonts w:ascii="Times New Roman" w:hAnsi="Times New Roman"/>
          <w:sz w:val="28"/>
          <w:szCs w:val="28"/>
        </w:rPr>
        <w:t xml:space="preserve"> </w:t>
      </w:r>
      <w:r w:rsidR="004F7066">
        <w:rPr>
          <w:rFonts w:ascii="Times New Roman" w:hAnsi="Times New Roman"/>
          <w:sz w:val="28"/>
          <w:szCs w:val="28"/>
        </w:rPr>
        <w:t xml:space="preserve">снижение издержек за счет оптимизации производства </w:t>
      </w:r>
      <w:r w:rsidR="00335B11">
        <w:rPr>
          <w:rFonts w:ascii="Times New Roman" w:hAnsi="Times New Roman"/>
          <w:sz w:val="28"/>
          <w:szCs w:val="28"/>
        </w:rPr>
        <w:t>и, конечно же, ожидание синергии</w:t>
      </w:r>
      <w:r w:rsidR="004F7066">
        <w:rPr>
          <w:rFonts w:ascii="Times New Roman" w:hAnsi="Times New Roman"/>
          <w:sz w:val="28"/>
          <w:szCs w:val="28"/>
        </w:rPr>
        <w:t xml:space="preserve">. </w:t>
      </w:r>
    </w:p>
    <w:p w:rsidR="00D1793F" w:rsidRDefault="00D1793F"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российского рынка </w:t>
      </w:r>
      <w:r>
        <w:rPr>
          <w:rFonts w:ascii="Times New Roman" w:hAnsi="Times New Roman"/>
          <w:sz w:val="28"/>
          <w:szCs w:val="28"/>
          <w:lang w:val="en-US"/>
        </w:rPr>
        <w:t>M</w:t>
      </w:r>
      <w:r w:rsidRPr="00D1793F">
        <w:rPr>
          <w:rFonts w:ascii="Times New Roman" w:hAnsi="Times New Roman"/>
          <w:sz w:val="28"/>
          <w:szCs w:val="28"/>
        </w:rPr>
        <w:t>&amp;</w:t>
      </w:r>
      <w:proofErr w:type="gramStart"/>
      <w:r>
        <w:rPr>
          <w:rFonts w:ascii="Times New Roman" w:hAnsi="Times New Roman"/>
          <w:sz w:val="28"/>
          <w:szCs w:val="28"/>
          <w:lang w:val="en-US"/>
        </w:rPr>
        <w:t>A</w:t>
      </w:r>
      <w:proofErr w:type="gramEnd"/>
      <w:r>
        <w:rPr>
          <w:rFonts w:ascii="Times New Roman" w:hAnsi="Times New Roman"/>
          <w:sz w:val="28"/>
          <w:szCs w:val="28"/>
        </w:rPr>
        <w:t>показал, что большинство сделок носит горизонтальный характер и преимущественно осуществляются в секторах – лидерах (нефтегазовая отрасль, энергетический сектор и металлургия). Еще наблюдается большое число внутренних сделок, однако в 2012 году было отмечено взаимное увеличение активности иностранных компаний к российскому бизнесу и наоборот.</w:t>
      </w:r>
    </w:p>
    <w:p w:rsidR="00366555" w:rsidRDefault="00D1793F" w:rsidP="0068449A">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Следующей выполненной задачей было рассмотрение</w:t>
      </w:r>
      <w:r w:rsidR="00D05EFD">
        <w:rPr>
          <w:rFonts w:ascii="Times New Roman" w:hAnsi="Times New Roman"/>
          <w:sz w:val="28"/>
          <w:szCs w:val="28"/>
        </w:rPr>
        <w:t xml:space="preserve"> метод</w:t>
      </w:r>
      <w:r>
        <w:rPr>
          <w:rFonts w:ascii="Times New Roman" w:hAnsi="Times New Roman"/>
          <w:sz w:val="28"/>
          <w:szCs w:val="28"/>
        </w:rPr>
        <w:t xml:space="preserve">ов </w:t>
      </w:r>
      <w:r w:rsidR="00D05EFD">
        <w:rPr>
          <w:rFonts w:ascii="Times New Roman" w:hAnsi="Times New Roman"/>
          <w:sz w:val="28"/>
          <w:szCs w:val="28"/>
        </w:rPr>
        <w:t>оценки стоимости компании в целях</w:t>
      </w:r>
      <w:r w:rsidR="004F7066">
        <w:rPr>
          <w:rFonts w:ascii="Times New Roman" w:hAnsi="Times New Roman"/>
          <w:sz w:val="28"/>
          <w:szCs w:val="28"/>
        </w:rPr>
        <w:t xml:space="preserve"> слияния и поглощения. </w:t>
      </w:r>
      <w:r w:rsidR="00366555">
        <w:rPr>
          <w:rFonts w:ascii="Times New Roman" w:hAnsi="Times New Roman"/>
          <w:sz w:val="28"/>
          <w:szCs w:val="28"/>
        </w:rPr>
        <w:t>П</w:t>
      </w:r>
      <w:r w:rsidR="00366555" w:rsidRPr="00083AE3">
        <w:rPr>
          <w:rFonts w:ascii="Times New Roman" w:hAnsi="Times New Roman"/>
          <w:sz w:val="28"/>
          <w:szCs w:val="28"/>
        </w:rPr>
        <w:t>еречислим достоинства и недостатки каждого из</w:t>
      </w:r>
      <w:r w:rsidR="00366555">
        <w:rPr>
          <w:rFonts w:ascii="Times New Roman" w:hAnsi="Times New Roman"/>
          <w:sz w:val="28"/>
          <w:szCs w:val="28"/>
        </w:rPr>
        <w:t xml:space="preserve"> методов.</w:t>
      </w:r>
    </w:p>
    <w:p w:rsidR="00366555" w:rsidRDefault="00366555" w:rsidP="0068449A">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Затратный подход и в нем, для целей </w:t>
      </w:r>
      <w:r>
        <w:rPr>
          <w:rFonts w:ascii="Times New Roman" w:hAnsi="Times New Roman"/>
          <w:sz w:val="28"/>
          <w:szCs w:val="28"/>
          <w:lang w:val="en-US"/>
        </w:rPr>
        <w:t>M</w:t>
      </w:r>
      <w:r w:rsidRPr="0058217C">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выделен метод чистых активов. Основа метода – реально существующие активы, при этом неопределенность присутствует, но незначительная. Достоинство кроется в стандартизированной системе оценки и сглаживании ряда упущений бухгалтерской отчетности. При этом не учет стоимости нематериальных </w:t>
      </w:r>
      <w:r>
        <w:rPr>
          <w:rFonts w:ascii="Times New Roman" w:hAnsi="Times New Roman"/>
          <w:sz w:val="28"/>
          <w:szCs w:val="28"/>
        </w:rPr>
        <w:lastRenderedPageBreak/>
        <w:t>активов и как следствие невозможность выявления синергии в полном объеме представляют основные минусы этого подхода.</w:t>
      </w:r>
    </w:p>
    <w:p w:rsidR="00366555" w:rsidRDefault="00366555" w:rsidP="0068449A">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сравнительном подходе выделено несколько методов – это метод аналогичных сделок и метод коэффициентов. На практике они применяются совместно. У данных методик больше недостатков, чем достоинств. Связано это со спецификой российского рынка. Недостаточный объем числа сделок и закрытость информации по большинству из них приводит к невозможности подбора аналога, а усредненные коэффициенты, в свою очередь приводят к весьма сомнительной оценке. </w:t>
      </w:r>
    </w:p>
    <w:p w:rsidR="00366555" w:rsidRDefault="00366555" w:rsidP="0068449A">
      <w:pPr>
        <w:tabs>
          <w:tab w:val="left" w:pos="311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Доходный подход – ключевой при определении стоимости бизнеса в целях </w:t>
      </w:r>
      <w:r>
        <w:rPr>
          <w:rFonts w:ascii="Times New Roman" w:hAnsi="Times New Roman"/>
          <w:sz w:val="28"/>
          <w:szCs w:val="28"/>
          <w:lang w:val="en-US"/>
        </w:rPr>
        <w:t>M</w:t>
      </w:r>
      <w:r w:rsidRPr="00AB7484">
        <w:rPr>
          <w:rFonts w:ascii="Times New Roman" w:hAnsi="Times New Roman"/>
          <w:sz w:val="28"/>
          <w:szCs w:val="28"/>
        </w:rPr>
        <w:t>&amp;</w:t>
      </w:r>
      <w:r>
        <w:rPr>
          <w:rFonts w:ascii="Times New Roman" w:hAnsi="Times New Roman"/>
          <w:sz w:val="28"/>
          <w:szCs w:val="28"/>
          <w:lang w:val="en-US"/>
        </w:rPr>
        <w:t>A</w:t>
      </w:r>
      <w:r w:rsidRPr="00AB7484">
        <w:rPr>
          <w:rFonts w:ascii="Times New Roman" w:hAnsi="Times New Roman"/>
          <w:sz w:val="28"/>
          <w:szCs w:val="28"/>
        </w:rPr>
        <w:t xml:space="preserve">. </w:t>
      </w:r>
      <w:r>
        <w:rPr>
          <w:rFonts w:ascii="Times New Roman" w:hAnsi="Times New Roman"/>
          <w:sz w:val="28"/>
          <w:szCs w:val="28"/>
        </w:rPr>
        <w:t xml:space="preserve"> В рамках подхода используется метод дисконтированных денежных потоков. Главным достоинством является учет предполагаемых рисков и синергетических выгод в полном объеме. </w:t>
      </w:r>
    </w:p>
    <w:p w:rsidR="00366555" w:rsidRDefault="00366555" w:rsidP="0068449A">
      <w:pPr>
        <w:spacing w:after="0" w:line="360" w:lineRule="auto"/>
        <w:ind w:firstLine="709"/>
        <w:jc w:val="both"/>
        <w:rPr>
          <w:rFonts w:ascii="Times New Roman" w:hAnsi="Times New Roman"/>
          <w:sz w:val="28"/>
          <w:szCs w:val="28"/>
        </w:rPr>
      </w:pPr>
      <w:r>
        <w:rPr>
          <w:rFonts w:ascii="Times New Roman" w:hAnsi="Times New Roman"/>
          <w:sz w:val="28"/>
          <w:szCs w:val="28"/>
        </w:rPr>
        <w:t>Во многих слияниях в той или иной форме присутствует потенциал синергии. Главной задачей, ко</w:t>
      </w:r>
      <w:r w:rsidR="00DF5D3F">
        <w:rPr>
          <w:rFonts w:ascii="Times New Roman" w:hAnsi="Times New Roman"/>
          <w:sz w:val="28"/>
          <w:szCs w:val="28"/>
        </w:rPr>
        <w:t>торая была решена в</w:t>
      </w:r>
      <w:r w:rsidR="007833AE">
        <w:rPr>
          <w:rFonts w:ascii="Times New Roman" w:hAnsi="Times New Roman"/>
          <w:sz w:val="28"/>
          <w:szCs w:val="28"/>
        </w:rPr>
        <w:t xml:space="preserve"> </w:t>
      </w:r>
      <w:r w:rsidR="00A52A0C">
        <w:rPr>
          <w:rFonts w:ascii="Times New Roman" w:hAnsi="Times New Roman"/>
          <w:sz w:val="28"/>
          <w:szCs w:val="28"/>
        </w:rPr>
        <w:t>данном исследовании</w:t>
      </w:r>
      <w:r>
        <w:rPr>
          <w:rFonts w:ascii="Times New Roman" w:hAnsi="Times New Roman"/>
          <w:sz w:val="28"/>
          <w:szCs w:val="28"/>
        </w:rPr>
        <w:t>, являлось выявление сфер и источников выгод от объединения, с последующей их оценкой. Практическим примером стала сделка присоединения «</w:t>
      </w:r>
      <w:proofErr w:type="spellStart"/>
      <w:r>
        <w:rPr>
          <w:rFonts w:ascii="Times New Roman" w:hAnsi="Times New Roman"/>
          <w:sz w:val="28"/>
          <w:szCs w:val="28"/>
        </w:rPr>
        <w:t>СладКо</w:t>
      </w:r>
      <w:proofErr w:type="spellEnd"/>
      <w:r>
        <w:rPr>
          <w:rFonts w:ascii="Times New Roman" w:hAnsi="Times New Roman"/>
          <w:sz w:val="28"/>
          <w:szCs w:val="28"/>
        </w:rPr>
        <w:t>» к Кондитерской фабрике им. Крупской, которая оценивалась экспертами как выгодная и успешная. Мы проверили это на практике и экспертные прогнозы оправдались.</w:t>
      </w:r>
    </w:p>
    <w:p w:rsidR="00366555" w:rsidRDefault="00366555"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нашим расчетам стоимость компании </w:t>
      </w:r>
      <w:proofErr w:type="spellStart"/>
      <w:r>
        <w:rPr>
          <w:rFonts w:ascii="Times New Roman" w:hAnsi="Times New Roman"/>
          <w:sz w:val="28"/>
          <w:szCs w:val="28"/>
        </w:rPr>
        <w:t>СладКо</w:t>
      </w:r>
      <w:proofErr w:type="spellEnd"/>
      <w:r>
        <w:rPr>
          <w:rFonts w:ascii="Times New Roman" w:hAnsi="Times New Roman"/>
          <w:sz w:val="28"/>
          <w:szCs w:val="28"/>
        </w:rPr>
        <w:t xml:space="preserve"> составила 3,05 млрд. рублей. Была рассчитана также и стоимость приобретающей компании – Крупской. Она составила 6,1 млрд. руб</w:t>
      </w:r>
      <w:proofErr w:type="gramStart"/>
      <w:r>
        <w:rPr>
          <w:rFonts w:ascii="Times New Roman" w:hAnsi="Times New Roman"/>
          <w:sz w:val="28"/>
          <w:szCs w:val="28"/>
        </w:rPr>
        <w:t xml:space="preserve">.. </w:t>
      </w:r>
      <w:proofErr w:type="gramEnd"/>
    </w:p>
    <w:p w:rsidR="00366555" w:rsidRDefault="00366555" w:rsidP="0068449A">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синергии были определены возможные ее источники и сделаны допущения относительно их влияние на будущие показатели (выручка, износ, капитальные затраты). Рассчитаны ставки доходности на собственный капитал и дисконтирования для объединенной компании. Итогом стала стоимость</w:t>
      </w:r>
      <w:r w:rsidR="00335B11">
        <w:rPr>
          <w:rFonts w:ascii="Times New Roman" w:hAnsi="Times New Roman"/>
          <w:sz w:val="28"/>
          <w:szCs w:val="28"/>
        </w:rPr>
        <w:t xml:space="preserve"> совмещенного предприятия</w:t>
      </w:r>
      <w:r>
        <w:rPr>
          <w:rFonts w:ascii="Times New Roman" w:hAnsi="Times New Roman"/>
          <w:sz w:val="28"/>
          <w:szCs w:val="28"/>
        </w:rPr>
        <w:t xml:space="preserve"> равная 11 млрд. руб., </w:t>
      </w:r>
      <w:r>
        <w:rPr>
          <w:rFonts w:ascii="Times New Roman" w:hAnsi="Times New Roman"/>
          <w:sz w:val="28"/>
          <w:szCs w:val="28"/>
        </w:rPr>
        <w:lastRenderedPageBreak/>
        <w:t>с включенной в нее синергией.  Сама синергия от объедине</w:t>
      </w:r>
      <w:r w:rsidR="00227ECE">
        <w:rPr>
          <w:rFonts w:ascii="Times New Roman" w:hAnsi="Times New Roman"/>
          <w:sz w:val="28"/>
          <w:szCs w:val="28"/>
        </w:rPr>
        <w:t>ния составила 1,86 млрд. рублей, что является свидетельством эффективности сделки.</w:t>
      </w:r>
    </w:p>
    <w:p w:rsidR="00F749A1" w:rsidRDefault="00615BE1"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Проведенные расчеты совпали с рыночными ожиданиями и ожиданиями руководства компаний. Важно понимать всю сложность и </w:t>
      </w:r>
      <w:proofErr w:type="spellStart"/>
      <w:r>
        <w:rPr>
          <w:rFonts w:ascii="Times New Roman" w:hAnsi="Times New Roman"/>
          <w:sz w:val="28"/>
          <w:szCs w:val="28"/>
        </w:rPr>
        <w:t>многоэтапность</w:t>
      </w:r>
      <w:proofErr w:type="spellEnd"/>
      <w:r>
        <w:rPr>
          <w:rFonts w:ascii="Times New Roman" w:hAnsi="Times New Roman"/>
          <w:sz w:val="28"/>
          <w:szCs w:val="28"/>
        </w:rPr>
        <w:t xml:space="preserve"> процедуры оценки в целях </w:t>
      </w:r>
      <w:r>
        <w:rPr>
          <w:rFonts w:ascii="Times New Roman" w:hAnsi="Times New Roman"/>
          <w:sz w:val="28"/>
          <w:szCs w:val="28"/>
          <w:lang w:val="en-US"/>
        </w:rPr>
        <w:t>M</w:t>
      </w:r>
      <w:r w:rsidRPr="00615BE1">
        <w:rPr>
          <w:rFonts w:ascii="Times New Roman" w:hAnsi="Times New Roman"/>
          <w:sz w:val="28"/>
          <w:szCs w:val="28"/>
        </w:rPr>
        <w:t>&amp;</w:t>
      </w:r>
      <w:r>
        <w:rPr>
          <w:rFonts w:ascii="Times New Roman" w:hAnsi="Times New Roman"/>
          <w:sz w:val="28"/>
          <w:szCs w:val="28"/>
          <w:lang w:val="en-US"/>
        </w:rPr>
        <w:t>A</w:t>
      </w:r>
      <w:r>
        <w:rPr>
          <w:rFonts w:ascii="Times New Roman" w:hAnsi="Times New Roman"/>
          <w:sz w:val="28"/>
          <w:szCs w:val="28"/>
        </w:rPr>
        <w:t xml:space="preserve">. Первым препятствием является выбор метода, так как в российских условиях не каждый применим, или имеет существенные ограничения и не дает точных результатов. После анализа достоинств и недостатков всех методик была выбрана оптимальная методология определения стоимости компании при слиянии и поглощении – дисконтированные денежные потоки. Этот метод позволяет учесть будущие доходы и выгоды, но предполагает ряд корректировок и предположений, к которым стоит относиться с особым вниманием. </w:t>
      </w:r>
      <w:r w:rsidR="00485ACE">
        <w:rPr>
          <w:rFonts w:ascii="Times New Roman" w:hAnsi="Times New Roman"/>
          <w:sz w:val="28"/>
          <w:szCs w:val="28"/>
        </w:rPr>
        <w:t>Следующим важным моментом является выявление источников синергии, поглощающая компании должна четко осознавать возможные выгоды и не переоценивать их при назначении конечного предложения. Проблемным местом современной теории является отсутствие универсального метода оценки синергетического эффе</w:t>
      </w:r>
      <w:r w:rsidR="00F749A1">
        <w:rPr>
          <w:rFonts w:ascii="Times New Roman" w:hAnsi="Times New Roman"/>
          <w:sz w:val="28"/>
          <w:szCs w:val="28"/>
        </w:rPr>
        <w:t>кта, который в свою очередь является своеобразным индикатором эффективности сделки.</w:t>
      </w:r>
    </w:p>
    <w:p w:rsidR="00F749A1" w:rsidRDefault="00F749A1" w:rsidP="0068449A">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Четкое понимание </w:t>
      </w:r>
      <w:proofErr w:type="gramStart"/>
      <w:r>
        <w:rPr>
          <w:rFonts w:ascii="Times New Roman" w:hAnsi="Times New Roman"/>
          <w:sz w:val="28"/>
          <w:szCs w:val="28"/>
        </w:rPr>
        <w:t>возможных</w:t>
      </w:r>
      <w:proofErr w:type="gramEnd"/>
      <w:r>
        <w:rPr>
          <w:rFonts w:ascii="Times New Roman" w:hAnsi="Times New Roman"/>
          <w:sz w:val="28"/>
          <w:szCs w:val="28"/>
        </w:rPr>
        <w:t xml:space="preserve"> </w:t>
      </w:r>
      <w:proofErr w:type="spellStart"/>
      <w:r>
        <w:rPr>
          <w:rFonts w:ascii="Times New Roman" w:hAnsi="Times New Roman"/>
          <w:sz w:val="28"/>
          <w:szCs w:val="28"/>
        </w:rPr>
        <w:t>синергий</w:t>
      </w:r>
      <w:proofErr w:type="spellEnd"/>
      <w:r>
        <w:rPr>
          <w:rFonts w:ascii="Times New Roman" w:hAnsi="Times New Roman"/>
          <w:sz w:val="28"/>
          <w:szCs w:val="28"/>
        </w:rPr>
        <w:t>, близкое к реальности прогнозирование в ходе оценки и ее обоснованность, умелое управление процессом интеграции – вот ключи в успешному объединению.</w:t>
      </w:r>
    </w:p>
    <w:p w:rsidR="00227ECE" w:rsidRPr="00615BE1" w:rsidRDefault="00485ACE" w:rsidP="0068449A">
      <w:pPr>
        <w:spacing w:after="0" w:line="360" w:lineRule="auto"/>
        <w:ind w:firstLine="709"/>
        <w:jc w:val="both"/>
        <w:rPr>
          <w:rFonts w:ascii="Times New Roman" w:hAnsi="Times New Roman"/>
          <w:sz w:val="28"/>
          <w:szCs w:val="28"/>
        </w:rPr>
      </w:pPr>
      <w:r>
        <w:rPr>
          <w:rFonts w:ascii="Times New Roman" w:hAnsi="Times New Roman"/>
          <w:sz w:val="28"/>
          <w:szCs w:val="28"/>
        </w:rPr>
        <w:br/>
        <w:t xml:space="preserve"> </w:t>
      </w:r>
    </w:p>
    <w:p w:rsidR="00335B11" w:rsidRDefault="00335B11" w:rsidP="0068449A">
      <w:pPr>
        <w:spacing w:after="0" w:line="360" w:lineRule="auto"/>
        <w:ind w:firstLine="709"/>
        <w:jc w:val="both"/>
        <w:rPr>
          <w:rFonts w:ascii="Times New Roman" w:hAnsi="Times New Roman"/>
          <w:sz w:val="28"/>
          <w:szCs w:val="28"/>
        </w:rPr>
      </w:pPr>
    </w:p>
    <w:p w:rsidR="00366555" w:rsidRDefault="00366555" w:rsidP="00366555">
      <w:pPr>
        <w:tabs>
          <w:tab w:val="left" w:pos="3119"/>
        </w:tabs>
        <w:spacing w:after="0" w:line="360" w:lineRule="auto"/>
        <w:ind w:firstLine="709"/>
        <w:jc w:val="both"/>
        <w:rPr>
          <w:rFonts w:ascii="Times New Roman" w:hAnsi="Times New Roman"/>
          <w:sz w:val="28"/>
          <w:szCs w:val="28"/>
        </w:rPr>
      </w:pPr>
    </w:p>
    <w:p w:rsidR="00366555" w:rsidRDefault="00366555" w:rsidP="00366555">
      <w:pPr>
        <w:tabs>
          <w:tab w:val="left" w:pos="3119"/>
        </w:tabs>
        <w:spacing w:after="0" w:line="360" w:lineRule="auto"/>
        <w:ind w:firstLine="709"/>
        <w:jc w:val="both"/>
        <w:rPr>
          <w:rFonts w:ascii="Times New Roman" w:hAnsi="Times New Roman"/>
          <w:sz w:val="28"/>
          <w:szCs w:val="28"/>
        </w:rPr>
      </w:pPr>
    </w:p>
    <w:p w:rsidR="00AF62E0" w:rsidRPr="00D05EFD" w:rsidRDefault="00AF62E0" w:rsidP="00AF62E0">
      <w:pPr>
        <w:spacing w:line="360" w:lineRule="auto"/>
        <w:ind w:firstLine="709"/>
        <w:jc w:val="both"/>
        <w:rPr>
          <w:rFonts w:ascii="Times New Roman" w:hAnsi="Times New Roman"/>
          <w:sz w:val="28"/>
          <w:szCs w:val="28"/>
        </w:rPr>
      </w:pPr>
    </w:p>
    <w:p w:rsidR="002A2DE3" w:rsidRDefault="002A2DE3" w:rsidP="002A2DE3">
      <w:pPr>
        <w:spacing w:line="360" w:lineRule="auto"/>
        <w:ind w:firstLine="709"/>
        <w:jc w:val="both"/>
        <w:rPr>
          <w:rFonts w:ascii="Times New Roman" w:hAnsi="Times New Roman"/>
          <w:sz w:val="28"/>
          <w:szCs w:val="28"/>
        </w:rPr>
      </w:pPr>
    </w:p>
    <w:p w:rsidR="00197A80" w:rsidRDefault="00197A80" w:rsidP="00197A80">
      <w:pPr>
        <w:spacing w:after="0" w:line="360" w:lineRule="auto"/>
        <w:jc w:val="center"/>
        <w:rPr>
          <w:rFonts w:ascii="Times New Roman" w:hAnsi="Times New Roman" w:cs="Times New Roman"/>
          <w:sz w:val="28"/>
          <w:szCs w:val="28"/>
        </w:rPr>
      </w:pPr>
      <w:r w:rsidRPr="00ED1F54">
        <w:rPr>
          <w:rFonts w:ascii="Times New Roman" w:hAnsi="Times New Roman" w:cs="Times New Roman"/>
          <w:sz w:val="28"/>
          <w:szCs w:val="28"/>
        </w:rPr>
        <w:lastRenderedPageBreak/>
        <w:t>Список литературы</w:t>
      </w:r>
    </w:p>
    <w:p w:rsidR="00197A80" w:rsidRDefault="00197A80" w:rsidP="00197A80">
      <w:pPr>
        <w:pStyle w:val="Default"/>
        <w:spacing w:line="360" w:lineRule="auto"/>
        <w:jc w:val="both"/>
      </w:pPr>
    </w:p>
    <w:p w:rsidR="00197A80" w:rsidRPr="001F5D02" w:rsidRDefault="00197A80" w:rsidP="00197A80">
      <w:pPr>
        <w:pStyle w:val="Default"/>
        <w:numPr>
          <w:ilvl w:val="0"/>
          <w:numId w:val="14"/>
        </w:numPr>
        <w:spacing w:line="360" w:lineRule="auto"/>
        <w:jc w:val="both"/>
        <w:rPr>
          <w:sz w:val="28"/>
          <w:szCs w:val="28"/>
        </w:rPr>
      </w:pPr>
      <w:proofErr w:type="spellStart"/>
      <w:r w:rsidRPr="001F5D02">
        <w:rPr>
          <w:sz w:val="28"/>
          <w:szCs w:val="28"/>
        </w:rPr>
        <w:t>Аистова</w:t>
      </w:r>
      <w:proofErr w:type="spellEnd"/>
      <w:r w:rsidRPr="001F5D02">
        <w:rPr>
          <w:sz w:val="28"/>
          <w:szCs w:val="28"/>
        </w:rPr>
        <w:t xml:space="preserve"> М.Д. Реструктуризация предприятий: вопросы управления, стратегии. – М.: </w:t>
      </w:r>
      <w:proofErr w:type="spellStart"/>
      <w:r w:rsidRPr="001F5D02">
        <w:rPr>
          <w:sz w:val="28"/>
          <w:szCs w:val="28"/>
        </w:rPr>
        <w:t>Альпина</w:t>
      </w:r>
      <w:proofErr w:type="spellEnd"/>
      <w:r w:rsidRPr="001F5D02">
        <w:rPr>
          <w:sz w:val="28"/>
          <w:szCs w:val="28"/>
        </w:rPr>
        <w:t>, 2002.</w:t>
      </w:r>
    </w:p>
    <w:p w:rsidR="00197A80" w:rsidRPr="001F5D02" w:rsidRDefault="00197A80" w:rsidP="00197A80">
      <w:pPr>
        <w:pStyle w:val="22"/>
        <w:numPr>
          <w:ilvl w:val="0"/>
          <w:numId w:val="14"/>
        </w:numPr>
        <w:shd w:val="clear" w:color="auto" w:fill="FFFFFF"/>
        <w:spacing w:after="0" w:line="360" w:lineRule="auto"/>
        <w:jc w:val="both"/>
        <w:rPr>
          <w:rFonts w:ascii="Times New Roman" w:hAnsi="Times New Roman"/>
          <w:sz w:val="28"/>
          <w:szCs w:val="28"/>
        </w:rPr>
      </w:pPr>
      <w:r w:rsidRPr="001F5D02">
        <w:rPr>
          <w:rFonts w:ascii="Times New Roman" w:hAnsi="Times New Roman"/>
          <w:sz w:val="28"/>
          <w:szCs w:val="28"/>
        </w:rPr>
        <w:t xml:space="preserve">Андреева Т. Организационные аспекты слияний и поглощений: западный опыт и российские реалии. </w:t>
      </w:r>
      <w:r w:rsidRPr="001F5D02">
        <w:rPr>
          <w:rFonts w:ascii="Times New Roman" w:hAnsi="Times New Roman"/>
          <w:color w:val="000000"/>
          <w:spacing w:val="-2"/>
          <w:sz w:val="28"/>
          <w:szCs w:val="28"/>
        </w:rPr>
        <w:t>— М.</w:t>
      </w:r>
      <w:proofErr w:type="gramStart"/>
      <w:r w:rsidRPr="001F5D02">
        <w:rPr>
          <w:rFonts w:ascii="Times New Roman" w:hAnsi="Times New Roman"/>
          <w:color w:val="000000"/>
          <w:spacing w:val="-2"/>
          <w:sz w:val="28"/>
          <w:szCs w:val="28"/>
        </w:rPr>
        <w:t xml:space="preserve"> :</w:t>
      </w:r>
      <w:proofErr w:type="gramEnd"/>
      <w:r w:rsidRPr="001F5D02">
        <w:rPr>
          <w:rFonts w:ascii="Times New Roman" w:hAnsi="Times New Roman"/>
          <w:color w:val="000000"/>
          <w:spacing w:val="-2"/>
          <w:sz w:val="28"/>
          <w:szCs w:val="28"/>
        </w:rPr>
        <w:t xml:space="preserve"> </w:t>
      </w:r>
      <w:proofErr w:type="spellStart"/>
      <w:r w:rsidRPr="001F5D02">
        <w:rPr>
          <w:rFonts w:ascii="Times New Roman" w:hAnsi="Times New Roman"/>
          <w:color w:val="000000"/>
          <w:spacing w:val="-2"/>
          <w:sz w:val="28"/>
          <w:szCs w:val="28"/>
        </w:rPr>
        <w:t>Альпина</w:t>
      </w:r>
      <w:proofErr w:type="spellEnd"/>
      <w:r w:rsidRPr="001F5D02">
        <w:rPr>
          <w:rFonts w:ascii="Times New Roman" w:hAnsi="Times New Roman"/>
          <w:color w:val="000000"/>
          <w:spacing w:val="-2"/>
          <w:sz w:val="28"/>
          <w:szCs w:val="28"/>
        </w:rPr>
        <w:t>, 2002. – 350 с.</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Аникина И.Д. Анализ факторов, определяющих активность российского рынка слияний и поглощений // Финансовая аналитика: проблемы и решения. 2008. №8. С.64-70. </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Владимирова И.Г. Слияния и поглощения компаний // Менеджмент в России и за рубежом. – 1999, №1.</w:t>
      </w:r>
    </w:p>
    <w:p w:rsidR="00197A80" w:rsidRPr="001F5D02" w:rsidRDefault="00197A80" w:rsidP="00197A80">
      <w:pPr>
        <w:pStyle w:val="af"/>
        <w:numPr>
          <w:ilvl w:val="0"/>
          <w:numId w:val="14"/>
        </w:numPr>
        <w:spacing w:after="0" w:line="360" w:lineRule="auto"/>
        <w:jc w:val="both"/>
        <w:rPr>
          <w:rFonts w:ascii="Times New Roman" w:hAnsi="Times New Roman"/>
          <w:sz w:val="28"/>
          <w:szCs w:val="28"/>
        </w:rPr>
      </w:pPr>
      <w:proofErr w:type="spellStart"/>
      <w:r w:rsidRPr="001F5D02">
        <w:rPr>
          <w:rFonts w:ascii="Times New Roman" w:hAnsi="Times New Roman"/>
          <w:sz w:val="28"/>
          <w:szCs w:val="28"/>
        </w:rPr>
        <w:t>Галпин</w:t>
      </w:r>
      <w:proofErr w:type="spellEnd"/>
      <w:r w:rsidRPr="001F5D02">
        <w:rPr>
          <w:rFonts w:ascii="Times New Roman" w:hAnsi="Times New Roman"/>
          <w:sz w:val="28"/>
          <w:szCs w:val="28"/>
        </w:rPr>
        <w:t xml:space="preserve"> Т. Дж., </w:t>
      </w:r>
      <w:proofErr w:type="spellStart"/>
      <w:r w:rsidRPr="001F5D02">
        <w:rPr>
          <w:rFonts w:ascii="Times New Roman" w:hAnsi="Times New Roman"/>
          <w:sz w:val="28"/>
          <w:szCs w:val="28"/>
        </w:rPr>
        <w:t>Хэндон</w:t>
      </w:r>
      <w:proofErr w:type="spellEnd"/>
      <w:r w:rsidRPr="001F5D02">
        <w:rPr>
          <w:rFonts w:ascii="Times New Roman" w:hAnsi="Times New Roman"/>
          <w:sz w:val="28"/>
          <w:szCs w:val="28"/>
        </w:rPr>
        <w:t xml:space="preserve"> М. - Полное руководство по слияниям и поглощениям компаний. М.: Вильямс, 2005, 240 стр.</w:t>
      </w:r>
    </w:p>
    <w:p w:rsidR="00197A80" w:rsidRPr="001F5D02" w:rsidRDefault="00197A80" w:rsidP="00197A80">
      <w:pPr>
        <w:pStyle w:val="af"/>
        <w:numPr>
          <w:ilvl w:val="0"/>
          <w:numId w:val="14"/>
        </w:numPr>
        <w:spacing w:after="0" w:line="360" w:lineRule="auto"/>
        <w:jc w:val="both"/>
        <w:rPr>
          <w:rFonts w:ascii="Times New Roman" w:hAnsi="Times New Roman"/>
          <w:sz w:val="28"/>
          <w:szCs w:val="28"/>
        </w:rPr>
      </w:pPr>
      <w:proofErr w:type="spellStart"/>
      <w:r w:rsidRPr="001F5D02">
        <w:rPr>
          <w:rFonts w:ascii="Times New Roman" w:hAnsi="Times New Roman"/>
          <w:sz w:val="28"/>
          <w:szCs w:val="28"/>
        </w:rPr>
        <w:t>Гвардин</w:t>
      </w:r>
      <w:proofErr w:type="spellEnd"/>
      <w:r w:rsidRPr="001F5D02">
        <w:rPr>
          <w:rFonts w:ascii="Times New Roman" w:hAnsi="Times New Roman"/>
          <w:sz w:val="28"/>
          <w:szCs w:val="28"/>
        </w:rPr>
        <w:t xml:space="preserve"> С.В., </w:t>
      </w:r>
      <w:proofErr w:type="spellStart"/>
      <w:r w:rsidRPr="001F5D02">
        <w:rPr>
          <w:rFonts w:ascii="Times New Roman" w:hAnsi="Times New Roman"/>
          <w:sz w:val="28"/>
          <w:szCs w:val="28"/>
        </w:rPr>
        <w:t>Чекун</w:t>
      </w:r>
      <w:proofErr w:type="spellEnd"/>
      <w:r w:rsidRPr="001F5D02">
        <w:rPr>
          <w:rFonts w:ascii="Times New Roman" w:hAnsi="Times New Roman"/>
          <w:sz w:val="28"/>
          <w:szCs w:val="28"/>
        </w:rPr>
        <w:t xml:space="preserve"> И.Н.  - Финансирование слияний и поглощений в России. М.: 2009, 200стр.</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Грязнова А.Г. Оценка бизнеса. – М.: Финансы и статистика, 2007.</w:t>
      </w:r>
    </w:p>
    <w:p w:rsidR="00197A80" w:rsidRPr="001F5D02" w:rsidRDefault="00197A80" w:rsidP="00197A80">
      <w:pPr>
        <w:pStyle w:val="Default"/>
        <w:numPr>
          <w:ilvl w:val="0"/>
          <w:numId w:val="14"/>
        </w:numPr>
        <w:spacing w:line="360" w:lineRule="auto"/>
        <w:jc w:val="both"/>
        <w:rPr>
          <w:sz w:val="28"/>
          <w:szCs w:val="28"/>
        </w:rPr>
      </w:pPr>
      <w:proofErr w:type="spellStart"/>
      <w:r w:rsidRPr="001F5D02">
        <w:rPr>
          <w:sz w:val="28"/>
          <w:szCs w:val="28"/>
        </w:rPr>
        <w:t>Дамодаран</w:t>
      </w:r>
      <w:proofErr w:type="spellEnd"/>
      <w:r w:rsidRPr="001F5D02">
        <w:rPr>
          <w:sz w:val="28"/>
          <w:szCs w:val="28"/>
        </w:rPr>
        <w:t xml:space="preserve"> А. Инвестиционная оценка. М.: 2006, 1323 стр.</w:t>
      </w:r>
    </w:p>
    <w:p w:rsidR="00197A80" w:rsidRPr="001F5D02" w:rsidRDefault="00197A80" w:rsidP="00197A80">
      <w:pPr>
        <w:pStyle w:val="22"/>
        <w:numPr>
          <w:ilvl w:val="0"/>
          <w:numId w:val="14"/>
        </w:numPr>
        <w:shd w:val="clear" w:color="auto" w:fill="FFFFFF"/>
        <w:spacing w:after="0" w:line="360" w:lineRule="auto"/>
        <w:jc w:val="both"/>
        <w:rPr>
          <w:rFonts w:ascii="Times New Roman" w:hAnsi="Times New Roman"/>
          <w:sz w:val="28"/>
          <w:szCs w:val="28"/>
        </w:rPr>
      </w:pPr>
      <w:proofErr w:type="spellStart"/>
      <w:r w:rsidRPr="001F5D02">
        <w:rPr>
          <w:rFonts w:ascii="Times New Roman" w:hAnsi="Times New Roman"/>
          <w:sz w:val="28"/>
          <w:szCs w:val="28"/>
        </w:rPr>
        <w:t>Ендовицкий</w:t>
      </w:r>
      <w:proofErr w:type="spellEnd"/>
      <w:r w:rsidRPr="001F5D02">
        <w:rPr>
          <w:rFonts w:ascii="Times New Roman" w:hAnsi="Times New Roman"/>
          <w:sz w:val="28"/>
          <w:szCs w:val="28"/>
        </w:rPr>
        <w:t xml:space="preserve"> Д.А., Соболева В.Е. </w:t>
      </w:r>
      <w:r w:rsidRPr="001F5D02">
        <w:rPr>
          <w:rFonts w:ascii="Times New Roman" w:hAnsi="Times New Roman"/>
          <w:color w:val="000000"/>
          <w:sz w:val="28"/>
          <w:szCs w:val="28"/>
        </w:rPr>
        <w:t xml:space="preserve">Экономический анализ слияний/поглощений компаний: научное </w:t>
      </w:r>
      <w:r w:rsidRPr="001F5D02">
        <w:rPr>
          <w:rFonts w:ascii="Times New Roman" w:hAnsi="Times New Roman"/>
          <w:color w:val="000000"/>
          <w:spacing w:val="-2"/>
          <w:sz w:val="28"/>
          <w:szCs w:val="28"/>
        </w:rPr>
        <w:t>издание. — М.</w:t>
      </w:r>
      <w:proofErr w:type="gramStart"/>
      <w:r w:rsidRPr="001F5D02">
        <w:rPr>
          <w:rFonts w:ascii="Times New Roman" w:hAnsi="Times New Roman"/>
          <w:color w:val="000000"/>
          <w:spacing w:val="-2"/>
          <w:sz w:val="28"/>
          <w:szCs w:val="28"/>
        </w:rPr>
        <w:t xml:space="preserve"> :</w:t>
      </w:r>
      <w:proofErr w:type="gramEnd"/>
      <w:r w:rsidRPr="001F5D02">
        <w:rPr>
          <w:rFonts w:ascii="Times New Roman" w:hAnsi="Times New Roman"/>
          <w:color w:val="000000"/>
          <w:spacing w:val="-2"/>
          <w:sz w:val="28"/>
          <w:szCs w:val="28"/>
        </w:rPr>
        <w:t xml:space="preserve"> КНОРУС, 2008. — </w:t>
      </w:r>
      <w:r w:rsidRPr="001F5D02">
        <w:rPr>
          <w:rFonts w:ascii="Times New Roman" w:hAnsi="Times New Roman"/>
          <w:color w:val="000000"/>
          <w:spacing w:val="-5"/>
          <w:sz w:val="28"/>
          <w:szCs w:val="28"/>
        </w:rPr>
        <w:t>448 с.</w:t>
      </w:r>
    </w:p>
    <w:p w:rsidR="00197A80" w:rsidRPr="001F5D02" w:rsidRDefault="00197A80" w:rsidP="00197A80">
      <w:pPr>
        <w:pStyle w:val="Default"/>
        <w:numPr>
          <w:ilvl w:val="0"/>
          <w:numId w:val="14"/>
        </w:numPr>
        <w:spacing w:line="360" w:lineRule="auto"/>
        <w:jc w:val="both"/>
        <w:rPr>
          <w:sz w:val="28"/>
          <w:szCs w:val="28"/>
        </w:rPr>
      </w:pPr>
      <w:r>
        <w:rPr>
          <w:sz w:val="28"/>
          <w:szCs w:val="28"/>
        </w:rPr>
        <w:t xml:space="preserve"> </w:t>
      </w:r>
      <w:r w:rsidRPr="001F5D02">
        <w:rPr>
          <w:sz w:val="28"/>
          <w:szCs w:val="28"/>
        </w:rPr>
        <w:t xml:space="preserve">Есипов В., </w:t>
      </w:r>
      <w:proofErr w:type="spellStart"/>
      <w:r w:rsidRPr="001F5D02">
        <w:rPr>
          <w:sz w:val="28"/>
          <w:szCs w:val="28"/>
        </w:rPr>
        <w:t>Маховикова</w:t>
      </w:r>
      <w:proofErr w:type="spellEnd"/>
      <w:r w:rsidRPr="001F5D02">
        <w:rPr>
          <w:sz w:val="28"/>
          <w:szCs w:val="28"/>
        </w:rPr>
        <w:t xml:space="preserve"> Г. Оценка бизнеса. – СПб</w:t>
      </w:r>
      <w:proofErr w:type="gramStart"/>
      <w:r w:rsidRPr="001F5D02">
        <w:rPr>
          <w:sz w:val="28"/>
          <w:szCs w:val="28"/>
        </w:rPr>
        <w:t xml:space="preserve">.: </w:t>
      </w:r>
      <w:proofErr w:type="gramEnd"/>
      <w:r w:rsidRPr="001F5D02">
        <w:rPr>
          <w:sz w:val="28"/>
          <w:szCs w:val="28"/>
        </w:rPr>
        <w:t>Питер, 2010.</w:t>
      </w:r>
    </w:p>
    <w:p w:rsidR="00197A80" w:rsidRPr="001F5D02" w:rsidRDefault="00197A80" w:rsidP="00197A80">
      <w:pPr>
        <w:pStyle w:val="Default"/>
        <w:numPr>
          <w:ilvl w:val="0"/>
          <w:numId w:val="14"/>
        </w:numPr>
        <w:spacing w:line="360" w:lineRule="auto"/>
        <w:jc w:val="both"/>
        <w:rPr>
          <w:sz w:val="28"/>
          <w:szCs w:val="28"/>
        </w:rPr>
      </w:pPr>
      <w:r>
        <w:rPr>
          <w:sz w:val="28"/>
          <w:szCs w:val="28"/>
        </w:rPr>
        <w:t xml:space="preserve"> </w:t>
      </w:r>
      <w:r w:rsidRPr="001F5D02">
        <w:rPr>
          <w:sz w:val="28"/>
          <w:szCs w:val="28"/>
        </w:rPr>
        <w:t xml:space="preserve">Иванов Ю. Слияния, поглощения и разделение компаний. – М.: </w:t>
      </w:r>
      <w:proofErr w:type="spellStart"/>
      <w:r w:rsidRPr="001F5D02">
        <w:rPr>
          <w:sz w:val="28"/>
          <w:szCs w:val="28"/>
        </w:rPr>
        <w:t>Альпина</w:t>
      </w:r>
      <w:proofErr w:type="spellEnd"/>
      <w:r w:rsidRPr="001F5D02">
        <w:rPr>
          <w:sz w:val="28"/>
          <w:szCs w:val="28"/>
        </w:rPr>
        <w:t>, 2001.</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Ивашковская</w:t>
      </w:r>
      <w:proofErr w:type="spellEnd"/>
      <w:r w:rsidRPr="001F5D02">
        <w:rPr>
          <w:sz w:val="28"/>
          <w:szCs w:val="28"/>
        </w:rPr>
        <w:t xml:space="preserve"> И.В. Слияния и поглощения: ловушка роста // Управление компанией. 2004. № 7</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Ивашковская</w:t>
      </w:r>
      <w:proofErr w:type="spellEnd"/>
      <w:r w:rsidRPr="001F5D02">
        <w:rPr>
          <w:sz w:val="28"/>
          <w:szCs w:val="28"/>
        </w:rPr>
        <w:t xml:space="preserve"> И.В. Управляемая стоимость // Секрет фирмы. 2003. №4 </w:t>
      </w:r>
    </w:p>
    <w:p w:rsidR="00197A80" w:rsidRPr="00AC2E62" w:rsidRDefault="00197A80" w:rsidP="00197A80">
      <w:pPr>
        <w:pStyle w:val="Default"/>
        <w:numPr>
          <w:ilvl w:val="0"/>
          <w:numId w:val="14"/>
        </w:numPr>
        <w:spacing w:line="360" w:lineRule="auto"/>
        <w:jc w:val="both"/>
        <w:rPr>
          <w:sz w:val="28"/>
          <w:szCs w:val="28"/>
        </w:rPr>
      </w:pPr>
      <w:r w:rsidRPr="001F5D02">
        <w:rPr>
          <w:rFonts w:eastAsia="TimesNewRomanPSMT"/>
          <w:sz w:val="28"/>
          <w:szCs w:val="28"/>
        </w:rPr>
        <w:t xml:space="preserve"> </w:t>
      </w:r>
      <w:proofErr w:type="spellStart"/>
      <w:r w:rsidRPr="001F5D02">
        <w:rPr>
          <w:rFonts w:eastAsia="TimesNewRomanPSMT"/>
          <w:sz w:val="28"/>
          <w:szCs w:val="28"/>
        </w:rPr>
        <w:t>Игнатишин</w:t>
      </w:r>
      <w:proofErr w:type="spellEnd"/>
      <w:r w:rsidRPr="001F5D02">
        <w:rPr>
          <w:rFonts w:eastAsia="TimesNewRomanPSMT"/>
          <w:sz w:val="28"/>
          <w:szCs w:val="28"/>
        </w:rPr>
        <w:t xml:space="preserve"> Ю.В. Слияния и поглощения: стратегия, </w:t>
      </w:r>
      <w:proofErr w:type="spellStart"/>
      <w:r w:rsidRPr="001F5D02">
        <w:rPr>
          <w:rFonts w:eastAsia="TimesNewRomanPSMT"/>
          <w:sz w:val="28"/>
          <w:szCs w:val="28"/>
        </w:rPr>
        <w:t>тактика</w:t>
      </w:r>
      <w:proofErr w:type="gramStart"/>
      <w:r w:rsidRPr="001F5D02">
        <w:rPr>
          <w:rFonts w:eastAsia="TimesNewRomanPSMT"/>
          <w:sz w:val="28"/>
          <w:szCs w:val="28"/>
        </w:rPr>
        <w:t>,ф</w:t>
      </w:r>
      <w:proofErr w:type="gramEnd"/>
      <w:r w:rsidRPr="001F5D02">
        <w:rPr>
          <w:rFonts w:eastAsia="TimesNewRomanPSMT"/>
          <w:sz w:val="28"/>
          <w:szCs w:val="28"/>
        </w:rPr>
        <w:t>инансы</w:t>
      </w:r>
      <w:proofErr w:type="spellEnd"/>
      <w:r w:rsidRPr="001F5D02">
        <w:rPr>
          <w:rFonts w:eastAsia="TimesNewRomanPSMT"/>
          <w:sz w:val="28"/>
          <w:szCs w:val="28"/>
        </w:rPr>
        <w:t xml:space="preserve">. — </w:t>
      </w:r>
      <w:proofErr w:type="spellStart"/>
      <w:r w:rsidRPr="001F5D02">
        <w:rPr>
          <w:rFonts w:eastAsia="TimesNewRomanPSMT"/>
          <w:sz w:val="28"/>
          <w:szCs w:val="28"/>
        </w:rPr>
        <w:t>СПб.</w:t>
      </w:r>
      <w:proofErr w:type="gramStart"/>
      <w:r w:rsidRPr="001F5D02">
        <w:rPr>
          <w:rFonts w:eastAsia="TimesNewRomanPSMT"/>
          <w:sz w:val="28"/>
          <w:szCs w:val="28"/>
        </w:rPr>
        <w:t>:П</w:t>
      </w:r>
      <w:proofErr w:type="gramEnd"/>
      <w:r w:rsidRPr="001F5D02">
        <w:rPr>
          <w:rFonts w:eastAsia="TimesNewRomanPSMT"/>
          <w:sz w:val="28"/>
          <w:szCs w:val="28"/>
        </w:rPr>
        <w:t>итер</w:t>
      </w:r>
      <w:proofErr w:type="spellEnd"/>
      <w:r w:rsidRPr="001F5D02">
        <w:rPr>
          <w:rFonts w:eastAsia="TimesNewRomanPSMT"/>
          <w:sz w:val="28"/>
          <w:szCs w:val="28"/>
        </w:rPr>
        <w:t>, 2005.</w:t>
      </w:r>
    </w:p>
    <w:p w:rsidR="00197A80" w:rsidRPr="001F5D02" w:rsidRDefault="00197A80" w:rsidP="00197A80">
      <w:pPr>
        <w:pStyle w:val="Default"/>
        <w:numPr>
          <w:ilvl w:val="0"/>
          <w:numId w:val="14"/>
        </w:numPr>
        <w:spacing w:line="360" w:lineRule="auto"/>
        <w:jc w:val="both"/>
        <w:rPr>
          <w:sz w:val="28"/>
          <w:szCs w:val="28"/>
        </w:rPr>
      </w:pPr>
      <w:r>
        <w:rPr>
          <w:rFonts w:eastAsia="TimesNewRomanPSMT"/>
          <w:sz w:val="28"/>
          <w:szCs w:val="28"/>
        </w:rPr>
        <w:lastRenderedPageBreak/>
        <w:t xml:space="preserve"> Исследование агентства </w:t>
      </w:r>
      <w:r>
        <w:rPr>
          <w:rFonts w:eastAsia="TimesNewRomanPSMT"/>
          <w:sz w:val="28"/>
          <w:szCs w:val="28"/>
          <w:lang w:val="en-US"/>
        </w:rPr>
        <w:t>Mergers</w:t>
      </w:r>
      <w:r w:rsidRPr="00AC2E62">
        <w:rPr>
          <w:rFonts w:eastAsia="TimesNewRomanPSMT"/>
          <w:sz w:val="28"/>
          <w:szCs w:val="28"/>
        </w:rPr>
        <w:t>.</w:t>
      </w:r>
      <w:proofErr w:type="spellStart"/>
      <w:r>
        <w:rPr>
          <w:rFonts w:eastAsia="TimesNewRomanPSMT"/>
          <w:sz w:val="28"/>
          <w:szCs w:val="28"/>
          <w:lang w:val="en-US"/>
        </w:rPr>
        <w:t>ru</w:t>
      </w:r>
      <w:proofErr w:type="spellEnd"/>
      <w:r>
        <w:rPr>
          <w:rFonts w:eastAsia="TimesNewRomanPSMT"/>
          <w:sz w:val="28"/>
          <w:szCs w:val="28"/>
        </w:rPr>
        <w:t xml:space="preserve"> – «Слияния и поглощения в России: январь-декабрь 2012»</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Калинин Д., Новые методы оценки стоимости компаний // Рынок ценных бумаг, 2000, №8.</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Кемпбелл</w:t>
      </w:r>
      <w:proofErr w:type="spellEnd"/>
      <w:r w:rsidRPr="001F5D02">
        <w:rPr>
          <w:sz w:val="28"/>
          <w:szCs w:val="28"/>
        </w:rPr>
        <w:t xml:space="preserve"> Э., Саммерс К. Стратегический синергизм. – СПб</w:t>
      </w:r>
      <w:proofErr w:type="gramStart"/>
      <w:r w:rsidRPr="001F5D02">
        <w:rPr>
          <w:sz w:val="28"/>
          <w:szCs w:val="28"/>
        </w:rPr>
        <w:t xml:space="preserve">.: </w:t>
      </w:r>
      <w:proofErr w:type="gramEnd"/>
      <w:r w:rsidRPr="001F5D02">
        <w:rPr>
          <w:sz w:val="28"/>
          <w:szCs w:val="28"/>
        </w:rPr>
        <w:t>Питер, 2004. – 416 стр.</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Ляпина</w:t>
      </w:r>
      <w:proofErr w:type="spellEnd"/>
      <w:r w:rsidRPr="001F5D02">
        <w:rPr>
          <w:sz w:val="28"/>
          <w:szCs w:val="28"/>
        </w:rPr>
        <w:t xml:space="preserve"> С. Слияния и поглощения – признак развитой рыночной экономики//Рынок ценных бумаг. – 2004. - №1.   </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М&amp;А </w:t>
      </w:r>
      <w:r w:rsidRPr="001F5D02">
        <w:rPr>
          <w:sz w:val="28"/>
          <w:szCs w:val="28"/>
          <w:lang w:val="en-US"/>
        </w:rPr>
        <w:t>Agency</w:t>
      </w:r>
      <w:r w:rsidRPr="001F5D02">
        <w:rPr>
          <w:sz w:val="28"/>
          <w:szCs w:val="28"/>
        </w:rPr>
        <w:t xml:space="preserve"> – </w:t>
      </w:r>
      <w:hyperlink r:id="rId20" w:history="1">
        <w:r w:rsidRPr="001F5D02">
          <w:rPr>
            <w:rStyle w:val="a7"/>
            <w:sz w:val="28"/>
            <w:szCs w:val="28"/>
            <w:lang w:val="en-US"/>
          </w:rPr>
          <w:t>http</w:t>
        </w:r>
        <w:r w:rsidRPr="001F5D02">
          <w:rPr>
            <w:rStyle w:val="a7"/>
            <w:sz w:val="28"/>
            <w:szCs w:val="28"/>
          </w:rPr>
          <w:t>://</w:t>
        </w:r>
        <w:r w:rsidRPr="001F5D02">
          <w:rPr>
            <w:rStyle w:val="a7"/>
            <w:sz w:val="28"/>
            <w:szCs w:val="28"/>
            <w:lang w:val="en-US"/>
          </w:rPr>
          <w:t>www</w:t>
        </w:r>
        <w:r w:rsidRPr="001F5D02">
          <w:rPr>
            <w:rStyle w:val="a7"/>
            <w:sz w:val="28"/>
            <w:szCs w:val="28"/>
          </w:rPr>
          <w:t>.</w:t>
        </w:r>
        <w:r w:rsidRPr="001F5D02">
          <w:rPr>
            <w:rStyle w:val="a7"/>
            <w:sz w:val="28"/>
            <w:szCs w:val="28"/>
            <w:lang w:val="en-US"/>
          </w:rPr>
          <w:t>mergers</w:t>
        </w:r>
        <w:r w:rsidRPr="001F5D02">
          <w:rPr>
            <w:rStyle w:val="a7"/>
            <w:sz w:val="28"/>
            <w:szCs w:val="28"/>
          </w:rPr>
          <w:t>.</w:t>
        </w:r>
        <w:proofErr w:type="spellStart"/>
        <w:r w:rsidRPr="001F5D02">
          <w:rPr>
            <w:rStyle w:val="a7"/>
            <w:sz w:val="28"/>
            <w:szCs w:val="28"/>
            <w:lang w:val="en-US"/>
          </w:rPr>
          <w:t>ru</w:t>
        </w:r>
        <w:proofErr w:type="spellEnd"/>
      </w:hyperlink>
      <w:r w:rsidRPr="001F5D02">
        <w:rPr>
          <w:sz w:val="28"/>
          <w:szCs w:val="28"/>
        </w:rPr>
        <w:t>, данные по сделкам</w:t>
      </w:r>
    </w:p>
    <w:p w:rsidR="00197A80" w:rsidRPr="00AC2E62" w:rsidRDefault="00197A80" w:rsidP="00197A80">
      <w:pPr>
        <w:pStyle w:val="Default"/>
        <w:numPr>
          <w:ilvl w:val="0"/>
          <w:numId w:val="14"/>
        </w:numPr>
        <w:spacing w:line="360" w:lineRule="auto"/>
        <w:jc w:val="both"/>
        <w:rPr>
          <w:sz w:val="28"/>
          <w:szCs w:val="28"/>
        </w:rPr>
      </w:pPr>
      <w:r>
        <w:rPr>
          <w:sz w:val="28"/>
          <w:szCs w:val="28"/>
        </w:rPr>
        <w:t xml:space="preserve"> </w:t>
      </w:r>
      <w:proofErr w:type="spellStart"/>
      <w:r w:rsidRPr="001F5D02">
        <w:rPr>
          <w:sz w:val="28"/>
          <w:szCs w:val="28"/>
        </w:rPr>
        <w:t>Молотников</w:t>
      </w:r>
      <w:proofErr w:type="spellEnd"/>
      <w:r w:rsidRPr="001F5D02">
        <w:rPr>
          <w:sz w:val="28"/>
          <w:szCs w:val="28"/>
        </w:rPr>
        <w:t xml:space="preserve"> А., Слияния и поглощения. Российский опыт. М.: Вершина, 2007, 344 стр</w:t>
      </w:r>
      <w:r w:rsidRPr="00AC2E62">
        <w:rPr>
          <w:sz w:val="28"/>
          <w:szCs w:val="28"/>
        </w:rPr>
        <w:t>.</w:t>
      </w:r>
    </w:p>
    <w:p w:rsidR="00197A80" w:rsidRDefault="00197A80" w:rsidP="00197A80">
      <w:pPr>
        <w:pStyle w:val="Default"/>
        <w:numPr>
          <w:ilvl w:val="0"/>
          <w:numId w:val="14"/>
        </w:numPr>
        <w:spacing w:line="360" w:lineRule="auto"/>
        <w:jc w:val="both"/>
        <w:rPr>
          <w:sz w:val="28"/>
          <w:szCs w:val="28"/>
        </w:rPr>
      </w:pPr>
      <w:r w:rsidRPr="00AC2E62">
        <w:rPr>
          <w:sz w:val="28"/>
          <w:szCs w:val="28"/>
        </w:rPr>
        <w:t xml:space="preserve"> </w:t>
      </w:r>
      <w:r>
        <w:rPr>
          <w:sz w:val="28"/>
          <w:szCs w:val="28"/>
        </w:rPr>
        <w:t>Обзор КПМГ – «Рынок слияний и поглощений в 2011 году»</w:t>
      </w:r>
    </w:p>
    <w:p w:rsidR="00197A80" w:rsidRPr="00AC2E62" w:rsidRDefault="00197A80" w:rsidP="00197A80">
      <w:pPr>
        <w:pStyle w:val="Default"/>
        <w:numPr>
          <w:ilvl w:val="0"/>
          <w:numId w:val="14"/>
        </w:numPr>
        <w:spacing w:line="360" w:lineRule="auto"/>
        <w:jc w:val="both"/>
        <w:rPr>
          <w:sz w:val="28"/>
          <w:szCs w:val="28"/>
        </w:rPr>
      </w:pPr>
      <w:r>
        <w:rPr>
          <w:sz w:val="28"/>
          <w:szCs w:val="28"/>
        </w:rPr>
        <w:t xml:space="preserve"> Обзор КПМГ – «Рынок слияний и поглощений в 2012 году»</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Полуэктов А. А. Новые методы оценки компании в сделках слияния и поглощения. – М.: МАКС-Пресс, 2003.</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Полуэктов А. А. Варианты реорганизации акционерных обществ // Управление компанией. 2004. № 7</w:t>
      </w:r>
    </w:p>
    <w:p w:rsidR="00197A80" w:rsidRPr="001F5D02" w:rsidRDefault="00197A80" w:rsidP="00197A80">
      <w:pPr>
        <w:pStyle w:val="Default"/>
        <w:numPr>
          <w:ilvl w:val="0"/>
          <w:numId w:val="14"/>
        </w:numPr>
        <w:spacing w:line="360" w:lineRule="auto"/>
        <w:jc w:val="both"/>
        <w:rPr>
          <w:sz w:val="28"/>
          <w:szCs w:val="28"/>
        </w:rPr>
      </w:pPr>
      <w:r w:rsidRPr="001F5D02">
        <w:rPr>
          <w:rFonts w:eastAsia="TimesNewRomanPSMT"/>
          <w:sz w:val="28"/>
          <w:szCs w:val="28"/>
        </w:rPr>
        <w:t>Савчук С.В. Анализ основных мотивов слияний и поглощений // Менеджмент в России и за рубежом. —2002, № 5.</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Ткачук А.Ю. Оценка бизнеса как начальный этап в реструктуризации предприятия // Вопросы оценки. 2001. №1</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Феррис</w:t>
      </w:r>
      <w:proofErr w:type="spellEnd"/>
      <w:r w:rsidRPr="001F5D02">
        <w:rPr>
          <w:sz w:val="28"/>
          <w:szCs w:val="28"/>
        </w:rPr>
        <w:t xml:space="preserve"> К., </w:t>
      </w:r>
      <w:proofErr w:type="spellStart"/>
      <w:r w:rsidRPr="001F5D02">
        <w:rPr>
          <w:sz w:val="28"/>
          <w:szCs w:val="28"/>
        </w:rPr>
        <w:t>Пешеро</w:t>
      </w:r>
      <w:proofErr w:type="spellEnd"/>
      <w:r w:rsidRPr="001F5D02">
        <w:rPr>
          <w:sz w:val="28"/>
          <w:szCs w:val="28"/>
        </w:rPr>
        <w:t xml:space="preserve"> Б. Оценка стоимости компании как избежать ошибок при приобретении. – М.: Вильямс, 2003. – 255 стр.</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 xml:space="preserve"> </w:t>
      </w:r>
      <w:proofErr w:type="spellStart"/>
      <w:r w:rsidRPr="001F5D02">
        <w:rPr>
          <w:sz w:val="28"/>
          <w:szCs w:val="28"/>
        </w:rPr>
        <w:t>Шаленкова</w:t>
      </w:r>
      <w:proofErr w:type="spellEnd"/>
      <w:r w:rsidRPr="001F5D02">
        <w:rPr>
          <w:sz w:val="28"/>
          <w:szCs w:val="28"/>
        </w:rPr>
        <w:t xml:space="preserve"> О. Методика количественной оценки синергетического эффекта как ключевого фактора в принятии решения о проведении сделок </w:t>
      </w:r>
      <w:r w:rsidRPr="001F5D02">
        <w:rPr>
          <w:sz w:val="28"/>
          <w:szCs w:val="28"/>
          <w:lang w:val="en-US"/>
        </w:rPr>
        <w:t>M</w:t>
      </w:r>
      <w:r w:rsidRPr="001F5D02">
        <w:rPr>
          <w:sz w:val="28"/>
          <w:szCs w:val="28"/>
        </w:rPr>
        <w:t>&amp;</w:t>
      </w:r>
      <w:r w:rsidRPr="001F5D02">
        <w:rPr>
          <w:sz w:val="28"/>
          <w:szCs w:val="28"/>
          <w:lang w:val="en-US"/>
        </w:rPr>
        <w:t>A</w:t>
      </w:r>
      <w:r w:rsidRPr="001F5D02">
        <w:rPr>
          <w:sz w:val="28"/>
          <w:szCs w:val="28"/>
        </w:rPr>
        <w:t>.// Слияния и поглощения №1-2, 2008.; С.45</w:t>
      </w:r>
    </w:p>
    <w:p w:rsidR="00197A80" w:rsidRPr="001F5D02" w:rsidRDefault="00197A80" w:rsidP="00197A80">
      <w:pPr>
        <w:pStyle w:val="Default"/>
        <w:numPr>
          <w:ilvl w:val="0"/>
          <w:numId w:val="14"/>
        </w:numPr>
        <w:spacing w:line="360" w:lineRule="auto"/>
        <w:jc w:val="both"/>
        <w:rPr>
          <w:sz w:val="28"/>
          <w:szCs w:val="28"/>
        </w:rPr>
      </w:pPr>
      <w:r w:rsidRPr="001F5D02">
        <w:rPr>
          <w:sz w:val="28"/>
          <w:szCs w:val="28"/>
        </w:rPr>
        <w:t>Эванс Ф., Бишоп Д.М. Оценка компаний при слияниях и поглощениях: Создание стоимости в частных компаниях. – М., 2004.</w:t>
      </w:r>
    </w:p>
    <w:p w:rsidR="00197A80" w:rsidRPr="001F5D02" w:rsidRDefault="00197A80" w:rsidP="00197A80">
      <w:pPr>
        <w:pStyle w:val="Default"/>
        <w:numPr>
          <w:ilvl w:val="0"/>
          <w:numId w:val="14"/>
        </w:numPr>
        <w:spacing w:line="360" w:lineRule="auto"/>
        <w:jc w:val="both"/>
        <w:rPr>
          <w:sz w:val="28"/>
          <w:szCs w:val="28"/>
          <w:lang w:val="en-US"/>
        </w:rPr>
      </w:pPr>
      <w:r w:rsidRPr="00197A80">
        <w:rPr>
          <w:sz w:val="28"/>
          <w:szCs w:val="28"/>
        </w:rPr>
        <w:lastRenderedPageBreak/>
        <w:t xml:space="preserve"> </w:t>
      </w:r>
      <w:proofErr w:type="spellStart"/>
      <w:r w:rsidRPr="001F5D02">
        <w:rPr>
          <w:sz w:val="28"/>
          <w:szCs w:val="28"/>
          <w:lang w:val="en-US"/>
        </w:rPr>
        <w:t>Avhachev</w:t>
      </w:r>
      <w:proofErr w:type="spellEnd"/>
      <w:r w:rsidRPr="001F5D02">
        <w:rPr>
          <w:sz w:val="28"/>
          <w:szCs w:val="28"/>
          <w:lang w:val="en-US"/>
        </w:rPr>
        <w:t xml:space="preserve"> U. B. International company mergers and acquisitions: new opportunities for Russian enterprises for integration in global economy.  Moscow: </w:t>
      </w:r>
      <w:proofErr w:type="spellStart"/>
      <w:r w:rsidRPr="001F5D02">
        <w:rPr>
          <w:sz w:val="28"/>
          <w:szCs w:val="28"/>
          <w:lang w:val="en-US"/>
        </w:rPr>
        <w:t>Nauchnaya</w:t>
      </w:r>
      <w:proofErr w:type="spellEnd"/>
      <w:r w:rsidRPr="001F5D02">
        <w:rPr>
          <w:sz w:val="28"/>
          <w:szCs w:val="28"/>
          <w:lang w:val="en-US"/>
        </w:rPr>
        <w:t xml:space="preserve"> </w:t>
      </w:r>
      <w:proofErr w:type="spellStart"/>
      <w:r w:rsidRPr="001F5D02">
        <w:rPr>
          <w:sz w:val="28"/>
          <w:szCs w:val="28"/>
          <w:lang w:val="en-US"/>
        </w:rPr>
        <w:t>kniga</w:t>
      </w:r>
      <w:proofErr w:type="spellEnd"/>
      <w:r w:rsidRPr="001F5D02">
        <w:rPr>
          <w:sz w:val="28"/>
          <w:szCs w:val="28"/>
          <w:lang w:val="en-US"/>
        </w:rPr>
        <w:t>. 120p</w:t>
      </w:r>
    </w:p>
    <w:p w:rsidR="00197A80"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r w:rsidRPr="001F5D02">
        <w:rPr>
          <w:sz w:val="28"/>
          <w:szCs w:val="28"/>
          <w:lang w:val="en-US"/>
        </w:rPr>
        <w:t xml:space="preserve">Copeland T.E., </w:t>
      </w:r>
      <w:proofErr w:type="spellStart"/>
      <w:r w:rsidRPr="001F5D02">
        <w:rPr>
          <w:sz w:val="28"/>
          <w:szCs w:val="28"/>
          <w:lang w:val="en-US"/>
        </w:rPr>
        <w:t>Koller</w:t>
      </w:r>
      <w:proofErr w:type="spellEnd"/>
      <w:r w:rsidRPr="001F5D02">
        <w:rPr>
          <w:sz w:val="28"/>
          <w:szCs w:val="28"/>
          <w:lang w:val="en-US"/>
        </w:rPr>
        <w:t xml:space="preserve"> T. and Murrin J. Valuation: Measuring and Managing the Value of Companies, Third edition, New York, 2000.</w:t>
      </w:r>
    </w:p>
    <w:p w:rsidR="00197A80" w:rsidRPr="001F5D02"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proofErr w:type="spellStart"/>
      <w:r w:rsidRPr="001F5D02">
        <w:rPr>
          <w:sz w:val="28"/>
          <w:szCs w:val="28"/>
          <w:lang w:val="en-US"/>
        </w:rPr>
        <w:t>Fedorova</w:t>
      </w:r>
      <w:proofErr w:type="spellEnd"/>
      <w:r w:rsidRPr="001F5D02">
        <w:rPr>
          <w:sz w:val="28"/>
          <w:szCs w:val="28"/>
          <w:lang w:val="en-US"/>
        </w:rPr>
        <w:t xml:space="preserve"> E. S. Public company cost estimate during the process of mergers and acquisitions on Russian market// Financial management. 2006. №6. 46-55p.</w:t>
      </w:r>
    </w:p>
    <w:p w:rsidR="00197A80"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r w:rsidRPr="001F5D02">
        <w:rPr>
          <w:sz w:val="28"/>
          <w:szCs w:val="28"/>
          <w:lang w:val="en-US"/>
        </w:rPr>
        <w:t xml:space="preserve">Fernandez Pablo. Valuation Methods and Shareholder Value Creation, Academic Press, </w:t>
      </w:r>
      <w:proofErr w:type="gramStart"/>
      <w:r w:rsidRPr="001F5D02">
        <w:rPr>
          <w:sz w:val="28"/>
          <w:szCs w:val="28"/>
          <w:lang w:val="en-US"/>
        </w:rPr>
        <w:t>CA.,</w:t>
      </w:r>
      <w:proofErr w:type="gramEnd"/>
      <w:r w:rsidRPr="001F5D02">
        <w:rPr>
          <w:sz w:val="28"/>
          <w:szCs w:val="28"/>
          <w:lang w:val="en-US"/>
        </w:rPr>
        <w:t xml:space="preserve"> 2002.</w:t>
      </w:r>
    </w:p>
    <w:p w:rsidR="00197A80" w:rsidRPr="00AC2E62" w:rsidRDefault="00197A80" w:rsidP="00197A80">
      <w:pPr>
        <w:pStyle w:val="Default"/>
        <w:numPr>
          <w:ilvl w:val="0"/>
          <w:numId w:val="14"/>
        </w:numPr>
        <w:spacing w:line="360" w:lineRule="auto"/>
        <w:jc w:val="both"/>
        <w:rPr>
          <w:sz w:val="28"/>
          <w:szCs w:val="28"/>
          <w:lang w:val="en-US"/>
        </w:rPr>
      </w:pPr>
      <w:r w:rsidRPr="00AC2E62">
        <w:rPr>
          <w:sz w:val="28"/>
          <w:szCs w:val="28"/>
          <w:lang w:val="en-US"/>
        </w:rPr>
        <w:t xml:space="preserve"> Harding D., </w:t>
      </w:r>
      <w:proofErr w:type="spellStart"/>
      <w:r w:rsidRPr="00AC2E62">
        <w:rPr>
          <w:sz w:val="28"/>
          <w:szCs w:val="28"/>
          <w:lang w:val="en-US"/>
        </w:rPr>
        <w:t>Royvit</w:t>
      </w:r>
      <w:proofErr w:type="spellEnd"/>
      <w:r w:rsidRPr="00AC2E62">
        <w:rPr>
          <w:sz w:val="28"/>
          <w:szCs w:val="28"/>
          <w:lang w:val="en-US"/>
        </w:rPr>
        <w:t xml:space="preserve"> S. The art of mergers and acquisitions: 4 key solutions that influence on contract success. Minsk: </w:t>
      </w:r>
      <w:proofErr w:type="spellStart"/>
      <w:r w:rsidRPr="00AC2E62">
        <w:rPr>
          <w:sz w:val="28"/>
          <w:szCs w:val="28"/>
          <w:lang w:val="en-US"/>
        </w:rPr>
        <w:t>Grevcov</w:t>
      </w:r>
      <w:proofErr w:type="spellEnd"/>
      <w:r w:rsidRPr="00AC2E62">
        <w:rPr>
          <w:sz w:val="28"/>
          <w:szCs w:val="28"/>
          <w:lang w:val="en-US"/>
        </w:rPr>
        <w:t xml:space="preserve"> publisher, 2007. 256p.</w:t>
      </w:r>
    </w:p>
    <w:p w:rsidR="00197A80" w:rsidRPr="001F5D02"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r w:rsidRPr="001F5D02">
        <w:rPr>
          <w:sz w:val="28"/>
          <w:szCs w:val="28"/>
          <w:lang w:val="en-US"/>
        </w:rPr>
        <w:t>Intelligent M&amp;A - Navigating the Mergers and Acquisitions Minefield,</w:t>
      </w:r>
      <w:r>
        <w:rPr>
          <w:sz w:val="28"/>
          <w:szCs w:val="28"/>
          <w:lang w:val="en-US"/>
        </w:rPr>
        <w:t xml:space="preserve"> </w:t>
      </w:r>
      <w:r w:rsidRPr="001F5D02">
        <w:rPr>
          <w:sz w:val="28"/>
          <w:szCs w:val="28"/>
          <w:lang w:val="en-US"/>
        </w:rPr>
        <w:t>Scott Moeller and Chris Brady; John Wiley and Sons, 2007, 328c</w:t>
      </w:r>
    </w:p>
    <w:p w:rsidR="00197A80" w:rsidRPr="001F5D02" w:rsidRDefault="00197A80" w:rsidP="00197A80">
      <w:pPr>
        <w:pStyle w:val="Default"/>
        <w:numPr>
          <w:ilvl w:val="0"/>
          <w:numId w:val="14"/>
        </w:numPr>
        <w:spacing w:line="360" w:lineRule="auto"/>
        <w:jc w:val="both"/>
        <w:rPr>
          <w:sz w:val="28"/>
          <w:szCs w:val="28"/>
          <w:lang w:val="en-US"/>
        </w:rPr>
      </w:pPr>
      <w:r w:rsidRPr="001F5D02">
        <w:rPr>
          <w:sz w:val="28"/>
          <w:szCs w:val="28"/>
          <w:lang w:val="en-US"/>
        </w:rPr>
        <w:t xml:space="preserve"> </w:t>
      </w:r>
      <w:proofErr w:type="spellStart"/>
      <w:r w:rsidRPr="001F5D02">
        <w:rPr>
          <w:sz w:val="28"/>
          <w:szCs w:val="28"/>
          <w:lang w:val="en-US"/>
        </w:rPr>
        <w:t>Ivashkovskaya</w:t>
      </w:r>
      <w:proofErr w:type="spellEnd"/>
      <w:r w:rsidRPr="001F5D02">
        <w:rPr>
          <w:sz w:val="28"/>
          <w:szCs w:val="28"/>
          <w:lang w:val="en-US"/>
        </w:rPr>
        <w:t xml:space="preserve"> I. Mergers and acquisitions: growth snares// </w:t>
      </w:r>
      <w:proofErr w:type="gramStart"/>
      <w:r w:rsidRPr="001F5D02">
        <w:rPr>
          <w:sz w:val="28"/>
          <w:szCs w:val="28"/>
          <w:lang w:val="en-US"/>
        </w:rPr>
        <w:t>The</w:t>
      </w:r>
      <w:proofErr w:type="gramEnd"/>
      <w:r w:rsidRPr="001F5D02">
        <w:rPr>
          <w:sz w:val="28"/>
          <w:szCs w:val="28"/>
          <w:lang w:val="en-US"/>
        </w:rPr>
        <w:t xml:space="preserve"> company management. 2004. №7. 26-29p.</w:t>
      </w:r>
    </w:p>
    <w:p w:rsidR="00197A80" w:rsidRPr="001F5D02"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r w:rsidRPr="001F5D02">
        <w:rPr>
          <w:sz w:val="28"/>
          <w:szCs w:val="28"/>
          <w:lang w:val="en-US"/>
        </w:rPr>
        <w:t xml:space="preserve">Patrick A. </w:t>
      </w:r>
      <w:proofErr w:type="spellStart"/>
      <w:r w:rsidRPr="001F5D02">
        <w:rPr>
          <w:sz w:val="28"/>
          <w:szCs w:val="28"/>
          <w:lang w:val="en-US"/>
        </w:rPr>
        <w:t>Gaughan</w:t>
      </w:r>
      <w:proofErr w:type="spellEnd"/>
      <w:r w:rsidRPr="001F5D02">
        <w:rPr>
          <w:sz w:val="28"/>
          <w:szCs w:val="28"/>
          <w:lang w:val="en-US"/>
        </w:rPr>
        <w:t>, Mergers, acquisitions and corporate restructurings – Wiley, 2002.</w:t>
      </w:r>
    </w:p>
    <w:p w:rsidR="00197A80" w:rsidRPr="001F5D02" w:rsidRDefault="00197A80" w:rsidP="00197A80">
      <w:pPr>
        <w:pStyle w:val="Default"/>
        <w:numPr>
          <w:ilvl w:val="0"/>
          <w:numId w:val="14"/>
        </w:numPr>
        <w:spacing w:line="360" w:lineRule="auto"/>
        <w:jc w:val="both"/>
        <w:rPr>
          <w:sz w:val="28"/>
          <w:szCs w:val="28"/>
          <w:lang w:val="en-US"/>
        </w:rPr>
      </w:pPr>
      <w:r w:rsidRPr="001F5D02">
        <w:rPr>
          <w:sz w:val="28"/>
          <w:szCs w:val="28"/>
          <w:lang w:val="en-US"/>
        </w:rPr>
        <w:t xml:space="preserve"> Reed S. and </w:t>
      </w:r>
      <w:proofErr w:type="spellStart"/>
      <w:r w:rsidRPr="001F5D02">
        <w:rPr>
          <w:sz w:val="28"/>
          <w:szCs w:val="28"/>
          <w:lang w:val="en-US"/>
        </w:rPr>
        <w:t>Lajoux</w:t>
      </w:r>
      <w:proofErr w:type="spellEnd"/>
      <w:r w:rsidRPr="001F5D02">
        <w:rPr>
          <w:sz w:val="28"/>
          <w:szCs w:val="28"/>
          <w:lang w:val="en-US"/>
        </w:rPr>
        <w:t xml:space="preserve"> A. The Art of M&amp;A: a merger acquisition buyout guide, New York, McGraw-Hill, 2000.</w:t>
      </w:r>
    </w:p>
    <w:p w:rsidR="00197A80" w:rsidRPr="001F5D02" w:rsidRDefault="00197A80" w:rsidP="00197A80">
      <w:pPr>
        <w:pStyle w:val="Default"/>
        <w:numPr>
          <w:ilvl w:val="0"/>
          <w:numId w:val="14"/>
        </w:numPr>
        <w:spacing w:line="360" w:lineRule="auto"/>
        <w:jc w:val="both"/>
        <w:rPr>
          <w:sz w:val="28"/>
          <w:szCs w:val="28"/>
          <w:lang w:val="en-US"/>
        </w:rPr>
      </w:pPr>
      <w:r w:rsidRPr="001F5D02">
        <w:rPr>
          <w:sz w:val="28"/>
          <w:szCs w:val="28"/>
          <w:lang w:val="en-US"/>
        </w:rPr>
        <w:t xml:space="preserve"> Richard A. </w:t>
      </w:r>
      <w:proofErr w:type="spellStart"/>
      <w:r w:rsidRPr="001F5D02">
        <w:rPr>
          <w:sz w:val="28"/>
          <w:szCs w:val="28"/>
          <w:lang w:val="en-US"/>
        </w:rPr>
        <w:t>Brealey</w:t>
      </w:r>
      <w:proofErr w:type="spellEnd"/>
      <w:r w:rsidRPr="001F5D02">
        <w:rPr>
          <w:sz w:val="28"/>
          <w:szCs w:val="28"/>
          <w:lang w:val="en-US"/>
        </w:rPr>
        <w:t>, Stewart C. Myers, Principles of corporate finance, McGraw-Hill, 1996.</w:t>
      </w:r>
    </w:p>
    <w:p w:rsidR="00197A80" w:rsidRDefault="00197A80" w:rsidP="00197A80">
      <w:pPr>
        <w:pStyle w:val="Default"/>
        <w:numPr>
          <w:ilvl w:val="0"/>
          <w:numId w:val="14"/>
        </w:numPr>
        <w:spacing w:line="360" w:lineRule="auto"/>
        <w:jc w:val="both"/>
        <w:rPr>
          <w:sz w:val="28"/>
          <w:szCs w:val="28"/>
          <w:lang w:val="en-US"/>
        </w:rPr>
      </w:pPr>
      <w:r>
        <w:rPr>
          <w:sz w:val="28"/>
          <w:szCs w:val="28"/>
          <w:lang w:val="en-US"/>
        </w:rPr>
        <w:t xml:space="preserve"> </w:t>
      </w:r>
      <w:proofErr w:type="spellStart"/>
      <w:r w:rsidRPr="001F5D02">
        <w:rPr>
          <w:sz w:val="28"/>
          <w:szCs w:val="28"/>
          <w:lang w:val="en-US"/>
        </w:rPr>
        <w:t>Schroff</w:t>
      </w:r>
      <w:proofErr w:type="spellEnd"/>
      <w:r w:rsidRPr="001F5D02">
        <w:rPr>
          <w:sz w:val="28"/>
          <w:szCs w:val="28"/>
          <w:lang w:val="en-US"/>
        </w:rPr>
        <w:t>, William K., “Reverse merger or IPO? Consider the former when you take your family business public”, Strategic Finance, May 2004</w:t>
      </w:r>
      <w:r>
        <w:rPr>
          <w:sz w:val="28"/>
          <w:szCs w:val="28"/>
          <w:lang w:val="en-US"/>
        </w:rPr>
        <w:t>.</w:t>
      </w:r>
    </w:p>
    <w:p w:rsidR="00197A80" w:rsidRPr="001F5D02" w:rsidRDefault="00197A80" w:rsidP="00197A80">
      <w:pPr>
        <w:pStyle w:val="Default"/>
        <w:numPr>
          <w:ilvl w:val="0"/>
          <w:numId w:val="14"/>
        </w:numPr>
        <w:spacing w:line="360" w:lineRule="auto"/>
        <w:jc w:val="both"/>
        <w:rPr>
          <w:sz w:val="28"/>
          <w:szCs w:val="28"/>
          <w:lang w:val="en-US"/>
        </w:rPr>
      </w:pPr>
      <w:r w:rsidRPr="001F5D02">
        <w:rPr>
          <w:sz w:val="28"/>
          <w:szCs w:val="28"/>
          <w:lang w:val="en-US"/>
        </w:rPr>
        <w:t xml:space="preserve"> </w:t>
      </w:r>
      <w:proofErr w:type="spellStart"/>
      <w:r w:rsidRPr="001F5D02">
        <w:rPr>
          <w:sz w:val="28"/>
          <w:szCs w:val="28"/>
          <w:lang w:val="en-US"/>
        </w:rPr>
        <w:t>Valdaicev</w:t>
      </w:r>
      <w:proofErr w:type="spellEnd"/>
      <w:r w:rsidRPr="001F5D02">
        <w:rPr>
          <w:sz w:val="28"/>
          <w:szCs w:val="28"/>
          <w:lang w:val="en-US"/>
        </w:rPr>
        <w:t xml:space="preserve"> S. V. Business estimate. M.: </w:t>
      </w:r>
      <w:proofErr w:type="spellStart"/>
      <w:r w:rsidRPr="001F5D02">
        <w:rPr>
          <w:sz w:val="28"/>
          <w:szCs w:val="28"/>
          <w:lang w:val="en-US"/>
        </w:rPr>
        <w:t>Velbi</w:t>
      </w:r>
      <w:proofErr w:type="spellEnd"/>
      <w:r w:rsidRPr="001F5D02">
        <w:rPr>
          <w:sz w:val="28"/>
          <w:szCs w:val="28"/>
          <w:lang w:val="en-US"/>
        </w:rPr>
        <w:t>, “Prospect”, 2004. 360p.</w:t>
      </w:r>
    </w:p>
    <w:p w:rsidR="00197A80" w:rsidRPr="00B75997" w:rsidRDefault="00197A80" w:rsidP="00197A80">
      <w:pPr>
        <w:pStyle w:val="Default"/>
        <w:spacing w:line="360" w:lineRule="auto"/>
        <w:ind w:left="360"/>
        <w:jc w:val="both"/>
        <w:rPr>
          <w:sz w:val="28"/>
          <w:szCs w:val="28"/>
          <w:lang w:val="en-US"/>
        </w:rPr>
      </w:pPr>
    </w:p>
    <w:p w:rsidR="00197A80" w:rsidRPr="001A496A" w:rsidRDefault="00197A80" w:rsidP="00197A80">
      <w:pPr>
        <w:pStyle w:val="Default"/>
        <w:spacing w:line="360" w:lineRule="auto"/>
        <w:ind w:left="360"/>
        <w:jc w:val="both"/>
        <w:rPr>
          <w:sz w:val="28"/>
          <w:szCs w:val="28"/>
          <w:lang w:val="en-US"/>
        </w:rPr>
      </w:pPr>
    </w:p>
    <w:p w:rsidR="00197A80" w:rsidRPr="001A496A" w:rsidRDefault="00197A80" w:rsidP="00197A80">
      <w:pPr>
        <w:pStyle w:val="Default"/>
        <w:ind w:left="360"/>
        <w:rPr>
          <w:sz w:val="23"/>
          <w:szCs w:val="23"/>
          <w:lang w:val="en-US"/>
        </w:rPr>
      </w:pPr>
    </w:p>
    <w:p w:rsidR="00197A80" w:rsidRPr="001A496A" w:rsidRDefault="00197A80" w:rsidP="00197A80">
      <w:pPr>
        <w:jc w:val="both"/>
        <w:rPr>
          <w:rFonts w:ascii="Times New Roman" w:hAnsi="Times New Roman" w:cs="Times New Roman"/>
          <w:sz w:val="28"/>
          <w:szCs w:val="28"/>
          <w:lang w:val="en-US"/>
        </w:rPr>
      </w:pPr>
    </w:p>
    <w:p w:rsidR="0096229B" w:rsidRPr="00E96125" w:rsidRDefault="0096229B" w:rsidP="002A2DE3">
      <w:pPr>
        <w:tabs>
          <w:tab w:val="left" w:pos="3119"/>
        </w:tabs>
        <w:spacing w:after="0" w:line="360" w:lineRule="auto"/>
        <w:ind w:firstLine="709"/>
        <w:jc w:val="both"/>
        <w:rPr>
          <w:rFonts w:ascii="Times New Roman" w:hAnsi="Times New Roman" w:cs="Times New Roman"/>
          <w:sz w:val="28"/>
          <w:szCs w:val="28"/>
        </w:rPr>
      </w:pPr>
    </w:p>
    <w:p w:rsidR="00CF3999" w:rsidRPr="000171E0" w:rsidRDefault="00CF3999" w:rsidP="000171E0">
      <w:pPr>
        <w:pStyle w:val="a6"/>
        <w:shd w:val="clear" w:color="auto" w:fill="FFFFFF"/>
        <w:spacing w:before="0" w:beforeAutospacing="0" w:after="0" w:afterAutospacing="0" w:line="360" w:lineRule="auto"/>
        <w:ind w:firstLine="709"/>
        <w:jc w:val="both"/>
        <w:rPr>
          <w:sz w:val="28"/>
          <w:szCs w:val="28"/>
        </w:rPr>
      </w:pPr>
    </w:p>
    <w:p w:rsidR="00207EDA" w:rsidRPr="007A42E2" w:rsidRDefault="00207EDA" w:rsidP="00A857E2">
      <w:pPr>
        <w:spacing w:after="0" w:line="360" w:lineRule="auto"/>
        <w:ind w:firstLine="709"/>
        <w:jc w:val="both"/>
        <w:rPr>
          <w:rFonts w:ascii="Times New Roman" w:hAnsi="Times New Roman" w:cs="Times New Roman"/>
          <w:sz w:val="28"/>
          <w:szCs w:val="28"/>
        </w:rPr>
      </w:pPr>
    </w:p>
    <w:sectPr w:rsidR="00207EDA" w:rsidRPr="007A42E2" w:rsidSect="00197A80">
      <w:footerReference w:type="default" r:id="rId21"/>
      <w:pgSz w:w="11906" w:h="16838"/>
      <w:pgMar w:top="1134" w:right="851"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36" w:rsidRDefault="00692836" w:rsidP="007A42E2">
      <w:pPr>
        <w:spacing w:after="0" w:line="240" w:lineRule="auto"/>
      </w:pPr>
      <w:r>
        <w:separator/>
      </w:r>
    </w:p>
  </w:endnote>
  <w:endnote w:type="continuationSeparator" w:id="1">
    <w:p w:rsidR="00692836" w:rsidRDefault="00692836" w:rsidP="007A4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19156"/>
      <w:docPartObj>
        <w:docPartGallery w:val="Page Numbers (Bottom of Page)"/>
        <w:docPartUnique/>
      </w:docPartObj>
    </w:sdtPr>
    <w:sdtContent>
      <w:p w:rsidR="00615BE1" w:rsidRDefault="005C5A41">
        <w:pPr>
          <w:pStyle w:val="af4"/>
          <w:jc w:val="right"/>
        </w:pPr>
        <w:fldSimple w:instr=" PAGE   \* MERGEFORMAT ">
          <w:r w:rsidR="005E07E3">
            <w:rPr>
              <w:noProof/>
            </w:rPr>
            <w:t>74</w:t>
          </w:r>
        </w:fldSimple>
      </w:p>
    </w:sdtContent>
  </w:sdt>
  <w:p w:rsidR="00615BE1" w:rsidRDefault="00615BE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36" w:rsidRDefault="00692836" w:rsidP="007A42E2">
      <w:pPr>
        <w:spacing w:after="0" w:line="240" w:lineRule="auto"/>
      </w:pPr>
      <w:r>
        <w:separator/>
      </w:r>
    </w:p>
  </w:footnote>
  <w:footnote w:type="continuationSeparator" w:id="1">
    <w:p w:rsidR="00692836" w:rsidRDefault="00692836" w:rsidP="007A42E2">
      <w:pPr>
        <w:spacing w:after="0" w:line="240" w:lineRule="auto"/>
      </w:pPr>
      <w:r>
        <w:continuationSeparator/>
      </w:r>
    </w:p>
  </w:footnote>
  <w:footnote w:id="2">
    <w:p w:rsidR="00615BE1" w:rsidRPr="00D8078C" w:rsidRDefault="00615BE1">
      <w:pPr>
        <w:pStyle w:val="a3"/>
      </w:pPr>
      <w:r w:rsidRPr="00207EDA">
        <w:rPr>
          <w:rStyle w:val="a5"/>
          <w:rFonts w:ascii="Times New Roman" w:hAnsi="Times New Roman" w:cs="Times New Roman"/>
          <w:sz w:val="24"/>
          <w:szCs w:val="24"/>
        </w:rPr>
        <w:footnoteRef/>
      </w:r>
      <w:r w:rsidRPr="007A42E2">
        <w:rPr>
          <w:rFonts w:ascii="Times New Roman" w:hAnsi="Times New Roman" w:cs="Times New Roman"/>
          <w:sz w:val="24"/>
          <w:szCs w:val="24"/>
        </w:rPr>
        <w:t>Далее</w:t>
      </w:r>
      <w:r>
        <w:rPr>
          <w:rFonts w:ascii="Times New Roman" w:hAnsi="Times New Roman" w:cs="Times New Roman"/>
          <w:sz w:val="24"/>
          <w:szCs w:val="24"/>
        </w:rPr>
        <w:t xml:space="preserve"> </w:t>
      </w:r>
      <w:r w:rsidRPr="007A42E2">
        <w:rPr>
          <w:rFonts w:ascii="Times New Roman" w:hAnsi="Times New Roman" w:cs="Times New Roman"/>
          <w:sz w:val="24"/>
          <w:szCs w:val="24"/>
        </w:rPr>
        <w:t>слияния</w:t>
      </w:r>
      <w:r>
        <w:rPr>
          <w:rFonts w:ascii="Times New Roman" w:hAnsi="Times New Roman" w:cs="Times New Roman"/>
          <w:sz w:val="24"/>
          <w:szCs w:val="24"/>
        </w:rPr>
        <w:t xml:space="preserve"> </w:t>
      </w:r>
      <w:r w:rsidRPr="007A42E2">
        <w:rPr>
          <w:rFonts w:ascii="Times New Roman" w:hAnsi="Times New Roman" w:cs="Times New Roman"/>
          <w:sz w:val="24"/>
          <w:szCs w:val="24"/>
        </w:rPr>
        <w:t>и</w:t>
      </w:r>
      <w:r>
        <w:rPr>
          <w:rFonts w:ascii="Times New Roman" w:hAnsi="Times New Roman" w:cs="Times New Roman"/>
          <w:sz w:val="24"/>
          <w:szCs w:val="24"/>
        </w:rPr>
        <w:t xml:space="preserve"> </w:t>
      </w:r>
      <w:r w:rsidRPr="007A42E2">
        <w:rPr>
          <w:rFonts w:ascii="Times New Roman" w:hAnsi="Times New Roman" w:cs="Times New Roman"/>
          <w:sz w:val="24"/>
          <w:szCs w:val="24"/>
        </w:rPr>
        <w:t>поглощения</w:t>
      </w:r>
      <w:r w:rsidRPr="007A42E2">
        <w:rPr>
          <w:rFonts w:ascii="Times New Roman" w:hAnsi="Times New Roman" w:cs="Times New Roman"/>
          <w:sz w:val="24"/>
          <w:szCs w:val="24"/>
          <w:lang w:val="en-US"/>
        </w:rPr>
        <w:t xml:space="preserve"> – M&amp;A (mergers and acquisitions)</w:t>
      </w:r>
      <w:r>
        <w:rPr>
          <w:rFonts w:ascii="Times New Roman" w:hAnsi="Times New Roman" w:cs="Times New Roman"/>
          <w:sz w:val="24"/>
          <w:szCs w:val="24"/>
        </w:rPr>
        <w:t xml:space="preserve"> – общепринятая аббревиатура </w:t>
      </w:r>
    </w:p>
  </w:footnote>
  <w:footnote w:id="3">
    <w:p w:rsidR="00615BE1" w:rsidRPr="000171E0" w:rsidRDefault="00615BE1">
      <w:pPr>
        <w:pStyle w:val="a3"/>
        <w:rPr>
          <w:rFonts w:ascii="Times New Roman" w:hAnsi="Times New Roman" w:cs="Times New Roman"/>
          <w:sz w:val="24"/>
          <w:szCs w:val="24"/>
        </w:rPr>
      </w:pPr>
      <w:r w:rsidRPr="000171E0">
        <w:rPr>
          <w:rStyle w:val="a5"/>
          <w:rFonts w:ascii="Times New Roman" w:hAnsi="Times New Roman" w:cs="Times New Roman"/>
          <w:sz w:val="24"/>
          <w:szCs w:val="24"/>
        </w:rPr>
        <w:footnoteRef/>
      </w:r>
      <w:r w:rsidRPr="000171E0">
        <w:rPr>
          <w:rFonts w:ascii="Times New Roman" w:hAnsi="Times New Roman" w:cs="Times New Roman"/>
          <w:sz w:val="24"/>
          <w:szCs w:val="24"/>
        </w:rPr>
        <w:t xml:space="preserve">  (электронный ресурс) – (</w:t>
      </w:r>
      <w:hyperlink r:id="rId1" w:history="1">
        <w:r w:rsidRPr="000171E0">
          <w:rPr>
            <w:rStyle w:val="a7"/>
            <w:rFonts w:ascii="Times New Roman" w:hAnsi="Times New Roman" w:cs="Times New Roman"/>
            <w:sz w:val="24"/>
            <w:szCs w:val="24"/>
            <w:lang w:val="en-US"/>
          </w:rPr>
          <w:t>http</w:t>
        </w:r>
        <w:r w:rsidRPr="000171E0">
          <w:rPr>
            <w:rStyle w:val="a7"/>
            <w:rFonts w:ascii="Times New Roman" w:hAnsi="Times New Roman" w:cs="Times New Roman"/>
            <w:sz w:val="24"/>
            <w:szCs w:val="24"/>
          </w:rPr>
          <w:t>://</w:t>
        </w:r>
        <w:r w:rsidRPr="000171E0">
          <w:rPr>
            <w:rStyle w:val="a7"/>
            <w:rFonts w:ascii="Times New Roman" w:hAnsi="Times New Roman" w:cs="Times New Roman"/>
            <w:sz w:val="24"/>
            <w:szCs w:val="24"/>
            <w:lang w:val="en-US"/>
          </w:rPr>
          <w:t>pages</w:t>
        </w:r>
        <w:r w:rsidRPr="000171E0">
          <w:rPr>
            <w:rStyle w:val="a7"/>
            <w:rFonts w:ascii="Times New Roman" w:hAnsi="Times New Roman" w:cs="Times New Roman"/>
            <w:sz w:val="24"/>
            <w:szCs w:val="24"/>
          </w:rPr>
          <w:t>.</w:t>
        </w:r>
        <w:r w:rsidRPr="000171E0">
          <w:rPr>
            <w:rStyle w:val="a7"/>
            <w:rFonts w:ascii="Times New Roman" w:hAnsi="Times New Roman" w:cs="Times New Roman"/>
            <w:sz w:val="24"/>
            <w:szCs w:val="24"/>
            <w:lang w:val="en-US"/>
          </w:rPr>
          <w:t>stern</w:t>
        </w:r>
        <w:r w:rsidRPr="000171E0">
          <w:rPr>
            <w:rStyle w:val="a7"/>
            <w:rFonts w:ascii="Times New Roman" w:hAnsi="Times New Roman" w:cs="Times New Roman"/>
            <w:sz w:val="24"/>
            <w:szCs w:val="24"/>
          </w:rPr>
          <w:t>.</w:t>
        </w:r>
        <w:proofErr w:type="spellStart"/>
        <w:r w:rsidRPr="000171E0">
          <w:rPr>
            <w:rStyle w:val="a7"/>
            <w:rFonts w:ascii="Times New Roman" w:hAnsi="Times New Roman" w:cs="Times New Roman"/>
            <w:sz w:val="24"/>
            <w:szCs w:val="24"/>
            <w:lang w:val="en-US"/>
          </w:rPr>
          <w:t>nyu</w:t>
        </w:r>
        <w:proofErr w:type="spellEnd"/>
        <w:r w:rsidRPr="000171E0">
          <w:rPr>
            <w:rStyle w:val="a7"/>
            <w:rFonts w:ascii="Times New Roman" w:hAnsi="Times New Roman" w:cs="Times New Roman"/>
            <w:sz w:val="24"/>
            <w:szCs w:val="24"/>
          </w:rPr>
          <w:t>.</w:t>
        </w:r>
        <w:proofErr w:type="spellStart"/>
        <w:r w:rsidRPr="000171E0">
          <w:rPr>
            <w:rStyle w:val="a7"/>
            <w:rFonts w:ascii="Times New Roman" w:hAnsi="Times New Roman" w:cs="Times New Roman"/>
            <w:sz w:val="24"/>
            <w:szCs w:val="24"/>
            <w:lang w:val="en-US"/>
          </w:rPr>
          <w:t>edu</w:t>
        </w:r>
        <w:proofErr w:type="spellEnd"/>
        <w:r w:rsidRPr="000171E0">
          <w:rPr>
            <w:rStyle w:val="a7"/>
            <w:rFonts w:ascii="Times New Roman" w:hAnsi="Times New Roman" w:cs="Times New Roman"/>
            <w:sz w:val="24"/>
            <w:szCs w:val="24"/>
          </w:rPr>
          <w:t>/~</w:t>
        </w:r>
        <w:proofErr w:type="spellStart"/>
        <w:r w:rsidRPr="000171E0">
          <w:rPr>
            <w:rStyle w:val="a7"/>
            <w:rFonts w:ascii="Times New Roman" w:hAnsi="Times New Roman" w:cs="Times New Roman"/>
            <w:sz w:val="24"/>
            <w:szCs w:val="24"/>
            <w:lang w:val="en-US"/>
          </w:rPr>
          <w:t>adamodar</w:t>
        </w:r>
        <w:proofErr w:type="spellEnd"/>
        <w:r w:rsidRPr="000171E0">
          <w:rPr>
            <w:rStyle w:val="a7"/>
            <w:rFonts w:ascii="Times New Roman" w:hAnsi="Times New Roman" w:cs="Times New Roman"/>
            <w:sz w:val="24"/>
            <w:szCs w:val="24"/>
          </w:rPr>
          <w:t>.</w:t>
        </w:r>
        <w:r w:rsidRPr="000171E0">
          <w:rPr>
            <w:rStyle w:val="a7"/>
            <w:rFonts w:ascii="Times New Roman" w:hAnsi="Times New Roman" w:cs="Times New Roman"/>
            <w:sz w:val="24"/>
            <w:szCs w:val="24"/>
            <w:lang w:val="en-US"/>
          </w:rPr>
          <w:t>html</w:t>
        </w:r>
      </w:hyperlink>
      <w:r w:rsidRPr="000171E0">
        <w:rPr>
          <w:rFonts w:ascii="Times New Roman" w:hAnsi="Times New Roman" w:cs="Times New Roman"/>
          <w:sz w:val="24"/>
          <w:szCs w:val="24"/>
        </w:rPr>
        <w:t>)</w:t>
      </w:r>
    </w:p>
  </w:footnote>
  <w:footnote w:id="4">
    <w:p w:rsidR="00615BE1" w:rsidRPr="00283615" w:rsidRDefault="00615BE1" w:rsidP="002A2DE3">
      <w:pPr>
        <w:shd w:val="clear" w:color="auto" w:fill="FFFFFF"/>
        <w:spacing w:line="240" w:lineRule="auto"/>
        <w:ind w:left="10" w:right="10"/>
        <w:jc w:val="both"/>
        <w:rPr>
          <w:rFonts w:ascii="Times New Roman" w:hAnsi="Times New Roman"/>
          <w:sz w:val="24"/>
          <w:szCs w:val="24"/>
        </w:rPr>
      </w:pPr>
      <w:r w:rsidRPr="00283615">
        <w:rPr>
          <w:rStyle w:val="a5"/>
          <w:rFonts w:ascii="Times New Roman" w:hAnsi="Times New Roman"/>
          <w:sz w:val="24"/>
          <w:szCs w:val="24"/>
        </w:rPr>
        <w:footnoteRef/>
      </w:r>
      <w:r w:rsidRPr="00283615">
        <w:rPr>
          <w:rFonts w:ascii="Times New Roman" w:hAnsi="Times New Roman"/>
          <w:sz w:val="24"/>
          <w:szCs w:val="24"/>
        </w:rPr>
        <w:t xml:space="preserve"> Андреева Т. Организационные аспекты слияний и поглощений: западный опыт и российские реалии. </w:t>
      </w:r>
      <w:r w:rsidRPr="00283615">
        <w:rPr>
          <w:rFonts w:ascii="Times New Roman" w:hAnsi="Times New Roman"/>
          <w:color w:val="000000"/>
          <w:spacing w:val="-2"/>
          <w:sz w:val="24"/>
          <w:szCs w:val="24"/>
        </w:rPr>
        <w:t>— М.</w:t>
      </w:r>
      <w:proofErr w:type="gramStart"/>
      <w:r w:rsidRPr="00283615">
        <w:rPr>
          <w:rFonts w:ascii="Times New Roman" w:hAnsi="Times New Roman"/>
          <w:color w:val="000000"/>
          <w:spacing w:val="-2"/>
          <w:sz w:val="24"/>
          <w:szCs w:val="24"/>
        </w:rPr>
        <w:t xml:space="preserve"> :</w:t>
      </w:r>
      <w:proofErr w:type="gramEnd"/>
      <w:r w:rsidRPr="00283615">
        <w:rPr>
          <w:rFonts w:ascii="Times New Roman" w:hAnsi="Times New Roman"/>
          <w:color w:val="000000"/>
          <w:spacing w:val="-2"/>
          <w:sz w:val="24"/>
          <w:szCs w:val="24"/>
        </w:rPr>
        <w:t xml:space="preserve"> Альпина,2002. – С.324</w:t>
      </w:r>
    </w:p>
  </w:footnote>
  <w:footnote w:id="5">
    <w:p w:rsidR="00615BE1" w:rsidRDefault="00615BE1" w:rsidP="002A2DE3">
      <w:pPr>
        <w:pStyle w:val="a3"/>
        <w:jc w:val="both"/>
        <w:rPr>
          <w:rFonts w:ascii="Times New Roman" w:hAnsi="Times New Roman"/>
          <w:sz w:val="24"/>
          <w:szCs w:val="24"/>
        </w:rPr>
      </w:pPr>
      <w:r w:rsidRPr="00283615">
        <w:rPr>
          <w:rStyle w:val="a5"/>
          <w:rFonts w:ascii="Times New Roman" w:hAnsi="Times New Roman"/>
          <w:sz w:val="24"/>
          <w:szCs w:val="24"/>
        </w:rPr>
        <w:footnoteRef/>
      </w:r>
      <w:r w:rsidRPr="00283615">
        <w:rPr>
          <w:rFonts w:ascii="Times New Roman" w:hAnsi="Times New Roman"/>
          <w:sz w:val="24"/>
          <w:szCs w:val="24"/>
        </w:rPr>
        <w:t xml:space="preserve">  Большой экономический словарь. – М.</w:t>
      </w:r>
      <w:proofErr w:type="gramStart"/>
      <w:r w:rsidRPr="00283615">
        <w:rPr>
          <w:rFonts w:ascii="Times New Roman" w:hAnsi="Times New Roman"/>
          <w:sz w:val="24"/>
          <w:szCs w:val="24"/>
        </w:rPr>
        <w:t xml:space="preserve"> :</w:t>
      </w:r>
      <w:proofErr w:type="gramEnd"/>
      <w:r w:rsidRPr="00283615">
        <w:rPr>
          <w:rFonts w:ascii="Times New Roman" w:hAnsi="Times New Roman"/>
          <w:sz w:val="24"/>
          <w:szCs w:val="24"/>
        </w:rPr>
        <w:t xml:space="preserve"> Книжный мир, 2000. – С. 685.</w:t>
      </w:r>
    </w:p>
    <w:p w:rsidR="00615BE1" w:rsidRPr="00283615" w:rsidRDefault="00615BE1" w:rsidP="002A2DE3">
      <w:pPr>
        <w:pStyle w:val="a3"/>
        <w:jc w:val="both"/>
        <w:rPr>
          <w:rFonts w:ascii="Times New Roman" w:hAnsi="Times New Roman"/>
          <w:sz w:val="24"/>
          <w:szCs w:val="24"/>
        </w:rPr>
      </w:pPr>
    </w:p>
  </w:footnote>
  <w:footnote w:id="6">
    <w:p w:rsidR="00615BE1" w:rsidRDefault="00615BE1" w:rsidP="002A2DE3">
      <w:pPr>
        <w:pStyle w:val="a3"/>
        <w:jc w:val="both"/>
        <w:rPr>
          <w:rFonts w:ascii="Times New Roman" w:hAnsi="Times New Roman"/>
          <w:color w:val="000000"/>
          <w:spacing w:val="-2"/>
          <w:sz w:val="24"/>
          <w:szCs w:val="24"/>
        </w:rPr>
      </w:pPr>
      <w:r w:rsidRPr="00283615">
        <w:rPr>
          <w:rStyle w:val="a5"/>
          <w:rFonts w:ascii="Times New Roman" w:hAnsi="Times New Roman"/>
          <w:sz w:val="24"/>
          <w:szCs w:val="24"/>
        </w:rPr>
        <w:footnoteRef/>
      </w:r>
      <w:r w:rsidRPr="00283615">
        <w:rPr>
          <w:rFonts w:ascii="Times New Roman" w:hAnsi="Times New Roman"/>
          <w:sz w:val="24"/>
          <w:szCs w:val="24"/>
        </w:rPr>
        <w:t xml:space="preserve"> Андреева Т. Организационные аспекты слияний и поглощений: западный опыт и российские реалии. </w:t>
      </w:r>
      <w:r w:rsidRPr="00283615">
        <w:rPr>
          <w:rFonts w:ascii="Times New Roman" w:hAnsi="Times New Roman"/>
          <w:color w:val="000000"/>
          <w:spacing w:val="-2"/>
          <w:sz w:val="24"/>
          <w:szCs w:val="24"/>
        </w:rPr>
        <w:t>— М.</w:t>
      </w:r>
      <w:proofErr w:type="gramStart"/>
      <w:r w:rsidRPr="00283615">
        <w:rPr>
          <w:rFonts w:ascii="Times New Roman" w:hAnsi="Times New Roman"/>
          <w:color w:val="000000"/>
          <w:spacing w:val="-2"/>
          <w:sz w:val="24"/>
          <w:szCs w:val="24"/>
        </w:rPr>
        <w:t xml:space="preserve"> :</w:t>
      </w:r>
      <w:proofErr w:type="gramEnd"/>
      <w:r w:rsidRPr="00283615">
        <w:rPr>
          <w:rFonts w:ascii="Times New Roman" w:hAnsi="Times New Roman"/>
          <w:color w:val="000000"/>
          <w:spacing w:val="-2"/>
          <w:sz w:val="24"/>
          <w:szCs w:val="24"/>
        </w:rPr>
        <w:t xml:space="preserve"> Альпина,2002. – С.324</w:t>
      </w:r>
    </w:p>
    <w:p w:rsidR="00615BE1" w:rsidRDefault="00615BE1" w:rsidP="002A2DE3">
      <w:pPr>
        <w:pStyle w:val="a3"/>
        <w:jc w:val="both"/>
      </w:pPr>
    </w:p>
  </w:footnote>
  <w:footnote w:id="7">
    <w:p w:rsidR="00615BE1" w:rsidRPr="0095459E" w:rsidRDefault="00615BE1" w:rsidP="002A2DE3">
      <w:pPr>
        <w:shd w:val="clear" w:color="auto" w:fill="FFFFFF"/>
        <w:spacing w:line="240" w:lineRule="auto"/>
        <w:ind w:left="10" w:right="10"/>
        <w:jc w:val="both"/>
        <w:rPr>
          <w:rFonts w:ascii="Times New Roman" w:hAnsi="Times New Roman"/>
          <w:sz w:val="24"/>
          <w:szCs w:val="24"/>
        </w:rPr>
      </w:pPr>
      <w:r>
        <w:rPr>
          <w:rStyle w:val="a5"/>
        </w:rPr>
        <w:footnoteRef/>
      </w:r>
      <w:r w:rsidR="00E564B4">
        <w:rPr>
          <w:rFonts w:ascii="Times New Roman" w:hAnsi="Times New Roman"/>
          <w:sz w:val="24"/>
          <w:szCs w:val="24"/>
        </w:rPr>
        <w:t xml:space="preserve"> </w:t>
      </w:r>
      <w:proofErr w:type="spellStart"/>
      <w:r w:rsidRPr="0095459E">
        <w:rPr>
          <w:rFonts w:ascii="Times New Roman" w:hAnsi="Times New Roman"/>
          <w:sz w:val="24"/>
          <w:szCs w:val="24"/>
        </w:rPr>
        <w:t>Ендовицкий</w:t>
      </w:r>
      <w:proofErr w:type="spellEnd"/>
      <w:r w:rsidRPr="0095459E">
        <w:rPr>
          <w:rFonts w:ascii="Times New Roman" w:hAnsi="Times New Roman"/>
          <w:sz w:val="24"/>
          <w:szCs w:val="24"/>
        </w:rPr>
        <w:t xml:space="preserve"> Д.А., Соболева В.Е. </w:t>
      </w:r>
      <w:r w:rsidRPr="0095459E">
        <w:rPr>
          <w:rFonts w:ascii="Times New Roman" w:hAnsi="Times New Roman"/>
          <w:color w:val="000000"/>
          <w:sz w:val="24"/>
          <w:szCs w:val="24"/>
        </w:rPr>
        <w:t xml:space="preserve">Экономический анализ слияний/поглощений компаний: научное </w:t>
      </w:r>
      <w:r w:rsidRPr="0095459E">
        <w:rPr>
          <w:rFonts w:ascii="Times New Roman" w:hAnsi="Times New Roman"/>
          <w:color w:val="000000"/>
          <w:spacing w:val="-2"/>
          <w:sz w:val="24"/>
          <w:szCs w:val="24"/>
        </w:rPr>
        <w:t>издание. — М.</w:t>
      </w:r>
      <w:proofErr w:type="gramStart"/>
      <w:r w:rsidRPr="0095459E">
        <w:rPr>
          <w:rFonts w:ascii="Times New Roman" w:hAnsi="Times New Roman"/>
          <w:color w:val="000000"/>
          <w:spacing w:val="-2"/>
          <w:sz w:val="24"/>
          <w:szCs w:val="24"/>
        </w:rPr>
        <w:t xml:space="preserve"> :</w:t>
      </w:r>
      <w:proofErr w:type="gramEnd"/>
      <w:r w:rsidRPr="0095459E">
        <w:rPr>
          <w:rFonts w:ascii="Times New Roman" w:hAnsi="Times New Roman"/>
          <w:color w:val="000000"/>
          <w:spacing w:val="-2"/>
          <w:sz w:val="24"/>
          <w:szCs w:val="24"/>
        </w:rPr>
        <w:t xml:space="preserve"> КНОРУС, 2008. — </w:t>
      </w:r>
      <w:r w:rsidRPr="0095459E">
        <w:rPr>
          <w:rFonts w:ascii="Times New Roman" w:hAnsi="Times New Roman"/>
          <w:color w:val="000000"/>
          <w:spacing w:val="-5"/>
          <w:sz w:val="24"/>
          <w:szCs w:val="24"/>
        </w:rPr>
        <w:t>С. 52</w:t>
      </w:r>
    </w:p>
    <w:p w:rsidR="00615BE1" w:rsidRDefault="00615BE1" w:rsidP="002A2DE3">
      <w:pPr>
        <w:pStyle w:val="a3"/>
      </w:pPr>
    </w:p>
  </w:footnote>
  <w:footnote w:id="8">
    <w:p w:rsidR="00615BE1" w:rsidRPr="00C73779" w:rsidRDefault="00615BE1" w:rsidP="002A2DE3">
      <w:pPr>
        <w:pStyle w:val="a3"/>
        <w:rPr>
          <w:rFonts w:ascii="Times New Roman" w:hAnsi="Times New Roman"/>
          <w:sz w:val="24"/>
          <w:szCs w:val="24"/>
        </w:rPr>
      </w:pPr>
      <w:r w:rsidRPr="00C73779">
        <w:rPr>
          <w:rStyle w:val="a5"/>
          <w:rFonts w:ascii="Times New Roman" w:hAnsi="Times New Roman"/>
          <w:sz w:val="24"/>
          <w:szCs w:val="24"/>
        </w:rPr>
        <w:footnoteRef/>
      </w:r>
      <w:r w:rsidRPr="00C73779">
        <w:rPr>
          <w:rFonts w:ascii="Times New Roman" w:hAnsi="Times New Roman"/>
          <w:sz w:val="24"/>
          <w:szCs w:val="24"/>
        </w:rPr>
        <w:t xml:space="preserve"> Владимирова И. Г. Слияния и поглощения компаний //Менеджмент в России и за рубежом. – 2008. -№1. – С. 14-19</w:t>
      </w:r>
    </w:p>
  </w:footnote>
  <w:footnote w:id="9">
    <w:p w:rsidR="00615BE1" w:rsidRDefault="00615BE1" w:rsidP="002A2DE3">
      <w:pPr>
        <w:pStyle w:val="a3"/>
      </w:pPr>
      <w:r>
        <w:rPr>
          <w:rStyle w:val="a5"/>
        </w:rPr>
        <w:footnoteRef/>
      </w:r>
      <w:r w:rsidRPr="003A4BD6">
        <w:rPr>
          <w:rFonts w:ascii="Times New Roman" w:hAnsi="Times New Roman"/>
          <w:sz w:val="24"/>
          <w:szCs w:val="24"/>
        </w:rPr>
        <w:t>Владимирова И. Г. Слияния и поглощения компаний //Менеджмент в России и за рубежом. – 200</w:t>
      </w:r>
      <w:r>
        <w:rPr>
          <w:rFonts w:ascii="Times New Roman" w:hAnsi="Times New Roman"/>
          <w:sz w:val="24"/>
          <w:szCs w:val="24"/>
        </w:rPr>
        <w:t>0</w:t>
      </w:r>
      <w:r w:rsidRPr="003A4BD6">
        <w:rPr>
          <w:rFonts w:ascii="Times New Roman" w:hAnsi="Times New Roman"/>
          <w:sz w:val="24"/>
          <w:szCs w:val="24"/>
        </w:rPr>
        <w:t>. -№1. – С.</w:t>
      </w:r>
      <w:r>
        <w:rPr>
          <w:rFonts w:ascii="Times New Roman" w:hAnsi="Times New Roman"/>
          <w:sz w:val="24"/>
          <w:szCs w:val="24"/>
        </w:rPr>
        <w:t>30</w:t>
      </w:r>
    </w:p>
  </w:footnote>
  <w:footnote w:id="10">
    <w:p w:rsidR="00615BE1" w:rsidRPr="00377B44" w:rsidRDefault="00615BE1" w:rsidP="002A2DE3">
      <w:pPr>
        <w:pStyle w:val="a3"/>
        <w:rPr>
          <w:rFonts w:ascii="Times New Roman" w:hAnsi="Times New Roman"/>
          <w:sz w:val="24"/>
          <w:szCs w:val="24"/>
        </w:rPr>
      </w:pPr>
      <w:r w:rsidRPr="00377B44">
        <w:rPr>
          <w:rStyle w:val="a5"/>
          <w:rFonts w:ascii="Times New Roman" w:hAnsi="Times New Roman"/>
          <w:sz w:val="24"/>
          <w:szCs w:val="24"/>
        </w:rPr>
        <w:footnoteRef/>
      </w:r>
      <w:r w:rsidRPr="00377B44">
        <w:rPr>
          <w:rFonts w:ascii="Times New Roman" w:hAnsi="Times New Roman"/>
          <w:sz w:val="24"/>
          <w:szCs w:val="24"/>
        </w:rPr>
        <w:t xml:space="preserve">  Лысенко Д.В. Анализ эффективности слияний и поглощений// Аудит и финансовый анализ . – 2008. -№4. – С. 4</w:t>
      </w:r>
    </w:p>
  </w:footnote>
  <w:footnote w:id="11">
    <w:p w:rsidR="00615BE1" w:rsidRPr="00793D0E" w:rsidRDefault="00615BE1" w:rsidP="00793D0E">
      <w:pPr>
        <w:pStyle w:val="a3"/>
      </w:pPr>
      <w:r w:rsidRPr="00793D0E">
        <w:rPr>
          <w:rStyle w:val="a5"/>
          <w:rFonts w:ascii="Times New Roman" w:hAnsi="Times New Roman" w:cs="Times New Roman"/>
          <w:sz w:val="24"/>
          <w:szCs w:val="24"/>
        </w:rPr>
        <w:footnoteRef/>
      </w:r>
      <w:r w:rsidRPr="00793D0E">
        <w:rPr>
          <w:rFonts w:ascii="Times New Roman" w:hAnsi="Times New Roman" w:cs="Times New Roman"/>
          <w:sz w:val="24"/>
          <w:szCs w:val="24"/>
        </w:rPr>
        <w:t xml:space="preserve"> Составлено автором по данным </w:t>
      </w:r>
      <w:proofErr w:type="spellStart"/>
      <w:r w:rsidRPr="00793D0E">
        <w:rPr>
          <w:rFonts w:ascii="Times New Roman" w:hAnsi="Times New Roman" w:cs="Times New Roman"/>
          <w:sz w:val="24"/>
          <w:szCs w:val="24"/>
          <w:lang w:val="en-US"/>
        </w:rPr>
        <w:t>mergermarket</w:t>
      </w:r>
      <w:proofErr w:type="spellEnd"/>
      <w:r w:rsidRPr="00793D0E">
        <w:rPr>
          <w:rFonts w:ascii="Times New Roman" w:hAnsi="Times New Roman" w:cs="Times New Roman"/>
          <w:sz w:val="24"/>
          <w:szCs w:val="24"/>
        </w:rPr>
        <w:t>.</w:t>
      </w:r>
      <w:r w:rsidRPr="00793D0E">
        <w:rPr>
          <w:rFonts w:ascii="Times New Roman" w:hAnsi="Times New Roman" w:cs="Times New Roman"/>
          <w:sz w:val="24"/>
          <w:szCs w:val="24"/>
          <w:lang w:val="en-US"/>
        </w:rPr>
        <w:t>com</w:t>
      </w:r>
    </w:p>
  </w:footnote>
  <w:footnote w:id="12">
    <w:p w:rsidR="00615BE1" w:rsidRPr="00755DD8" w:rsidRDefault="00615BE1">
      <w:pPr>
        <w:pStyle w:val="a3"/>
        <w:rPr>
          <w:rFonts w:ascii="Times New Roman" w:hAnsi="Times New Roman" w:cs="Times New Roman"/>
          <w:sz w:val="24"/>
          <w:szCs w:val="24"/>
        </w:rPr>
      </w:pPr>
      <w:r w:rsidRPr="00755DD8">
        <w:rPr>
          <w:rStyle w:val="a5"/>
          <w:rFonts w:ascii="Times New Roman" w:hAnsi="Times New Roman" w:cs="Times New Roman"/>
          <w:sz w:val="24"/>
          <w:szCs w:val="24"/>
        </w:rPr>
        <w:footnoteRef/>
      </w:r>
      <w:r w:rsidRPr="00755DD8">
        <w:rPr>
          <w:rFonts w:ascii="Times New Roman" w:hAnsi="Times New Roman" w:cs="Times New Roman"/>
          <w:sz w:val="24"/>
          <w:szCs w:val="24"/>
        </w:rPr>
        <w:t xml:space="preserve">  Составлено автором по данным </w:t>
      </w:r>
      <w:proofErr w:type="spellStart"/>
      <w:r w:rsidRPr="00755DD8">
        <w:rPr>
          <w:rFonts w:ascii="Times New Roman" w:hAnsi="Times New Roman" w:cs="Times New Roman"/>
          <w:sz w:val="24"/>
          <w:szCs w:val="24"/>
          <w:lang w:val="en-US"/>
        </w:rPr>
        <w:t>mergermarket</w:t>
      </w:r>
      <w:proofErr w:type="spellEnd"/>
      <w:r w:rsidRPr="00755DD8">
        <w:rPr>
          <w:rFonts w:ascii="Times New Roman" w:hAnsi="Times New Roman" w:cs="Times New Roman"/>
          <w:sz w:val="24"/>
          <w:szCs w:val="24"/>
        </w:rPr>
        <w:t>.</w:t>
      </w:r>
      <w:r w:rsidRPr="00755DD8">
        <w:rPr>
          <w:rFonts w:ascii="Times New Roman" w:hAnsi="Times New Roman" w:cs="Times New Roman"/>
          <w:sz w:val="24"/>
          <w:szCs w:val="24"/>
          <w:lang w:val="en-US"/>
        </w:rPr>
        <w:t>com</w:t>
      </w:r>
    </w:p>
  </w:footnote>
  <w:footnote w:id="13">
    <w:p w:rsidR="00615BE1" w:rsidRPr="00755DD8" w:rsidRDefault="00615BE1">
      <w:pPr>
        <w:pStyle w:val="a3"/>
        <w:rPr>
          <w:rFonts w:ascii="Times New Roman" w:hAnsi="Times New Roman" w:cs="Times New Roman"/>
          <w:sz w:val="24"/>
          <w:szCs w:val="24"/>
        </w:rPr>
      </w:pPr>
      <w:r w:rsidRPr="00755DD8">
        <w:rPr>
          <w:rStyle w:val="a5"/>
          <w:rFonts w:ascii="Times New Roman" w:hAnsi="Times New Roman" w:cs="Times New Roman"/>
          <w:sz w:val="24"/>
          <w:szCs w:val="24"/>
        </w:rPr>
        <w:footnoteRef/>
      </w:r>
      <w:r w:rsidRPr="00755DD8">
        <w:rPr>
          <w:rFonts w:ascii="Times New Roman" w:hAnsi="Times New Roman" w:cs="Times New Roman"/>
          <w:sz w:val="24"/>
          <w:szCs w:val="24"/>
        </w:rPr>
        <w:t xml:space="preserve">  По данным </w:t>
      </w:r>
      <w:r w:rsidRPr="00755DD8">
        <w:rPr>
          <w:rFonts w:ascii="Times New Roman" w:hAnsi="Times New Roman" w:cs="Times New Roman"/>
          <w:sz w:val="24"/>
          <w:szCs w:val="24"/>
          <w:lang w:val="en-US"/>
        </w:rPr>
        <w:t>mergers</w:t>
      </w:r>
      <w:r w:rsidRPr="00755DD8">
        <w:rPr>
          <w:rFonts w:ascii="Times New Roman" w:hAnsi="Times New Roman" w:cs="Times New Roman"/>
          <w:sz w:val="24"/>
          <w:szCs w:val="24"/>
        </w:rPr>
        <w:t>.</w:t>
      </w:r>
      <w:proofErr w:type="spellStart"/>
      <w:r w:rsidRPr="00755DD8">
        <w:rPr>
          <w:rFonts w:ascii="Times New Roman" w:hAnsi="Times New Roman" w:cs="Times New Roman"/>
          <w:sz w:val="24"/>
          <w:szCs w:val="24"/>
          <w:lang w:val="en-US"/>
        </w:rPr>
        <w:t>ru</w:t>
      </w:r>
      <w:proofErr w:type="spellEnd"/>
    </w:p>
  </w:footnote>
  <w:footnote w:id="14">
    <w:p w:rsidR="00615BE1" w:rsidRPr="00C8297A" w:rsidRDefault="00615BE1" w:rsidP="002A2DE3">
      <w:pPr>
        <w:pStyle w:val="a3"/>
        <w:rPr>
          <w:rFonts w:ascii="Times New Roman" w:hAnsi="Times New Roman"/>
          <w:sz w:val="24"/>
          <w:szCs w:val="24"/>
        </w:rPr>
      </w:pPr>
      <w:r w:rsidRPr="00C8297A">
        <w:rPr>
          <w:rStyle w:val="a5"/>
          <w:rFonts w:ascii="Times New Roman" w:hAnsi="Times New Roman"/>
          <w:sz w:val="24"/>
          <w:szCs w:val="24"/>
        </w:rPr>
        <w:footnoteRef/>
      </w:r>
      <w:r w:rsidRPr="00C8297A">
        <w:rPr>
          <w:rFonts w:ascii="Times New Roman" w:hAnsi="Times New Roman"/>
          <w:sz w:val="24"/>
          <w:szCs w:val="24"/>
        </w:rPr>
        <w:t xml:space="preserve">  Ежегодный отчет КПМГ «Рынок слияний и поглощений в 2012 году»</w:t>
      </w:r>
    </w:p>
  </w:footnote>
  <w:footnote w:id="15">
    <w:p w:rsidR="00615BE1" w:rsidRPr="00D93F59" w:rsidRDefault="00615BE1">
      <w:pPr>
        <w:pStyle w:val="a3"/>
        <w:rPr>
          <w:rFonts w:ascii="Times New Roman" w:hAnsi="Times New Roman" w:cs="Times New Roman"/>
          <w:sz w:val="24"/>
          <w:szCs w:val="24"/>
        </w:rPr>
      </w:pPr>
      <w:r w:rsidRPr="00D93F59">
        <w:rPr>
          <w:rStyle w:val="a5"/>
          <w:rFonts w:ascii="Times New Roman" w:hAnsi="Times New Roman" w:cs="Times New Roman"/>
          <w:sz w:val="24"/>
          <w:szCs w:val="24"/>
        </w:rPr>
        <w:footnoteRef/>
      </w:r>
      <w:r w:rsidRPr="00D93F59">
        <w:rPr>
          <w:rFonts w:ascii="Times New Roman" w:hAnsi="Times New Roman" w:cs="Times New Roman"/>
          <w:sz w:val="24"/>
          <w:szCs w:val="24"/>
        </w:rPr>
        <w:t xml:space="preserve">  Слияния и поглощения в России, январь-декабрь 2012 – </w:t>
      </w:r>
      <w:r w:rsidRPr="00D93F59">
        <w:rPr>
          <w:rFonts w:ascii="Times New Roman" w:hAnsi="Times New Roman" w:cs="Times New Roman"/>
          <w:sz w:val="24"/>
          <w:szCs w:val="24"/>
          <w:lang w:val="en-US"/>
        </w:rPr>
        <w:t>mergers</w:t>
      </w:r>
      <w:r w:rsidRPr="00D93F59">
        <w:rPr>
          <w:rFonts w:ascii="Times New Roman" w:hAnsi="Times New Roman" w:cs="Times New Roman"/>
          <w:sz w:val="24"/>
          <w:szCs w:val="24"/>
        </w:rPr>
        <w:t>.</w:t>
      </w:r>
      <w:proofErr w:type="spellStart"/>
      <w:r w:rsidRPr="00D93F59">
        <w:rPr>
          <w:rFonts w:ascii="Times New Roman" w:hAnsi="Times New Roman" w:cs="Times New Roman"/>
          <w:sz w:val="24"/>
          <w:szCs w:val="24"/>
          <w:lang w:val="en-US"/>
        </w:rPr>
        <w:t>ru</w:t>
      </w:r>
      <w:proofErr w:type="spellEnd"/>
    </w:p>
  </w:footnote>
  <w:footnote w:id="16">
    <w:p w:rsidR="00615BE1" w:rsidRDefault="00615BE1" w:rsidP="002A2DE3">
      <w:pPr>
        <w:pStyle w:val="a3"/>
      </w:pPr>
      <w:r>
        <w:rPr>
          <w:rStyle w:val="a5"/>
        </w:rPr>
        <w:footnoteRef/>
      </w:r>
      <w:r w:rsidRPr="00C8297A">
        <w:rPr>
          <w:rFonts w:ascii="Times New Roman" w:hAnsi="Times New Roman"/>
          <w:sz w:val="24"/>
          <w:szCs w:val="24"/>
        </w:rPr>
        <w:t>Ежегодный отчет КПМГ «Рынок слияний и поглощений в 2012 году»</w:t>
      </w:r>
    </w:p>
  </w:footnote>
  <w:footnote w:id="17">
    <w:p w:rsidR="00615BE1" w:rsidRPr="002D4219" w:rsidRDefault="00615BE1" w:rsidP="002A2DE3">
      <w:pPr>
        <w:pStyle w:val="a3"/>
        <w:rPr>
          <w:rFonts w:ascii="Times New Roman" w:hAnsi="Times New Roman"/>
          <w:sz w:val="24"/>
          <w:szCs w:val="24"/>
        </w:rPr>
      </w:pPr>
      <w:r w:rsidRPr="00EB495C">
        <w:rPr>
          <w:rStyle w:val="a5"/>
          <w:rFonts w:ascii="Times New Roman" w:hAnsi="Times New Roman"/>
          <w:sz w:val="24"/>
          <w:szCs w:val="24"/>
        </w:rPr>
        <w:footnoteRef/>
      </w:r>
      <w:r w:rsidRPr="00EB495C">
        <w:rPr>
          <w:rFonts w:ascii="Times New Roman" w:hAnsi="Times New Roman"/>
          <w:sz w:val="24"/>
          <w:szCs w:val="24"/>
        </w:rPr>
        <w:t xml:space="preserve">  Источник: рейтинговое</w:t>
      </w:r>
      <w:r>
        <w:rPr>
          <w:rFonts w:ascii="Times New Roman" w:hAnsi="Times New Roman"/>
          <w:sz w:val="24"/>
          <w:szCs w:val="24"/>
        </w:rPr>
        <w:t xml:space="preserve"> агентство </w:t>
      </w:r>
      <w:r w:rsidRPr="00EB495C">
        <w:rPr>
          <w:rFonts w:ascii="Times New Roman" w:hAnsi="Times New Roman"/>
          <w:sz w:val="24"/>
          <w:szCs w:val="24"/>
          <w:lang w:val="en-US"/>
        </w:rPr>
        <w:t>AK</w:t>
      </w:r>
      <w:r w:rsidRPr="002D4219">
        <w:rPr>
          <w:rFonts w:ascii="Times New Roman" w:hAnsi="Times New Roman"/>
          <w:sz w:val="24"/>
          <w:szCs w:val="24"/>
        </w:rPr>
        <w:t>&amp;</w:t>
      </w:r>
      <w:r w:rsidRPr="00EB495C">
        <w:rPr>
          <w:rFonts w:ascii="Times New Roman" w:hAnsi="Times New Roman"/>
          <w:sz w:val="24"/>
          <w:szCs w:val="24"/>
          <w:lang w:val="en-US"/>
        </w:rPr>
        <w:t>M</w:t>
      </w:r>
    </w:p>
  </w:footnote>
  <w:footnote w:id="18">
    <w:p w:rsidR="00615BE1" w:rsidRPr="003046AE" w:rsidRDefault="00615BE1" w:rsidP="002A2DE3">
      <w:pPr>
        <w:pStyle w:val="a3"/>
        <w:rPr>
          <w:rFonts w:ascii="Times New Roman" w:hAnsi="Times New Roman"/>
          <w:sz w:val="24"/>
          <w:szCs w:val="24"/>
        </w:rPr>
      </w:pPr>
      <w:r w:rsidRPr="003046AE">
        <w:rPr>
          <w:rStyle w:val="a5"/>
          <w:rFonts w:ascii="Times New Roman" w:hAnsi="Times New Roman"/>
          <w:sz w:val="24"/>
          <w:szCs w:val="24"/>
        </w:rPr>
        <w:footnoteRef/>
      </w:r>
      <w:r w:rsidRPr="003046AE">
        <w:rPr>
          <w:rFonts w:ascii="Times New Roman" w:hAnsi="Times New Roman"/>
          <w:sz w:val="24"/>
          <w:szCs w:val="24"/>
        </w:rPr>
        <w:t xml:space="preserve"> ”Стандарты оценки, обязательные к применению субъектами оценочной деятельности”, утвержденные Постановлением Правительства РФ от 06.07.2001 №519</w:t>
      </w:r>
    </w:p>
  </w:footnote>
  <w:footnote w:id="19">
    <w:p w:rsidR="00615BE1" w:rsidRPr="003046AE" w:rsidRDefault="00615BE1" w:rsidP="002A2DE3">
      <w:pPr>
        <w:pStyle w:val="a3"/>
        <w:rPr>
          <w:rFonts w:ascii="Times New Roman" w:hAnsi="Times New Roman"/>
          <w:sz w:val="24"/>
          <w:szCs w:val="24"/>
        </w:rPr>
      </w:pPr>
      <w:r w:rsidRPr="003046AE">
        <w:rPr>
          <w:rStyle w:val="a5"/>
          <w:rFonts w:ascii="Times New Roman" w:hAnsi="Times New Roman"/>
          <w:sz w:val="24"/>
          <w:szCs w:val="24"/>
        </w:rPr>
        <w:footnoteRef/>
      </w:r>
      <w:r w:rsidRPr="003046AE">
        <w:rPr>
          <w:rFonts w:ascii="Times New Roman" w:hAnsi="Times New Roman"/>
          <w:sz w:val="24"/>
          <w:szCs w:val="24"/>
        </w:rPr>
        <w:t>Там же</w:t>
      </w:r>
    </w:p>
  </w:footnote>
  <w:footnote w:id="20">
    <w:p w:rsidR="00615BE1" w:rsidRDefault="00615BE1" w:rsidP="002A2DE3">
      <w:pPr>
        <w:pStyle w:val="a3"/>
      </w:pPr>
      <w:r w:rsidRPr="003046AE">
        <w:rPr>
          <w:rStyle w:val="a5"/>
          <w:rFonts w:ascii="Times New Roman" w:hAnsi="Times New Roman"/>
          <w:sz w:val="24"/>
          <w:szCs w:val="24"/>
        </w:rPr>
        <w:footnoteRef/>
      </w:r>
      <w:r w:rsidRPr="003046AE">
        <w:rPr>
          <w:rFonts w:ascii="Times New Roman" w:hAnsi="Times New Roman"/>
          <w:sz w:val="24"/>
          <w:szCs w:val="24"/>
        </w:rPr>
        <w:t xml:space="preserve">  Там же</w:t>
      </w:r>
    </w:p>
  </w:footnote>
  <w:footnote w:id="21">
    <w:p w:rsidR="00615BE1" w:rsidRPr="00375DD3" w:rsidRDefault="00615BE1">
      <w:pPr>
        <w:pStyle w:val="a3"/>
        <w:rPr>
          <w:rFonts w:ascii="Times New Roman" w:hAnsi="Times New Roman" w:cs="Times New Roman"/>
          <w:sz w:val="24"/>
          <w:szCs w:val="24"/>
        </w:rPr>
      </w:pPr>
      <w:r w:rsidRPr="00375DD3">
        <w:rPr>
          <w:rStyle w:val="a5"/>
          <w:rFonts w:ascii="Times New Roman" w:hAnsi="Times New Roman" w:cs="Times New Roman"/>
          <w:sz w:val="24"/>
          <w:szCs w:val="24"/>
        </w:rPr>
        <w:footnoteRef/>
      </w:r>
      <w:r w:rsidRPr="00375DD3">
        <w:rPr>
          <w:rFonts w:ascii="Times New Roman" w:hAnsi="Times New Roman" w:cs="Times New Roman"/>
          <w:sz w:val="24"/>
          <w:szCs w:val="24"/>
        </w:rPr>
        <w:t xml:space="preserve">  </w:t>
      </w:r>
      <w:proofErr w:type="spellStart"/>
      <w:r w:rsidRPr="00375DD3">
        <w:rPr>
          <w:rFonts w:ascii="Times New Roman" w:hAnsi="Times New Roman" w:cs="Times New Roman"/>
          <w:sz w:val="24"/>
          <w:szCs w:val="24"/>
        </w:rPr>
        <w:t>Ивашковская</w:t>
      </w:r>
      <w:proofErr w:type="spellEnd"/>
      <w:r w:rsidRPr="00375DD3">
        <w:rPr>
          <w:rFonts w:ascii="Times New Roman" w:hAnsi="Times New Roman" w:cs="Times New Roman"/>
          <w:sz w:val="24"/>
          <w:szCs w:val="24"/>
        </w:rPr>
        <w:t xml:space="preserve"> Слияния и поглощения. Ловушки роста // Корпоративные финансы. – 2004. </w:t>
      </w:r>
      <w:r>
        <w:rPr>
          <w:rFonts w:ascii="Times New Roman" w:hAnsi="Times New Roman" w:cs="Times New Roman"/>
          <w:sz w:val="24"/>
          <w:szCs w:val="24"/>
        </w:rPr>
        <w:t xml:space="preserve">- </w:t>
      </w:r>
      <w:r w:rsidRPr="00375DD3">
        <w:rPr>
          <w:rFonts w:ascii="Times New Roman" w:hAnsi="Times New Roman" w:cs="Times New Roman"/>
          <w:sz w:val="24"/>
          <w:szCs w:val="24"/>
        </w:rPr>
        <w:t>№38. – С.26.</w:t>
      </w:r>
    </w:p>
  </w:footnote>
  <w:footnote w:id="22">
    <w:p w:rsidR="00615BE1" w:rsidRDefault="00615BE1">
      <w:pPr>
        <w:pStyle w:val="a3"/>
      </w:pPr>
      <w:r w:rsidRPr="00375DD3">
        <w:rPr>
          <w:rStyle w:val="a5"/>
          <w:sz w:val="24"/>
          <w:szCs w:val="24"/>
        </w:rPr>
        <w:footnoteRef/>
      </w:r>
      <w:r>
        <w:t xml:space="preserve">  </w:t>
      </w:r>
      <w:r w:rsidRPr="003046AE">
        <w:rPr>
          <w:rFonts w:ascii="Times New Roman" w:hAnsi="Times New Roman"/>
          <w:sz w:val="24"/>
          <w:szCs w:val="24"/>
        </w:rPr>
        <w:t xml:space="preserve">Эванс Ф., Бишоп Д. Оценка компаний при слияниях и поглощениях: создание стоимости в частных компаниях. – М.: </w:t>
      </w:r>
      <w:proofErr w:type="spellStart"/>
      <w:r w:rsidRPr="003046AE">
        <w:rPr>
          <w:rFonts w:ascii="Times New Roman" w:hAnsi="Times New Roman"/>
          <w:sz w:val="24"/>
          <w:szCs w:val="24"/>
        </w:rPr>
        <w:t>Альпина</w:t>
      </w:r>
      <w:proofErr w:type="spellEnd"/>
      <w:r w:rsidRPr="003046AE">
        <w:rPr>
          <w:rFonts w:ascii="Times New Roman" w:hAnsi="Times New Roman"/>
          <w:sz w:val="24"/>
          <w:szCs w:val="24"/>
        </w:rPr>
        <w:t xml:space="preserve"> Бизнес Букс, 2004.</w:t>
      </w:r>
    </w:p>
  </w:footnote>
  <w:footnote w:id="23">
    <w:p w:rsidR="00615BE1" w:rsidRPr="003046AE" w:rsidRDefault="00615BE1" w:rsidP="002A2DE3">
      <w:pPr>
        <w:pStyle w:val="a3"/>
        <w:rPr>
          <w:rFonts w:ascii="Times New Roman" w:hAnsi="Times New Roman"/>
          <w:sz w:val="24"/>
          <w:szCs w:val="24"/>
        </w:rPr>
      </w:pPr>
      <w:r w:rsidRPr="003046AE">
        <w:rPr>
          <w:rStyle w:val="a5"/>
          <w:rFonts w:ascii="Times New Roman" w:hAnsi="Times New Roman"/>
          <w:sz w:val="24"/>
          <w:szCs w:val="24"/>
        </w:rPr>
        <w:footnoteRef/>
      </w:r>
      <w:r w:rsidRPr="003046AE">
        <w:rPr>
          <w:rFonts w:ascii="Times New Roman" w:hAnsi="Times New Roman"/>
          <w:sz w:val="24"/>
          <w:szCs w:val="24"/>
        </w:rPr>
        <w:t xml:space="preserve">  Эванс Ф., Бишоп Д. Оценка компаний при слияниях и поглощениях: создание стоимости в частных компаниях. – М.: </w:t>
      </w:r>
      <w:proofErr w:type="spellStart"/>
      <w:r w:rsidRPr="003046AE">
        <w:rPr>
          <w:rFonts w:ascii="Times New Roman" w:hAnsi="Times New Roman"/>
          <w:sz w:val="24"/>
          <w:szCs w:val="24"/>
        </w:rPr>
        <w:t>Альпина</w:t>
      </w:r>
      <w:proofErr w:type="spellEnd"/>
      <w:r w:rsidRPr="003046AE">
        <w:rPr>
          <w:rFonts w:ascii="Times New Roman" w:hAnsi="Times New Roman"/>
          <w:sz w:val="24"/>
          <w:szCs w:val="24"/>
        </w:rPr>
        <w:t xml:space="preserve"> Бизнес Букс, 2004.</w:t>
      </w:r>
    </w:p>
  </w:footnote>
  <w:footnote w:id="24">
    <w:p w:rsidR="00615BE1" w:rsidRPr="00ED03D6" w:rsidRDefault="00615BE1" w:rsidP="002A2DE3">
      <w:pPr>
        <w:pStyle w:val="a3"/>
        <w:jc w:val="both"/>
        <w:rPr>
          <w:rFonts w:ascii="Times New Roman" w:hAnsi="Times New Roman"/>
          <w:sz w:val="24"/>
          <w:szCs w:val="24"/>
        </w:rPr>
      </w:pPr>
      <w:r w:rsidRPr="00ED03D6">
        <w:rPr>
          <w:rStyle w:val="a5"/>
          <w:rFonts w:ascii="Times New Roman" w:hAnsi="Times New Roman"/>
          <w:sz w:val="24"/>
          <w:szCs w:val="24"/>
        </w:rPr>
        <w:footnoteRef/>
      </w:r>
      <w:r w:rsidRPr="00ED03D6">
        <w:rPr>
          <w:rFonts w:ascii="Times New Roman" w:hAnsi="Times New Roman"/>
          <w:sz w:val="24"/>
          <w:szCs w:val="24"/>
        </w:rPr>
        <w:t xml:space="preserve">  Оценка бизнеса</w:t>
      </w:r>
      <w:proofErr w:type="gramStart"/>
      <w:r w:rsidRPr="00ED03D6">
        <w:rPr>
          <w:rFonts w:ascii="Times New Roman" w:hAnsi="Times New Roman"/>
          <w:sz w:val="24"/>
          <w:szCs w:val="24"/>
        </w:rPr>
        <w:t>/П</w:t>
      </w:r>
      <w:proofErr w:type="gramEnd"/>
      <w:r w:rsidRPr="00ED03D6">
        <w:rPr>
          <w:rFonts w:ascii="Times New Roman" w:hAnsi="Times New Roman"/>
          <w:sz w:val="24"/>
          <w:szCs w:val="24"/>
        </w:rPr>
        <w:t>од ред. А.Г. Грязновой, М.А. Федотовой. – М.: Финансы и Статистика, 2007.</w:t>
      </w:r>
    </w:p>
  </w:footnote>
  <w:footnote w:id="25">
    <w:p w:rsidR="00615BE1" w:rsidRPr="00ED03D6" w:rsidRDefault="00615BE1" w:rsidP="002A2DE3">
      <w:pPr>
        <w:pStyle w:val="a3"/>
        <w:rPr>
          <w:rFonts w:ascii="Times New Roman" w:hAnsi="Times New Roman"/>
          <w:sz w:val="24"/>
          <w:szCs w:val="24"/>
        </w:rPr>
      </w:pPr>
      <w:r w:rsidRPr="00ED03D6">
        <w:rPr>
          <w:rStyle w:val="a5"/>
          <w:rFonts w:ascii="Times New Roman" w:hAnsi="Times New Roman"/>
          <w:sz w:val="24"/>
          <w:szCs w:val="24"/>
        </w:rPr>
        <w:footnoteRef/>
      </w:r>
      <w:r w:rsidRPr="00ED03D6">
        <w:rPr>
          <w:rFonts w:ascii="Times New Roman" w:hAnsi="Times New Roman"/>
          <w:sz w:val="24"/>
          <w:szCs w:val="24"/>
        </w:rPr>
        <w:t xml:space="preserve"> Лысенко Д.В. Анализ эффективности слияний и поглощений// Аудит и финансовый анализ . – </w:t>
      </w:r>
      <w:r>
        <w:rPr>
          <w:rFonts w:ascii="Times New Roman" w:hAnsi="Times New Roman"/>
          <w:sz w:val="24"/>
          <w:szCs w:val="24"/>
        </w:rPr>
        <w:t>2008. -№4. – С. 13</w:t>
      </w:r>
    </w:p>
  </w:footnote>
  <w:footnote w:id="26">
    <w:p w:rsidR="00615BE1" w:rsidRPr="00C42567" w:rsidRDefault="00615BE1" w:rsidP="002A2DE3">
      <w:pPr>
        <w:pStyle w:val="a3"/>
      </w:pPr>
      <w:r>
        <w:rPr>
          <w:rStyle w:val="a5"/>
        </w:rPr>
        <w:footnoteRef/>
      </w:r>
      <w:r w:rsidRPr="00377B44">
        <w:rPr>
          <w:rFonts w:ascii="Times New Roman" w:hAnsi="Times New Roman"/>
          <w:sz w:val="24"/>
          <w:szCs w:val="24"/>
        </w:rPr>
        <w:t xml:space="preserve">Лысенко Д.В. Анализ эффективности слияний и поглощений// Аудит и финансовый анализ . – </w:t>
      </w:r>
      <w:r>
        <w:rPr>
          <w:rFonts w:ascii="Times New Roman" w:hAnsi="Times New Roman"/>
          <w:sz w:val="24"/>
          <w:szCs w:val="24"/>
        </w:rPr>
        <w:t xml:space="preserve">2008. -№4. – С. </w:t>
      </w:r>
      <w:r w:rsidRPr="00C42567">
        <w:rPr>
          <w:rFonts w:ascii="Times New Roman" w:hAnsi="Times New Roman"/>
          <w:sz w:val="24"/>
          <w:szCs w:val="24"/>
        </w:rPr>
        <w:t>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05A"/>
    <w:multiLevelType w:val="hybridMultilevel"/>
    <w:tmpl w:val="92986AC4"/>
    <w:lvl w:ilvl="0" w:tplc="5450E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809D9"/>
    <w:multiLevelType w:val="hybridMultilevel"/>
    <w:tmpl w:val="4AFC2FFA"/>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
    <w:nsid w:val="07171AAF"/>
    <w:multiLevelType w:val="hybridMultilevel"/>
    <w:tmpl w:val="8EB09E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10919AE"/>
    <w:multiLevelType w:val="hybridMultilevel"/>
    <w:tmpl w:val="CF906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BA93AD4"/>
    <w:multiLevelType w:val="hybridMultilevel"/>
    <w:tmpl w:val="6218916A"/>
    <w:lvl w:ilvl="0" w:tplc="BDA85698">
      <w:start w:val="1"/>
      <w:numFmt w:val="decimal"/>
      <w:lvlText w:val="%1."/>
      <w:lvlJc w:val="left"/>
      <w:pPr>
        <w:ind w:left="1568" w:hanging="360"/>
      </w:pPr>
      <w:rPr>
        <w:rFonts w:hint="default"/>
      </w:rPr>
    </w:lvl>
    <w:lvl w:ilvl="1" w:tplc="04190019" w:tentative="1">
      <w:start w:val="1"/>
      <w:numFmt w:val="lowerLetter"/>
      <w:lvlText w:val="%2."/>
      <w:lvlJc w:val="left"/>
      <w:pPr>
        <w:ind w:left="2288" w:hanging="360"/>
      </w:pPr>
    </w:lvl>
    <w:lvl w:ilvl="2" w:tplc="0419001B" w:tentative="1">
      <w:start w:val="1"/>
      <w:numFmt w:val="lowerRoman"/>
      <w:lvlText w:val="%3."/>
      <w:lvlJc w:val="right"/>
      <w:pPr>
        <w:ind w:left="3008" w:hanging="180"/>
      </w:pPr>
    </w:lvl>
    <w:lvl w:ilvl="3" w:tplc="0419000F" w:tentative="1">
      <w:start w:val="1"/>
      <w:numFmt w:val="decimal"/>
      <w:lvlText w:val="%4."/>
      <w:lvlJc w:val="left"/>
      <w:pPr>
        <w:ind w:left="3728" w:hanging="360"/>
      </w:pPr>
    </w:lvl>
    <w:lvl w:ilvl="4" w:tplc="04190019" w:tentative="1">
      <w:start w:val="1"/>
      <w:numFmt w:val="lowerLetter"/>
      <w:lvlText w:val="%5."/>
      <w:lvlJc w:val="left"/>
      <w:pPr>
        <w:ind w:left="4448" w:hanging="360"/>
      </w:pPr>
    </w:lvl>
    <w:lvl w:ilvl="5" w:tplc="0419001B" w:tentative="1">
      <w:start w:val="1"/>
      <w:numFmt w:val="lowerRoman"/>
      <w:lvlText w:val="%6."/>
      <w:lvlJc w:val="right"/>
      <w:pPr>
        <w:ind w:left="5168" w:hanging="180"/>
      </w:pPr>
    </w:lvl>
    <w:lvl w:ilvl="6" w:tplc="0419000F" w:tentative="1">
      <w:start w:val="1"/>
      <w:numFmt w:val="decimal"/>
      <w:lvlText w:val="%7."/>
      <w:lvlJc w:val="left"/>
      <w:pPr>
        <w:ind w:left="5888" w:hanging="360"/>
      </w:pPr>
    </w:lvl>
    <w:lvl w:ilvl="7" w:tplc="04190019" w:tentative="1">
      <w:start w:val="1"/>
      <w:numFmt w:val="lowerLetter"/>
      <w:lvlText w:val="%8."/>
      <w:lvlJc w:val="left"/>
      <w:pPr>
        <w:ind w:left="6608" w:hanging="360"/>
      </w:pPr>
    </w:lvl>
    <w:lvl w:ilvl="8" w:tplc="0419001B" w:tentative="1">
      <w:start w:val="1"/>
      <w:numFmt w:val="lowerRoman"/>
      <w:lvlText w:val="%9."/>
      <w:lvlJc w:val="right"/>
      <w:pPr>
        <w:ind w:left="7328" w:hanging="180"/>
      </w:pPr>
    </w:lvl>
  </w:abstractNum>
  <w:abstractNum w:abstractNumId="5">
    <w:nsid w:val="2D6119E2"/>
    <w:multiLevelType w:val="hybridMultilevel"/>
    <w:tmpl w:val="64D6E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1963F0"/>
    <w:multiLevelType w:val="multilevel"/>
    <w:tmpl w:val="98EE4E8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7141FC2"/>
    <w:multiLevelType w:val="hybridMultilevel"/>
    <w:tmpl w:val="FAC0610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54B56D6D"/>
    <w:multiLevelType w:val="hybridMultilevel"/>
    <w:tmpl w:val="FED0044C"/>
    <w:lvl w:ilvl="0" w:tplc="637E57B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59183C82"/>
    <w:multiLevelType w:val="hybridMultilevel"/>
    <w:tmpl w:val="8F22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F7451"/>
    <w:multiLevelType w:val="hybridMultilevel"/>
    <w:tmpl w:val="93442968"/>
    <w:lvl w:ilvl="0" w:tplc="04190005">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1">
    <w:nsid w:val="61ED08ED"/>
    <w:multiLevelType w:val="hybridMultilevel"/>
    <w:tmpl w:val="3CA2860E"/>
    <w:lvl w:ilvl="0" w:tplc="04190005">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
    <w:nsid w:val="6D9B2F2B"/>
    <w:multiLevelType w:val="hybridMultilevel"/>
    <w:tmpl w:val="98C0A3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CC5D22"/>
    <w:multiLevelType w:val="hybridMultilevel"/>
    <w:tmpl w:val="37121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2"/>
  </w:num>
  <w:num w:numId="4">
    <w:abstractNumId w:val="2"/>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851D0E"/>
    <w:rsid w:val="0000332F"/>
    <w:rsid w:val="0000528E"/>
    <w:rsid w:val="00005669"/>
    <w:rsid w:val="00010493"/>
    <w:rsid w:val="0001226D"/>
    <w:rsid w:val="00015042"/>
    <w:rsid w:val="000171E0"/>
    <w:rsid w:val="0001770D"/>
    <w:rsid w:val="00017F4E"/>
    <w:rsid w:val="00021323"/>
    <w:rsid w:val="000232C9"/>
    <w:rsid w:val="00026D37"/>
    <w:rsid w:val="00032F5B"/>
    <w:rsid w:val="00033B48"/>
    <w:rsid w:val="00046893"/>
    <w:rsid w:val="000477B0"/>
    <w:rsid w:val="000522FF"/>
    <w:rsid w:val="00056B14"/>
    <w:rsid w:val="00057A15"/>
    <w:rsid w:val="00064D4C"/>
    <w:rsid w:val="000655CF"/>
    <w:rsid w:val="00065C8F"/>
    <w:rsid w:val="00067D27"/>
    <w:rsid w:val="00070073"/>
    <w:rsid w:val="0007151E"/>
    <w:rsid w:val="0007618E"/>
    <w:rsid w:val="000769F6"/>
    <w:rsid w:val="00080282"/>
    <w:rsid w:val="000838B5"/>
    <w:rsid w:val="00083AE3"/>
    <w:rsid w:val="00085D4A"/>
    <w:rsid w:val="00090E7D"/>
    <w:rsid w:val="000937AA"/>
    <w:rsid w:val="00093C94"/>
    <w:rsid w:val="000A72FD"/>
    <w:rsid w:val="000B3B28"/>
    <w:rsid w:val="000B47FF"/>
    <w:rsid w:val="000B4A52"/>
    <w:rsid w:val="000B507C"/>
    <w:rsid w:val="000B7E16"/>
    <w:rsid w:val="000C1F99"/>
    <w:rsid w:val="000C741B"/>
    <w:rsid w:val="000D10CB"/>
    <w:rsid w:val="000D6F0B"/>
    <w:rsid w:val="000E24EE"/>
    <w:rsid w:val="000E252E"/>
    <w:rsid w:val="000E34F2"/>
    <w:rsid w:val="000F0ECE"/>
    <w:rsid w:val="000F14E9"/>
    <w:rsid w:val="000F2B90"/>
    <w:rsid w:val="000F4D06"/>
    <w:rsid w:val="000F5BD8"/>
    <w:rsid w:val="000F7DFC"/>
    <w:rsid w:val="0010017C"/>
    <w:rsid w:val="00102220"/>
    <w:rsid w:val="0010446C"/>
    <w:rsid w:val="00106D50"/>
    <w:rsid w:val="00113307"/>
    <w:rsid w:val="00121013"/>
    <w:rsid w:val="0012216D"/>
    <w:rsid w:val="001228FF"/>
    <w:rsid w:val="00124A16"/>
    <w:rsid w:val="00124A9A"/>
    <w:rsid w:val="00125E3E"/>
    <w:rsid w:val="00126F2B"/>
    <w:rsid w:val="00127537"/>
    <w:rsid w:val="001321C8"/>
    <w:rsid w:val="00133C2C"/>
    <w:rsid w:val="00134A11"/>
    <w:rsid w:val="001441B4"/>
    <w:rsid w:val="001445D5"/>
    <w:rsid w:val="0014556C"/>
    <w:rsid w:val="00145ED1"/>
    <w:rsid w:val="00146CCD"/>
    <w:rsid w:val="00150E5B"/>
    <w:rsid w:val="001519DB"/>
    <w:rsid w:val="001571D1"/>
    <w:rsid w:val="0016302C"/>
    <w:rsid w:val="001636AC"/>
    <w:rsid w:val="0016492E"/>
    <w:rsid w:val="00165926"/>
    <w:rsid w:val="00172F77"/>
    <w:rsid w:val="00172FF6"/>
    <w:rsid w:val="00173E5A"/>
    <w:rsid w:val="0017487C"/>
    <w:rsid w:val="0017550D"/>
    <w:rsid w:val="00175D0E"/>
    <w:rsid w:val="0017743F"/>
    <w:rsid w:val="00181126"/>
    <w:rsid w:val="00182B22"/>
    <w:rsid w:val="00182DC4"/>
    <w:rsid w:val="00197A80"/>
    <w:rsid w:val="001A0450"/>
    <w:rsid w:val="001A190B"/>
    <w:rsid w:val="001A31A5"/>
    <w:rsid w:val="001A56C1"/>
    <w:rsid w:val="001A5AF6"/>
    <w:rsid w:val="001B10CA"/>
    <w:rsid w:val="001B2DF7"/>
    <w:rsid w:val="001C0E38"/>
    <w:rsid w:val="001C3E56"/>
    <w:rsid w:val="001C5273"/>
    <w:rsid w:val="001C7B5A"/>
    <w:rsid w:val="001D2CC6"/>
    <w:rsid w:val="001D7180"/>
    <w:rsid w:val="001D7209"/>
    <w:rsid w:val="001D7546"/>
    <w:rsid w:val="001E08E4"/>
    <w:rsid w:val="001E0962"/>
    <w:rsid w:val="001E1617"/>
    <w:rsid w:val="001E3E09"/>
    <w:rsid w:val="001E7E30"/>
    <w:rsid w:val="001F4D3B"/>
    <w:rsid w:val="001F7BF4"/>
    <w:rsid w:val="0020050E"/>
    <w:rsid w:val="002036F1"/>
    <w:rsid w:val="0020566E"/>
    <w:rsid w:val="00205E38"/>
    <w:rsid w:val="00206F40"/>
    <w:rsid w:val="00207901"/>
    <w:rsid w:val="00207EDA"/>
    <w:rsid w:val="00213D2B"/>
    <w:rsid w:val="00224C83"/>
    <w:rsid w:val="0022607F"/>
    <w:rsid w:val="00226C96"/>
    <w:rsid w:val="00227DEA"/>
    <w:rsid w:val="00227ECE"/>
    <w:rsid w:val="00235418"/>
    <w:rsid w:val="002424DC"/>
    <w:rsid w:val="002434FC"/>
    <w:rsid w:val="00245A46"/>
    <w:rsid w:val="0025113B"/>
    <w:rsid w:val="0025134F"/>
    <w:rsid w:val="00251A24"/>
    <w:rsid w:val="00252F3A"/>
    <w:rsid w:val="002540A9"/>
    <w:rsid w:val="002645E0"/>
    <w:rsid w:val="00265043"/>
    <w:rsid w:val="00265266"/>
    <w:rsid w:val="002728DC"/>
    <w:rsid w:val="0027560C"/>
    <w:rsid w:val="00277578"/>
    <w:rsid w:val="002846F0"/>
    <w:rsid w:val="00287B05"/>
    <w:rsid w:val="00292183"/>
    <w:rsid w:val="0029302B"/>
    <w:rsid w:val="002943EE"/>
    <w:rsid w:val="0029534D"/>
    <w:rsid w:val="0029650B"/>
    <w:rsid w:val="002A2DE1"/>
    <w:rsid w:val="002A2DE3"/>
    <w:rsid w:val="002A3642"/>
    <w:rsid w:val="002A3FD4"/>
    <w:rsid w:val="002A4623"/>
    <w:rsid w:val="002A6C88"/>
    <w:rsid w:val="002B1C2C"/>
    <w:rsid w:val="002B215D"/>
    <w:rsid w:val="002B4F04"/>
    <w:rsid w:val="002B597B"/>
    <w:rsid w:val="002B6568"/>
    <w:rsid w:val="002B6A65"/>
    <w:rsid w:val="002C2359"/>
    <w:rsid w:val="002C4483"/>
    <w:rsid w:val="002D1535"/>
    <w:rsid w:val="002D1EB0"/>
    <w:rsid w:val="002D4CDB"/>
    <w:rsid w:val="002E187A"/>
    <w:rsid w:val="002E2099"/>
    <w:rsid w:val="002E3A7E"/>
    <w:rsid w:val="002E6271"/>
    <w:rsid w:val="002E6527"/>
    <w:rsid w:val="002E73D9"/>
    <w:rsid w:val="002F0AA2"/>
    <w:rsid w:val="002F2876"/>
    <w:rsid w:val="002F4FC3"/>
    <w:rsid w:val="002F7ECB"/>
    <w:rsid w:val="00313DD7"/>
    <w:rsid w:val="00317F88"/>
    <w:rsid w:val="00321AE1"/>
    <w:rsid w:val="00321DFA"/>
    <w:rsid w:val="0032253E"/>
    <w:rsid w:val="00335B11"/>
    <w:rsid w:val="00335BE1"/>
    <w:rsid w:val="00336DB8"/>
    <w:rsid w:val="00337A03"/>
    <w:rsid w:val="003410F0"/>
    <w:rsid w:val="00341964"/>
    <w:rsid w:val="00342C06"/>
    <w:rsid w:val="00344C03"/>
    <w:rsid w:val="00352565"/>
    <w:rsid w:val="003527B7"/>
    <w:rsid w:val="003532FC"/>
    <w:rsid w:val="003550AA"/>
    <w:rsid w:val="00355974"/>
    <w:rsid w:val="00363988"/>
    <w:rsid w:val="00364980"/>
    <w:rsid w:val="00366555"/>
    <w:rsid w:val="00367FC1"/>
    <w:rsid w:val="00373DF7"/>
    <w:rsid w:val="00375DD3"/>
    <w:rsid w:val="00376763"/>
    <w:rsid w:val="003830CD"/>
    <w:rsid w:val="003845A8"/>
    <w:rsid w:val="00387599"/>
    <w:rsid w:val="00390C8C"/>
    <w:rsid w:val="00390FBE"/>
    <w:rsid w:val="00394CC8"/>
    <w:rsid w:val="00396AD0"/>
    <w:rsid w:val="00396B63"/>
    <w:rsid w:val="003A1588"/>
    <w:rsid w:val="003A178C"/>
    <w:rsid w:val="003A54B4"/>
    <w:rsid w:val="003B2EC5"/>
    <w:rsid w:val="003B3FF4"/>
    <w:rsid w:val="003B53A8"/>
    <w:rsid w:val="003B6243"/>
    <w:rsid w:val="003C06A5"/>
    <w:rsid w:val="003C09F8"/>
    <w:rsid w:val="003C0F39"/>
    <w:rsid w:val="003C207F"/>
    <w:rsid w:val="003C2D51"/>
    <w:rsid w:val="003C2DF5"/>
    <w:rsid w:val="003C5544"/>
    <w:rsid w:val="003D0E4C"/>
    <w:rsid w:val="003D1466"/>
    <w:rsid w:val="003D5E8E"/>
    <w:rsid w:val="003D7E75"/>
    <w:rsid w:val="003E1755"/>
    <w:rsid w:val="003E2BAA"/>
    <w:rsid w:val="003E3F26"/>
    <w:rsid w:val="003E4A6A"/>
    <w:rsid w:val="003E5D00"/>
    <w:rsid w:val="003E7159"/>
    <w:rsid w:val="003F2FCB"/>
    <w:rsid w:val="003F3697"/>
    <w:rsid w:val="003F36EB"/>
    <w:rsid w:val="003F453E"/>
    <w:rsid w:val="003F4747"/>
    <w:rsid w:val="003F48A3"/>
    <w:rsid w:val="003F74E7"/>
    <w:rsid w:val="004017CB"/>
    <w:rsid w:val="00404FD0"/>
    <w:rsid w:val="0041184C"/>
    <w:rsid w:val="004119BD"/>
    <w:rsid w:val="00411C6C"/>
    <w:rsid w:val="0041420F"/>
    <w:rsid w:val="00417163"/>
    <w:rsid w:val="00420C6F"/>
    <w:rsid w:val="004239CB"/>
    <w:rsid w:val="00423D0A"/>
    <w:rsid w:val="004243E7"/>
    <w:rsid w:val="00424F9C"/>
    <w:rsid w:val="004268AF"/>
    <w:rsid w:val="00426B35"/>
    <w:rsid w:val="004317E8"/>
    <w:rsid w:val="00432148"/>
    <w:rsid w:val="004328DD"/>
    <w:rsid w:val="00432ABB"/>
    <w:rsid w:val="00432C8F"/>
    <w:rsid w:val="00434047"/>
    <w:rsid w:val="00434D4A"/>
    <w:rsid w:val="00435476"/>
    <w:rsid w:val="0043674D"/>
    <w:rsid w:val="00437CD8"/>
    <w:rsid w:val="004446D0"/>
    <w:rsid w:val="004522EF"/>
    <w:rsid w:val="004531E5"/>
    <w:rsid w:val="00460BE0"/>
    <w:rsid w:val="00467590"/>
    <w:rsid w:val="0047465F"/>
    <w:rsid w:val="00476313"/>
    <w:rsid w:val="00476D7F"/>
    <w:rsid w:val="00477DD8"/>
    <w:rsid w:val="004843D8"/>
    <w:rsid w:val="00485ACE"/>
    <w:rsid w:val="004911A1"/>
    <w:rsid w:val="004A0B9C"/>
    <w:rsid w:val="004A13C0"/>
    <w:rsid w:val="004A1734"/>
    <w:rsid w:val="004A1AD9"/>
    <w:rsid w:val="004A2ACB"/>
    <w:rsid w:val="004A3809"/>
    <w:rsid w:val="004A75F7"/>
    <w:rsid w:val="004B2825"/>
    <w:rsid w:val="004B3EBB"/>
    <w:rsid w:val="004B4201"/>
    <w:rsid w:val="004B433B"/>
    <w:rsid w:val="004B5562"/>
    <w:rsid w:val="004C3F2F"/>
    <w:rsid w:val="004D7455"/>
    <w:rsid w:val="004D7EBC"/>
    <w:rsid w:val="004E0EE4"/>
    <w:rsid w:val="004E283B"/>
    <w:rsid w:val="004E35F4"/>
    <w:rsid w:val="004E447B"/>
    <w:rsid w:val="004E4CDD"/>
    <w:rsid w:val="004E4EBA"/>
    <w:rsid w:val="004E6164"/>
    <w:rsid w:val="004E64CC"/>
    <w:rsid w:val="004E7274"/>
    <w:rsid w:val="004F2731"/>
    <w:rsid w:val="004F7066"/>
    <w:rsid w:val="005037CE"/>
    <w:rsid w:val="0050657A"/>
    <w:rsid w:val="00506A23"/>
    <w:rsid w:val="0051126C"/>
    <w:rsid w:val="00511398"/>
    <w:rsid w:val="0051220A"/>
    <w:rsid w:val="00513CD8"/>
    <w:rsid w:val="005145B3"/>
    <w:rsid w:val="005170F4"/>
    <w:rsid w:val="00517BE3"/>
    <w:rsid w:val="005210CA"/>
    <w:rsid w:val="0052113A"/>
    <w:rsid w:val="005237ED"/>
    <w:rsid w:val="00532949"/>
    <w:rsid w:val="00535822"/>
    <w:rsid w:val="005378B8"/>
    <w:rsid w:val="00540763"/>
    <w:rsid w:val="00541CC2"/>
    <w:rsid w:val="00547AE3"/>
    <w:rsid w:val="005507FF"/>
    <w:rsid w:val="00551513"/>
    <w:rsid w:val="005536BB"/>
    <w:rsid w:val="00556243"/>
    <w:rsid w:val="005578F2"/>
    <w:rsid w:val="00562D02"/>
    <w:rsid w:val="00567B6A"/>
    <w:rsid w:val="00570A26"/>
    <w:rsid w:val="00571E51"/>
    <w:rsid w:val="00573513"/>
    <w:rsid w:val="00574DEE"/>
    <w:rsid w:val="00575B2E"/>
    <w:rsid w:val="00576413"/>
    <w:rsid w:val="0058217C"/>
    <w:rsid w:val="005912D7"/>
    <w:rsid w:val="00592F4C"/>
    <w:rsid w:val="00594A87"/>
    <w:rsid w:val="00597753"/>
    <w:rsid w:val="00597B01"/>
    <w:rsid w:val="005A7A35"/>
    <w:rsid w:val="005B08F4"/>
    <w:rsid w:val="005B1ABA"/>
    <w:rsid w:val="005B4FA9"/>
    <w:rsid w:val="005B7036"/>
    <w:rsid w:val="005B7CC6"/>
    <w:rsid w:val="005C1515"/>
    <w:rsid w:val="005C4B2F"/>
    <w:rsid w:val="005C5A41"/>
    <w:rsid w:val="005C70E3"/>
    <w:rsid w:val="005D16CD"/>
    <w:rsid w:val="005D5F38"/>
    <w:rsid w:val="005E07E3"/>
    <w:rsid w:val="005E26EE"/>
    <w:rsid w:val="005E6DBE"/>
    <w:rsid w:val="005F01BF"/>
    <w:rsid w:val="005F4327"/>
    <w:rsid w:val="005F5D74"/>
    <w:rsid w:val="00602526"/>
    <w:rsid w:val="006025CA"/>
    <w:rsid w:val="00603CB1"/>
    <w:rsid w:val="00604D40"/>
    <w:rsid w:val="0060678B"/>
    <w:rsid w:val="006116B3"/>
    <w:rsid w:val="00612450"/>
    <w:rsid w:val="00613DCD"/>
    <w:rsid w:val="00615BE1"/>
    <w:rsid w:val="00617F07"/>
    <w:rsid w:val="00620F83"/>
    <w:rsid w:val="00623272"/>
    <w:rsid w:val="00623466"/>
    <w:rsid w:val="0062432E"/>
    <w:rsid w:val="006279E1"/>
    <w:rsid w:val="00627F49"/>
    <w:rsid w:val="00630ECE"/>
    <w:rsid w:val="00635391"/>
    <w:rsid w:val="00636E7B"/>
    <w:rsid w:val="006375E0"/>
    <w:rsid w:val="00637657"/>
    <w:rsid w:val="00637C28"/>
    <w:rsid w:val="00640660"/>
    <w:rsid w:val="00641013"/>
    <w:rsid w:val="00641178"/>
    <w:rsid w:val="006411BE"/>
    <w:rsid w:val="006414E8"/>
    <w:rsid w:val="00642DAF"/>
    <w:rsid w:val="00643D66"/>
    <w:rsid w:val="00644823"/>
    <w:rsid w:val="0064795E"/>
    <w:rsid w:val="00650EFB"/>
    <w:rsid w:val="00652FE1"/>
    <w:rsid w:val="00654C3A"/>
    <w:rsid w:val="0066193F"/>
    <w:rsid w:val="00663C0F"/>
    <w:rsid w:val="00670CD4"/>
    <w:rsid w:val="00673250"/>
    <w:rsid w:val="00680C74"/>
    <w:rsid w:val="00684222"/>
    <w:rsid w:val="0068449A"/>
    <w:rsid w:val="006853F8"/>
    <w:rsid w:val="00685F2A"/>
    <w:rsid w:val="00692836"/>
    <w:rsid w:val="00693686"/>
    <w:rsid w:val="006940D3"/>
    <w:rsid w:val="00695736"/>
    <w:rsid w:val="00696EC4"/>
    <w:rsid w:val="006A062D"/>
    <w:rsid w:val="006A0A92"/>
    <w:rsid w:val="006A0C40"/>
    <w:rsid w:val="006A11F1"/>
    <w:rsid w:val="006A4420"/>
    <w:rsid w:val="006A502D"/>
    <w:rsid w:val="006A71E4"/>
    <w:rsid w:val="006B0EB0"/>
    <w:rsid w:val="006B1EFA"/>
    <w:rsid w:val="006B388B"/>
    <w:rsid w:val="006B467C"/>
    <w:rsid w:val="006B548A"/>
    <w:rsid w:val="006B76A8"/>
    <w:rsid w:val="006C1C8A"/>
    <w:rsid w:val="006C3BD6"/>
    <w:rsid w:val="006C4BEE"/>
    <w:rsid w:val="006D452B"/>
    <w:rsid w:val="006D454F"/>
    <w:rsid w:val="006D6C5F"/>
    <w:rsid w:val="006D7B27"/>
    <w:rsid w:val="006E0D84"/>
    <w:rsid w:val="006E2C59"/>
    <w:rsid w:val="006E477F"/>
    <w:rsid w:val="006E4E5A"/>
    <w:rsid w:val="006E5221"/>
    <w:rsid w:val="006F3412"/>
    <w:rsid w:val="006F3FE7"/>
    <w:rsid w:val="0070019C"/>
    <w:rsid w:val="0070349B"/>
    <w:rsid w:val="00705266"/>
    <w:rsid w:val="0070672B"/>
    <w:rsid w:val="00707D02"/>
    <w:rsid w:val="00712903"/>
    <w:rsid w:val="00712996"/>
    <w:rsid w:val="0072398C"/>
    <w:rsid w:val="00727B2D"/>
    <w:rsid w:val="007308A8"/>
    <w:rsid w:val="00730CB4"/>
    <w:rsid w:val="00736A1D"/>
    <w:rsid w:val="007447A7"/>
    <w:rsid w:val="007457CB"/>
    <w:rsid w:val="00745AC4"/>
    <w:rsid w:val="00745B0D"/>
    <w:rsid w:val="00745D02"/>
    <w:rsid w:val="007506BB"/>
    <w:rsid w:val="00753035"/>
    <w:rsid w:val="007546B5"/>
    <w:rsid w:val="00755DD8"/>
    <w:rsid w:val="00757C29"/>
    <w:rsid w:val="007600E0"/>
    <w:rsid w:val="00760327"/>
    <w:rsid w:val="00763711"/>
    <w:rsid w:val="0076672E"/>
    <w:rsid w:val="00766786"/>
    <w:rsid w:val="00767ACE"/>
    <w:rsid w:val="00771001"/>
    <w:rsid w:val="007823F6"/>
    <w:rsid w:val="007824BD"/>
    <w:rsid w:val="00782A56"/>
    <w:rsid w:val="007833AE"/>
    <w:rsid w:val="0078350B"/>
    <w:rsid w:val="007852F8"/>
    <w:rsid w:val="00792E8A"/>
    <w:rsid w:val="00793D0E"/>
    <w:rsid w:val="00794A08"/>
    <w:rsid w:val="00797EE0"/>
    <w:rsid w:val="007A15D8"/>
    <w:rsid w:val="007A42E2"/>
    <w:rsid w:val="007B0775"/>
    <w:rsid w:val="007B21A1"/>
    <w:rsid w:val="007B5822"/>
    <w:rsid w:val="007B61AC"/>
    <w:rsid w:val="007C24F8"/>
    <w:rsid w:val="007C44FD"/>
    <w:rsid w:val="007D214E"/>
    <w:rsid w:val="007D351B"/>
    <w:rsid w:val="007E2B2F"/>
    <w:rsid w:val="007E2BA5"/>
    <w:rsid w:val="007F0FE5"/>
    <w:rsid w:val="007F173B"/>
    <w:rsid w:val="007F3240"/>
    <w:rsid w:val="007F41EF"/>
    <w:rsid w:val="008029ED"/>
    <w:rsid w:val="0080446E"/>
    <w:rsid w:val="00806A6F"/>
    <w:rsid w:val="00807BD7"/>
    <w:rsid w:val="00817387"/>
    <w:rsid w:val="00820237"/>
    <w:rsid w:val="008223C0"/>
    <w:rsid w:val="008264DB"/>
    <w:rsid w:val="00827565"/>
    <w:rsid w:val="00827C81"/>
    <w:rsid w:val="00830269"/>
    <w:rsid w:val="00831A3B"/>
    <w:rsid w:val="008334AC"/>
    <w:rsid w:val="0083530D"/>
    <w:rsid w:val="00835DFB"/>
    <w:rsid w:val="00842C42"/>
    <w:rsid w:val="00844CFB"/>
    <w:rsid w:val="008476FE"/>
    <w:rsid w:val="00851D0E"/>
    <w:rsid w:val="008527B3"/>
    <w:rsid w:val="008549BB"/>
    <w:rsid w:val="00857265"/>
    <w:rsid w:val="00861B72"/>
    <w:rsid w:val="00862150"/>
    <w:rsid w:val="008637CF"/>
    <w:rsid w:val="00871063"/>
    <w:rsid w:val="00871092"/>
    <w:rsid w:val="008716A6"/>
    <w:rsid w:val="008721D4"/>
    <w:rsid w:val="008765CF"/>
    <w:rsid w:val="008807B4"/>
    <w:rsid w:val="00881E18"/>
    <w:rsid w:val="008857CC"/>
    <w:rsid w:val="00890822"/>
    <w:rsid w:val="008911E1"/>
    <w:rsid w:val="0089299B"/>
    <w:rsid w:val="00893034"/>
    <w:rsid w:val="00896856"/>
    <w:rsid w:val="008A49F5"/>
    <w:rsid w:val="008A6FF6"/>
    <w:rsid w:val="008B0F16"/>
    <w:rsid w:val="008B0F3C"/>
    <w:rsid w:val="008B190F"/>
    <w:rsid w:val="008B4583"/>
    <w:rsid w:val="008B4DB1"/>
    <w:rsid w:val="008B57CB"/>
    <w:rsid w:val="008C08B9"/>
    <w:rsid w:val="008C0A96"/>
    <w:rsid w:val="008C20D4"/>
    <w:rsid w:val="008C41CC"/>
    <w:rsid w:val="008C6BBE"/>
    <w:rsid w:val="008D1B2E"/>
    <w:rsid w:val="008D1C4D"/>
    <w:rsid w:val="008D1F46"/>
    <w:rsid w:val="008D4E74"/>
    <w:rsid w:val="008E0419"/>
    <w:rsid w:val="008E2BFB"/>
    <w:rsid w:val="008E4240"/>
    <w:rsid w:val="008E509C"/>
    <w:rsid w:val="008E7414"/>
    <w:rsid w:val="008F0019"/>
    <w:rsid w:val="008F1C4F"/>
    <w:rsid w:val="008F25CC"/>
    <w:rsid w:val="008F47B2"/>
    <w:rsid w:val="008F613B"/>
    <w:rsid w:val="008F7604"/>
    <w:rsid w:val="00900D70"/>
    <w:rsid w:val="00912EEC"/>
    <w:rsid w:val="00913BC6"/>
    <w:rsid w:val="00915396"/>
    <w:rsid w:val="00916A66"/>
    <w:rsid w:val="00931462"/>
    <w:rsid w:val="0093449F"/>
    <w:rsid w:val="009360FF"/>
    <w:rsid w:val="00936473"/>
    <w:rsid w:val="00936B9D"/>
    <w:rsid w:val="00944F17"/>
    <w:rsid w:val="009465F9"/>
    <w:rsid w:val="00946BBE"/>
    <w:rsid w:val="00947BBF"/>
    <w:rsid w:val="00953C9F"/>
    <w:rsid w:val="00955E57"/>
    <w:rsid w:val="00956E4A"/>
    <w:rsid w:val="00956FC0"/>
    <w:rsid w:val="00960982"/>
    <w:rsid w:val="009612A2"/>
    <w:rsid w:val="00961B06"/>
    <w:rsid w:val="00961C4A"/>
    <w:rsid w:val="00961D7D"/>
    <w:rsid w:val="0096229B"/>
    <w:rsid w:val="009637E4"/>
    <w:rsid w:val="009640E0"/>
    <w:rsid w:val="00964201"/>
    <w:rsid w:val="00964354"/>
    <w:rsid w:val="00966548"/>
    <w:rsid w:val="00970263"/>
    <w:rsid w:val="009770A0"/>
    <w:rsid w:val="00981131"/>
    <w:rsid w:val="00983112"/>
    <w:rsid w:val="009860D4"/>
    <w:rsid w:val="00987810"/>
    <w:rsid w:val="00991634"/>
    <w:rsid w:val="00993C3D"/>
    <w:rsid w:val="009A12CB"/>
    <w:rsid w:val="009A2EA7"/>
    <w:rsid w:val="009A47AC"/>
    <w:rsid w:val="009A7D34"/>
    <w:rsid w:val="009B10FA"/>
    <w:rsid w:val="009B17E1"/>
    <w:rsid w:val="009B2BD6"/>
    <w:rsid w:val="009B309E"/>
    <w:rsid w:val="009C252C"/>
    <w:rsid w:val="009C258C"/>
    <w:rsid w:val="009C31C8"/>
    <w:rsid w:val="009D01E6"/>
    <w:rsid w:val="009D2656"/>
    <w:rsid w:val="009D315C"/>
    <w:rsid w:val="009D47F5"/>
    <w:rsid w:val="009D53AF"/>
    <w:rsid w:val="009E12C1"/>
    <w:rsid w:val="009E2D29"/>
    <w:rsid w:val="009E3879"/>
    <w:rsid w:val="009F45DE"/>
    <w:rsid w:val="009F6E4A"/>
    <w:rsid w:val="00A00BD9"/>
    <w:rsid w:val="00A10FA5"/>
    <w:rsid w:val="00A147CD"/>
    <w:rsid w:val="00A16ABF"/>
    <w:rsid w:val="00A212D6"/>
    <w:rsid w:val="00A24B7E"/>
    <w:rsid w:val="00A24C78"/>
    <w:rsid w:val="00A311C2"/>
    <w:rsid w:val="00A335B6"/>
    <w:rsid w:val="00A34432"/>
    <w:rsid w:val="00A354AC"/>
    <w:rsid w:val="00A3562E"/>
    <w:rsid w:val="00A40120"/>
    <w:rsid w:val="00A4190E"/>
    <w:rsid w:val="00A41A22"/>
    <w:rsid w:val="00A432D9"/>
    <w:rsid w:val="00A45192"/>
    <w:rsid w:val="00A4615D"/>
    <w:rsid w:val="00A52A0C"/>
    <w:rsid w:val="00A52D97"/>
    <w:rsid w:val="00A53F4E"/>
    <w:rsid w:val="00A5454B"/>
    <w:rsid w:val="00A57C05"/>
    <w:rsid w:val="00A63A09"/>
    <w:rsid w:val="00A65A2E"/>
    <w:rsid w:val="00A66D51"/>
    <w:rsid w:val="00A72D63"/>
    <w:rsid w:val="00A76AE3"/>
    <w:rsid w:val="00A76E9A"/>
    <w:rsid w:val="00A77523"/>
    <w:rsid w:val="00A77542"/>
    <w:rsid w:val="00A77E29"/>
    <w:rsid w:val="00A81C46"/>
    <w:rsid w:val="00A829BB"/>
    <w:rsid w:val="00A84A1D"/>
    <w:rsid w:val="00A857E2"/>
    <w:rsid w:val="00A863CF"/>
    <w:rsid w:val="00A86D95"/>
    <w:rsid w:val="00A92ECB"/>
    <w:rsid w:val="00A965E8"/>
    <w:rsid w:val="00A97CE9"/>
    <w:rsid w:val="00AA00B1"/>
    <w:rsid w:val="00AA18D5"/>
    <w:rsid w:val="00AA31FB"/>
    <w:rsid w:val="00AA5F3D"/>
    <w:rsid w:val="00AA632D"/>
    <w:rsid w:val="00AA6B16"/>
    <w:rsid w:val="00AB6064"/>
    <w:rsid w:val="00AB7484"/>
    <w:rsid w:val="00AC04E0"/>
    <w:rsid w:val="00AC388C"/>
    <w:rsid w:val="00AC6010"/>
    <w:rsid w:val="00AC6569"/>
    <w:rsid w:val="00AD090D"/>
    <w:rsid w:val="00AE2737"/>
    <w:rsid w:val="00AE712E"/>
    <w:rsid w:val="00AE7988"/>
    <w:rsid w:val="00AF3E0B"/>
    <w:rsid w:val="00AF466B"/>
    <w:rsid w:val="00AF62E0"/>
    <w:rsid w:val="00AF7709"/>
    <w:rsid w:val="00B01037"/>
    <w:rsid w:val="00B10446"/>
    <w:rsid w:val="00B119D8"/>
    <w:rsid w:val="00B11BBE"/>
    <w:rsid w:val="00B143E4"/>
    <w:rsid w:val="00B20810"/>
    <w:rsid w:val="00B22EF7"/>
    <w:rsid w:val="00B34393"/>
    <w:rsid w:val="00B344AD"/>
    <w:rsid w:val="00B40959"/>
    <w:rsid w:val="00B43429"/>
    <w:rsid w:val="00B4401B"/>
    <w:rsid w:val="00B506D2"/>
    <w:rsid w:val="00B51D0E"/>
    <w:rsid w:val="00B52D76"/>
    <w:rsid w:val="00B55068"/>
    <w:rsid w:val="00B56471"/>
    <w:rsid w:val="00B57EB5"/>
    <w:rsid w:val="00B63C55"/>
    <w:rsid w:val="00B66A16"/>
    <w:rsid w:val="00B67614"/>
    <w:rsid w:val="00B700CE"/>
    <w:rsid w:val="00B71C9E"/>
    <w:rsid w:val="00B733A4"/>
    <w:rsid w:val="00B805C9"/>
    <w:rsid w:val="00B82B51"/>
    <w:rsid w:val="00B86FFC"/>
    <w:rsid w:val="00B87216"/>
    <w:rsid w:val="00B876B6"/>
    <w:rsid w:val="00B87BB5"/>
    <w:rsid w:val="00B87DEF"/>
    <w:rsid w:val="00B93097"/>
    <w:rsid w:val="00B95904"/>
    <w:rsid w:val="00BA3ED4"/>
    <w:rsid w:val="00BA4AF2"/>
    <w:rsid w:val="00BA4DB0"/>
    <w:rsid w:val="00BB02BA"/>
    <w:rsid w:val="00BB03A1"/>
    <w:rsid w:val="00BB0CCD"/>
    <w:rsid w:val="00BB1853"/>
    <w:rsid w:val="00BB28F8"/>
    <w:rsid w:val="00BB68D7"/>
    <w:rsid w:val="00BC6FF9"/>
    <w:rsid w:val="00BC7D09"/>
    <w:rsid w:val="00BD0193"/>
    <w:rsid w:val="00BD0405"/>
    <w:rsid w:val="00BE1DDB"/>
    <w:rsid w:val="00BF42D7"/>
    <w:rsid w:val="00C01E44"/>
    <w:rsid w:val="00C05856"/>
    <w:rsid w:val="00C06613"/>
    <w:rsid w:val="00C11B1F"/>
    <w:rsid w:val="00C1226B"/>
    <w:rsid w:val="00C127F9"/>
    <w:rsid w:val="00C17E00"/>
    <w:rsid w:val="00C243B2"/>
    <w:rsid w:val="00C25965"/>
    <w:rsid w:val="00C26528"/>
    <w:rsid w:val="00C26B4B"/>
    <w:rsid w:val="00C27654"/>
    <w:rsid w:val="00C31217"/>
    <w:rsid w:val="00C3343A"/>
    <w:rsid w:val="00C347D8"/>
    <w:rsid w:val="00C35EDE"/>
    <w:rsid w:val="00C364CF"/>
    <w:rsid w:val="00C401D5"/>
    <w:rsid w:val="00C415B1"/>
    <w:rsid w:val="00C4175F"/>
    <w:rsid w:val="00C43059"/>
    <w:rsid w:val="00C434B5"/>
    <w:rsid w:val="00C52845"/>
    <w:rsid w:val="00C528BE"/>
    <w:rsid w:val="00C60A51"/>
    <w:rsid w:val="00C67C36"/>
    <w:rsid w:val="00C76691"/>
    <w:rsid w:val="00C869A1"/>
    <w:rsid w:val="00C90AC1"/>
    <w:rsid w:val="00C92397"/>
    <w:rsid w:val="00C93CB4"/>
    <w:rsid w:val="00C94108"/>
    <w:rsid w:val="00C9505B"/>
    <w:rsid w:val="00CA1435"/>
    <w:rsid w:val="00CA2D00"/>
    <w:rsid w:val="00CA330A"/>
    <w:rsid w:val="00CA37A5"/>
    <w:rsid w:val="00CA5592"/>
    <w:rsid w:val="00CB20C8"/>
    <w:rsid w:val="00CB2DD2"/>
    <w:rsid w:val="00CB321F"/>
    <w:rsid w:val="00CB4349"/>
    <w:rsid w:val="00CB5AD9"/>
    <w:rsid w:val="00CB7474"/>
    <w:rsid w:val="00CB77C9"/>
    <w:rsid w:val="00CC216E"/>
    <w:rsid w:val="00CC41EB"/>
    <w:rsid w:val="00CC7086"/>
    <w:rsid w:val="00CD1B1C"/>
    <w:rsid w:val="00CD1E7D"/>
    <w:rsid w:val="00CE24F0"/>
    <w:rsid w:val="00CE4583"/>
    <w:rsid w:val="00CE7583"/>
    <w:rsid w:val="00CF20D1"/>
    <w:rsid w:val="00CF3999"/>
    <w:rsid w:val="00CF3D3C"/>
    <w:rsid w:val="00CF5D4D"/>
    <w:rsid w:val="00CF7539"/>
    <w:rsid w:val="00D01194"/>
    <w:rsid w:val="00D0130F"/>
    <w:rsid w:val="00D01850"/>
    <w:rsid w:val="00D05EFD"/>
    <w:rsid w:val="00D0714C"/>
    <w:rsid w:val="00D155A0"/>
    <w:rsid w:val="00D156B8"/>
    <w:rsid w:val="00D15A2C"/>
    <w:rsid w:val="00D16498"/>
    <w:rsid w:val="00D1793F"/>
    <w:rsid w:val="00D17AA0"/>
    <w:rsid w:val="00D17C86"/>
    <w:rsid w:val="00D24360"/>
    <w:rsid w:val="00D26005"/>
    <w:rsid w:val="00D26A8F"/>
    <w:rsid w:val="00D346A1"/>
    <w:rsid w:val="00D407F5"/>
    <w:rsid w:val="00D41C05"/>
    <w:rsid w:val="00D444BD"/>
    <w:rsid w:val="00D45174"/>
    <w:rsid w:val="00D502DC"/>
    <w:rsid w:val="00D530C6"/>
    <w:rsid w:val="00D55E88"/>
    <w:rsid w:val="00D60470"/>
    <w:rsid w:val="00D6088C"/>
    <w:rsid w:val="00D64034"/>
    <w:rsid w:val="00D64FBC"/>
    <w:rsid w:val="00D70000"/>
    <w:rsid w:val="00D72E4F"/>
    <w:rsid w:val="00D7357E"/>
    <w:rsid w:val="00D8078C"/>
    <w:rsid w:val="00D84CD7"/>
    <w:rsid w:val="00D84FCC"/>
    <w:rsid w:val="00D877AB"/>
    <w:rsid w:val="00D91BDA"/>
    <w:rsid w:val="00D93F59"/>
    <w:rsid w:val="00D948D1"/>
    <w:rsid w:val="00D95280"/>
    <w:rsid w:val="00D97572"/>
    <w:rsid w:val="00DA1881"/>
    <w:rsid w:val="00DA4C34"/>
    <w:rsid w:val="00DB25D8"/>
    <w:rsid w:val="00DB26AF"/>
    <w:rsid w:val="00DB3163"/>
    <w:rsid w:val="00DB42B4"/>
    <w:rsid w:val="00DB4A75"/>
    <w:rsid w:val="00DC61CB"/>
    <w:rsid w:val="00DD1B2D"/>
    <w:rsid w:val="00DD1C33"/>
    <w:rsid w:val="00DD22F6"/>
    <w:rsid w:val="00DD6E29"/>
    <w:rsid w:val="00DD75C8"/>
    <w:rsid w:val="00DE2CB8"/>
    <w:rsid w:val="00DE474C"/>
    <w:rsid w:val="00DF1C0B"/>
    <w:rsid w:val="00DF48BF"/>
    <w:rsid w:val="00DF4C32"/>
    <w:rsid w:val="00DF5D3F"/>
    <w:rsid w:val="00DF65E2"/>
    <w:rsid w:val="00DF7DC0"/>
    <w:rsid w:val="00E00146"/>
    <w:rsid w:val="00E00D2A"/>
    <w:rsid w:val="00E01D43"/>
    <w:rsid w:val="00E0485D"/>
    <w:rsid w:val="00E049EC"/>
    <w:rsid w:val="00E105C5"/>
    <w:rsid w:val="00E11564"/>
    <w:rsid w:val="00E14B69"/>
    <w:rsid w:val="00E2116B"/>
    <w:rsid w:val="00E23198"/>
    <w:rsid w:val="00E27F45"/>
    <w:rsid w:val="00E30609"/>
    <w:rsid w:val="00E356EE"/>
    <w:rsid w:val="00E36785"/>
    <w:rsid w:val="00E36F99"/>
    <w:rsid w:val="00E41981"/>
    <w:rsid w:val="00E42767"/>
    <w:rsid w:val="00E4329A"/>
    <w:rsid w:val="00E4341F"/>
    <w:rsid w:val="00E45CCA"/>
    <w:rsid w:val="00E47DAD"/>
    <w:rsid w:val="00E53815"/>
    <w:rsid w:val="00E53898"/>
    <w:rsid w:val="00E55C40"/>
    <w:rsid w:val="00E561F3"/>
    <w:rsid w:val="00E564B4"/>
    <w:rsid w:val="00E60A2B"/>
    <w:rsid w:val="00E60EB6"/>
    <w:rsid w:val="00E610AB"/>
    <w:rsid w:val="00E676B1"/>
    <w:rsid w:val="00E71896"/>
    <w:rsid w:val="00E7445D"/>
    <w:rsid w:val="00E75DC8"/>
    <w:rsid w:val="00E76812"/>
    <w:rsid w:val="00E82AC5"/>
    <w:rsid w:val="00E8561E"/>
    <w:rsid w:val="00E86256"/>
    <w:rsid w:val="00E9513F"/>
    <w:rsid w:val="00EA0474"/>
    <w:rsid w:val="00EA2192"/>
    <w:rsid w:val="00EA385C"/>
    <w:rsid w:val="00EA58EB"/>
    <w:rsid w:val="00EB0669"/>
    <w:rsid w:val="00EB0759"/>
    <w:rsid w:val="00EB3BDD"/>
    <w:rsid w:val="00EB7A5F"/>
    <w:rsid w:val="00EC0054"/>
    <w:rsid w:val="00EC4B11"/>
    <w:rsid w:val="00ED14F8"/>
    <w:rsid w:val="00ED16D2"/>
    <w:rsid w:val="00ED1B75"/>
    <w:rsid w:val="00EE0879"/>
    <w:rsid w:val="00EE23FB"/>
    <w:rsid w:val="00EE32E3"/>
    <w:rsid w:val="00EE4717"/>
    <w:rsid w:val="00EE611E"/>
    <w:rsid w:val="00EF3685"/>
    <w:rsid w:val="00EF4459"/>
    <w:rsid w:val="00EF445D"/>
    <w:rsid w:val="00F006D0"/>
    <w:rsid w:val="00F0336B"/>
    <w:rsid w:val="00F047EB"/>
    <w:rsid w:val="00F065C8"/>
    <w:rsid w:val="00F07740"/>
    <w:rsid w:val="00F1017C"/>
    <w:rsid w:val="00F12886"/>
    <w:rsid w:val="00F128A2"/>
    <w:rsid w:val="00F15CC6"/>
    <w:rsid w:val="00F206FE"/>
    <w:rsid w:val="00F21097"/>
    <w:rsid w:val="00F227C7"/>
    <w:rsid w:val="00F23CDD"/>
    <w:rsid w:val="00F241C6"/>
    <w:rsid w:val="00F24674"/>
    <w:rsid w:val="00F256DA"/>
    <w:rsid w:val="00F30A00"/>
    <w:rsid w:val="00F35C52"/>
    <w:rsid w:val="00F372A4"/>
    <w:rsid w:val="00F37FAC"/>
    <w:rsid w:val="00F447FD"/>
    <w:rsid w:val="00F45F5E"/>
    <w:rsid w:val="00F46714"/>
    <w:rsid w:val="00F51B16"/>
    <w:rsid w:val="00F52005"/>
    <w:rsid w:val="00F53811"/>
    <w:rsid w:val="00F55D41"/>
    <w:rsid w:val="00F56A15"/>
    <w:rsid w:val="00F56CB2"/>
    <w:rsid w:val="00F61DB0"/>
    <w:rsid w:val="00F61EC9"/>
    <w:rsid w:val="00F620DA"/>
    <w:rsid w:val="00F67670"/>
    <w:rsid w:val="00F70CA5"/>
    <w:rsid w:val="00F72BE0"/>
    <w:rsid w:val="00F749A1"/>
    <w:rsid w:val="00F75E1B"/>
    <w:rsid w:val="00F80E12"/>
    <w:rsid w:val="00F8444C"/>
    <w:rsid w:val="00F84A15"/>
    <w:rsid w:val="00F8553E"/>
    <w:rsid w:val="00F879C2"/>
    <w:rsid w:val="00F910F6"/>
    <w:rsid w:val="00F9198E"/>
    <w:rsid w:val="00F94E31"/>
    <w:rsid w:val="00F94EAF"/>
    <w:rsid w:val="00F96965"/>
    <w:rsid w:val="00FA0EE5"/>
    <w:rsid w:val="00FA15A2"/>
    <w:rsid w:val="00FA215D"/>
    <w:rsid w:val="00FA642B"/>
    <w:rsid w:val="00FA6992"/>
    <w:rsid w:val="00FA70E4"/>
    <w:rsid w:val="00FB20A5"/>
    <w:rsid w:val="00FB241A"/>
    <w:rsid w:val="00FB7FEE"/>
    <w:rsid w:val="00FC04F5"/>
    <w:rsid w:val="00FC2CBF"/>
    <w:rsid w:val="00FD6EEA"/>
    <w:rsid w:val="00FD7007"/>
    <w:rsid w:val="00FE0984"/>
    <w:rsid w:val="00FE190B"/>
    <w:rsid w:val="00FE4F99"/>
    <w:rsid w:val="00FF22F8"/>
    <w:rsid w:val="00FF2B60"/>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9F"/>
  </w:style>
  <w:style w:type="paragraph" w:styleId="1">
    <w:name w:val="heading 1"/>
    <w:basedOn w:val="a"/>
    <w:next w:val="a"/>
    <w:link w:val="10"/>
    <w:qFormat/>
    <w:rsid w:val="002A2DE3"/>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link w:val="20"/>
    <w:qFormat/>
    <w:rsid w:val="002A2DE3"/>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6">
    <w:name w:val="heading 6"/>
    <w:basedOn w:val="a"/>
    <w:next w:val="a"/>
    <w:link w:val="60"/>
    <w:qFormat/>
    <w:rsid w:val="00AA5F3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A42E2"/>
    <w:pPr>
      <w:spacing w:after="0" w:line="240" w:lineRule="auto"/>
    </w:pPr>
    <w:rPr>
      <w:sz w:val="20"/>
      <w:szCs w:val="20"/>
    </w:rPr>
  </w:style>
  <w:style w:type="character" w:customStyle="1" w:styleId="a4">
    <w:name w:val="Текст сноски Знак"/>
    <w:basedOn w:val="a0"/>
    <w:link w:val="a3"/>
    <w:semiHidden/>
    <w:rsid w:val="007A42E2"/>
    <w:rPr>
      <w:sz w:val="20"/>
      <w:szCs w:val="20"/>
    </w:rPr>
  </w:style>
  <w:style w:type="character" w:styleId="a5">
    <w:name w:val="footnote reference"/>
    <w:basedOn w:val="a0"/>
    <w:semiHidden/>
    <w:unhideWhenUsed/>
    <w:rsid w:val="007A42E2"/>
    <w:rPr>
      <w:vertAlign w:val="superscript"/>
    </w:rPr>
  </w:style>
  <w:style w:type="paragraph" w:styleId="a6">
    <w:name w:val="Normal (Web)"/>
    <w:basedOn w:val="a"/>
    <w:unhideWhenUsed/>
    <w:rsid w:val="00C40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171E0"/>
    <w:rPr>
      <w:color w:val="0000FF"/>
      <w:u w:val="single"/>
    </w:rPr>
  </w:style>
  <w:style w:type="character" w:customStyle="1" w:styleId="10">
    <w:name w:val="Заголовок 1 Знак"/>
    <w:basedOn w:val="a0"/>
    <w:link w:val="1"/>
    <w:rsid w:val="002A2DE3"/>
    <w:rPr>
      <w:rFonts w:ascii="Cambria" w:eastAsia="Calibri" w:hAnsi="Cambria" w:cs="Times New Roman"/>
      <w:b/>
      <w:bCs/>
      <w:color w:val="365F91"/>
      <w:sz w:val="28"/>
      <w:szCs w:val="28"/>
    </w:rPr>
  </w:style>
  <w:style w:type="character" w:customStyle="1" w:styleId="20">
    <w:name w:val="Заголовок 2 Знак"/>
    <w:basedOn w:val="a0"/>
    <w:link w:val="2"/>
    <w:rsid w:val="002A2DE3"/>
    <w:rPr>
      <w:rFonts w:ascii="Times New Roman" w:eastAsia="Calibri" w:hAnsi="Times New Roman" w:cs="Times New Roman"/>
      <w:b/>
      <w:bCs/>
      <w:sz w:val="36"/>
      <w:szCs w:val="36"/>
      <w:lang w:eastAsia="ru-RU"/>
    </w:rPr>
  </w:style>
  <w:style w:type="character" w:styleId="a8">
    <w:name w:val="Strong"/>
    <w:basedOn w:val="a0"/>
    <w:qFormat/>
    <w:rsid w:val="002A2DE3"/>
    <w:rPr>
      <w:rFonts w:cs="Times New Roman"/>
      <w:b/>
      <w:bCs/>
    </w:rPr>
  </w:style>
  <w:style w:type="paragraph" w:customStyle="1" w:styleId="Web">
    <w:name w:val="Обычный (Web)"/>
    <w:basedOn w:val="a"/>
    <w:rsid w:val="002A2DE3"/>
    <w:pPr>
      <w:suppressAutoHyphens/>
      <w:spacing w:before="280" w:after="28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2A2DE3"/>
    <w:pPr>
      <w:suppressAutoHyphens/>
      <w:spacing w:before="100" w:after="100" w:line="240" w:lineRule="auto"/>
    </w:pPr>
    <w:rPr>
      <w:rFonts w:ascii="Times New Roman" w:eastAsia="Calibri" w:hAnsi="Times New Roman" w:cs="Times New Roman"/>
      <w:sz w:val="24"/>
      <w:szCs w:val="20"/>
    </w:rPr>
  </w:style>
  <w:style w:type="paragraph" w:customStyle="1" w:styleId="12">
    <w:name w:val="Абзац списка1"/>
    <w:basedOn w:val="a"/>
    <w:rsid w:val="002A2DE3"/>
    <w:pPr>
      <w:ind w:left="720"/>
    </w:pPr>
    <w:rPr>
      <w:rFonts w:ascii="Calibri" w:eastAsia="Times New Roman" w:hAnsi="Calibri" w:cs="Times New Roman"/>
    </w:rPr>
  </w:style>
  <w:style w:type="paragraph" w:styleId="a9">
    <w:name w:val="Balloon Text"/>
    <w:basedOn w:val="a"/>
    <w:link w:val="aa"/>
    <w:uiPriority w:val="99"/>
    <w:semiHidden/>
    <w:unhideWhenUsed/>
    <w:rsid w:val="002A2DE3"/>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2A2DE3"/>
    <w:rPr>
      <w:rFonts w:ascii="Tahoma" w:eastAsia="Times New Roman" w:hAnsi="Tahoma" w:cs="Tahoma"/>
      <w:sz w:val="16"/>
      <w:szCs w:val="16"/>
    </w:rPr>
  </w:style>
  <w:style w:type="character" w:customStyle="1" w:styleId="apple-converted-space">
    <w:name w:val="apple-converted-space"/>
    <w:basedOn w:val="a0"/>
    <w:rsid w:val="002A2DE3"/>
  </w:style>
  <w:style w:type="table" w:styleId="ab">
    <w:name w:val="Table Grid"/>
    <w:basedOn w:val="a1"/>
    <w:uiPriority w:val="59"/>
    <w:rsid w:val="002A2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endnote text"/>
    <w:basedOn w:val="a"/>
    <w:link w:val="ad"/>
    <w:uiPriority w:val="99"/>
    <w:semiHidden/>
    <w:unhideWhenUsed/>
    <w:rsid w:val="002A2DE3"/>
    <w:pPr>
      <w:spacing w:after="0" w:line="240" w:lineRule="auto"/>
    </w:pPr>
    <w:rPr>
      <w:rFonts w:ascii="Calibri" w:eastAsia="Times New Roman" w:hAnsi="Calibri" w:cs="Times New Roman"/>
      <w:sz w:val="20"/>
      <w:szCs w:val="20"/>
    </w:rPr>
  </w:style>
  <w:style w:type="character" w:customStyle="1" w:styleId="ad">
    <w:name w:val="Текст концевой сноски Знак"/>
    <w:basedOn w:val="a0"/>
    <w:link w:val="ac"/>
    <w:uiPriority w:val="99"/>
    <w:semiHidden/>
    <w:rsid w:val="002A2DE3"/>
    <w:rPr>
      <w:rFonts w:ascii="Calibri" w:eastAsia="Times New Roman" w:hAnsi="Calibri" w:cs="Times New Roman"/>
      <w:sz w:val="20"/>
      <w:szCs w:val="20"/>
    </w:rPr>
  </w:style>
  <w:style w:type="character" w:styleId="ae">
    <w:name w:val="endnote reference"/>
    <w:basedOn w:val="a0"/>
    <w:uiPriority w:val="99"/>
    <w:semiHidden/>
    <w:unhideWhenUsed/>
    <w:rsid w:val="002A2DE3"/>
    <w:rPr>
      <w:vertAlign w:val="superscript"/>
    </w:rPr>
  </w:style>
  <w:style w:type="paragraph" w:styleId="af">
    <w:name w:val="List Paragraph"/>
    <w:basedOn w:val="a"/>
    <w:uiPriority w:val="34"/>
    <w:qFormat/>
    <w:rsid w:val="002A2DE3"/>
    <w:pPr>
      <w:ind w:left="720"/>
      <w:contextualSpacing/>
    </w:pPr>
  </w:style>
  <w:style w:type="paragraph" w:styleId="af0">
    <w:name w:val="TOC Heading"/>
    <w:basedOn w:val="1"/>
    <w:next w:val="a"/>
    <w:uiPriority w:val="39"/>
    <w:semiHidden/>
    <w:unhideWhenUsed/>
    <w:qFormat/>
    <w:rsid w:val="002A2DE3"/>
    <w:pPr>
      <w:outlineLvl w:val="9"/>
    </w:pPr>
    <w:rPr>
      <w:rFonts w:asciiTheme="majorHAnsi" w:eastAsiaTheme="majorEastAsia" w:hAnsiTheme="majorHAnsi" w:cstheme="majorBidi"/>
      <w:color w:val="365F91" w:themeColor="accent1" w:themeShade="BF"/>
    </w:rPr>
  </w:style>
  <w:style w:type="paragraph" w:styleId="21">
    <w:name w:val="toc 2"/>
    <w:basedOn w:val="a"/>
    <w:next w:val="a"/>
    <w:autoRedefine/>
    <w:uiPriority w:val="39"/>
    <w:unhideWhenUsed/>
    <w:qFormat/>
    <w:rsid w:val="002A2DE3"/>
    <w:pPr>
      <w:spacing w:after="100"/>
      <w:ind w:left="220"/>
    </w:pPr>
    <w:rPr>
      <w:rFonts w:eastAsiaTheme="minorEastAsia"/>
    </w:rPr>
  </w:style>
  <w:style w:type="paragraph" w:styleId="13">
    <w:name w:val="toc 1"/>
    <w:basedOn w:val="a"/>
    <w:next w:val="a"/>
    <w:autoRedefine/>
    <w:uiPriority w:val="39"/>
    <w:unhideWhenUsed/>
    <w:qFormat/>
    <w:rsid w:val="002A2DE3"/>
    <w:pPr>
      <w:spacing w:after="100"/>
    </w:pPr>
    <w:rPr>
      <w:rFonts w:eastAsiaTheme="minorEastAsia"/>
    </w:rPr>
  </w:style>
  <w:style w:type="paragraph" w:styleId="3">
    <w:name w:val="toc 3"/>
    <w:basedOn w:val="a"/>
    <w:next w:val="a"/>
    <w:autoRedefine/>
    <w:uiPriority w:val="39"/>
    <w:semiHidden/>
    <w:unhideWhenUsed/>
    <w:qFormat/>
    <w:rsid w:val="002A2DE3"/>
    <w:pPr>
      <w:spacing w:after="100"/>
      <w:ind w:left="440"/>
    </w:pPr>
    <w:rPr>
      <w:rFonts w:eastAsiaTheme="minorEastAsia"/>
    </w:rPr>
  </w:style>
  <w:style w:type="character" w:styleId="af1">
    <w:name w:val="Placeholder Text"/>
    <w:basedOn w:val="a0"/>
    <w:uiPriority w:val="99"/>
    <w:semiHidden/>
    <w:rsid w:val="002A2DE3"/>
    <w:rPr>
      <w:color w:val="808080"/>
    </w:rPr>
  </w:style>
  <w:style w:type="paragraph" w:styleId="af2">
    <w:name w:val="header"/>
    <w:basedOn w:val="a"/>
    <w:link w:val="af3"/>
    <w:uiPriority w:val="99"/>
    <w:semiHidden/>
    <w:unhideWhenUsed/>
    <w:rsid w:val="002A2DE3"/>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semiHidden/>
    <w:rsid w:val="002A2DE3"/>
    <w:rPr>
      <w:rFonts w:ascii="Calibri" w:eastAsia="Times New Roman" w:hAnsi="Calibri" w:cs="Times New Roman"/>
    </w:rPr>
  </w:style>
  <w:style w:type="paragraph" w:styleId="af4">
    <w:name w:val="footer"/>
    <w:basedOn w:val="a"/>
    <w:link w:val="af5"/>
    <w:uiPriority w:val="99"/>
    <w:unhideWhenUsed/>
    <w:rsid w:val="002A2DE3"/>
    <w:pPr>
      <w:tabs>
        <w:tab w:val="center" w:pos="4677"/>
        <w:tab w:val="right" w:pos="9355"/>
      </w:tabs>
      <w:spacing w:after="0" w:line="240" w:lineRule="auto"/>
    </w:pPr>
    <w:rPr>
      <w:rFonts w:ascii="Calibri" w:eastAsia="Times New Roman" w:hAnsi="Calibri" w:cs="Times New Roman"/>
    </w:rPr>
  </w:style>
  <w:style w:type="character" w:customStyle="1" w:styleId="af5">
    <w:name w:val="Нижний колонтитул Знак"/>
    <w:basedOn w:val="a0"/>
    <w:link w:val="af4"/>
    <w:uiPriority w:val="99"/>
    <w:rsid w:val="002A2DE3"/>
    <w:rPr>
      <w:rFonts w:ascii="Calibri" w:eastAsia="Times New Roman" w:hAnsi="Calibri" w:cs="Times New Roman"/>
    </w:rPr>
  </w:style>
  <w:style w:type="character" w:customStyle="1" w:styleId="60">
    <w:name w:val="Заголовок 6 Знак"/>
    <w:basedOn w:val="a0"/>
    <w:link w:val="6"/>
    <w:rsid w:val="00AA5F3D"/>
    <w:rPr>
      <w:rFonts w:ascii="Times New Roman" w:eastAsia="Times New Roman" w:hAnsi="Times New Roman" w:cs="Times New Roman"/>
      <w:b/>
      <w:bCs/>
      <w:lang w:eastAsia="ru-RU"/>
    </w:rPr>
  </w:style>
  <w:style w:type="paragraph" w:customStyle="1" w:styleId="FR1">
    <w:name w:val="FR1"/>
    <w:rsid w:val="00AA5F3D"/>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lang w:eastAsia="ru-RU"/>
    </w:rPr>
  </w:style>
  <w:style w:type="paragraph" w:customStyle="1" w:styleId="Default">
    <w:name w:val="Default"/>
    <w:rsid w:val="00197A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Абзац списка2"/>
    <w:basedOn w:val="a"/>
    <w:rsid w:val="00197A80"/>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5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Layout" Target="diagrams/layout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hyperlink" Target="http://www.merger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ages.stern.nyu.edu/~adamodar.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4;&#1072;&#1088;&#1080;&#1103;\Desktop\&#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4;&#1072;&#1088;&#1080;&#1103;\Desktop\&#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4;&#1072;&#1088;&#1080;&#1103;\Desktop\&#1076;&#1080;&#1072;&#1075;&#1088;&#1072;&#1084;&#1084;&#109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84;&#1072;&#1088;&#1080;&#1103;\Desktop\&#1076;&#1080;&#1072;&#1075;&#1088;&#1072;&#1084;&#1084;&#109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84;&#1072;&#1088;&#1080;&#1103;\Desktop\&#1076;&#1080;&#1072;&#1075;&#1088;&#1072;&#1084;&#1084;&#109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84;&#1072;&#1088;&#1080;&#1103;\Desktop\&#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Лист2!$A$10</c:f>
              <c:strCache>
                <c:ptCount val="1"/>
                <c:pt idx="0">
                  <c:v>объем</c:v>
                </c:pt>
              </c:strCache>
            </c:strRef>
          </c:tx>
          <c:dLbls>
            <c:dLblPos val="outEnd"/>
            <c:showVal val="1"/>
          </c:dLbls>
          <c:cat>
            <c:numRef>
              <c:f>Лист2!$B$11:$I$11</c:f>
              <c:numCache>
                <c:formatCode>General</c:formatCode>
                <c:ptCount val="8"/>
                <c:pt idx="0">
                  <c:v>2005</c:v>
                </c:pt>
                <c:pt idx="1">
                  <c:v>2006</c:v>
                </c:pt>
                <c:pt idx="2">
                  <c:v>2007</c:v>
                </c:pt>
                <c:pt idx="3">
                  <c:v>2008</c:v>
                </c:pt>
                <c:pt idx="4">
                  <c:v>2009</c:v>
                </c:pt>
                <c:pt idx="5">
                  <c:v>2010</c:v>
                </c:pt>
                <c:pt idx="6">
                  <c:v>2011</c:v>
                </c:pt>
                <c:pt idx="7">
                  <c:v>2012</c:v>
                </c:pt>
              </c:numCache>
            </c:numRef>
          </c:cat>
          <c:val>
            <c:numRef>
              <c:f>Лист2!$B$10:$I$10</c:f>
              <c:numCache>
                <c:formatCode>General</c:formatCode>
                <c:ptCount val="8"/>
                <c:pt idx="0">
                  <c:v>2623</c:v>
                </c:pt>
                <c:pt idx="1">
                  <c:v>3469</c:v>
                </c:pt>
                <c:pt idx="2">
                  <c:v>4070</c:v>
                </c:pt>
                <c:pt idx="3">
                  <c:v>2622</c:v>
                </c:pt>
                <c:pt idx="4">
                  <c:v>1894</c:v>
                </c:pt>
                <c:pt idx="5">
                  <c:v>2401</c:v>
                </c:pt>
                <c:pt idx="6">
                  <c:v>2545</c:v>
                </c:pt>
                <c:pt idx="7">
                  <c:v>2259</c:v>
                </c:pt>
              </c:numCache>
            </c:numRef>
          </c:val>
        </c:ser>
        <c:dLbls>
          <c:showVal val="1"/>
        </c:dLbls>
        <c:axId val="73777152"/>
        <c:axId val="73778688"/>
      </c:barChart>
      <c:dateAx>
        <c:axId val="73777152"/>
        <c:scaling>
          <c:orientation val="minMax"/>
        </c:scaling>
        <c:axPos val="b"/>
        <c:numFmt formatCode="General" sourceLinked="1"/>
        <c:tickLblPos val="nextTo"/>
        <c:crossAx val="73778688"/>
        <c:crosses val="autoZero"/>
        <c:lblOffset val="100"/>
        <c:baseTimeUnit val="days"/>
      </c:dateAx>
      <c:valAx>
        <c:axId val="73778688"/>
        <c:scaling>
          <c:orientation val="minMax"/>
        </c:scaling>
        <c:axPos val="l"/>
        <c:majorGridlines/>
        <c:title>
          <c:tx>
            <c:rich>
              <a:bodyPr rot="-5400000" vert="horz"/>
              <a:lstStyle/>
              <a:p>
                <a:pPr>
                  <a:defRPr/>
                </a:pPr>
                <a:r>
                  <a:rPr lang="ru-RU"/>
                  <a:t>Общая</a:t>
                </a:r>
                <a:r>
                  <a:rPr lang="ru-RU" baseline="0"/>
                  <a:t> сумма сделок, млрд.долл.</a:t>
                </a:r>
                <a:endParaRPr lang="ru-RU"/>
              </a:p>
            </c:rich>
          </c:tx>
        </c:title>
        <c:numFmt formatCode="General" sourceLinked="1"/>
        <c:tickLblPos val="nextTo"/>
        <c:crossAx val="737771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Лист2!$A$9</c:f>
              <c:strCache>
                <c:ptCount val="1"/>
                <c:pt idx="0">
                  <c:v>кол-во</c:v>
                </c:pt>
              </c:strCache>
            </c:strRef>
          </c:tx>
          <c:marker>
            <c:symbol val="none"/>
          </c:marker>
          <c:cat>
            <c:numRef>
              <c:f>Лист2!$B$11:$I$11</c:f>
              <c:numCache>
                <c:formatCode>General</c:formatCode>
                <c:ptCount val="8"/>
                <c:pt idx="0">
                  <c:v>2005</c:v>
                </c:pt>
                <c:pt idx="1">
                  <c:v>2006</c:v>
                </c:pt>
                <c:pt idx="2">
                  <c:v>2007</c:v>
                </c:pt>
                <c:pt idx="3">
                  <c:v>2008</c:v>
                </c:pt>
                <c:pt idx="4">
                  <c:v>2009</c:v>
                </c:pt>
                <c:pt idx="5">
                  <c:v>2010</c:v>
                </c:pt>
                <c:pt idx="6">
                  <c:v>2011</c:v>
                </c:pt>
                <c:pt idx="7">
                  <c:v>2012</c:v>
                </c:pt>
              </c:numCache>
            </c:numRef>
          </c:cat>
          <c:val>
            <c:numRef>
              <c:f>Лист2!$B$9:$I$9</c:f>
              <c:numCache>
                <c:formatCode>General</c:formatCode>
                <c:ptCount val="8"/>
                <c:pt idx="0">
                  <c:v>35457</c:v>
                </c:pt>
                <c:pt idx="1">
                  <c:v>40822</c:v>
                </c:pt>
                <c:pt idx="2">
                  <c:v>46662</c:v>
                </c:pt>
                <c:pt idx="3">
                  <c:v>44100</c:v>
                </c:pt>
                <c:pt idx="4">
                  <c:v>39969</c:v>
                </c:pt>
                <c:pt idx="5">
                  <c:v>42664</c:v>
                </c:pt>
                <c:pt idx="6">
                  <c:v>42074</c:v>
                </c:pt>
                <c:pt idx="7">
                  <c:v>37923</c:v>
                </c:pt>
              </c:numCache>
            </c:numRef>
          </c:val>
        </c:ser>
        <c:marker val="1"/>
        <c:axId val="74195712"/>
        <c:axId val="74197248"/>
      </c:lineChart>
      <c:catAx>
        <c:axId val="74195712"/>
        <c:scaling>
          <c:orientation val="minMax"/>
        </c:scaling>
        <c:axPos val="b"/>
        <c:numFmt formatCode="General" sourceLinked="1"/>
        <c:tickLblPos val="nextTo"/>
        <c:crossAx val="74197248"/>
        <c:crosses val="autoZero"/>
        <c:auto val="1"/>
        <c:lblAlgn val="ctr"/>
        <c:lblOffset val="100"/>
      </c:catAx>
      <c:valAx>
        <c:axId val="74197248"/>
        <c:scaling>
          <c:orientation val="minMax"/>
          <c:min val="25000"/>
        </c:scaling>
        <c:axPos val="l"/>
        <c:majorGridlines/>
        <c:title>
          <c:tx>
            <c:rich>
              <a:bodyPr rot="-5400000" vert="horz"/>
              <a:lstStyle/>
              <a:p>
                <a:pPr>
                  <a:defRPr/>
                </a:pPr>
                <a:r>
                  <a:rPr lang="ru-RU"/>
                  <a:t>Количество</a:t>
                </a:r>
                <a:r>
                  <a:rPr lang="ru-RU" baseline="0"/>
                  <a:t> сделок</a:t>
                </a:r>
                <a:endParaRPr lang="ru-RU"/>
              </a:p>
            </c:rich>
          </c:tx>
        </c:title>
        <c:numFmt formatCode="General" sourceLinked="1"/>
        <c:tickLblPos val="nextTo"/>
        <c:crossAx val="741957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4617138620867847E-2"/>
          <c:y val="5.1404575163398691E-2"/>
          <c:w val="0.78877318460192458"/>
          <c:h val="0.79637058823529416"/>
        </c:manualLayout>
      </c:layout>
      <c:barChart>
        <c:barDir val="col"/>
        <c:grouping val="clustered"/>
        <c:ser>
          <c:idx val="0"/>
          <c:order val="0"/>
          <c:tx>
            <c:strRef>
              <c:f>Лист2!$A$5</c:f>
              <c:strCache>
                <c:ptCount val="1"/>
                <c:pt idx="0">
                  <c:v>объем</c:v>
                </c:pt>
              </c:strCache>
            </c:strRef>
          </c:tx>
          <c:dLbls>
            <c:txPr>
              <a:bodyPr/>
              <a:lstStyle/>
              <a:p>
                <a:pPr>
                  <a:defRPr sz="1050" b="1" i="0" baseline="0"/>
                </a:pPr>
                <a:endParaRPr lang="ru-RU"/>
              </a:p>
            </c:txPr>
            <c:dLblPos val="inBase"/>
            <c:showVal val="1"/>
          </c:dLbls>
          <c:cat>
            <c:numRef>
              <c:f>Лист2!$B$3:$I$3</c:f>
              <c:numCache>
                <c:formatCode>General</c:formatCode>
                <c:ptCount val="8"/>
                <c:pt idx="0">
                  <c:v>2005</c:v>
                </c:pt>
                <c:pt idx="1">
                  <c:v>2006</c:v>
                </c:pt>
                <c:pt idx="2">
                  <c:v>2007</c:v>
                </c:pt>
                <c:pt idx="3">
                  <c:v>2008</c:v>
                </c:pt>
                <c:pt idx="4">
                  <c:v>2009</c:v>
                </c:pt>
                <c:pt idx="5">
                  <c:v>2010</c:v>
                </c:pt>
                <c:pt idx="6">
                  <c:v>2011</c:v>
                </c:pt>
                <c:pt idx="7">
                  <c:v>2012</c:v>
                </c:pt>
              </c:numCache>
            </c:numRef>
          </c:cat>
          <c:val>
            <c:numRef>
              <c:f>Лист2!$B$5:$I$5</c:f>
              <c:numCache>
                <c:formatCode>General</c:formatCode>
                <c:ptCount val="8"/>
                <c:pt idx="0">
                  <c:v>40.5</c:v>
                </c:pt>
                <c:pt idx="1">
                  <c:v>63.6</c:v>
                </c:pt>
                <c:pt idx="2">
                  <c:v>93.1</c:v>
                </c:pt>
                <c:pt idx="3">
                  <c:v>122.4</c:v>
                </c:pt>
                <c:pt idx="4">
                  <c:v>48.8</c:v>
                </c:pt>
                <c:pt idx="5">
                  <c:v>77.5</c:v>
                </c:pt>
                <c:pt idx="6">
                  <c:v>68.7</c:v>
                </c:pt>
                <c:pt idx="7">
                  <c:v>83.1</c:v>
                </c:pt>
              </c:numCache>
            </c:numRef>
          </c:val>
        </c:ser>
        <c:dLbls>
          <c:showVal val="1"/>
        </c:dLbls>
        <c:gapWidth val="75"/>
        <c:axId val="74459776"/>
        <c:axId val="74477952"/>
      </c:barChart>
      <c:scatterChart>
        <c:scatterStyle val="lineMarker"/>
        <c:ser>
          <c:idx val="1"/>
          <c:order val="1"/>
          <c:tx>
            <c:strRef>
              <c:f>Лист2!$A$4</c:f>
              <c:strCache>
                <c:ptCount val="1"/>
                <c:pt idx="0">
                  <c:v>кол-во</c:v>
                </c:pt>
              </c:strCache>
            </c:strRef>
          </c:tx>
          <c:spPr>
            <a:ln w="28575">
              <a:noFill/>
            </a:ln>
          </c:spPr>
          <c:dLbls>
            <c:dLbl>
              <c:idx val="4"/>
              <c:layout>
                <c:manualLayout>
                  <c:x val="0"/>
                  <c:y val="-2.4742156862745078E-2"/>
                </c:manualLayout>
              </c:layout>
              <c:dLblPos val="t"/>
              <c:showVal val="1"/>
            </c:dLbl>
            <c:dLbl>
              <c:idx val="5"/>
              <c:layout>
                <c:manualLayout>
                  <c:x val="1.9020446980504042E-3"/>
                  <c:y val="0"/>
                </c:manualLayout>
              </c:layout>
              <c:dLblPos val="t"/>
              <c:showVal val="1"/>
            </c:dLbl>
            <c:dLbl>
              <c:idx val="6"/>
              <c:layout>
                <c:manualLayout>
                  <c:x val="1.9020446980504042E-3"/>
                  <c:y val="-1.9212295869356393E-2"/>
                </c:manualLayout>
              </c:layout>
              <c:dLblPos val="t"/>
              <c:showVal val="1"/>
            </c:dLbl>
            <c:dLbl>
              <c:idx val="7"/>
              <c:layout>
                <c:manualLayout>
                  <c:x val="3.8040893961008085E-3"/>
                  <c:y val="0"/>
                </c:manualLayout>
              </c:layout>
              <c:dLblPos val="t"/>
              <c:showVal val="1"/>
            </c:dLbl>
            <c:txPr>
              <a:bodyPr/>
              <a:lstStyle/>
              <a:p>
                <a:pPr>
                  <a:defRPr b="1" i="0" baseline="0"/>
                </a:pPr>
                <a:endParaRPr lang="ru-RU"/>
              </a:p>
            </c:txPr>
            <c:dLblPos val="t"/>
            <c:showVal val="1"/>
          </c:dLbls>
          <c:xVal>
            <c:numRef>
              <c:f>Лист2!$B$3:$I$3</c:f>
              <c:numCache>
                <c:formatCode>General</c:formatCode>
                <c:ptCount val="8"/>
                <c:pt idx="0">
                  <c:v>2005</c:v>
                </c:pt>
                <c:pt idx="1">
                  <c:v>2006</c:v>
                </c:pt>
                <c:pt idx="2">
                  <c:v>2007</c:v>
                </c:pt>
                <c:pt idx="3">
                  <c:v>2008</c:v>
                </c:pt>
                <c:pt idx="4">
                  <c:v>2009</c:v>
                </c:pt>
                <c:pt idx="5">
                  <c:v>2010</c:v>
                </c:pt>
                <c:pt idx="6">
                  <c:v>2011</c:v>
                </c:pt>
                <c:pt idx="7">
                  <c:v>2012</c:v>
                </c:pt>
              </c:numCache>
            </c:numRef>
          </c:xVal>
          <c:yVal>
            <c:numRef>
              <c:f>Лист2!$B$4:$I$4</c:f>
              <c:numCache>
                <c:formatCode>General</c:formatCode>
                <c:ptCount val="8"/>
                <c:pt idx="0">
                  <c:v>505</c:v>
                </c:pt>
                <c:pt idx="1">
                  <c:v>817</c:v>
                </c:pt>
                <c:pt idx="2">
                  <c:v>867</c:v>
                </c:pt>
                <c:pt idx="3">
                  <c:v>688</c:v>
                </c:pt>
                <c:pt idx="4">
                  <c:v>214</c:v>
                </c:pt>
                <c:pt idx="5">
                  <c:v>375</c:v>
                </c:pt>
                <c:pt idx="6">
                  <c:v>381</c:v>
                </c:pt>
                <c:pt idx="7">
                  <c:v>427</c:v>
                </c:pt>
              </c:numCache>
            </c:numRef>
          </c:yVal>
        </c:ser>
        <c:dLbls>
          <c:showVal val="1"/>
        </c:dLbls>
        <c:axId val="74506624"/>
        <c:axId val="74479872"/>
      </c:scatterChart>
      <c:catAx>
        <c:axId val="74459776"/>
        <c:scaling>
          <c:orientation val="minMax"/>
        </c:scaling>
        <c:axPos val="b"/>
        <c:numFmt formatCode="General" sourceLinked="1"/>
        <c:majorTickMark val="none"/>
        <c:tickLblPos val="nextTo"/>
        <c:crossAx val="74477952"/>
        <c:crosses val="autoZero"/>
        <c:auto val="1"/>
        <c:lblAlgn val="ctr"/>
        <c:lblOffset val="100"/>
      </c:catAx>
      <c:valAx>
        <c:axId val="74477952"/>
        <c:scaling>
          <c:orientation val="minMax"/>
          <c:max val="200"/>
        </c:scaling>
        <c:axPos val="l"/>
        <c:title>
          <c:tx>
            <c:rich>
              <a:bodyPr rot="-5400000" vert="horz"/>
              <a:lstStyle/>
              <a:p>
                <a:pPr>
                  <a:defRPr/>
                </a:pPr>
                <a:r>
                  <a:rPr lang="ru-RU"/>
                  <a:t>Общая сумма сделок, млрд. долл.</a:t>
                </a:r>
              </a:p>
            </c:rich>
          </c:tx>
        </c:title>
        <c:numFmt formatCode="General" sourceLinked="1"/>
        <c:majorTickMark val="none"/>
        <c:tickLblPos val="nextTo"/>
        <c:crossAx val="74459776"/>
        <c:crosses val="autoZero"/>
        <c:crossBetween val="between"/>
      </c:valAx>
      <c:valAx>
        <c:axId val="74479872"/>
        <c:scaling>
          <c:orientation val="minMax"/>
          <c:max val="900"/>
        </c:scaling>
        <c:axPos val="r"/>
        <c:title>
          <c:tx>
            <c:rich>
              <a:bodyPr rot="5400000" vert="horz"/>
              <a:lstStyle/>
              <a:p>
                <a:pPr>
                  <a:defRPr/>
                </a:pPr>
                <a:r>
                  <a:rPr lang="ru-RU"/>
                  <a:t>Количество сделок</a:t>
                </a:r>
              </a:p>
            </c:rich>
          </c:tx>
        </c:title>
        <c:numFmt formatCode="General" sourceLinked="0"/>
        <c:tickLblPos val="nextTo"/>
        <c:crossAx val="74506624"/>
        <c:crosses val="max"/>
        <c:crossBetween val="midCat"/>
      </c:valAx>
      <c:valAx>
        <c:axId val="74506624"/>
        <c:scaling>
          <c:orientation val="minMax"/>
        </c:scaling>
        <c:delete val="1"/>
        <c:axPos val="b"/>
        <c:numFmt formatCode="General" sourceLinked="1"/>
        <c:tickLblPos val="nextTo"/>
        <c:crossAx val="74479872"/>
        <c:crosses val="autoZero"/>
        <c:crossBetween val="midCat"/>
      </c:val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plotArea>
      <c:layout>
        <c:manualLayout>
          <c:layoutTarget val="inner"/>
          <c:xMode val="edge"/>
          <c:yMode val="edge"/>
          <c:x val="7.1961105532949321E-2"/>
          <c:y val="0.10020659722222222"/>
          <c:w val="0.74518381511035969"/>
          <c:h val="0.73443298611111107"/>
        </c:manualLayout>
      </c:layout>
      <c:doughnutChart>
        <c:varyColors val="1"/>
        <c:ser>
          <c:idx val="0"/>
          <c:order val="0"/>
          <c:tx>
            <c:v>2011</c:v>
          </c:tx>
          <c:dLbls>
            <c:dLbl>
              <c:idx val="1"/>
              <c:layout>
                <c:manualLayout>
                  <c:x val="-5.0925337632081E-17"/>
                  <c:y val="3.7037037037037056E-2"/>
                </c:manualLayout>
              </c:layout>
              <c:showVal val="1"/>
            </c:dLbl>
            <c:showVal val="1"/>
            <c:showLeaderLines val="1"/>
          </c:dLbls>
          <c:cat>
            <c:strRef>
              <c:f>Лист2!$A$14:$A$16</c:f>
              <c:strCache>
                <c:ptCount val="3"/>
                <c:pt idx="0">
                  <c:v>внутренние сделки</c:v>
                </c:pt>
                <c:pt idx="1">
                  <c:v>покупка иностранных активов</c:v>
                </c:pt>
                <c:pt idx="2">
                  <c:v>покупка российских активов</c:v>
                </c:pt>
              </c:strCache>
            </c:strRef>
          </c:cat>
          <c:val>
            <c:numRef>
              <c:f>Лист2!$B$14:$B$16</c:f>
              <c:numCache>
                <c:formatCode>General</c:formatCode>
                <c:ptCount val="3"/>
                <c:pt idx="0">
                  <c:v>268</c:v>
                </c:pt>
                <c:pt idx="1">
                  <c:v>73</c:v>
                </c:pt>
                <c:pt idx="2">
                  <c:v>40</c:v>
                </c:pt>
              </c:numCache>
            </c:numRef>
          </c:val>
        </c:ser>
        <c:ser>
          <c:idx val="1"/>
          <c:order val="1"/>
          <c:tx>
            <c:v>2012</c:v>
          </c:tx>
          <c:dLbls>
            <c:dLbl>
              <c:idx val="0"/>
              <c:layout>
                <c:manualLayout>
                  <c:x val="-2.2222222222222251E-2"/>
                  <c:y val="4.1666666666666664E-2"/>
                </c:manualLayout>
              </c:layout>
              <c:showVal val="1"/>
            </c:dLbl>
            <c:showVal val="1"/>
            <c:showLeaderLines val="1"/>
          </c:dLbls>
          <c:cat>
            <c:strRef>
              <c:f>Лист2!$A$14:$A$16</c:f>
              <c:strCache>
                <c:ptCount val="3"/>
                <c:pt idx="0">
                  <c:v>внутренние сделки</c:v>
                </c:pt>
                <c:pt idx="1">
                  <c:v>покупка иностранных активов</c:v>
                </c:pt>
                <c:pt idx="2">
                  <c:v>покупка российских активов</c:v>
                </c:pt>
              </c:strCache>
            </c:strRef>
          </c:cat>
          <c:val>
            <c:numRef>
              <c:f>Лист2!$C$14:$C$16</c:f>
              <c:numCache>
                <c:formatCode>General</c:formatCode>
                <c:ptCount val="3"/>
                <c:pt idx="0">
                  <c:v>301</c:v>
                </c:pt>
                <c:pt idx="1">
                  <c:v>74</c:v>
                </c:pt>
                <c:pt idx="2">
                  <c:v>50</c:v>
                </c:pt>
              </c:numCache>
            </c:numRef>
          </c:val>
        </c:ser>
        <c:dLbls>
          <c:showCatName val="1"/>
        </c:dLbls>
        <c:firstSliceAng val="0"/>
        <c:holeSize val="50"/>
      </c:doughnutChart>
    </c:plotArea>
    <c:legend>
      <c:legendPos val="r"/>
      <c:layout>
        <c:manualLayout>
          <c:xMode val="edge"/>
          <c:yMode val="edge"/>
          <c:x val="1.4794694287375157E-2"/>
          <c:y val="0.84300347222222261"/>
          <c:w val="0.98520530571262022"/>
          <c:h val="0.15674513888888994"/>
        </c:manualLayout>
      </c:layout>
    </c:legend>
    <c:plotVisOnly val="1"/>
    <c:dispBlanksAs val="zero"/>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plotArea>
      <c:layout>
        <c:manualLayout>
          <c:layoutTarget val="inner"/>
          <c:xMode val="edge"/>
          <c:yMode val="edge"/>
          <c:x val="0.11602774105791568"/>
          <c:y val="9.0309027777777773E-2"/>
          <c:w val="0.77690526079673061"/>
          <c:h val="0.75764583333334035"/>
        </c:manualLayout>
      </c:layout>
      <c:doughnutChart>
        <c:varyColors val="1"/>
        <c:ser>
          <c:idx val="0"/>
          <c:order val="0"/>
          <c:tx>
            <c:v>2011</c:v>
          </c:tx>
          <c:dLbls>
            <c:dLbl>
              <c:idx val="0"/>
              <c:layout>
                <c:manualLayout>
                  <c:x val="-8.7203433733116613E-3"/>
                  <c:y val="-4.6296180555555552E-2"/>
                </c:manualLayout>
              </c:layout>
              <c:showVal val="1"/>
            </c:dLbl>
            <c:dLbl>
              <c:idx val="1"/>
              <c:layout>
                <c:manualLayout>
                  <c:x val="5.5555555555555558E-3"/>
                  <c:y val="-4.629629629629658E-3"/>
                </c:manualLayout>
              </c:layout>
              <c:showVal val="1"/>
            </c:dLbl>
            <c:dLbl>
              <c:idx val="2"/>
              <c:layout>
                <c:manualLayout>
                  <c:x val="5.4261813248926316E-2"/>
                  <c:y val="-5.2916666666666834E-2"/>
                </c:manualLayout>
              </c:layout>
              <c:showVal val="1"/>
            </c:dLbl>
            <c:showVal val="1"/>
            <c:showLeaderLines val="1"/>
          </c:dLbls>
          <c:cat>
            <c:strRef>
              <c:f>Лист2!$A$14:$A$16</c:f>
              <c:strCache>
                <c:ptCount val="3"/>
                <c:pt idx="0">
                  <c:v>внутренние сделки</c:v>
                </c:pt>
                <c:pt idx="1">
                  <c:v>покупка иностранных активов</c:v>
                </c:pt>
                <c:pt idx="2">
                  <c:v>покупка российских активов</c:v>
                </c:pt>
              </c:strCache>
            </c:strRef>
          </c:cat>
          <c:val>
            <c:numRef>
              <c:f>Лист2!$B$18:$B$20</c:f>
              <c:numCache>
                <c:formatCode>0%</c:formatCode>
                <c:ptCount val="3"/>
                <c:pt idx="0">
                  <c:v>0.15000000000000024</c:v>
                </c:pt>
                <c:pt idx="1">
                  <c:v>9.0000000000000024E-2</c:v>
                </c:pt>
                <c:pt idx="2">
                  <c:v>0.13</c:v>
                </c:pt>
              </c:numCache>
            </c:numRef>
          </c:val>
        </c:ser>
        <c:ser>
          <c:idx val="1"/>
          <c:order val="1"/>
          <c:tx>
            <c:v>2012</c:v>
          </c:tx>
          <c:dLbls>
            <c:dLbl>
              <c:idx val="0"/>
              <c:layout>
                <c:manualLayout>
                  <c:x val="1.3242161144055581E-2"/>
                  <c:y val="7.4073958333333523E-2"/>
                </c:manualLayout>
              </c:layout>
              <c:showVal val="1"/>
            </c:dLbl>
            <c:dLbl>
              <c:idx val="1"/>
              <c:layout>
                <c:manualLayout>
                  <c:x val="1.1111111111111125E-2"/>
                  <c:y val="2.3148148148148147E-2"/>
                </c:manualLayout>
              </c:layout>
              <c:showVal val="1"/>
            </c:dLbl>
            <c:showVal val="1"/>
            <c:showLeaderLines val="1"/>
          </c:dLbls>
          <c:cat>
            <c:strRef>
              <c:f>Лист2!$A$14:$A$16</c:f>
              <c:strCache>
                <c:ptCount val="3"/>
                <c:pt idx="0">
                  <c:v>внутренние сделки</c:v>
                </c:pt>
                <c:pt idx="1">
                  <c:v>покупка иностранных активов</c:v>
                </c:pt>
                <c:pt idx="2">
                  <c:v>покупка российских активов</c:v>
                </c:pt>
              </c:strCache>
            </c:strRef>
          </c:cat>
          <c:val>
            <c:numRef>
              <c:f>Лист2!$C$18:$C$20</c:f>
              <c:numCache>
                <c:formatCode>0%</c:formatCode>
                <c:ptCount val="3"/>
                <c:pt idx="0">
                  <c:v>0.19</c:v>
                </c:pt>
                <c:pt idx="1">
                  <c:v>8.0000000000000043E-2</c:v>
                </c:pt>
                <c:pt idx="2">
                  <c:v>0.19</c:v>
                </c:pt>
              </c:numCache>
            </c:numRef>
          </c:val>
        </c:ser>
        <c:dLbls>
          <c:showCatName val="1"/>
        </c:dLbls>
        <c:firstSliceAng val="0"/>
        <c:holeSize val="50"/>
      </c:doughnutChart>
    </c:plotArea>
    <c:plotVisOnly val="1"/>
    <c:dispBlanksAs val="zero"/>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6.805555555555555E-2"/>
          <c:y val="0.11805555555555559"/>
          <c:w val="0.5194444444444446"/>
          <c:h val="0.8657407407407407"/>
        </c:manualLayout>
      </c:layout>
      <c:pieChart>
        <c:varyColors val="1"/>
        <c:ser>
          <c:idx val="0"/>
          <c:order val="0"/>
          <c:explosion val="25"/>
          <c:dLbls>
            <c:dLbl>
              <c:idx val="0"/>
              <c:tx>
                <c:rich>
                  <a:bodyPr/>
                  <a:lstStyle/>
                  <a:p>
                    <a:r>
                      <a:rPr lang="en-US" sz="1100" b="1" i="0" baseline="0"/>
                      <a:t>19%; </a:t>
                    </a:r>
                    <a:r>
                      <a:rPr lang="ru-RU" sz="1100" b="1" i="0" baseline="0"/>
                      <a:t>(</a:t>
                    </a:r>
                    <a:r>
                      <a:rPr lang="en-US" sz="1100" b="1" i="0" baseline="0"/>
                      <a:t>15%</a:t>
                    </a:r>
                    <a:r>
                      <a:rPr lang="ru-RU" sz="1100" b="1" i="0" baseline="0"/>
                      <a:t>)</a:t>
                    </a:r>
                    <a:endParaRPr lang="en-US" sz="1100" b="1" i="0" baseline="0"/>
                  </a:p>
                </c:rich>
              </c:tx>
              <c:showVal val="1"/>
              <c:showCatName val="1"/>
            </c:dLbl>
            <c:dLbl>
              <c:idx val="1"/>
              <c:tx>
                <c:rich>
                  <a:bodyPr/>
                  <a:lstStyle/>
                  <a:p>
                    <a:r>
                      <a:rPr lang="en-US" sz="1100" b="1" i="0" baseline="0"/>
                      <a:t>8%; </a:t>
                    </a:r>
                    <a:r>
                      <a:rPr lang="ru-RU" sz="1100" b="1" i="0" baseline="0"/>
                      <a:t>(</a:t>
                    </a:r>
                    <a:r>
                      <a:rPr lang="en-US" sz="1100" b="1" i="0" baseline="0"/>
                      <a:t>9%</a:t>
                    </a:r>
                    <a:r>
                      <a:rPr lang="ru-RU" sz="1100" b="1" i="0" baseline="0"/>
                      <a:t>)</a:t>
                    </a:r>
                    <a:endParaRPr lang="en-US" sz="1100" b="1" i="0" baseline="0"/>
                  </a:p>
                </c:rich>
              </c:tx>
              <c:showVal val="1"/>
              <c:showCatName val="1"/>
            </c:dLbl>
            <c:dLbl>
              <c:idx val="2"/>
              <c:tx>
                <c:rich>
                  <a:bodyPr/>
                  <a:lstStyle/>
                  <a:p>
                    <a:r>
                      <a:rPr lang="en-US" sz="1100" b="1" i="0" baseline="0"/>
                      <a:t>19%; </a:t>
                    </a:r>
                    <a:r>
                      <a:rPr lang="ru-RU" sz="1100" b="1" i="0" baseline="0"/>
                      <a:t>(</a:t>
                    </a:r>
                    <a:r>
                      <a:rPr lang="en-US" sz="1100" b="1" i="0" baseline="0"/>
                      <a:t>13%</a:t>
                    </a:r>
                    <a:r>
                      <a:rPr lang="ru-RU" sz="1100" b="1" i="0" baseline="0"/>
                      <a:t>)</a:t>
                    </a:r>
                    <a:endParaRPr lang="en-US" sz="1100" b="1" i="0" baseline="0"/>
                  </a:p>
                </c:rich>
              </c:tx>
              <c:showVal val="1"/>
              <c:showCatName val="1"/>
            </c:dLbl>
            <c:dLbl>
              <c:idx val="3"/>
              <c:tx>
                <c:rich>
                  <a:bodyPr/>
                  <a:lstStyle/>
                  <a:p>
                    <a:r>
                      <a:rPr lang="en-US" sz="1100" b="1" i="0" baseline="0"/>
                      <a:t>8%; </a:t>
                    </a:r>
                    <a:r>
                      <a:rPr lang="ru-RU" sz="1100" b="1" i="0" baseline="0"/>
                      <a:t>(</a:t>
                    </a:r>
                    <a:r>
                      <a:rPr lang="en-US" sz="1100" b="1" i="0" baseline="0"/>
                      <a:t>17%</a:t>
                    </a:r>
                    <a:r>
                      <a:rPr lang="ru-RU" sz="1100" b="1" i="0" baseline="0"/>
                      <a:t>)</a:t>
                    </a:r>
                    <a:endParaRPr lang="en-US" sz="1100" b="1" i="0" baseline="0"/>
                  </a:p>
                </c:rich>
              </c:tx>
              <c:showVal val="1"/>
              <c:showCatName val="1"/>
            </c:dLbl>
            <c:dLbl>
              <c:idx val="4"/>
              <c:tx>
                <c:rich>
                  <a:bodyPr/>
                  <a:lstStyle/>
                  <a:p>
                    <a:r>
                      <a:rPr lang="en-US" sz="1100" b="1" i="0" baseline="0"/>
                      <a:t>17%; </a:t>
                    </a:r>
                    <a:r>
                      <a:rPr lang="ru-RU" sz="1100" b="1" i="0" baseline="0"/>
                      <a:t>(</a:t>
                    </a:r>
                    <a:r>
                      <a:rPr lang="en-US" sz="1100" b="1" i="0" baseline="0"/>
                      <a:t>17%</a:t>
                    </a:r>
                    <a:r>
                      <a:rPr lang="ru-RU" sz="1100" b="1" i="0" baseline="0"/>
                      <a:t>)</a:t>
                    </a:r>
                    <a:endParaRPr lang="en-US" sz="1100" b="1" i="0" baseline="0"/>
                  </a:p>
                </c:rich>
              </c:tx>
              <c:showVal val="1"/>
              <c:showCatName val="1"/>
            </c:dLbl>
            <c:dLbl>
              <c:idx val="5"/>
              <c:tx>
                <c:rich>
                  <a:bodyPr/>
                  <a:lstStyle/>
                  <a:p>
                    <a:r>
                      <a:rPr lang="en-US" sz="1100" b="1" i="0" baseline="0"/>
                      <a:t>5%; </a:t>
                    </a:r>
                    <a:r>
                      <a:rPr lang="ru-RU" sz="1100" b="1" i="0" baseline="0"/>
                      <a:t>(</a:t>
                    </a:r>
                    <a:r>
                      <a:rPr lang="en-US" sz="1100" b="1" i="0" baseline="0"/>
                      <a:t>9%</a:t>
                    </a:r>
                    <a:r>
                      <a:rPr lang="ru-RU" sz="1100" b="1" i="0" baseline="0"/>
                      <a:t>)</a:t>
                    </a:r>
                    <a:endParaRPr lang="en-US" sz="1100" b="1" i="0" baseline="0"/>
                  </a:p>
                </c:rich>
              </c:tx>
              <c:showVal val="1"/>
              <c:showCatName val="1"/>
            </c:dLbl>
            <c:dLbl>
              <c:idx val="6"/>
              <c:tx>
                <c:rich>
                  <a:bodyPr/>
                  <a:lstStyle/>
                  <a:p>
                    <a:r>
                      <a:rPr lang="en-US" sz="1100" b="1" i="0" baseline="0"/>
                      <a:t>8%; </a:t>
                    </a:r>
                    <a:r>
                      <a:rPr lang="ru-RU" sz="1100" b="1" i="0" baseline="0"/>
                      <a:t>(</a:t>
                    </a:r>
                    <a:r>
                      <a:rPr lang="en-US" sz="1100" b="1" i="0" baseline="0"/>
                      <a:t>10%</a:t>
                    </a:r>
                    <a:r>
                      <a:rPr lang="ru-RU" sz="1100" b="1" i="0" baseline="0"/>
                      <a:t>)</a:t>
                    </a:r>
                    <a:endParaRPr lang="en-US" sz="1100" b="1" i="0" baseline="0"/>
                  </a:p>
                </c:rich>
              </c:tx>
              <c:showVal val="1"/>
              <c:showCatName val="1"/>
            </c:dLbl>
            <c:dLbl>
              <c:idx val="7"/>
              <c:tx>
                <c:rich>
                  <a:bodyPr/>
                  <a:lstStyle/>
                  <a:p>
                    <a:r>
                      <a:rPr lang="en-US" sz="1100" b="1" i="0" baseline="0"/>
                      <a:t>12%; </a:t>
                    </a:r>
                    <a:r>
                      <a:rPr lang="ru-RU" sz="1100" b="1" i="0" baseline="0"/>
                      <a:t>(</a:t>
                    </a:r>
                    <a:r>
                      <a:rPr lang="en-US" sz="1100" b="1" i="0" baseline="0"/>
                      <a:t>9%</a:t>
                    </a:r>
                    <a:r>
                      <a:rPr lang="ru-RU" sz="1100" b="1" i="0" baseline="0"/>
                      <a:t>)</a:t>
                    </a:r>
                    <a:endParaRPr lang="en-US" sz="1100" b="1" i="0" baseline="0"/>
                  </a:p>
                </c:rich>
              </c:tx>
              <c:showVal val="1"/>
              <c:showCatName val="1"/>
            </c:dLbl>
            <c:dLbl>
              <c:idx val="8"/>
              <c:tx>
                <c:rich>
                  <a:bodyPr/>
                  <a:lstStyle/>
                  <a:p>
                    <a:r>
                      <a:rPr lang="en-US" sz="1100" b="1" i="0" baseline="0"/>
                      <a:t>4%; </a:t>
                    </a:r>
                    <a:r>
                      <a:rPr lang="ru-RU" sz="1100" b="1" i="0" baseline="0"/>
                      <a:t>(</a:t>
                    </a:r>
                    <a:r>
                      <a:rPr lang="en-US" sz="1100" b="1" i="0" baseline="0"/>
                      <a:t>1%</a:t>
                    </a:r>
                    <a:r>
                      <a:rPr lang="ru-RU" sz="1100" b="1" i="0" baseline="0"/>
                      <a:t>)</a:t>
                    </a:r>
                    <a:endParaRPr lang="en-US" sz="1100" b="1" i="0" baseline="0"/>
                  </a:p>
                </c:rich>
              </c:tx>
              <c:showVal val="1"/>
              <c:showCatName val="1"/>
            </c:dLbl>
            <c:showVal val="1"/>
            <c:showCatName val="1"/>
            <c:showLeaderLines val="1"/>
          </c:dLbls>
          <c:cat>
            <c:numRef>
              <c:f>Лист2!$C$18:$C$26</c:f>
              <c:numCache>
                <c:formatCode>0%</c:formatCode>
                <c:ptCount val="9"/>
                <c:pt idx="0">
                  <c:v>0.19</c:v>
                </c:pt>
                <c:pt idx="1">
                  <c:v>8.0000000000000043E-2</c:v>
                </c:pt>
                <c:pt idx="2">
                  <c:v>0.19</c:v>
                </c:pt>
                <c:pt idx="3">
                  <c:v>8.0000000000000043E-2</c:v>
                </c:pt>
                <c:pt idx="4">
                  <c:v>0.17</c:v>
                </c:pt>
                <c:pt idx="5">
                  <c:v>0.05</c:v>
                </c:pt>
                <c:pt idx="6">
                  <c:v>8.0000000000000043E-2</c:v>
                </c:pt>
                <c:pt idx="7">
                  <c:v>0.12000000000000002</c:v>
                </c:pt>
                <c:pt idx="8">
                  <c:v>4.0000000000000022E-2</c:v>
                </c:pt>
              </c:numCache>
            </c:numRef>
          </c:cat>
          <c:val>
            <c:numRef>
              <c:f>Лист2!$B$18:$B$26</c:f>
              <c:numCache>
                <c:formatCode>0%</c:formatCode>
                <c:ptCount val="9"/>
                <c:pt idx="0">
                  <c:v>0.15000000000000024</c:v>
                </c:pt>
                <c:pt idx="1">
                  <c:v>9.0000000000000024E-2</c:v>
                </c:pt>
                <c:pt idx="2">
                  <c:v>0.13</c:v>
                </c:pt>
                <c:pt idx="3">
                  <c:v>0.17</c:v>
                </c:pt>
                <c:pt idx="4">
                  <c:v>0.17</c:v>
                </c:pt>
                <c:pt idx="5">
                  <c:v>9.0000000000000024E-2</c:v>
                </c:pt>
                <c:pt idx="6">
                  <c:v>0.1</c:v>
                </c:pt>
                <c:pt idx="7">
                  <c:v>9.0000000000000024E-2</c:v>
                </c:pt>
                <c:pt idx="8">
                  <c:v>1.0000000000000005E-2</c:v>
                </c:pt>
              </c:numCache>
            </c:numRef>
          </c:val>
        </c:ser>
        <c:dLbls>
          <c:showCatName val="1"/>
          <c:showPercent val="1"/>
        </c:dLbls>
        <c:firstSliceAng val="0"/>
      </c:pieChart>
    </c:plotArea>
    <c:legend>
      <c:legendPos val="r"/>
      <c:layout>
        <c:manualLayout>
          <c:xMode val="edge"/>
          <c:yMode val="edge"/>
          <c:x val="0.62365076639482075"/>
          <c:y val="3.0616618128213629E-2"/>
          <c:w val="2.7053523519736201E-2"/>
          <c:h val="0.95715842811315521"/>
        </c:manualLayout>
      </c:layout>
    </c:legend>
    <c:plotVisOnly val="1"/>
    <c:dispBlanksAs val="zero"/>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62A82-111A-450F-9AB5-2535D325957E}"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ru-RU"/>
        </a:p>
      </dgm:t>
    </dgm:pt>
    <dgm:pt modelId="{F83FAA0E-8B3B-42E1-8B9C-F24029C854F7}">
      <dgm:prSet phldrT="[Текст]" custT="1"/>
      <dgm:spPr/>
      <dgm:t>
        <a:bodyPr/>
        <a:lstStyle/>
        <a:p>
          <a:r>
            <a:rPr lang="ru-RU" sz="1200">
              <a:latin typeface="Times New Roman" pitchFamily="18" charset="0"/>
              <a:cs typeface="Times New Roman" pitchFamily="18" charset="0"/>
            </a:rPr>
            <a:t>Расчет инвестиционной стоимости компании </a:t>
          </a:r>
        </a:p>
        <a:p>
          <a:r>
            <a:rPr lang="en-US" sz="1200">
              <a:latin typeface="Times New Roman" pitchFamily="18" charset="0"/>
              <a:cs typeface="Times New Roman" pitchFamily="18" charset="0"/>
            </a:rPr>
            <a:t>V </a:t>
          </a:r>
          <a:r>
            <a:rPr lang="en-US" sz="1200" baseline="-25000">
              <a:latin typeface="Times New Roman" pitchFamily="18" charset="0"/>
              <a:cs typeface="Times New Roman" pitchFamily="18" charset="0"/>
            </a:rPr>
            <a:t>inv</a:t>
          </a:r>
          <a:r>
            <a:rPr lang="en-US" sz="1200">
              <a:latin typeface="Times New Roman" pitchFamily="18" charset="0"/>
              <a:cs typeface="Times New Roman" pitchFamily="18" charset="0"/>
            </a:rPr>
            <a:t> = V + S</a:t>
          </a:r>
          <a:r>
            <a:rPr lang="en-US" sz="1200" baseline="-25000">
              <a:latin typeface="Times New Roman" pitchFamily="18" charset="0"/>
              <a:cs typeface="Times New Roman" pitchFamily="18" charset="0"/>
            </a:rPr>
            <a:t>∑</a:t>
          </a:r>
          <a:r>
            <a:rPr lang="en-US" sz="1200">
              <a:latin typeface="Times New Roman" pitchFamily="18" charset="0"/>
              <a:cs typeface="Times New Roman" pitchFamily="18" charset="0"/>
            </a:rPr>
            <a:t> - C</a:t>
          </a:r>
          <a:r>
            <a:rPr lang="en-US" sz="1200" baseline="-25000">
              <a:solidFill>
                <a:sysClr val="windowText" lastClr="000000"/>
              </a:solidFill>
              <a:latin typeface="Times New Roman" pitchFamily="18" charset="0"/>
              <a:cs typeface="Times New Roman" pitchFamily="18" charset="0"/>
            </a:rPr>
            <a:t>I</a:t>
          </a:r>
          <a:endParaRPr lang="ru-RU" sz="1200" baseline="-25000">
            <a:solidFill>
              <a:sysClr val="windowText" lastClr="000000"/>
            </a:solidFill>
            <a:latin typeface="Times New Roman" pitchFamily="18" charset="0"/>
            <a:cs typeface="Times New Roman" pitchFamily="18" charset="0"/>
          </a:endParaRPr>
        </a:p>
      </dgm:t>
    </dgm:pt>
    <dgm:pt modelId="{BAEC890F-5B37-4906-99C4-9BE8C4B9C9AE}" type="parTrans" cxnId="{73BC2DEF-0A6A-41E1-83BE-819096962037}">
      <dgm:prSet/>
      <dgm:spPr/>
      <dgm:t>
        <a:bodyPr/>
        <a:lstStyle/>
        <a:p>
          <a:endParaRPr lang="ru-RU"/>
        </a:p>
      </dgm:t>
    </dgm:pt>
    <dgm:pt modelId="{C7754DAE-EFE4-41B3-AF32-19FF03A11874}" type="sibTrans" cxnId="{73BC2DEF-0A6A-41E1-83BE-819096962037}">
      <dgm:prSet/>
      <dgm:spPr/>
      <dgm:t>
        <a:bodyPr/>
        <a:lstStyle/>
        <a:p>
          <a:endParaRPr lang="ru-RU"/>
        </a:p>
      </dgm:t>
    </dgm:pt>
    <dgm:pt modelId="{350DDC6A-3807-4134-982B-9FFE350669B9}">
      <dgm:prSet phldrT="[Текст]"/>
      <dgm:spPr/>
      <dgm:t>
        <a:bodyPr/>
        <a:lstStyle/>
        <a:p>
          <a:r>
            <a:rPr lang="ru-RU"/>
            <a:t>Выявление и стоимостная оценка синергий </a:t>
          </a:r>
          <a:endParaRPr lang="en-US"/>
        </a:p>
        <a:p>
          <a:r>
            <a:rPr lang="ru-RU"/>
            <a:t>( </a:t>
          </a:r>
          <a:r>
            <a:rPr lang="en-US"/>
            <a:t>S</a:t>
          </a:r>
          <a:r>
            <a:rPr lang="en-US" baseline="-25000">
              <a:latin typeface="Times New Roman"/>
              <a:cs typeface="Times New Roman"/>
            </a:rPr>
            <a:t>∑ </a:t>
          </a:r>
          <a:r>
            <a:rPr lang="en-US">
              <a:latin typeface="Times New Roman"/>
              <a:cs typeface="Times New Roman"/>
            </a:rPr>
            <a:t>)</a:t>
          </a:r>
          <a:endParaRPr lang="ru-RU"/>
        </a:p>
      </dgm:t>
    </dgm:pt>
    <dgm:pt modelId="{78D93197-F99B-4CD4-8342-2554E8FE9FB3}" type="parTrans" cxnId="{F15B5991-A4DE-4048-9101-394DDEBAA8C7}">
      <dgm:prSet/>
      <dgm:spPr/>
      <dgm:t>
        <a:bodyPr/>
        <a:lstStyle/>
        <a:p>
          <a:endParaRPr lang="ru-RU"/>
        </a:p>
      </dgm:t>
    </dgm:pt>
    <dgm:pt modelId="{80DC9E23-343D-473A-8750-960F8580F7C6}" type="sibTrans" cxnId="{F15B5991-A4DE-4048-9101-394DDEBAA8C7}">
      <dgm:prSet/>
      <dgm:spPr/>
      <dgm:t>
        <a:bodyPr/>
        <a:lstStyle/>
        <a:p>
          <a:endParaRPr lang="ru-RU"/>
        </a:p>
      </dgm:t>
    </dgm:pt>
    <dgm:pt modelId="{715C3687-AC0E-4DB2-9140-70533AA7AD43}">
      <dgm:prSet phldrT="[Текст]"/>
      <dgm:spPr/>
      <dgm:t>
        <a:bodyPr/>
        <a:lstStyle/>
        <a:p>
          <a:r>
            <a:rPr lang="ru-RU"/>
            <a:t>Оценка рыночной стоимости присоединяемой компании (</a:t>
          </a:r>
          <a:r>
            <a:rPr lang="en-US"/>
            <a:t> V )</a:t>
          </a:r>
          <a:r>
            <a:rPr lang="ru-RU"/>
            <a:t> </a:t>
          </a:r>
        </a:p>
      </dgm:t>
    </dgm:pt>
    <dgm:pt modelId="{1A307CBC-BF3C-48BB-826C-4A93AB4C4F78}" type="parTrans" cxnId="{48BA0537-22E4-4A5A-8877-0EB73EF2F374}">
      <dgm:prSet/>
      <dgm:spPr/>
      <dgm:t>
        <a:bodyPr/>
        <a:lstStyle/>
        <a:p>
          <a:endParaRPr lang="ru-RU"/>
        </a:p>
      </dgm:t>
    </dgm:pt>
    <dgm:pt modelId="{EE9DFA75-1697-4647-9AE6-4A9BAE7719EB}" type="sibTrans" cxnId="{48BA0537-22E4-4A5A-8877-0EB73EF2F374}">
      <dgm:prSet/>
      <dgm:spPr/>
      <dgm:t>
        <a:bodyPr/>
        <a:lstStyle/>
        <a:p>
          <a:endParaRPr lang="ru-RU"/>
        </a:p>
      </dgm:t>
    </dgm:pt>
    <dgm:pt modelId="{35F25E63-D6C5-485A-AB95-B9598CDD4884}">
      <dgm:prSet phldrT="[Текст]"/>
      <dgm:spPr/>
      <dgm:t>
        <a:bodyPr/>
        <a:lstStyle/>
        <a:p>
          <a:r>
            <a:rPr lang="ru-RU"/>
            <a:t>Оценка затрат на интеграцию ( </a:t>
          </a:r>
          <a:r>
            <a:rPr lang="en-US"/>
            <a:t>C</a:t>
          </a:r>
          <a:r>
            <a:rPr lang="en-US" baseline="-25000"/>
            <a:t>I</a:t>
          </a:r>
          <a:r>
            <a:rPr lang="en-US"/>
            <a:t> )</a:t>
          </a:r>
          <a:endParaRPr lang="ru-RU"/>
        </a:p>
      </dgm:t>
    </dgm:pt>
    <dgm:pt modelId="{748DDFEC-B5B8-4B79-8344-41E6DFF90C9E}" type="parTrans" cxnId="{7D11B3F3-B706-4508-8E27-95CA7424745B}">
      <dgm:prSet/>
      <dgm:spPr/>
      <dgm:t>
        <a:bodyPr/>
        <a:lstStyle/>
        <a:p>
          <a:endParaRPr lang="ru-RU"/>
        </a:p>
      </dgm:t>
    </dgm:pt>
    <dgm:pt modelId="{C1613703-AA23-4C1E-8865-29196FA756FE}" type="sibTrans" cxnId="{7D11B3F3-B706-4508-8E27-95CA7424745B}">
      <dgm:prSet/>
      <dgm:spPr/>
      <dgm:t>
        <a:bodyPr/>
        <a:lstStyle/>
        <a:p>
          <a:endParaRPr lang="ru-RU"/>
        </a:p>
      </dgm:t>
    </dgm:pt>
    <dgm:pt modelId="{4B38BDFE-DD6B-4843-BC43-414F0CA68898}" type="pres">
      <dgm:prSet presAssocID="{3E462A82-111A-450F-9AB5-2535D325957E}" presName="cycle" presStyleCnt="0">
        <dgm:presLayoutVars>
          <dgm:chMax val="1"/>
          <dgm:dir/>
          <dgm:animLvl val="ctr"/>
          <dgm:resizeHandles val="exact"/>
        </dgm:presLayoutVars>
      </dgm:prSet>
      <dgm:spPr/>
      <dgm:t>
        <a:bodyPr/>
        <a:lstStyle/>
        <a:p>
          <a:endParaRPr lang="ru-RU"/>
        </a:p>
      </dgm:t>
    </dgm:pt>
    <dgm:pt modelId="{4231EF0B-BA13-40F6-BCC3-12825BF29336}" type="pres">
      <dgm:prSet presAssocID="{F83FAA0E-8B3B-42E1-8B9C-F24029C854F7}" presName="centerShape" presStyleLbl="node0" presStyleIdx="0" presStyleCnt="1" custScaleX="129769" custScaleY="100251"/>
      <dgm:spPr/>
      <dgm:t>
        <a:bodyPr/>
        <a:lstStyle/>
        <a:p>
          <a:endParaRPr lang="ru-RU"/>
        </a:p>
      </dgm:t>
    </dgm:pt>
    <dgm:pt modelId="{6F3E4C55-875E-4012-8854-B82385E805FC}" type="pres">
      <dgm:prSet presAssocID="{78D93197-F99B-4CD4-8342-2554E8FE9FB3}" presName="parTrans" presStyleLbl="bgSibTrans2D1" presStyleIdx="0" presStyleCnt="3"/>
      <dgm:spPr/>
      <dgm:t>
        <a:bodyPr/>
        <a:lstStyle/>
        <a:p>
          <a:endParaRPr lang="ru-RU"/>
        </a:p>
      </dgm:t>
    </dgm:pt>
    <dgm:pt modelId="{29521DD8-978B-433E-9045-67F76FDBD8FA}" type="pres">
      <dgm:prSet presAssocID="{350DDC6A-3807-4134-982B-9FFE350669B9}" presName="node" presStyleLbl="node1" presStyleIdx="0" presStyleCnt="3" custScaleY="88827" custRadScaleRad="106640" custRadScaleInc="2558">
        <dgm:presLayoutVars>
          <dgm:bulletEnabled val="1"/>
        </dgm:presLayoutVars>
      </dgm:prSet>
      <dgm:spPr/>
      <dgm:t>
        <a:bodyPr/>
        <a:lstStyle/>
        <a:p>
          <a:endParaRPr lang="ru-RU"/>
        </a:p>
      </dgm:t>
    </dgm:pt>
    <dgm:pt modelId="{D5F2BD42-0FED-4E4D-9B10-9BD533500B6F}" type="pres">
      <dgm:prSet presAssocID="{1A307CBC-BF3C-48BB-826C-4A93AB4C4F78}" presName="parTrans" presStyleLbl="bgSibTrans2D1" presStyleIdx="1" presStyleCnt="3"/>
      <dgm:spPr/>
      <dgm:t>
        <a:bodyPr/>
        <a:lstStyle/>
        <a:p>
          <a:endParaRPr lang="ru-RU"/>
        </a:p>
      </dgm:t>
    </dgm:pt>
    <dgm:pt modelId="{B5C9546F-245B-40BA-8575-F891E315007A}" type="pres">
      <dgm:prSet presAssocID="{715C3687-AC0E-4DB2-9140-70533AA7AD43}" presName="node" presStyleLbl="node1" presStyleIdx="1" presStyleCnt="3">
        <dgm:presLayoutVars>
          <dgm:bulletEnabled val="1"/>
        </dgm:presLayoutVars>
      </dgm:prSet>
      <dgm:spPr/>
      <dgm:t>
        <a:bodyPr/>
        <a:lstStyle/>
        <a:p>
          <a:endParaRPr lang="ru-RU"/>
        </a:p>
      </dgm:t>
    </dgm:pt>
    <dgm:pt modelId="{975BBA26-1F02-4BCC-AE90-0A942FE69AC1}" type="pres">
      <dgm:prSet presAssocID="{748DDFEC-B5B8-4B79-8344-41E6DFF90C9E}" presName="parTrans" presStyleLbl="bgSibTrans2D1" presStyleIdx="2" presStyleCnt="3"/>
      <dgm:spPr/>
      <dgm:t>
        <a:bodyPr/>
        <a:lstStyle/>
        <a:p>
          <a:endParaRPr lang="ru-RU"/>
        </a:p>
      </dgm:t>
    </dgm:pt>
    <dgm:pt modelId="{ED946FF4-6826-49E0-955D-D690DDF43637}" type="pres">
      <dgm:prSet presAssocID="{35F25E63-D6C5-485A-AB95-B9598CDD4884}" presName="node" presStyleLbl="node1" presStyleIdx="2" presStyleCnt="3" custScaleY="84156" custRadScaleRad="105330" custRadScaleInc="-4516">
        <dgm:presLayoutVars>
          <dgm:bulletEnabled val="1"/>
        </dgm:presLayoutVars>
      </dgm:prSet>
      <dgm:spPr/>
      <dgm:t>
        <a:bodyPr/>
        <a:lstStyle/>
        <a:p>
          <a:endParaRPr lang="ru-RU"/>
        </a:p>
      </dgm:t>
    </dgm:pt>
  </dgm:ptLst>
  <dgm:cxnLst>
    <dgm:cxn modelId="{1FBD8CEF-56C7-4844-A3C2-29F386F58982}" type="presOf" srcId="{350DDC6A-3807-4134-982B-9FFE350669B9}" destId="{29521DD8-978B-433E-9045-67F76FDBD8FA}" srcOrd="0" destOrd="0" presId="urn:microsoft.com/office/officeart/2005/8/layout/radial4"/>
    <dgm:cxn modelId="{5EC0BC76-7E10-46BC-A295-DCABB0649266}" type="presOf" srcId="{35F25E63-D6C5-485A-AB95-B9598CDD4884}" destId="{ED946FF4-6826-49E0-955D-D690DDF43637}" srcOrd="0" destOrd="0" presId="urn:microsoft.com/office/officeart/2005/8/layout/radial4"/>
    <dgm:cxn modelId="{7D11B3F3-B706-4508-8E27-95CA7424745B}" srcId="{F83FAA0E-8B3B-42E1-8B9C-F24029C854F7}" destId="{35F25E63-D6C5-485A-AB95-B9598CDD4884}" srcOrd="2" destOrd="0" parTransId="{748DDFEC-B5B8-4B79-8344-41E6DFF90C9E}" sibTransId="{C1613703-AA23-4C1E-8865-29196FA756FE}"/>
    <dgm:cxn modelId="{48BA0537-22E4-4A5A-8877-0EB73EF2F374}" srcId="{F83FAA0E-8B3B-42E1-8B9C-F24029C854F7}" destId="{715C3687-AC0E-4DB2-9140-70533AA7AD43}" srcOrd="1" destOrd="0" parTransId="{1A307CBC-BF3C-48BB-826C-4A93AB4C4F78}" sibTransId="{EE9DFA75-1697-4647-9AE6-4A9BAE7719EB}"/>
    <dgm:cxn modelId="{F15B5991-A4DE-4048-9101-394DDEBAA8C7}" srcId="{F83FAA0E-8B3B-42E1-8B9C-F24029C854F7}" destId="{350DDC6A-3807-4134-982B-9FFE350669B9}" srcOrd="0" destOrd="0" parTransId="{78D93197-F99B-4CD4-8342-2554E8FE9FB3}" sibTransId="{80DC9E23-343D-473A-8750-960F8580F7C6}"/>
    <dgm:cxn modelId="{01BFA099-F3DA-412A-85CE-AA82E3C34AC1}" type="presOf" srcId="{3E462A82-111A-450F-9AB5-2535D325957E}" destId="{4B38BDFE-DD6B-4843-BC43-414F0CA68898}" srcOrd="0" destOrd="0" presId="urn:microsoft.com/office/officeart/2005/8/layout/radial4"/>
    <dgm:cxn modelId="{F28EABDC-C7F5-4C06-880E-ECCBFE1EBB9B}" type="presOf" srcId="{748DDFEC-B5B8-4B79-8344-41E6DFF90C9E}" destId="{975BBA26-1F02-4BCC-AE90-0A942FE69AC1}" srcOrd="0" destOrd="0" presId="urn:microsoft.com/office/officeart/2005/8/layout/radial4"/>
    <dgm:cxn modelId="{282145B3-2036-41A1-B94D-50FFEA9D7D69}" type="presOf" srcId="{F83FAA0E-8B3B-42E1-8B9C-F24029C854F7}" destId="{4231EF0B-BA13-40F6-BCC3-12825BF29336}" srcOrd="0" destOrd="0" presId="urn:microsoft.com/office/officeart/2005/8/layout/radial4"/>
    <dgm:cxn modelId="{729EA778-723A-4782-A2F8-68AC76569CF6}" type="presOf" srcId="{78D93197-F99B-4CD4-8342-2554E8FE9FB3}" destId="{6F3E4C55-875E-4012-8854-B82385E805FC}" srcOrd="0" destOrd="0" presId="urn:microsoft.com/office/officeart/2005/8/layout/radial4"/>
    <dgm:cxn modelId="{F0D6D1CE-F74C-4F7A-B39D-E3A1C170D066}" type="presOf" srcId="{1A307CBC-BF3C-48BB-826C-4A93AB4C4F78}" destId="{D5F2BD42-0FED-4E4D-9B10-9BD533500B6F}" srcOrd="0" destOrd="0" presId="urn:microsoft.com/office/officeart/2005/8/layout/radial4"/>
    <dgm:cxn modelId="{481A040C-E09F-49AB-A41A-246B7D0D045E}" type="presOf" srcId="{715C3687-AC0E-4DB2-9140-70533AA7AD43}" destId="{B5C9546F-245B-40BA-8575-F891E315007A}" srcOrd="0" destOrd="0" presId="urn:microsoft.com/office/officeart/2005/8/layout/radial4"/>
    <dgm:cxn modelId="{73BC2DEF-0A6A-41E1-83BE-819096962037}" srcId="{3E462A82-111A-450F-9AB5-2535D325957E}" destId="{F83FAA0E-8B3B-42E1-8B9C-F24029C854F7}" srcOrd="0" destOrd="0" parTransId="{BAEC890F-5B37-4906-99C4-9BE8C4B9C9AE}" sibTransId="{C7754DAE-EFE4-41B3-AF32-19FF03A11874}"/>
    <dgm:cxn modelId="{E8330D56-D210-4365-9F80-8FE6B02A241B}" type="presParOf" srcId="{4B38BDFE-DD6B-4843-BC43-414F0CA68898}" destId="{4231EF0B-BA13-40F6-BCC3-12825BF29336}" srcOrd="0" destOrd="0" presId="urn:microsoft.com/office/officeart/2005/8/layout/radial4"/>
    <dgm:cxn modelId="{8704F328-9B19-42E5-BBF6-B5E0BF965D3F}" type="presParOf" srcId="{4B38BDFE-DD6B-4843-BC43-414F0CA68898}" destId="{6F3E4C55-875E-4012-8854-B82385E805FC}" srcOrd="1" destOrd="0" presId="urn:microsoft.com/office/officeart/2005/8/layout/radial4"/>
    <dgm:cxn modelId="{2F11588A-1A2A-4C1B-B640-648C2BB014A8}" type="presParOf" srcId="{4B38BDFE-DD6B-4843-BC43-414F0CA68898}" destId="{29521DD8-978B-433E-9045-67F76FDBD8FA}" srcOrd="2" destOrd="0" presId="urn:microsoft.com/office/officeart/2005/8/layout/radial4"/>
    <dgm:cxn modelId="{8AC23753-0689-46D4-AC67-EC6A37A4D233}" type="presParOf" srcId="{4B38BDFE-DD6B-4843-BC43-414F0CA68898}" destId="{D5F2BD42-0FED-4E4D-9B10-9BD533500B6F}" srcOrd="3" destOrd="0" presId="urn:microsoft.com/office/officeart/2005/8/layout/radial4"/>
    <dgm:cxn modelId="{A52644B8-2CE4-4B94-A4DD-219B56A00685}" type="presParOf" srcId="{4B38BDFE-DD6B-4843-BC43-414F0CA68898}" destId="{B5C9546F-245B-40BA-8575-F891E315007A}" srcOrd="4" destOrd="0" presId="urn:microsoft.com/office/officeart/2005/8/layout/radial4"/>
    <dgm:cxn modelId="{9F6F5D9C-F7A9-44F1-B7AB-3EF4DC9C56CA}" type="presParOf" srcId="{4B38BDFE-DD6B-4843-BC43-414F0CA68898}" destId="{975BBA26-1F02-4BCC-AE90-0A942FE69AC1}" srcOrd="5" destOrd="0" presId="urn:microsoft.com/office/officeart/2005/8/layout/radial4"/>
    <dgm:cxn modelId="{CAFD73ED-AB06-4600-9822-1178F2718ACF}" type="presParOf" srcId="{4B38BDFE-DD6B-4843-BC43-414F0CA68898}" destId="{ED946FF4-6826-49E0-955D-D690DDF43637}" srcOrd="6"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1EF0B-BA13-40F6-BCC3-12825BF29336}">
      <dsp:nvSpPr>
        <dsp:cNvPr id="0" name=""/>
        <dsp:cNvSpPr/>
      </dsp:nvSpPr>
      <dsp:spPr>
        <a:xfrm>
          <a:off x="1837426" y="1660969"/>
          <a:ext cx="1811546" cy="139948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Расчет инвестиционной стоимости компании </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V </a:t>
          </a:r>
          <a:r>
            <a:rPr lang="en-US" sz="1200" kern="1200" baseline="-25000">
              <a:latin typeface="Times New Roman" pitchFamily="18" charset="0"/>
              <a:cs typeface="Times New Roman" pitchFamily="18" charset="0"/>
            </a:rPr>
            <a:t>inv</a:t>
          </a:r>
          <a:r>
            <a:rPr lang="en-US" sz="1200" kern="1200">
              <a:latin typeface="Times New Roman" pitchFamily="18" charset="0"/>
              <a:cs typeface="Times New Roman" pitchFamily="18" charset="0"/>
            </a:rPr>
            <a:t> = V + S</a:t>
          </a:r>
          <a:r>
            <a:rPr lang="en-US" sz="1200" kern="1200" baseline="-25000">
              <a:latin typeface="Times New Roman" pitchFamily="18" charset="0"/>
              <a:cs typeface="Times New Roman" pitchFamily="18" charset="0"/>
            </a:rPr>
            <a:t>∑</a:t>
          </a:r>
          <a:r>
            <a:rPr lang="en-US" sz="1200" kern="1200">
              <a:latin typeface="Times New Roman" pitchFamily="18" charset="0"/>
              <a:cs typeface="Times New Roman" pitchFamily="18" charset="0"/>
            </a:rPr>
            <a:t> - C</a:t>
          </a:r>
          <a:r>
            <a:rPr lang="en-US" sz="1200" kern="1200" baseline="-25000">
              <a:solidFill>
                <a:sysClr val="windowText" lastClr="000000"/>
              </a:solidFill>
              <a:latin typeface="Times New Roman" pitchFamily="18" charset="0"/>
              <a:cs typeface="Times New Roman" pitchFamily="18" charset="0"/>
            </a:rPr>
            <a:t>I</a:t>
          </a:r>
          <a:endParaRPr lang="ru-RU" sz="1200" kern="1200" baseline="-25000">
            <a:solidFill>
              <a:sysClr val="windowText" lastClr="000000"/>
            </a:solidFill>
            <a:latin typeface="Times New Roman" pitchFamily="18" charset="0"/>
            <a:cs typeface="Times New Roman" pitchFamily="18" charset="0"/>
          </a:endParaRPr>
        </a:p>
      </dsp:txBody>
      <dsp:txXfrm>
        <a:off x="2102721" y="1865918"/>
        <a:ext cx="1280956" cy="989583"/>
      </dsp:txXfrm>
    </dsp:sp>
    <dsp:sp modelId="{6F3E4C55-875E-4012-8854-B82385E805FC}">
      <dsp:nvSpPr>
        <dsp:cNvPr id="0" name=""/>
        <dsp:cNvSpPr/>
      </dsp:nvSpPr>
      <dsp:spPr>
        <a:xfrm rot="12992088">
          <a:off x="1068855" y="1319873"/>
          <a:ext cx="1076024" cy="39785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9521DD8-978B-433E-9045-67F76FDBD8FA}">
      <dsp:nvSpPr>
        <dsp:cNvPr id="0" name=""/>
        <dsp:cNvSpPr/>
      </dsp:nvSpPr>
      <dsp:spPr>
        <a:xfrm>
          <a:off x="511487" y="727313"/>
          <a:ext cx="1326179" cy="9424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Выявление и стоимостная оценка синергий </a:t>
          </a:r>
          <a:endParaRPr lang="en-US" sz="1200" kern="1200"/>
        </a:p>
        <a:p>
          <a:pPr lvl="0" algn="ctr" defTabSz="533400">
            <a:lnSpc>
              <a:spcPct val="90000"/>
            </a:lnSpc>
            <a:spcBef>
              <a:spcPct val="0"/>
            </a:spcBef>
            <a:spcAft>
              <a:spcPct val="35000"/>
            </a:spcAft>
          </a:pPr>
          <a:r>
            <a:rPr lang="ru-RU" sz="1200" kern="1200"/>
            <a:t>( </a:t>
          </a:r>
          <a:r>
            <a:rPr lang="en-US" sz="1200" kern="1200"/>
            <a:t>S</a:t>
          </a:r>
          <a:r>
            <a:rPr lang="en-US" sz="1200" kern="1200" baseline="-25000">
              <a:latin typeface="Times New Roman"/>
              <a:cs typeface="Times New Roman"/>
            </a:rPr>
            <a:t>∑ </a:t>
          </a:r>
          <a:r>
            <a:rPr lang="en-US" sz="1200" kern="1200">
              <a:latin typeface="Times New Roman"/>
              <a:cs typeface="Times New Roman"/>
            </a:rPr>
            <a:t>)</a:t>
          </a:r>
          <a:endParaRPr lang="ru-RU" sz="1200" kern="1200"/>
        </a:p>
      </dsp:txBody>
      <dsp:txXfrm>
        <a:off x="539089" y="754915"/>
        <a:ext cx="1270975" cy="887200"/>
      </dsp:txXfrm>
    </dsp:sp>
    <dsp:sp modelId="{D5F2BD42-0FED-4E4D-9B10-9BD533500B6F}">
      <dsp:nvSpPr>
        <dsp:cNvPr id="0" name=""/>
        <dsp:cNvSpPr/>
      </dsp:nvSpPr>
      <dsp:spPr>
        <a:xfrm rot="16200000">
          <a:off x="2208826" y="865466"/>
          <a:ext cx="1068747" cy="39785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5C9546F-245B-40BA-8575-F891E315007A}">
      <dsp:nvSpPr>
        <dsp:cNvPr id="0" name=""/>
        <dsp:cNvSpPr/>
      </dsp:nvSpPr>
      <dsp:spPr>
        <a:xfrm>
          <a:off x="2080110" y="-451"/>
          <a:ext cx="1326179" cy="10609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Оценка рыночной стоимости присоединяемой компании (</a:t>
          </a:r>
          <a:r>
            <a:rPr lang="en-US" sz="1200" kern="1200"/>
            <a:t> V )</a:t>
          </a:r>
          <a:r>
            <a:rPr lang="ru-RU" sz="1200" kern="1200"/>
            <a:t> </a:t>
          </a:r>
        </a:p>
      </dsp:txBody>
      <dsp:txXfrm>
        <a:off x="2111184" y="30623"/>
        <a:ext cx="1264031" cy="998795"/>
      </dsp:txXfrm>
    </dsp:sp>
    <dsp:sp modelId="{975BBA26-1F02-4BCC-AE90-0A942FE69AC1}">
      <dsp:nvSpPr>
        <dsp:cNvPr id="0" name=""/>
        <dsp:cNvSpPr/>
      </dsp:nvSpPr>
      <dsp:spPr>
        <a:xfrm rot="19337424">
          <a:off x="3321670" y="1305744"/>
          <a:ext cx="1057462" cy="39785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D946FF4-6826-49E0-955D-D690DDF43637}">
      <dsp:nvSpPr>
        <dsp:cNvPr id="0" name=""/>
        <dsp:cNvSpPr/>
      </dsp:nvSpPr>
      <dsp:spPr>
        <a:xfrm>
          <a:off x="3605602" y="734844"/>
          <a:ext cx="1326179" cy="89284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Оценка затрат на интеграцию ( </a:t>
          </a:r>
          <a:r>
            <a:rPr lang="en-US" sz="1200" kern="1200"/>
            <a:t>C</a:t>
          </a:r>
          <a:r>
            <a:rPr lang="en-US" sz="1200" kern="1200" baseline="-25000"/>
            <a:t>I</a:t>
          </a:r>
          <a:r>
            <a:rPr lang="en-US" sz="1200" kern="1200"/>
            <a:t> )</a:t>
          </a:r>
          <a:endParaRPr lang="ru-RU" sz="1200" kern="1200"/>
        </a:p>
      </dsp:txBody>
      <dsp:txXfrm>
        <a:off x="3631753" y="760995"/>
        <a:ext cx="1273877" cy="8405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0.05426</cdr:x>
      <cdr:y>0.80556</cdr:y>
    </cdr:from>
    <cdr:to>
      <cdr:x>1</cdr:x>
      <cdr:y>0.9988</cdr:y>
    </cdr:to>
    <cdr:sp macro="" textlink="">
      <cdr:nvSpPr>
        <cdr:cNvPr id="2" name="TextBox 1"/>
        <cdr:cNvSpPr txBox="1"/>
      </cdr:nvSpPr>
      <cdr:spPr>
        <a:xfrm xmlns:a="http://schemas.openxmlformats.org/drawingml/2006/main">
          <a:off x="152400" y="2320013"/>
          <a:ext cx="2656205" cy="55653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0.36191</cdr:x>
      <cdr:y>0.40755</cdr:y>
    </cdr:from>
    <cdr:to>
      <cdr:x>0.47441</cdr:x>
      <cdr:y>0.49366</cdr:y>
    </cdr:to>
    <cdr:sp macro="" textlink="">
      <cdr:nvSpPr>
        <cdr:cNvPr id="3" name="TextBox 2"/>
        <cdr:cNvSpPr txBox="1"/>
      </cdr:nvSpPr>
      <cdr:spPr>
        <a:xfrm xmlns:a="http://schemas.openxmlformats.org/drawingml/2006/main">
          <a:off x="1027271" y="1028700"/>
          <a:ext cx="319326" cy="2173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i="0" baseline="0"/>
            <a:t>2011</a:t>
          </a:r>
        </a:p>
      </cdr:txBody>
    </cdr:sp>
  </cdr:relSizeAnchor>
  <cdr:relSizeAnchor xmlns:cdr="http://schemas.openxmlformats.org/drawingml/2006/chartDrawing">
    <cdr:from>
      <cdr:x>0.06412</cdr:x>
      <cdr:y>0.09738</cdr:y>
    </cdr:from>
    <cdr:to>
      <cdr:x>0.15579</cdr:x>
      <cdr:y>0.20502</cdr:y>
    </cdr:to>
    <cdr:sp macro="" textlink="">
      <cdr:nvSpPr>
        <cdr:cNvPr id="4" name="TextBox 3"/>
        <cdr:cNvSpPr txBox="1"/>
      </cdr:nvSpPr>
      <cdr:spPr>
        <a:xfrm xmlns:a="http://schemas.openxmlformats.org/drawingml/2006/main">
          <a:off x="181997" y="245801"/>
          <a:ext cx="260201" cy="27169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i="0" baseline="0"/>
            <a:t>2012</a:t>
          </a:r>
        </a:p>
      </cdr:txBody>
    </cdr:sp>
  </cdr:relSizeAnchor>
</c:userShapes>
</file>

<file path=word/drawings/drawing2.xml><?xml version="1.0" encoding="utf-8"?>
<c:userShapes xmlns:c="http://schemas.openxmlformats.org/drawingml/2006/chart">
  <cdr:relSizeAnchor xmlns:cdr="http://schemas.openxmlformats.org/drawingml/2006/chartDrawing">
    <cdr:from>
      <cdr:x>0.5125</cdr:x>
      <cdr:y>0.80556</cdr:y>
    </cdr:from>
    <cdr:to>
      <cdr:x>1</cdr:x>
      <cdr:y>0.91319</cdr:y>
    </cdr:to>
    <cdr:sp macro="" textlink="">
      <cdr:nvSpPr>
        <cdr:cNvPr id="2" name="TextBox 1"/>
        <cdr:cNvSpPr txBox="1"/>
      </cdr:nvSpPr>
      <cdr:spPr>
        <a:xfrm xmlns:a="http://schemas.openxmlformats.org/drawingml/2006/main">
          <a:off x="2619375" y="2209800"/>
          <a:ext cx="222885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0.47917</cdr:x>
      <cdr:y>0.40625</cdr:y>
    </cdr:from>
    <cdr:to>
      <cdr:x>0.59167</cdr:x>
      <cdr:y>0.50694</cdr:y>
    </cdr:to>
    <cdr:sp macro="" textlink="">
      <cdr:nvSpPr>
        <cdr:cNvPr id="3" name="TextBox 2"/>
        <cdr:cNvSpPr txBox="1"/>
      </cdr:nvSpPr>
      <cdr:spPr>
        <a:xfrm xmlns:a="http://schemas.openxmlformats.org/drawingml/2006/main">
          <a:off x="2190750" y="1114425"/>
          <a:ext cx="5143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i="0" baseline="0"/>
            <a:t>2011</a:t>
          </a:r>
        </a:p>
      </cdr:txBody>
    </cdr:sp>
  </cdr:relSizeAnchor>
  <cdr:relSizeAnchor xmlns:cdr="http://schemas.openxmlformats.org/drawingml/2006/chartDrawing">
    <cdr:from>
      <cdr:x>0.12282</cdr:x>
      <cdr:y>0.0962</cdr:y>
    </cdr:from>
    <cdr:to>
      <cdr:x>0.21449</cdr:x>
      <cdr:y>0.20384</cdr:y>
    </cdr:to>
    <cdr:sp macro="" textlink="">
      <cdr:nvSpPr>
        <cdr:cNvPr id="4" name="TextBox 3"/>
        <cdr:cNvSpPr txBox="1"/>
      </cdr:nvSpPr>
      <cdr:spPr>
        <a:xfrm xmlns:a="http://schemas.openxmlformats.org/drawingml/2006/main">
          <a:off x="344955" y="277045"/>
          <a:ext cx="257465" cy="31000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200" b="1" i="0" baseline="0"/>
            <a:t>2012</a:t>
          </a:r>
        </a:p>
      </cdr:txBody>
    </cdr:sp>
  </cdr:relSizeAnchor>
</c:userShapes>
</file>

<file path=word/drawings/drawing3.xml><?xml version="1.0" encoding="utf-8"?>
<c:userShapes xmlns:c="http://schemas.openxmlformats.org/drawingml/2006/chart">
  <cdr:relSizeAnchor xmlns:cdr="http://schemas.openxmlformats.org/drawingml/2006/chartDrawing">
    <cdr:from>
      <cdr:x>0.66549</cdr:x>
      <cdr:y>0.03425</cdr:y>
    </cdr:from>
    <cdr:to>
      <cdr:x>1</cdr:x>
      <cdr:y>0.9726</cdr:y>
    </cdr:to>
    <cdr:sp macro="" textlink="">
      <cdr:nvSpPr>
        <cdr:cNvPr id="2" name="TextBox 1"/>
        <cdr:cNvSpPr txBox="1"/>
      </cdr:nvSpPr>
      <cdr:spPr>
        <a:xfrm xmlns:a="http://schemas.openxmlformats.org/drawingml/2006/main">
          <a:off x="3600452" y="95250"/>
          <a:ext cx="1809749" cy="2609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nSpc>
              <a:spcPts val="1200"/>
            </a:lnSpc>
          </a:pPr>
          <a:r>
            <a:rPr lang="ru-RU" sz="1050"/>
            <a:t>сектор финансовых</a:t>
          </a:r>
          <a:r>
            <a:rPr lang="ru-RU" sz="1050" baseline="0"/>
            <a:t> </a:t>
          </a:r>
          <a:r>
            <a:rPr lang="ru-RU" sz="1050"/>
            <a:t>услуг</a:t>
          </a:r>
        </a:p>
        <a:p xmlns:a="http://schemas.openxmlformats.org/drawingml/2006/main">
          <a:pPr>
            <a:lnSpc>
              <a:spcPts val="1200"/>
            </a:lnSpc>
          </a:pPr>
          <a:endParaRPr lang="ru-RU" sz="1050"/>
        </a:p>
        <a:p xmlns:a="http://schemas.openxmlformats.org/drawingml/2006/main">
          <a:pPr>
            <a:lnSpc>
              <a:spcPts val="1200"/>
            </a:lnSpc>
          </a:pPr>
          <a:r>
            <a:rPr lang="ru-RU" sz="1050"/>
            <a:t>потребительский сектор</a:t>
          </a:r>
        </a:p>
        <a:p xmlns:a="http://schemas.openxmlformats.org/drawingml/2006/main">
          <a:pPr>
            <a:lnSpc>
              <a:spcPts val="1200"/>
            </a:lnSpc>
          </a:pPr>
          <a:endParaRPr lang="ru-RU" sz="1050"/>
        </a:p>
        <a:p xmlns:a="http://schemas.openxmlformats.org/drawingml/2006/main">
          <a:pPr>
            <a:lnSpc>
              <a:spcPts val="1200"/>
            </a:lnSpc>
          </a:pPr>
          <a:r>
            <a:rPr lang="ru-RU" sz="1050"/>
            <a:t>сектор телекоммуникаций</a:t>
          </a:r>
        </a:p>
        <a:p xmlns:a="http://schemas.openxmlformats.org/drawingml/2006/main">
          <a:pPr>
            <a:lnSpc>
              <a:spcPts val="1200"/>
            </a:lnSpc>
          </a:pPr>
          <a:endParaRPr lang="ru-RU" sz="1050"/>
        </a:p>
        <a:p xmlns:a="http://schemas.openxmlformats.org/drawingml/2006/main">
          <a:pPr>
            <a:lnSpc>
              <a:spcPts val="1200"/>
            </a:lnSpc>
          </a:pPr>
          <a:r>
            <a:rPr lang="ru-RU" sz="1050"/>
            <a:t>металлургия</a:t>
          </a:r>
        </a:p>
        <a:p xmlns:a="http://schemas.openxmlformats.org/drawingml/2006/main">
          <a:pPr>
            <a:lnSpc>
              <a:spcPts val="1200"/>
            </a:lnSpc>
          </a:pPr>
          <a:endParaRPr lang="ru-RU" sz="1050"/>
        </a:p>
        <a:p xmlns:a="http://schemas.openxmlformats.org/drawingml/2006/main">
          <a:pPr>
            <a:lnSpc>
              <a:spcPts val="1200"/>
            </a:lnSpc>
          </a:pPr>
          <a:r>
            <a:rPr lang="ru-RU" sz="1050"/>
            <a:t>нефтегазовый сектор</a:t>
          </a:r>
        </a:p>
        <a:p xmlns:a="http://schemas.openxmlformats.org/drawingml/2006/main">
          <a:pPr>
            <a:lnSpc>
              <a:spcPts val="1200"/>
            </a:lnSpc>
          </a:pPr>
          <a:endParaRPr lang="ru-RU" sz="1050"/>
        </a:p>
        <a:p xmlns:a="http://schemas.openxmlformats.org/drawingml/2006/main">
          <a:pPr>
            <a:lnSpc>
              <a:spcPts val="1200"/>
            </a:lnSpc>
          </a:pPr>
          <a:r>
            <a:rPr lang="ru-RU" sz="1050"/>
            <a:t>энергетика </a:t>
          </a:r>
        </a:p>
        <a:p xmlns:a="http://schemas.openxmlformats.org/drawingml/2006/main">
          <a:pPr>
            <a:lnSpc>
              <a:spcPts val="1200"/>
            </a:lnSpc>
          </a:pPr>
          <a:endParaRPr lang="ru-RU" sz="1050"/>
        </a:p>
        <a:p xmlns:a="http://schemas.openxmlformats.org/drawingml/2006/main">
          <a:pPr>
            <a:lnSpc>
              <a:spcPts val="1200"/>
            </a:lnSpc>
          </a:pPr>
          <a:r>
            <a:rPr lang="ru-RU" sz="1050"/>
            <a:t>недвижимость</a:t>
          </a:r>
        </a:p>
        <a:p xmlns:a="http://schemas.openxmlformats.org/drawingml/2006/main">
          <a:pPr>
            <a:lnSpc>
              <a:spcPts val="1200"/>
            </a:lnSpc>
          </a:pPr>
          <a:endParaRPr lang="ru-RU" sz="1050"/>
        </a:p>
        <a:p xmlns:a="http://schemas.openxmlformats.org/drawingml/2006/main">
          <a:pPr>
            <a:lnSpc>
              <a:spcPts val="1200"/>
            </a:lnSpc>
          </a:pPr>
          <a:r>
            <a:rPr lang="ru-RU" sz="1050"/>
            <a:t>транспорт</a:t>
          </a:r>
          <a:r>
            <a:rPr lang="ru-RU" sz="1050" baseline="0"/>
            <a:t> и логистика</a:t>
          </a:r>
        </a:p>
        <a:p xmlns:a="http://schemas.openxmlformats.org/drawingml/2006/main">
          <a:pPr>
            <a:lnSpc>
              <a:spcPts val="1200"/>
            </a:lnSpc>
          </a:pPr>
          <a:endParaRPr lang="ru-RU" sz="1050" baseline="0"/>
        </a:p>
        <a:p xmlns:a="http://schemas.openxmlformats.org/drawingml/2006/main">
          <a:pPr>
            <a:lnSpc>
              <a:spcPts val="1200"/>
            </a:lnSpc>
          </a:pPr>
          <a:r>
            <a:rPr lang="ru-RU" sz="1050" baseline="0"/>
            <a:t>другие секторы</a:t>
          </a:r>
          <a:endParaRPr lang="ru-RU" sz="105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0189-52F2-4B81-8E26-4905C68D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74</Pages>
  <Words>15366</Words>
  <Characters>87592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rio</cp:lastModifiedBy>
  <cp:revision>35</cp:revision>
  <cp:lastPrinted>2013-05-31T11:05:00Z</cp:lastPrinted>
  <dcterms:created xsi:type="dcterms:W3CDTF">2013-05-23T18:29:00Z</dcterms:created>
  <dcterms:modified xsi:type="dcterms:W3CDTF">2013-05-31T11:06:00Z</dcterms:modified>
</cp:coreProperties>
</file>