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69" w:rsidRPr="007127C0" w:rsidRDefault="00B1045E" w:rsidP="00503969">
      <w:pPr>
        <w:shd w:val="clear" w:color="auto" w:fill="FFFFFF"/>
        <w:spacing w:before="100" w:beforeAutospacing="1" w:after="150" w:line="240" w:lineRule="auto"/>
        <w:outlineLvl w:val="1"/>
        <w:rPr>
          <w:rFonts w:ascii="Tahoma" w:eastAsia="Times New Roman" w:hAnsi="Tahoma" w:cs="Tahoma"/>
          <w:b/>
          <w:color w:val="666666"/>
          <w:sz w:val="28"/>
          <w:szCs w:val="28"/>
          <w:lang w:val="en-US" w:eastAsia="ru-RU"/>
        </w:rPr>
      </w:pPr>
      <w:r>
        <w:rPr>
          <w:rFonts w:ascii="Tahoma" w:eastAsia="Times New Roman" w:hAnsi="Tahoma" w:cs="Tahoma"/>
          <w:b/>
          <w:color w:val="666666"/>
          <w:sz w:val="28"/>
          <w:szCs w:val="28"/>
          <w:lang w:val="en-US" w:eastAsia="ru-RU"/>
        </w:rPr>
        <w:t xml:space="preserve">Cost </w:t>
      </w:r>
      <w:r w:rsidR="00F93419" w:rsidRPr="00F93419">
        <w:rPr>
          <w:rFonts w:ascii="Tahoma" w:eastAsia="Times New Roman" w:hAnsi="Tahoma" w:cs="Tahoma"/>
          <w:b/>
          <w:color w:val="666666"/>
          <w:sz w:val="28"/>
          <w:szCs w:val="28"/>
          <w:lang w:val="en-US" w:eastAsia="ru-RU"/>
        </w:rPr>
        <w:t>Management</w:t>
      </w:r>
      <w:r w:rsidR="007127C0" w:rsidRPr="007127C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7127C0" w:rsidRPr="007127C0">
        <w:rPr>
          <w:rFonts w:ascii="Tahoma" w:eastAsia="Times New Roman" w:hAnsi="Tahoma" w:cs="Tahoma"/>
          <w:b/>
          <w:bCs/>
          <w:iCs/>
          <w:color w:val="666666"/>
          <w:sz w:val="28"/>
          <w:szCs w:val="28"/>
          <w:lang w:eastAsia="ru-RU"/>
        </w:rPr>
        <w:t>in the conditions of global instability</w:t>
      </w:r>
    </w:p>
    <w:p w:rsidR="00503969" w:rsidRPr="00503969" w:rsidRDefault="00503969" w:rsidP="00503969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</w:pPr>
      <w:r w:rsidRPr="00503969">
        <w:rPr>
          <w:rFonts w:ascii="Tahoma" w:eastAsia="Times New Roman" w:hAnsi="Tahoma" w:cs="Tahoma"/>
          <w:b/>
          <w:bCs/>
          <w:color w:val="222222"/>
          <w:sz w:val="20"/>
          <w:lang w:val="en-US" w:eastAsia="ru-RU"/>
        </w:rPr>
        <w:t>Course description:</w:t>
      </w:r>
    </w:p>
    <w:p w:rsidR="008B1CCE" w:rsidRPr="008B1CCE" w:rsidRDefault="008B1CCE" w:rsidP="008B1CC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</w:pPr>
      <w:r w:rsidRPr="008B1CCE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 xml:space="preserve">This course focuses on support role </w:t>
      </w:r>
      <w:r w:rsidR="00B1045E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>Cost M</w:t>
      </w:r>
      <w:r w:rsidRPr="008B1CCE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 xml:space="preserve">anagement in decision making in modern business environment.  The goal of the course is to give students an understanding of integral role </w:t>
      </w:r>
      <w:r w:rsidR="00B1045E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>cost</w:t>
      </w:r>
      <w:r w:rsidRPr="008B1CCE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 xml:space="preserve"> in managerial decision making.  An important set of decisions made by managers, those of planning and control of </w:t>
      </w:r>
      <w:r w:rsidR="00AD32D6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>costs</w:t>
      </w:r>
      <w:r w:rsidRPr="008B1CCE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 xml:space="preserve">, illustrate the decision-making process.  The use of </w:t>
      </w:r>
      <w:r w:rsidR="00B1045E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>Cost Management</w:t>
      </w:r>
      <w:r w:rsidRPr="008B1CCE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 xml:space="preserve"> in the process is highlighted in the examples from practice experience of lecture. Some key guidelines are consistent themes throughout the course: cost-benefit approach, budget variances and benchmarking, different costs for different purposes.</w:t>
      </w:r>
    </w:p>
    <w:p w:rsidR="008B1CCE" w:rsidRPr="008B1CCE" w:rsidRDefault="00AD3C0F" w:rsidP="008B1CCE">
      <w:pPr>
        <w:shd w:val="clear" w:color="auto" w:fill="FFFFFF"/>
        <w:spacing w:after="150" w:line="240" w:lineRule="auto"/>
        <w:rPr>
          <w:rFonts w:ascii="Tahoma" w:eastAsia="Times New Roman" w:hAnsi="Tahoma" w:cs="Tahoma"/>
          <w:bCs/>
          <w:color w:val="666666"/>
          <w:sz w:val="24"/>
          <w:szCs w:val="24"/>
          <w:lang w:val="en-US" w:eastAsia="ru-RU"/>
        </w:rPr>
      </w:pPr>
      <w:r>
        <w:rPr>
          <w:rFonts w:ascii="Tahoma" w:eastAsia="Times New Roman" w:hAnsi="Tahoma" w:cs="Tahoma"/>
          <w:bCs/>
          <w:color w:val="666666"/>
          <w:sz w:val="24"/>
          <w:szCs w:val="24"/>
          <w:lang w:val="en-US" w:eastAsia="ru-RU"/>
        </w:rPr>
        <w:t xml:space="preserve">Cost management </w:t>
      </w:r>
      <w:r w:rsidRPr="00AD3C0F">
        <w:rPr>
          <w:rFonts w:ascii="Tahoma" w:eastAsia="Times New Roman" w:hAnsi="Tahoma" w:cs="Tahoma"/>
          <w:bCs/>
          <w:color w:val="666666"/>
          <w:sz w:val="24"/>
          <w:szCs w:val="24"/>
          <w:lang w:val="en-US" w:eastAsia="ru-RU"/>
        </w:rPr>
        <w:t>in an Uncertain</w:t>
      </w:r>
      <w:r>
        <w:rPr>
          <w:rFonts w:ascii="Tahoma" w:eastAsia="Times New Roman" w:hAnsi="Tahoma" w:cs="Tahoma"/>
          <w:bCs/>
          <w:color w:val="666666"/>
          <w:sz w:val="24"/>
          <w:szCs w:val="24"/>
          <w:lang w:val="en-US" w:eastAsia="ru-RU"/>
        </w:rPr>
        <w:t xml:space="preserve"> </w:t>
      </w:r>
      <w:r w:rsidRPr="00AD3C0F">
        <w:rPr>
          <w:rFonts w:ascii="Tahoma" w:eastAsia="Times New Roman" w:hAnsi="Tahoma" w:cs="Tahoma"/>
          <w:bCs/>
          <w:color w:val="666666"/>
          <w:sz w:val="24"/>
          <w:szCs w:val="24"/>
          <w:lang w:val="en-US" w:eastAsia="ru-RU"/>
        </w:rPr>
        <w:t>Environment</w:t>
      </w:r>
      <w:r>
        <w:rPr>
          <w:rFonts w:ascii="Tahoma" w:eastAsia="Times New Roman" w:hAnsi="Tahoma" w:cs="Tahoma"/>
          <w:bCs/>
          <w:color w:val="666666"/>
          <w:sz w:val="24"/>
          <w:szCs w:val="24"/>
          <w:lang w:val="en-US" w:eastAsia="ru-RU"/>
        </w:rPr>
        <w:t xml:space="preserve"> </w:t>
      </w:r>
      <w:r w:rsidR="008B1CCE" w:rsidRPr="008B1CCE">
        <w:rPr>
          <w:rFonts w:ascii="Tahoma" w:eastAsia="Times New Roman" w:hAnsi="Tahoma" w:cs="Tahoma"/>
          <w:bCs/>
          <w:color w:val="666666"/>
          <w:sz w:val="24"/>
          <w:szCs w:val="24"/>
          <w:lang w:val="en-US" w:eastAsia="ru-RU"/>
        </w:rPr>
        <w:t xml:space="preserve">topic </w:t>
      </w:r>
      <w:r w:rsidR="00DF1D9A">
        <w:rPr>
          <w:rFonts w:ascii="Tahoma" w:eastAsia="Times New Roman" w:hAnsi="Tahoma" w:cs="Tahoma"/>
          <w:bCs/>
          <w:color w:val="666666"/>
          <w:sz w:val="24"/>
          <w:szCs w:val="24"/>
          <w:lang w:val="en-US" w:eastAsia="ru-RU"/>
        </w:rPr>
        <w:t>is</w:t>
      </w:r>
      <w:r w:rsidR="008B1CCE" w:rsidRPr="008B1CCE">
        <w:rPr>
          <w:rFonts w:ascii="Tahoma" w:eastAsia="Times New Roman" w:hAnsi="Tahoma" w:cs="Tahoma"/>
          <w:bCs/>
          <w:color w:val="666666"/>
          <w:sz w:val="24"/>
          <w:szCs w:val="24"/>
          <w:lang w:val="en-US" w:eastAsia="ru-RU"/>
        </w:rPr>
        <w:t xml:space="preserve"> included to improve </w:t>
      </w:r>
      <w:r w:rsidRPr="00AD3C0F">
        <w:rPr>
          <w:rFonts w:ascii="Tahoma" w:eastAsia="Times New Roman" w:hAnsi="Tahoma" w:cs="Tahoma"/>
          <w:bCs/>
          <w:iCs/>
          <w:color w:val="666666"/>
          <w:sz w:val="24"/>
          <w:szCs w:val="24"/>
          <w:lang w:eastAsia="ru-RU"/>
        </w:rPr>
        <w:t>the conditions of global instability</w:t>
      </w:r>
      <w:r w:rsidRPr="00AD3C0F">
        <w:rPr>
          <w:rFonts w:ascii="Tahoma" w:eastAsia="Times New Roman" w:hAnsi="Tahoma" w:cs="Tahoma"/>
          <w:bCs/>
          <w:color w:val="666666"/>
          <w:sz w:val="24"/>
          <w:szCs w:val="24"/>
          <w:lang w:val="en-US" w:eastAsia="ru-RU"/>
        </w:rPr>
        <w:t xml:space="preserve"> </w:t>
      </w:r>
      <w:r w:rsidR="008B1CCE" w:rsidRPr="008B1CCE">
        <w:rPr>
          <w:rFonts w:ascii="Tahoma" w:eastAsia="Times New Roman" w:hAnsi="Tahoma" w:cs="Tahoma"/>
          <w:bCs/>
          <w:color w:val="666666"/>
          <w:sz w:val="24"/>
          <w:szCs w:val="24"/>
          <w:lang w:val="en-US" w:eastAsia="ru-RU"/>
        </w:rPr>
        <w:t xml:space="preserve">emphasis of this course. </w:t>
      </w:r>
    </w:p>
    <w:p w:rsidR="008B1CCE" w:rsidRPr="008B1CCE" w:rsidRDefault="008B1CCE" w:rsidP="008B1CC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</w:pPr>
      <w:r w:rsidRPr="008B1CCE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 xml:space="preserve">Recommended books for basic reading </w:t>
      </w:r>
      <w:r w:rsidR="00602D6D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 xml:space="preserve">are </w:t>
      </w:r>
      <w:r w:rsidRPr="008B1CCE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 xml:space="preserve">widely spread in Europeans and American Universities.  Therefore, this course is useful for English-speaking students from different countries. </w:t>
      </w:r>
    </w:p>
    <w:p w:rsidR="00503969" w:rsidRPr="00503969" w:rsidRDefault="00503969" w:rsidP="005039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</w:pPr>
      <w:r w:rsidRPr="00503969">
        <w:rPr>
          <w:rFonts w:ascii="Tahoma" w:eastAsia="Times New Roman" w:hAnsi="Tahoma" w:cs="Tahoma"/>
          <w:b/>
          <w:bCs/>
          <w:color w:val="222222"/>
          <w:sz w:val="20"/>
          <w:lang w:val="en-US" w:eastAsia="ru-RU"/>
        </w:rPr>
        <w:t>Instructor:</w:t>
      </w:r>
      <w:r w:rsidRPr="00503969">
        <w:rPr>
          <w:rFonts w:ascii="Tahoma" w:eastAsia="Times New Roman" w:hAnsi="Tahoma" w:cs="Tahoma"/>
          <w:color w:val="222222"/>
          <w:sz w:val="20"/>
          <w:lang w:val="en-US" w:eastAsia="ru-RU"/>
        </w:rPr>
        <w:t> </w:t>
      </w:r>
      <w:proofErr w:type="spellStart"/>
      <w:r w:rsidR="00221597">
        <w:rPr>
          <w:rFonts w:ascii="Tahoma" w:eastAsia="Times New Roman" w:hAnsi="Tahoma" w:cs="Tahoma"/>
          <w:color w:val="222222"/>
          <w:sz w:val="20"/>
          <w:lang w:val="en-US" w:eastAsia="ru-RU"/>
        </w:rPr>
        <w:t>Kuzin</w:t>
      </w:r>
      <w:proofErr w:type="spellEnd"/>
      <w:r w:rsidRPr="00503969"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  <w:t xml:space="preserve">, </w:t>
      </w:r>
      <w:r w:rsidR="00221597"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  <w:t>Dmitry</w:t>
      </w:r>
      <w:r w:rsidRPr="00503969"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  <w:t xml:space="preserve"> </w:t>
      </w:r>
      <w:r w:rsidR="00221597"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  <w:t>A</w:t>
      </w:r>
      <w:r w:rsidRPr="00503969"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  <w:t xml:space="preserve">. </w:t>
      </w:r>
    </w:p>
    <w:p w:rsidR="00503969" w:rsidRPr="00BD48D3" w:rsidRDefault="00503969" w:rsidP="00503969">
      <w:pPr>
        <w:spacing w:after="0" w:line="240" w:lineRule="auto"/>
        <w:rPr>
          <w:lang w:val="en-US"/>
        </w:rPr>
      </w:pPr>
      <w:r w:rsidRPr="00503969">
        <w:rPr>
          <w:b/>
          <w:lang w:val="en-US"/>
        </w:rPr>
        <w:t>Credit points</w:t>
      </w:r>
      <w:r>
        <w:rPr>
          <w:b/>
          <w:lang w:val="en-US"/>
        </w:rPr>
        <w:t xml:space="preserve">: </w:t>
      </w:r>
      <w:r w:rsidR="00BD48D3">
        <w:rPr>
          <w:b/>
          <w:lang w:val="en-US"/>
        </w:rPr>
        <w:t xml:space="preserve"> </w:t>
      </w:r>
      <w:r w:rsidR="00221597" w:rsidRPr="00BD48D3">
        <w:rPr>
          <w:lang w:val="en-US"/>
        </w:rPr>
        <w:t>3</w:t>
      </w:r>
    </w:p>
    <w:p w:rsidR="00503969" w:rsidRPr="00503969" w:rsidRDefault="00503969" w:rsidP="005039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</w:pPr>
      <w:r w:rsidRPr="00503969">
        <w:rPr>
          <w:rFonts w:ascii="Tahoma" w:eastAsia="Times New Roman" w:hAnsi="Tahoma" w:cs="Tahoma"/>
          <w:b/>
          <w:bCs/>
          <w:color w:val="222222"/>
          <w:sz w:val="20"/>
          <w:lang w:val="en-US" w:eastAsia="ru-RU"/>
        </w:rPr>
        <w:t>Faculty:</w:t>
      </w:r>
      <w:r w:rsidRPr="00503969">
        <w:rPr>
          <w:rFonts w:ascii="Tahoma" w:eastAsia="Times New Roman" w:hAnsi="Tahoma" w:cs="Tahoma"/>
          <w:color w:val="222222"/>
          <w:sz w:val="20"/>
          <w:lang w:val="en-US" w:eastAsia="ru-RU"/>
        </w:rPr>
        <w:t> </w:t>
      </w:r>
      <w:r w:rsidR="00221597">
        <w:rPr>
          <w:rFonts w:ascii="Tahoma" w:eastAsia="Times New Roman" w:hAnsi="Tahoma" w:cs="Tahoma"/>
          <w:color w:val="222222"/>
          <w:sz w:val="20"/>
          <w:lang w:val="en-US" w:eastAsia="ru-RU"/>
        </w:rPr>
        <w:t xml:space="preserve">Management </w:t>
      </w:r>
    </w:p>
    <w:p w:rsidR="00503969" w:rsidRPr="00503969" w:rsidRDefault="00503969" w:rsidP="005039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</w:pPr>
      <w:r w:rsidRPr="00503969">
        <w:rPr>
          <w:rFonts w:ascii="Tahoma" w:eastAsia="Times New Roman" w:hAnsi="Tahoma" w:cs="Tahoma"/>
          <w:b/>
          <w:bCs/>
          <w:color w:val="222222"/>
          <w:sz w:val="20"/>
          <w:lang w:val="en-US" w:eastAsia="ru-RU"/>
        </w:rPr>
        <w:t>Language:</w:t>
      </w:r>
      <w:r w:rsidRPr="00503969">
        <w:rPr>
          <w:rFonts w:ascii="Tahoma" w:eastAsia="Times New Roman" w:hAnsi="Tahoma" w:cs="Tahoma"/>
          <w:color w:val="222222"/>
          <w:sz w:val="20"/>
          <w:lang w:val="en-US" w:eastAsia="ru-RU"/>
        </w:rPr>
        <w:t> </w:t>
      </w:r>
      <w:r w:rsidR="00B1045E">
        <w:rPr>
          <w:rFonts w:ascii="Tahoma" w:eastAsia="Times New Roman" w:hAnsi="Tahoma" w:cs="Tahoma"/>
          <w:color w:val="222222"/>
          <w:sz w:val="20"/>
          <w:lang w:val="en-US" w:eastAsia="ru-RU"/>
        </w:rPr>
        <w:t>Russian/</w:t>
      </w:r>
      <w:r w:rsidR="00221597">
        <w:rPr>
          <w:rFonts w:ascii="Tahoma" w:eastAsia="Times New Roman" w:hAnsi="Tahoma" w:cs="Tahoma"/>
          <w:color w:val="222222"/>
          <w:sz w:val="20"/>
          <w:lang w:val="en-US" w:eastAsia="ru-RU"/>
        </w:rPr>
        <w:t>English</w:t>
      </w:r>
    </w:p>
    <w:p w:rsidR="00BD48D3" w:rsidRDefault="00503969" w:rsidP="00BD48D3">
      <w:pPr>
        <w:shd w:val="clear" w:color="auto" w:fill="FFFFFF"/>
        <w:spacing w:after="0" w:line="240" w:lineRule="auto"/>
        <w:rPr>
          <w:b/>
          <w:lang w:val="en-US"/>
        </w:rPr>
      </w:pPr>
      <w:r w:rsidRPr="00503969">
        <w:rPr>
          <w:rFonts w:ascii="Tahoma" w:eastAsia="Times New Roman" w:hAnsi="Tahoma" w:cs="Tahoma"/>
          <w:b/>
          <w:bCs/>
          <w:color w:val="222222"/>
          <w:sz w:val="20"/>
          <w:lang w:val="en-US" w:eastAsia="ru-RU"/>
        </w:rPr>
        <w:t>Level:</w:t>
      </w:r>
      <w:r w:rsidRPr="00503969">
        <w:rPr>
          <w:rFonts w:ascii="Tahoma" w:eastAsia="Times New Roman" w:hAnsi="Tahoma" w:cs="Tahoma"/>
          <w:color w:val="222222"/>
          <w:sz w:val="20"/>
          <w:lang w:val="en-US" w:eastAsia="ru-RU"/>
        </w:rPr>
        <w:t> </w:t>
      </w:r>
      <w:r w:rsidR="00814082">
        <w:rPr>
          <w:rFonts w:ascii="Tahoma" w:eastAsia="Times New Roman" w:hAnsi="Tahoma" w:cs="Tahoma"/>
          <w:color w:val="222222"/>
          <w:sz w:val="20"/>
          <w:lang w:val="en-US" w:eastAsia="ru-RU"/>
        </w:rPr>
        <w:t>Bachelor</w:t>
      </w:r>
    </w:p>
    <w:p w:rsidR="00503969" w:rsidRPr="00221597" w:rsidRDefault="00503969" w:rsidP="00BD48D3">
      <w:p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503969">
        <w:rPr>
          <w:b/>
          <w:lang w:val="en-US"/>
        </w:rPr>
        <w:t>Academic hours</w:t>
      </w:r>
      <w:r>
        <w:rPr>
          <w:lang w:val="en-US"/>
        </w:rPr>
        <w:t xml:space="preserve">: </w:t>
      </w:r>
      <w:r w:rsidR="00B1045E">
        <w:rPr>
          <w:lang w:val="en-US"/>
        </w:rPr>
        <w:t>32</w:t>
      </w:r>
    </w:p>
    <w:p w:rsidR="00503969" w:rsidRPr="00BD48D3" w:rsidRDefault="00503969">
      <w:pPr>
        <w:rPr>
          <w:rFonts w:ascii="Tahoma" w:hAnsi="Tahoma" w:cs="Tahoma"/>
          <w:sz w:val="20"/>
          <w:szCs w:val="20"/>
          <w:lang w:val="en-US"/>
        </w:rPr>
      </w:pPr>
      <w:r w:rsidRPr="00C170D2">
        <w:rPr>
          <w:rFonts w:ascii="Tahoma" w:hAnsi="Tahoma" w:cs="Tahoma"/>
          <w:b/>
          <w:sz w:val="20"/>
          <w:szCs w:val="20"/>
          <w:lang w:val="en-US"/>
        </w:rPr>
        <w:t>Syllabus</w:t>
      </w:r>
    </w:p>
    <w:p w:rsidR="00503969" w:rsidRPr="006A7BC8" w:rsidRDefault="009D5313" w:rsidP="00503969">
      <w:pPr>
        <w:pStyle w:val="a4"/>
        <w:numPr>
          <w:ilvl w:val="0"/>
          <w:numId w:val="1"/>
        </w:numPr>
        <w:rPr>
          <w:rFonts w:ascii="Tahoma" w:hAnsi="Tahoma" w:cs="Tahoma"/>
          <w:sz w:val="20"/>
          <w:szCs w:val="20"/>
          <w:lang w:val="en-US"/>
        </w:rPr>
      </w:pPr>
      <w:r w:rsidRPr="006A7BC8">
        <w:rPr>
          <w:bCs/>
          <w:lang w:val="en-US"/>
        </w:rPr>
        <w:t>An Introduction to Main Terms and Purposes</w:t>
      </w:r>
    </w:p>
    <w:p w:rsidR="009D5313" w:rsidRPr="006A7BC8" w:rsidRDefault="009D5313" w:rsidP="00503969">
      <w:pPr>
        <w:pStyle w:val="a4"/>
        <w:numPr>
          <w:ilvl w:val="0"/>
          <w:numId w:val="1"/>
        </w:numPr>
        <w:rPr>
          <w:rFonts w:ascii="Tahoma" w:hAnsi="Tahoma" w:cs="Tahoma"/>
          <w:sz w:val="20"/>
          <w:szCs w:val="20"/>
          <w:lang w:val="en-US"/>
        </w:rPr>
      </w:pPr>
      <w:r w:rsidRPr="006A7BC8">
        <w:rPr>
          <w:bCs/>
          <w:lang w:val="en-US"/>
        </w:rPr>
        <w:t>Cost-Volume-Profit Analysis</w:t>
      </w:r>
      <w:r w:rsidRPr="006A7BC8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9D5313" w:rsidRPr="006A7BC8" w:rsidRDefault="009D5313" w:rsidP="00503969">
      <w:pPr>
        <w:pStyle w:val="a4"/>
        <w:numPr>
          <w:ilvl w:val="0"/>
          <w:numId w:val="1"/>
        </w:numPr>
        <w:rPr>
          <w:rFonts w:ascii="Tahoma" w:hAnsi="Tahoma" w:cs="Tahoma"/>
          <w:sz w:val="20"/>
          <w:szCs w:val="20"/>
          <w:lang w:val="en-US"/>
        </w:rPr>
      </w:pPr>
      <w:r w:rsidRPr="006A7BC8">
        <w:rPr>
          <w:bCs/>
          <w:lang w:val="en-US"/>
        </w:rPr>
        <w:t xml:space="preserve">Activity-Based Costing and Activity-Based </w:t>
      </w:r>
      <w:r w:rsidR="00AD3C0F">
        <w:rPr>
          <w:bCs/>
          <w:lang w:val="en-US"/>
        </w:rPr>
        <w:t>Budgeting</w:t>
      </w:r>
      <w:r w:rsidRPr="006A7BC8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AD3C0F" w:rsidRPr="006A7BC8" w:rsidRDefault="00AD3C0F" w:rsidP="00AD3C0F">
      <w:pPr>
        <w:pStyle w:val="a4"/>
        <w:numPr>
          <w:ilvl w:val="0"/>
          <w:numId w:val="1"/>
        </w:numPr>
        <w:rPr>
          <w:rFonts w:ascii="Tahoma" w:hAnsi="Tahoma" w:cs="Tahoma"/>
          <w:sz w:val="20"/>
          <w:szCs w:val="20"/>
          <w:lang w:val="en-US"/>
        </w:rPr>
      </w:pPr>
      <w:r w:rsidRPr="006A7BC8">
        <w:rPr>
          <w:bCs/>
          <w:lang w:val="en-US"/>
        </w:rPr>
        <w:t>Master Budget and Responsibility Accounting</w:t>
      </w:r>
      <w:r w:rsidRPr="006A7BC8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AD3C0F" w:rsidRPr="006A7BC8" w:rsidRDefault="00AD3C0F" w:rsidP="00AD3C0F">
      <w:pPr>
        <w:pStyle w:val="a4"/>
        <w:numPr>
          <w:ilvl w:val="0"/>
          <w:numId w:val="1"/>
        </w:numPr>
        <w:rPr>
          <w:rFonts w:ascii="Tahoma" w:hAnsi="Tahoma" w:cs="Tahoma"/>
          <w:sz w:val="20"/>
          <w:szCs w:val="20"/>
          <w:lang w:val="en-US"/>
        </w:rPr>
      </w:pPr>
      <w:r w:rsidRPr="006A7BC8">
        <w:rPr>
          <w:bCs/>
          <w:lang w:val="en-US"/>
        </w:rPr>
        <w:t>Flexible Budgets, Direct-Cost Variances, and Management Control</w:t>
      </w:r>
      <w:r w:rsidRPr="006A7BC8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AD3C0F" w:rsidRPr="00AD3C0F" w:rsidRDefault="00AD3C0F" w:rsidP="00AD3C0F">
      <w:pPr>
        <w:pStyle w:val="a4"/>
        <w:numPr>
          <w:ilvl w:val="0"/>
          <w:numId w:val="1"/>
        </w:numPr>
        <w:rPr>
          <w:rFonts w:ascii="Tahoma" w:hAnsi="Tahoma" w:cs="Tahoma"/>
          <w:sz w:val="20"/>
          <w:szCs w:val="20"/>
          <w:lang w:val="en-US"/>
        </w:rPr>
      </w:pPr>
      <w:r w:rsidRPr="006A7BC8">
        <w:rPr>
          <w:bCs/>
          <w:lang w:val="en-US"/>
        </w:rPr>
        <w:t>Strategy, Balanced Scorecard, and Strategic Profitability Analysis</w:t>
      </w:r>
      <w:r w:rsidRPr="00AD3C0F">
        <w:rPr>
          <w:bCs/>
          <w:lang w:val="en-US"/>
        </w:rPr>
        <w:t xml:space="preserve"> </w:t>
      </w:r>
    </w:p>
    <w:p w:rsidR="00AD3C0F" w:rsidRPr="006A7BC8" w:rsidRDefault="00AD3C0F" w:rsidP="00AD3C0F">
      <w:pPr>
        <w:pStyle w:val="a4"/>
        <w:numPr>
          <w:ilvl w:val="0"/>
          <w:numId w:val="1"/>
        </w:numPr>
        <w:rPr>
          <w:rFonts w:ascii="Tahoma" w:hAnsi="Tahoma" w:cs="Tahoma"/>
          <w:sz w:val="20"/>
          <w:szCs w:val="20"/>
          <w:lang w:val="en-US"/>
        </w:rPr>
      </w:pPr>
      <w:r w:rsidRPr="006A7BC8">
        <w:rPr>
          <w:bCs/>
          <w:lang w:val="en-US"/>
        </w:rPr>
        <w:t>Decision Making and Relevant Information</w:t>
      </w:r>
      <w:r w:rsidRPr="006A7BC8">
        <w:rPr>
          <w:rFonts w:ascii="Tahoma" w:hAnsi="Tahoma" w:cs="Tahoma"/>
          <w:sz w:val="20"/>
          <w:szCs w:val="20"/>
          <w:lang w:val="en-US"/>
        </w:rPr>
        <w:t xml:space="preserve"> </w:t>
      </w:r>
      <w:r w:rsidR="00DF1D9A" w:rsidRPr="00DF1D9A">
        <w:rPr>
          <w:rFonts w:ascii="Tahoma" w:hAnsi="Tahoma" w:cs="Tahoma"/>
          <w:bCs/>
          <w:sz w:val="20"/>
          <w:szCs w:val="20"/>
          <w:lang w:val="en-US"/>
        </w:rPr>
        <w:t>in an Uncertain Environment</w:t>
      </w:r>
    </w:p>
    <w:p w:rsidR="00503969" w:rsidRPr="006A7BC8" w:rsidRDefault="00DF1D9A" w:rsidP="00503969">
      <w:pPr>
        <w:pStyle w:val="a4"/>
        <w:numPr>
          <w:ilvl w:val="0"/>
          <w:numId w:val="1"/>
        </w:numPr>
        <w:rPr>
          <w:rFonts w:ascii="Tahoma" w:hAnsi="Tahoma" w:cs="Tahoma"/>
          <w:sz w:val="20"/>
          <w:szCs w:val="20"/>
          <w:lang w:val="en-US"/>
        </w:rPr>
      </w:pPr>
      <w:r>
        <w:rPr>
          <w:bCs/>
          <w:lang w:val="en-US"/>
        </w:rPr>
        <w:t xml:space="preserve">Cost Allocation, </w:t>
      </w:r>
      <w:r w:rsidR="009D5313" w:rsidRPr="006A7BC8">
        <w:rPr>
          <w:bCs/>
          <w:lang w:val="en-US"/>
        </w:rPr>
        <w:t>Customer-Profitability Analysis, and Sales-Variance Analysis</w:t>
      </w:r>
    </w:p>
    <w:p w:rsidR="00503969" w:rsidRDefault="00503969">
      <w:pPr>
        <w:rPr>
          <w:rFonts w:ascii="Tahoma" w:hAnsi="Tahoma" w:cs="Tahoma"/>
          <w:b/>
          <w:sz w:val="20"/>
          <w:szCs w:val="20"/>
        </w:rPr>
      </w:pPr>
      <w:r w:rsidRPr="00C170D2">
        <w:rPr>
          <w:rFonts w:ascii="Tahoma" w:hAnsi="Tahoma" w:cs="Tahoma"/>
          <w:b/>
          <w:sz w:val="20"/>
          <w:szCs w:val="20"/>
          <w:lang w:val="en-US"/>
        </w:rPr>
        <w:t>Readings</w:t>
      </w:r>
    </w:p>
    <w:p w:rsidR="006A7BC8" w:rsidRDefault="00B83CA8" w:rsidP="006A7BC8">
      <w:pPr>
        <w:numPr>
          <w:ilvl w:val="0"/>
          <w:numId w:val="2"/>
        </w:numPr>
        <w:rPr>
          <w:rFonts w:ascii="Tahoma" w:hAnsi="Tahoma" w:cs="Tahoma"/>
          <w:bCs/>
          <w:sz w:val="20"/>
          <w:szCs w:val="20"/>
          <w:lang w:val="en-US"/>
        </w:rPr>
      </w:pPr>
      <w:r w:rsidRPr="00B83CA8">
        <w:rPr>
          <w:rFonts w:ascii="Tahoma" w:hAnsi="Tahoma" w:cs="Tahoma"/>
          <w:bCs/>
          <w:sz w:val="20"/>
          <w:szCs w:val="20"/>
          <w:lang w:val="en-US"/>
        </w:rPr>
        <w:t xml:space="preserve">Financial &amp; Managerial Accounting: International Edition, 3/E Charles T. </w:t>
      </w:r>
      <w:proofErr w:type="spellStart"/>
      <w:r w:rsidRPr="00B83CA8">
        <w:rPr>
          <w:rFonts w:ascii="Tahoma" w:hAnsi="Tahoma" w:cs="Tahoma"/>
          <w:bCs/>
          <w:sz w:val="20"/>
          <w:szCs w:val="20"/>
          <w:lang w:val="en-US"/>
        </w:rPr>
        <w:t>Horngren</w:t>
      </w:r>
      <w:proofErr w:type="spellEnd"/>
      <w:r w:rsidRPr="00B83CA8">
        <w:rPr>
          <w:rFonts w:ascii="Tahoma" w:hAnsi="Tahoma" w:cs="Tahoma"/>
          <w:bCs/>
          <w:sz w:val="20"/>
          <w:szCs w:val="20"/>
          <w:lang w:val="en-US"/>
        </w:rPr>
        <w:t>, Walter T. Harrison Jr., M. Suzanne Oliver. © 2011 by Prentice-Hall, Inc.</w:t>
      </w:r>
      <w:r w:rsidR="006A7BC8" w:rsidRPr="006A7BC8">
        <w:rPr>
          <w:rFonts w:ascii="Tahoma" w:hAnsi="Tahoma" w:cs="Tahoma"/>
          <w:bCs/>
          <w:sz w:val="20"/>
          <w:szCs w:val="20"/>
          <w:lang w:val="en-US"/>
        </w:rPr>
        <w:t xml:space="preserve"> </w:t>
      </w:r>
    </w:p>
    <w:p w:rsidR="006A7BC8" w:rsidRPr="00B83CA8" w:rsidRDefault="006A7BC8" w:rsidP="006A7BC8">
      <w:pPr>
        <w:numPr>
          <w:ilvl w:val="0"/>
          <w:numId w:val="2"/>
        </w:numPr>
        <w:rPr>
          <w:rFonts w:ascii="Tahoma" w:hAnsi="Tahoma" w:cs="Tahoma"/>
          <w:bCs/>
          <w:sz w:val="20"/>
          <w:szCs w:val="20"/>
          <w:lang w:val="en-US"/>
        </w:rPr>
      </w:pPr>
      <w:r w:rsidRPr="00B83CA8">
        <w:rPr>
          <w:rFonts w:ascii="Tahoma" w:hAnsi="Tahoma" w:cs="Tahoma"/>
          <w:bCs/>
          <w:sz w:val="20"/>
          <w:szCs w:val="20"/>
          <w:lang w:val="en-US"/>
        </w:rPr>
        <w:t xml:space="preserve">Cost Accounting with </w:t>
      </w:r>
      <w:proofErr w:type="spellStart"/>
      <w:r w:rsidRPr="00B83CA8">
        <w:rPr>
          <w:rFonts w:ascii="Tahoma" w:hAnsi="Tahoma" w:cs="Tahoma"/>
          <w:bCs/>
          <w:sz w:val="20"/>
          <w:szCs w:val="20"/>
          <w:lang w:val="en-US"/>
        </w:rPr>
        <w:t>MyAccountingLab</w:t>
      </w:r>
      <w:proofErr w:type="spellEnd"/>
      <w:r w:rsidRPr="00B83CA8">
        <w:rPr>
          <w:rFonts w:ascii="Tahoma" w:hAnsi="Tahoma" w:cs="Tahoma"/>
          <w:bCs/>
          <w:sz w:val="20"/>
          <w:szCs w:val="20"/>
          <w:lang w:val="en-US"/>
        </w:rPr>
        <w:t xml:space="preserve">: Global Edition, 14/E Charles </w:t>
      </w:r>
      <w:proofErr w:type="spellStart"/>
      <w:r w:rsidRPr="00B83CA8">
        <w:rPr>
          <w:rFonts w:ascii="Tahoma" w:hAnsi="Tahoma" w:cs="Tahoma"/>
          <w:bCs/>
          <w:sz w:val="20"/>
          <w:szCs w:val="20"/>
          <w:lang w:val="en-US"/>
        </w:rPr>
        <w:t>Horngren</w:t>
      </w:r>
      <w:proofErr w:type="spellEnd"/>
      <w:r w:rsidRPr="00B83CA8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r w:rsidRPr="00B83CA8">
        <w:rPr>
          <w:rFonts w:ascii="Tahoma" w:hAnsi="Tahoma" w:cs="Tahoma"/>
          <w:bCs/>
          <w:sz w:val="20"/>
          <w:szCs w:val="20"/>
          <w:lang w:val="en-US"/>
        </w:rPr>
        <w:br/>
      </w:r>
      <w:proofErr w:type="spellStart"/>
      <w:r w:rsidRPr="00B83CA8">
        <w:rPr>
          <w:rFonts w:ascii="Tahoma" w:hAnsi="Tahoma" w:cs="Tahoma"/>
          <w:bCs/>
          <w:sz w:val="20"/>
          <w:szCs w:val="20"/>
          <w:lang w:val="en-US"/>
        </w:rPr>
        <w:t>Srikant</w:t>
      </w:r>
      <w:proofErr w:type="spellEnd"/>
      <w:r w:rsidRPr="00B83CA8">
        <w:rPr>
          <w:rFonts w:ascii="Tahoma" w:hAnsi="Tahoma" w:cs="Tahoma"/>
          <w:bCs/>
          <w:sz w:val="20"/>
          <w:szCs w:val="20"/>
          <w:lang w:val="en-US"/>
        </w:rPr>
        <w:t xml:space="preserve"> M. </w:t>
      </w:r>
      <w:proofErr w:type="spellStart"/>
      <w:r w:rsidRPr="00B83CA8">
        <w:rPr>
          <w:rFonts w:ascii="Tahoma" w:hAnsi="Tahoma" w:cs="Tahoma"/>
          <w:bCs/>
          <w:sz w:val="20"/>
          <w:szCs w:val="20"/>
          <w:lang w:val="en-US"/>
        </w:rPr>
        <w:t>Datar</w:t>
      </w:r>
      <w:proofErr w:type="spellEnd"/>
      <w:r w:rsidRPr="00B83CA8">
        <w:rPr>
          <w:rFonts w:ascii="Tahoma" w:hAnsi="Tahoma" w:cs="Tahoma"/>
          <w:bCs/>
          <w:sz w:val="20"/>
          <w:szCs w:val="20"/>
          <w:lang w:val="en-US"/>
        </w:rPr>
        <w:t xml:space="preserve">, </w:t>
      </w:r>
      <w:proofErr w:type="spellStart"/>
      <w:r w:rsidRPr="00B83CA8">
        <w:rPr>
          <w:rFonts w:ascii="Tahoma" w:hAnsi="Tahoma" w:cs="Tahoma"/>
          <w:bCs/>
          <w:sz w:val="20"/>
          <w:szCs w:val="20"/>
          <w:lang w:val="en-US"/>
        </w:rPr>
        <w:t>Madhav</w:t>
      </w:r>
      <w:proofErr w:type="spellEnd"/>
      <w:r w:rsidRPr="00B83CA8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B83CA8">
        <w:rPr>
          <w:rFonts w:ascii="Tahoma" w:hAnsi="Tahoma" w:cs="Tahoma"/>
          <w:bCs/>
          <w:sz w:val="20"/>
          <w:szCs w:val="20"/>
          <w:lang w:val="en-US"/>
        </w:rPr>
        <w:t>Rajan</w:t>
      </w:r>
      <w:proofErr w:type="spellEnd"/>
      <w:r w:rsidRPr="00B83CA8">
        <w:rPr>
          <w:rFonts w:ascii="Tahoma" w:hAnsi="Tahoma" w:cs="Tahoma"/>
          <w:bCs/>
          <w:sz w:val="20"/>
          <w:szCs w:val="20"/>
          <w:lang w:val="en-US"/>
        </w:rPr>
        <w:t>. © 2011 by Prentice-Hall, Inc.</w:t>
      </w:r>
    </w:p>
    <w:p w:rsidR="00C170D2" w:rsidRPr="00814082" w:rsidRDefault="006A7BC8" w:rsidP="006A7BC8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6A7BC8">
        <w:rPr>
          <w:bCs/>
          <w:lang w:val="en-US"/>
        </w:rPr>
        <w:t xml:space="preserve">Managerial Accounting / M. Suzanne Oliver, Charles T. </w:t>
      </w:r>
      <w:proofErr w:type="spellStart"/>
      <w:r w:rsidRPr="006A7BC8">
        <w:rPr>
          <w:bCs/>
          <w:lang w:val="en-US"/>
        </w:rPr>
        <w:t>Horngren</w:t>
      </w:r>
      <w:proofErr w:type="spellEnd"/>
      <w:r w:rsidRPr="006A7BC8">
        <w:rPr>
          <w:bCs/>
          <w:lang w:val="en-US"/>
        </w:rPr>
        <w:t>, © 2010 by Prentice-Hall, Inc.</w:t>
      </w:r>
    </w:p>
    <w:p w:rsidR="00814082" w:rsidRPr="006A7BC8" w:rsidRDefault="00814082" w:rsidP="00814082">
      <w:pPr>
        <w:spacing w:after="0" w:line="240" w:lineRule="auto"/>
        <w:ind w:left="720"/>
        <w:rPr>
          <w:rFonts w:ascii="Tahoma" w:hAnsi="Tahoma" w:cs="Tahoma"/>
          <w:sz w:val="20"/>
          <w:szCs w:val="20"/>
          <w:lang w:val="en-US"/>
        </w:rPr>
      </w:pPr>
    </w:p>
    <w:sectPr w:rsidR="00814082" w:rsidRPr="006A7BC8" w:rsidSect="008F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1330"/>
    <w:multiLevelType w:val="hybridMultilevel"/>
    <w:tmpl w:val="54A4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A6A68"/>
    <w:multiLevelType w:val="hybridMultilevel"/>
    <w:tmpl w:val="C5F619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E0155"/>
    <w:multiLevelType w:val="hybridMultilevel"/>
    <w:tmpl w:val="6F161C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969"/>
    <w:rsid w:val="001A03FD"/>
    <w:rsid w:val="00221597"/>
    <w:rsid w:val="00300114"/>
    <w:rsid w:val="00503969"/>
    <w:rsid w:val="0055425C"/>
    <w:rsid w:val="00602D6D"/>
    <w:rsid w:val="006A3F74"/>
    <w:rsid w:val="006A7BC8"/>
    <w:rsid w:val="007127C0"/>
    <w:rsid w:val="00761EF5"/>
    <w:rsid w:val="00814082"/>
    <w:rsid w:val="008B1CCE"/>
    <w:rsid w:val="008F4509"/>
    <w:rsid w:val="009A4A05"/>
    <w:rsid w:val="009D5313"/>
    <w:rsid w:val="00AD32D6"/>
    <w:rsid w:val="00AD3C0F"/>
    <w:rsid w:val="00B1045E"/>
    <w:rsid w:val="00B83CA8"/>
    <w:rsid w:val="00BD48D3"/>
    <w:rsid w:val="00C170D2"/>
    <w:rsid w:val="00C72C00"/>
    <w:rsid w:val="00D40032"/>
    <w:rsid w:val="00DF1D9A"/>
    <w:rsid w:val="00F93419"/>
    <w:rsid w:val="00FC481E"/>
    <w:rsid w:val="00FE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0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039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9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ield">
    <w:name w:val="field"/>
    <w:basedOn w:val="a0"/>
    <w:rsid w:val="00503969"/>
  </w:style>
  <w:style w:type="character" w:customStyle="1" w:styleId="apple-converted-space">
    <w:name w:val="apple-converted-space"/>
    <w:basedOn w:val="a0"/>
    <w:rsid w:val="00503969"/>
  </w:style>
  <w:style w:type="character" w:styleId="a3">
    <w:name w:val="Hyperlink"/>
    <w:basedOn w:val="a0"/>
    <w:uiPriority w:val="99"/>
    <w:semiHidden/>
    <w:unhideWhenUsed/>
    <w:rsid w:val="005039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3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Links>
    <vt:vector size="6" baseType="variant">
      <vt:variant>
        <vt:i4>1048658</vt:i4>
      </vt:variant>
      <vt:variant>
        <vt:i4>0</vt:i4>
      </vt:variant>
      <vt:variant>
        <vt:i4>0</vt:i4>
      </vt:variant>
      <vt:variant>
        <vt:i4>5</vt:i4>
      </vt:variant>
      <vt:variant>
        <vt:lpwstr>http://we.hse.ru/en/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perofeeva</dc:creator>
  <cp:lastModifiedBy>Own</cp:lastModifiedBy>
  <cp:revision>2</cp:revision>
  <cp:lastPrinted>2012-10-05T07:28:00Z</cp:lastPrinted>
  <dcterms:created xsi:type="dcterms:W3CDTF">2013-06-02T13:18:00Z</dcterms:created>
  <dcterms:modified xsi:type="dcterms:W3CDTF">2013-06-02T13:18:00Z</dcterms:modified>
</cp:coreProperties>
</file>